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F76" w:rsidRPr="006A4BCA" w:rsidRDefault="00436F76" w:rsidP="00CE231A">
      <w:pPr>
        <w:pStyle w:val="Sinespaciado"/>
        <w:ind w:left="2836"/>
        <w:jc w:val="both"/>
        <w:rPr>
          <w:rFonts w:ascii="Times New Roman" w:hAnsi="Times New Roman" w:cs="Times New Roman"/>
          <w:sz w:val="24"/>
          <w:szCs w:val="24"/>
        </w:rPr>
      </w:pPr>
      <w:r w:rsidRPr="006A4BCA">
        <w:rPr>
          <w:rFonts w:ascii="Times New Roman" w:hAnsi="Times New Roman" w:cs="Times New Roman"/>
          <w:sz w:val="24"/>
          <w:szCs w:val="24"/>
        </w:rPr>
        <w:t>SESIÓN DELIBERANTE DE LA H. “LXII” LEGISLATURA</w:t>
      </w:r>
    </w:p>
    <w:p w:rsidR="00436F76" w:rsidRPr="006A4BCA" w:rsidRDefault="00436F76" w:rsidP="00CE231A">
      <w:pPr>
        <w:pStyle w:val="Sinespaciado"/>
        <w:ind w:left="2836"/>
        <w:jc w:val="both"/>
        <w:rPr>
          <w:rFonts w:ascii="Times New Roman" w:hAnsi="Times New Roman" w:cs="Times New Roman"/>
          <w:sz w:val="24"/>
          <w:szCs w:val="24"/>
        </w:rPr>
      </w:pPr>
      <w:r w:rsidRPr="006A4BCA">
        <w:rPr>
          <w:rFonts w:ascii="Times New Roman" w:hAnsi="Times New Roman" w:cs="Times New Roman"/>
          <w:sz w:val="24"/>
          <w:szCs w:val="24"/>
        </w:rPr>
        <w:t>DEL ESTADO DE MÉXICO.</w:t>
      </w:r>
    </w:p>
    <w:p w:rsidR="001A58E7" w:rsidRPr="006A4BCA" w:rsidRDefault="001A58E7" w:rsidP="00CE231A">
      <w:pPr>
        <w:pStyle w:val="Sinespaciado"/>
        <w:ind w:left="2836"/>
        <w:jc w:val="both"/>
        <w:rPr>
          <w:rFonts w:ascii="Times New Roman" w:hAnsi="Times New Roman" w:cs="Times New Roman"/>
          <w:sz w:val="24"/>
          <w:szCs w:val="24"/>
        </w:rPr>
      </w:pPr>
    </w:p>
    <w:p w:rsidR="00436F76" w:rsidRPr="006A4BCA" w:rsidRDefault="00436F76" w:rsidP="00CE231A">
      <w:pPr>
        <w:pStyle w:val="Sinespaciado"/>
        <w:ind w:left="2836"/>
        <w:jc w:val="both"/>
        <w:rPr>
          <w:rFonts w:ascii="Times New Roman" w:hAnsi="Times New Roman" w:cs="Times New Roman"/>
          <w:sz w:val="24"/>
          <w:szCs w:val="24"/>
        </w:rPr>
      </w:pPr>
      <w:r w:rsidRPr="006A4BCA">
        <w:rPr>
          <w:rFonts w:ascii="Times New Roman" w:hAnsi="Times New Roman" w:cs="Times New Roman"/>
          <w:sz w:val="24"/>
          <w:szCs w:val="24"/>
        </w:rPr>
        <w:t>Celebrada el día 11 marzo de 2026.</w:t>
      </w:r>
    </w:p>
    <w:p w:rsidR="00436F76" w:rsidRPr="006A4BCA" w:rsidRDefault="00436F76" w:rsidP="00CE231A">
      <w:pPr>
        <w:pStyle w:val="Sinespaciado"/>
        <w:ind w:left="2836"/>
        <w:jc w:val="both"/>
        <w:rPr>
          <w:rFonts w:ascii="Times New Roman" w:hAnsi="Times New Roman" w:cs="Times New Roman"/>
          <w:sz w:val="24"/>
          <w:szCs w:val="24"/>
        </w:rPr>
      </w:pPr>
    </w:p>
    <w:p w:rsidR="00436F76" w:rsidRPr="006A4BCA" w:rsidRDefault="00436F76" w:rsidP="00C80DF4">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Presidencia de la diputada Martha Azucena Camacho Reynoso.</w:t>
      </w:r>
    </w:p>
    <w:p w:rsidR="00436F76" w:rsidRPr="006A4BCA" w:rsidRDefault="00436F76" w:rsidP="00C80DF4">
      <w:pPr>
        <w:spacing w:after="0" w:line="240" w:lineRule="auto"/>
        <w:jc w:val="both"/>
        <w:rPr>
          <w:rFonts w:ascii="Times New Roman" w:hAnsi="Times New Roman" w:cs="Times New Roman"/>
          <w:sz w:val="24"/>
          <w:szCs w:val="24"/>
        </w:rPr>
      </w:pPr>
    </w:p>
    <w:p w:rsidR="00436F76" w:rsidRPr="006A4BCA" w:rsidRDefault="00436F76"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Gracias por su asistencia a quienes integran la LXII Legislatura y les reconozco su responsabilidad en el cumplimiento de las tareas que corresponden a esta asamblea </w:t>
      </w:r>
      <w:r w:rsidR="00914CF3" w:rsidRPr="006A4BCA">
        <w:rPr>
          <w:rFonts w:ascii="Times New Roman" w:hAnsi="Times New Roman" w:cs="Times New Roman"/>
          <w:sz w:val="24"/>
          <w:szCs w:val="24"/>
        </w:rPr>
        <w:t>l</w:t>
      </w:r>
      <w:r w:rsidRPr="006A4BCA">
        <w:rPr>
          <w:rFonts w:ascii="Times New Roman" w:hAnsi="Times New Roman" w:cs="Times New Roman"/>
          <w:sz w:val="24"/>
          <w:szCs w:val="24"/>
        </w:rPr>
        <w:t>egislativa.</w:t>
      </w:r>
    </w:p>
    <w:p w:rsidR="00436F76" w:rsidRPr="006A4BCA" w:rsidRDefault="00436F76"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Doy la bienvenida a los representantes de los medios de comunicación y a quienes se encuentran en este Recinto Legislativo y en las redes sociales, bienvenidos a “La Casa del Pueblo”, esta es su casa.</w:t>
      </w:r>
    </w:p>
    <w:p w:rsidR="00436F76" w:rsidRPr="006A4BCA" w:rsidRDefault="00436F76"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Para la valide</w:t>
      </w:r>
      <w:r w:rsidR="00371204" w:rsidRPr="006A4BCA">
        <w:rPr>
          <w:rFonts w:ascii="Times New Roman" w:hAnsi="Times New Roman" w:cs="Times New Roman"/>
          <w:sz w:val="24"/>
          <w:szCs w:val="24"/>
        </w:rPr>
        <w:t>s</w:t>
      </w:r>
      <w:r w:rsidRPr="006A4BCA">
        <w:rPr>
          <w:rFonts w:ascii="Times New Roman" w:hAnsi="Times New Roman" w:cs="Times New Roman"/>
          <w:sz w:val="24"/>
          <w:szCs w:val="24"/>
        </w:rPr>
        <w:t xml:space="preserve"> de los trabajos pido a la Secretaría verifique el quórum abriendo el sistema electrónico de asistencia hasta por 5 minutos</w:t>
      </w:r>
      <w:r w:rsidR="00ED63A2" w:rsidRPr="006A4BCA">
        <w:rPr>
          <w:rFonts w:ascii="Times New Roman" w:hAnsi="Times New Roman" w:cs="Times New Roman"/>
          <w:sz w:val="24"/>
          <w:szCs w:val="24"/>
        </w:rPr>
        <w:t>, al</w:t>
      </w:r>
      <w:r w:rsidRPr="006A4BCA">
        <w:rPr>
          <w:rFonts w:ascii="Times New Roman" w:hAnsi="Times New Roman" w:cs="Times New Roman"/>
          <w:sz w:val="24"/>
          <w:szCs w:val="24"/>
        </w:rPr>
        <w:t xml:space="preserve"> existir el quórum se abrirá la sesión. </w:t>
      </w:r>
    </w:p>
    <w:p w:rsidR="00436F76" w:rsidRPr="006A4BCA" w:rsidRDefault="00436F76" w:rsidP="00C80DF4">
      <w:pPr>
        <w:pStyle w:val="Sinespaciad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SECRETARIO DIP. EDMUNDO LUIS VALDEÑA BASTIDA. Ábrase el sistema electrónico de asistencia hasta por 5 minutos. </w:t>
      </w:r>
    </w:p>
    <w:p w:rsidR="00436F76" w:rsidRPr="006A4BCA" w:rsidRDefault="00436F76" w:rsidP="00C80DF4">
      <w:pPr>
        <w:pStyle w:val="Sinespaciado"/>
        <w:jc w:val="center"/>
        <w:rPr>
          <w:rFonts w:ascii="Times New Roman" w:eastAsia="Times New Roman" w:hAnsi="Times New Roman" w:cs="Times New Roman"/>
          <w:i/>
          <w:sz w:val="24"/>
          <w:szCs w:val="24"/>
          <w:lang w:eastAsia="es-MX"/>
        </w:rPr>
      </w:pPr>
      <w:r w:rsidRPr="006A4BCA">
        <w:rPr>
          <w:rFonts w:ascii="Times New Roman" w:eastAsia="Times New Roman" w:hAnsi="Times New Roman" w:cs="Times New Roman"/>
          <w:i/>
          <w:sz w:val="24"/>
          <w:szCs w:val="24"/>
          <w:lang w:eastAsia="es-MX"/>
        </w:rPr>
        <w:t xml:space="preserve">(Registro de </w:t>
      </w:r>
      <w:r w:rsidR="00F665B1" w:rsidRPr="006A4BCA">
        <w:rPr>
          <w:rFonts w:ascii="Times New Roman" w:eastAsia="Times New Roman" w:hAnsi="Times New Roman" w:cs="Times New Roman"/>
          <w:i/>
          <w:sz w:val="24"/>
          <w:szCs w:val="24"/>
          <w:lang w:eastAsia="es-MX"/>
        </w:rPr>
        <w:t>asistencia</w:t>
      </w:r>
      <w:r w:rsidRPr="006A4BCA">
        <w:rPr>
          <w:rFonts w:ascii="Times New Roman" w:eastAsia="Times New Roman" w:hAnsi="Times New Roman" w:cs="Times New Roman"/>
          <w:i/>
          <w:sz w:val="24"/>
          <w:szCs w:val="24"/>
          <w:lang w:eastAsia="es-MX"/>
        </w:rPr>
        <w:t>)</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SECRETARIO DIP. EDMUNDO LUIS VALDEÑA BASTIDA. Existe quórum, puede abrirse la sesión.</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Secretario.</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declara la existencia del quórum y se abre la sesión, siendo las doce horas con cuarenta y dos minutos del día miércoles once de marzo del año dos mil veintiséis.</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Dé cuenta la Secretaría de la propuesta del orden del día.</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SECRETARIO DIP. EDMUNDO LUIS VALDEÑA BASTIDA. La propuesta del orden del día es la siguiente:</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 Acta de la </w:t>
      </w:r>
      <w:r w:rsidR="00D36890" w:rsidRPr="006A4BCA">
        <w:rPr>
          <w:rFonts w:ascii="Times New Roman" w:hAnsi="Times New Roman" w:cs="Times New Roman"/>
          <w:sz w:val="24"/>
          <w:szCs w:val="24"/>
        </w:rPr>
        <w:t>sesión anterior</w:t>
      </w:r>
      <w:r w:rsidRPr="006A4BCA">
        <w:rPr>
          <w:rFonts w:ascii="Times New Roman" w:hAnsi="Times New Roman" w:cs="Times New Roman"/>
          <w:sz w:val="24"/>
          <w:szCs w:val="24"/>
        </w:rPr>
        <w:t>.</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2. Discusión y resolución del Dictamen de la Iniciativa con Proyecto de Decreto por el que se reforman y adicionan diversas disposiciones al Código Civil del Estado de México y a la Ley de Igualdad de Trato y Oportunidades entre Mujeres y Hombres del Estado de México, presentada por la Diputada María del Carmen de la Rosa Mendoza, en nombre del Grupo Parlamentario del Partido morena; y de la Iniciativa con Proyecto de Decreto por el que se agregan las fracciones X, recorriéndose las subsecuentes, del artículo 96 Quater dieciséis de la Ley Orgánica Municipal del Estado de México y se adiciona la fracción VIII, recorriéndose la subsecuente, del artículo 10 de la Ley de Igualdad de Trato y Oportunidades entre Mujeres y Hombres del Estado de México, presentada por el Grupo Parlamentario del Partido de la Revolución Democrática, ambas en materia de corresponsabilidad familiar, formulado por las Comisiones Unidas de Procuración y Administración de Justicia, y para la Igualdad de Género.</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3. Discusión y resolución del Dictamen de la Iniciativa con Proyecto de Decreto por el que se reforma el artículo 1 y se adiciona una fracción VIII recorriéndose de manera subsecuente las demás, al artículo 7 ambos de la Ley de Acceso de las Mujeres a una Vida Libre de Violencia del Estado de México, presentada por la Diputada Sandra Patricia Santos Rodríguez, en nombre del Grupo Parlamentario del Partido morena; y de la Iniciativa con Proyecto de Decreto por el adicionan y reforman diversas disposiciones de la Ley de Acceso de las Mujeres a una Vida Libre de Violencia del Estado de México, presentada por el Grupo Parlamentario del Partido Verde Ecologista de México; todas relativas a la violencia digital, formulado por las Comisiones Legislativas de Procuración y Administración de Justicia.</w:t>
      </w:r>
    </w:p>
    <w:p w:rsidR="00CC3E3A" w:rsidRPr="006A4BCA" w:rsidRDefault="00CC3E3A"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4. Discusión y resolución del Dictamen de la Iniciativa con Proyecto de Decreto por la que se reforman y adicionan diversas disposiciones de la Ley de Gobierno Digital del Estado de México </w:t>
      </w:r>
      <w:r w:rsidRPr="006A4BCA">
        <w:rPr>
          <w:rFonts w:ascii="Times New Roman" w:hAnsi="Times New Roman" w:cs="Times New Roman"/>
          <w:sz w:val="24"/>
          <w:szCs w:val="24"/>
        </w:rPr>
        <w:lastRenderedPageBreak/>
        <w:t xml:space="preserve">y Municipios y </w:t>
      </w:r>
      <w:r w:rsidR="00DA0A42" w:rsidRPr="006A4BCA">
        <w:rPr>
          <w:rFonts w:ascii="Times New Roman" w:hAnsi="Times New Roman" w:cs="Times New Roman"/>
          <w:sz w:val="24"/>
          <w:szCs w:val="24"/>
        </w:rPr>
        <w:t xml:space="preserve">de </w:t>
      </w:r>
      <w:r w:rsidRPr="006A4BCA">
        <w:rPr>
          <w:rFonts w:ascii="Times New Roman" w:hAnsi="Times New Roman" w:cs="Times New Roman"/>
          <w:sz w:val="24"/>
          <w:szCs w:val="24"/>
        </w:rPr>
        <w:t xml:space="preserve">la Ley </w:t>
      </w:r>
      <w:r w:rsidR="00DA0A42" w:rsidRPr="006A4BCA">
        <w:rPr>
          <w:rFonts w:ascii="Times New Roman" w:hAnsi="Times New Roman" w:cs="Times New Roman"/>
          <w:sz w:val="24"/>
          <w:szCs w:val="24"/>
        </w:rPr>
        <w:t xml:space="preserve">Para </w:t>
      </w:r>
      <w:r w:rsidRPr="006A4BCA">
        <w:rPr>
          <w:rFonts w:ascii="Times New Roman" w:hAnsi="Times New Roman" w:cs="Times New Roman"/>
          <w:sz w:val="24"/>
          <w:szCs w:val="24"/>
        </w:rPr>
        <w:t>la Mejora Regulatoria del Estado de México y sus Municipios, en materia de inteligencia artificial en ámbito estatal, presentada por el Diputado Edgar Samuel Ríos Moreno, en nombre del Grupo Parlamentario del Partido morena, formulada por la Comisión Legislativa de Desarrollo Económico, Industrial, Comercial y Minero.</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5. Lectura y acuerdo conducente de Iniciativa de Decreto por el que se autorizan al Honorable Ayuntamiento de Texcoco, Estado de México, a desincorporar del patrimonio del municipio, un inmueble para que sea donado a título gratuito a favor del Instituto Mexicano del Seguro Social para realizar las acciones necesarias y destinadas a la construcción de un Centro de Educación y Cuidado Infantil CECI, presentada por la Titular del Ejecutivo Estatal (De urgente y obvia resolución).</w:t>
      </w:r>
    </w:p>
    <w:p w:rsidR="00CC3E3A" w:rsidRPr="006A4BCA" w:rsidRDefault="00056D3F"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7</w:t>
      </w:r>
      <w:r w:rsidR="00157903" w:rsidRPr="006A4BCA">
        <w:rPr>
          <w:rFonts w:ascii="Times New Roman" w:hAnsi="Times New Roman" w:cs="Times New Roman"/>
          <w:sz w:val="24"/>
          <w:szCs w:val="24"/>
        </w:rPr>
        <w:t>.</w:t>
      </w:r>
      <w:r w:rsidR="00CC3E3A" w:rsidRPr="006A4BCA">
        <w:rPr>
          <w:rFonts w:ascii="Times New Roman" w:hAnsi="Times New Roman" w:cs="Times New Roman"/>
          <w:sz w:val="24"/>
          <w:szCs w:val="24"/>
        </w:rPr>
        <w:t xml:space="preserve"> Lectura y acuerdo conducente de la Iniciativa de Decreto por la que se declara al mezcal producido en Almoloya de Alquisiras, Amatepec, Coatepec Harinas, Ixtapan de la Sal, Luvianos, Malinalco, Ocuilan, Sultepec, Tejupilco, Tenancingo, Tlatlaya, Tonatico, Villa Guerrero, Zacualpan y Zumpahuacán, como Patrimonio Cultural</w:t>
      </w:r>
      <w:r w:rsidR="006B7BF4" w:rsidRPr="006A4BCA">
        <w:rPr>
          <w:rFonts w:ascii="Times New Roman" w:hAnsi="Times New Roman" w:cs="Times New Roman"/>
          <w:sz w:val="24"/>
          <w:szCs w:val="24"/>
        </w:rPr>
        <w:t xml:space="preserve"> </w:t>
      </w:r>
      <w:r w:rsidR="00CC3E3A" w:rsidRPr="006A4BCA">
        <w:rPr>
          <w:rFonts w:ascii="Times New Roman" w:hAnsi="Times New Roman" w:cs="Times New Roman"/>
          <w:sz w:val="24"/>
          <w:szCs w:val="24"/>
        </w:rPr>
        <w:t xml:space="preserve">Inmaterial del Estado de México, presentada por el Diputado Israel </w:t>
      </w:r>
      <w:r w:rsidR="00502260" w:rsidRPr="006A4BCA">
        <w:rPr>
          <w:rFonts w:ascii="Times New Roman" w:hAnsi="Times New Roman" w:cs="Times New Roman"/>
          <w:sz w:val="24"/>
          <w:szCs w:val="24"/>
        </w:rPr>
        <w:t xml:space="preserve">Espíndola </w:t>
      </w:r>
      <w:r w:rsidR="00CC3E3A" w:rsidRPr="006A4BCA">
        <w:rPr>
          <w:rFonts w:ascii="Times New Roman" w:hAnsi="Times New Roman" w:cs="Times New Roman"/>
          <w:sz w:val="24"/>
          <w:szCs w:val="24"/>
        </w:rPr>
        <w:t>López, en nombre del Grupo Parlamentario del Partido morena.</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t xml:space="preserve">8.- </w:t>
      </w:r>
      <w:r w:rsidRPr="006A4BCA">
        <w:rPr>
          <w:rFonts w:ascii="Times New Roman" w:hAnsi="Times New Roman" w:cs="Times New Roman"/>
          <w:sz w:val="24"/>
          <w:szCs w:val="24"/>
        </w:rPr>
        <w:t xml:space="preserve">Lectura y acuerdo conducente de la </w:t>
      </w:r>
      <w:r w:rsidRPr="006A4BCA">
        <w:rPr>
          <w:rFonts w:ascii="Times New Roman" w:hAnsi="Times New Roman" w:cs="Times New Roman"/>
          <w:bCs/>
          <w:sz w:val="24"/>
          <w:szCs w:val="24"/>
        </w:rPr>
        <w:t xml:space="preserve">Iniciativa </w:t>
      </w:r>
      <w:r w:rsidRPr="006A4BCA">
        <w:rPr>
          <w:rFonts w:ascii="Times New Roman" w:hAnsi="Times New Roman" w:cs="Times New Roman"/>
          <w:sz w:val="24"/>
          <w:szCs w:val="24"/>
        </w:rPr>
        <w:t xml:space="preserve">de Decreto por el que se adiciona una fracción al artículo 5 de la </w:t>
      </w:r>
      <w:r w:rsidRPr="006A4BCA">
        <w:rPr>
          <w:rFonts w:ascii="Times New Roman" w:hAnsi="Times New Roman" w:cs="Times New Roman"/>
          <w:bCs/>
          <w:sz w:val="24"/>
          <w:szCs w:val="24"/>
        </w:rPr>
        <w:t>Ley de</w:t>
      </w:r>
      <w:r w:rsidR="007B748C" w:rsidRPr="006A4BCA">
        <w:rPr>
          <w:rFonts w:ascii="Times New Roman" w:hAnsi="Times New Roman" w:cs="Times New Roman"/>
          <w:bCs/>
          <w:sz w:val="24"/>
          <w:szCs w:val="24"/>
        </w:rPr>
        <w:t>l</w:t>
      </w:r>
      <w:r w:rsidRPr="006A4BCA">
        <w:rPr>
          <w:rFonts w:ascii="Times New Roman" w:hAnsi="Times New Roman" w:cs="Times New Roman"/>
          <w:bCs/>
          <w:sz w:val="24"/>
          <w:szCs w:val="24"/>
        </w:rPr>
        <w:t xml:space="preserve"> Adulto Mayor del Estado de México</w:t>
      </w:r>
      <w:r w:rsidRPr="006A4BCA">
        <w:rPr>
          <w:rFonts w:ascii="Times New Roman" w:hAnsi="Times New Roman" w:cs="Times New Roman"/>
          <w:sz w:val="24"/>
          <w:szCs w:val="24"/>
        </w:rPr>
        <w:t>, en materia de atención preferente de Adultos Mayores, presentada por el Diputado Edmundo Luis Valdeña Bastida, en nombre del Grupo Parlamentario del Partido morena.</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t xml:space="preserve">9.- </w:t>
      </w:r>
      <w:r w:rsidRPr="006A4BCA">
        <w:rPr>
          <w:rFonts w:ascii="Times New Roman" w:hAnsi="Times New Roman" w:cs="Times New Roman"/>
          <w:sz w:val="24"/>
          <w:szCs w:val="24"/>
        </w:rPr>
        <w:t xml:space="preserve">Lectura y acuerdo conducente de la </w:t>
      </w:r>
      <w:r w:rsidRPr="006A4BCA">
        <w:rPr>
          <w:rFonts w:ascii="Times New Roman" w:hAnsi="Times New Roman" w:cs="Times New Roman"/>
          <w:bCs/>
          <w:sz w:val="24"/>
          <w:szCs w:val="24"/>
        </w:rPr>
        <w:t xml:space="preserve">Iniciativa </w:t>
      </w:r>
      <w:r w:rsidRPr="006A4BCA">
        <w:rPr>
          <w:rFonts w:ascii="Times New Roman" w:hAnsi="Times New Roman" w:cs="Times New Roman"/>
          <w:sz w:val="24"/>
          <w:szCs w:val="24"/>
        </w:rPr>
        <w:t xml:space="preserve">con Proyecto de Decreto por el que se declara el 10 de marzo de cada año como el </w:t>
      </w:r>
      <w:r w:rsidRPr="006A4BCA">
        <w:rPr>
          <w:rFonts w:ascii="Times New Roman" w:hAnsi="Times New Roman" w:cs="Times New Roman"/>
          <w:bCs/>
          <w:sz w:val="24"/>
          <w:szCs w:val="24"/>
        </w:rPr>
        <w:t xml:space="preserve">"Día de la Comparsa Mexiquense” </w:t>
      </w:r>
      <w:r w:rsidRPr="006A4BCA">
        <w:rPr>
          <w:rFonts w:ascii="Times New Roman" w:hAnsi="Times New Roman" w:cs="Times New Roman"/>
          <w:sz w:val="24"/>
          <w:szCs w:val="24"/>
        </w:rPr>
        <w:t xml:space="preserve">como </w:t>
      </w:r>
      <w:r w:rsidRPr="006A4BCA">
        <w:rPr>
          <w:rFonts w:ascii="Times New Roman" w:hAnsi="Times New Roman" w:cs="Times New Roman"/>
          <w:bCs/>
          <w:sz w:val="24"/>
          <w:szCs w:val="24"/>
        </w:rPr>
        <w:t>Patrimonio Cultural Inmaterial del Estado de México</w:t>
      </w:r>
      <w:r w:rsidRPr="006A4BCA">
        <w:rPr>
          <w:rFonts w:ascii="Times New Roman" w:hAnsi="Times New Roman" w:cs="Times New Roman"/>
          <w:sz w:val="24"/>
          <w:szCs w:val="24"/>
        </w:rPr>
        <w:t>, presentada por el Diputado Edgar Samuel Ríos Moreno, en nombre del Grupo Parlamentario del Partido morena.</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t xml:space="preserve">10.- </w:t>
      </w:r>
      <w:r w:rsidRPr="006A4BCA">
        <w:rPr>
          <w:rFonts w:ascii="Times New Roman" w:hAnsi="Times New Roman" w:cs="Times New Roman"/>
          <w:sz w:val="24"/>
          <w:szCs w:val="24"/>
        </w:rPr>
        <w:t xml:space="preserve">Lectura y acuerdo conducente de </w:t>
      </w:r>
      <w:r w:rsidRPr="006A4BCA">
        <w:rPr>
          <w:rFonts w:ascii="Times New Roman" w:hAnsi="Times New Roman" w:cs="Times New Roman"/>
          <w:bCs/>
          <w:sz w:val="24"/>
          <w:szCs w:val="24"/>
        </w:rPr>
        <w:t xml:space="preserve">Iniciativa </w:t>
      </w:r>
      <w:r w:rsidRPr="006A4BCA">
        <w:rPr>
          <w:rFonts w:ascii="Times New Roman" w:hAnsi="Times New Roman" w:cs="Times New Roman"/>
          <w:sz w:val="24"/>
          <w:szCs w:val="24"/>
        </w:rPr>
        <w:t xml:space="preserve">con Proyecto de Decreto, por el que se reforma el artículo 117, de la </w:t>
      </w:r>
      <w:r w:rsidRPr="006A4BCA">
        <w:rPr>
          <w:rFonts w:ascii="Times New Roman" w:hAnsi="Times New Roman" w:cs="Times New Roman"/>
          <w:bCs/>
          <w:sz w:val="24"/>
          <w:szCs w:val="24"/>
        </w:rPr>
        <w:t>Constitución Política del Estado Libre y Soberano de México</w:t>
      </w:r>
      <w:r w:rsidRPr="006A4BCA">
        <w:rPr>
          <w:rFonts w:ascii="Times New Roman" w:hAnsi="Times New Roman" w:cs="Times New Roman"/>
          <w:sz w:val="24"/>
          <w:szCs w:val="24"/>
        </w:rPr>
        <w:t>; en materia de paridad de género, presentada por la Diputada María José Pérez Domínguez, en nombre del Grupo Parlamentario del Partido morena.</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t xml:space="preserve">11.- </w:t>
      </w:r>
      <w:r w:rsidRPr="006A4BCA">
        <w:rPr>
          <w:rFonts w:ascii="Times New Roman" w:hAnsi="Times New Roman" w:cs="Times New Roman"/>
          <w:sz w:val="24"/>
          <w:szCs w:val="24"/>
        </w:rPr>
        <w:t>Lectura y acuerdo conducente de la</w:t>
      </w:r>
      <w:r w:rsidRPr="006A4BCA">
        <w:rPr>
          <w:rFonts w:ascii="Times New Roman" w:hAnsi="Times New Roman" w:cs="Times New Roman"/>
          <w:bCs/>
          <w:sz w:val="24"/>
          <w:szCs w:val="24"/>
        </w:rPr>
        <w:t xml:space="preserve">⁠ Iniciativa </w:t>
      </w:r>
      <w:r w:rsidRPr="006A4BCA">
        <w:rPr>
          <w:rFonts w:ascii="Times New Roman" w:hAnsi="Times New Roman" w:cs="Times New Roman"/>
          <w:sz w:val="24"/>
          <w:szCs w:val="24"/>
        </w:rPr>
        <w:t xml:space="preserve">con Proyecto de Decreto por el cual se expide la </w:t>
      </w:r>
      <w:r w:rsidRPr="006A4BCA">
        <w:rPr>
          <w:rFonts w:ascii="Times New Roman" w:hAnsi="Times New Roman" w:cs="Times New Roman"/>
          <w:bCs/>
          <w:sz w:val="24"/>
          <w:szCs w:val="24"/>
        </w:rPr>
        <w:t>Ley de Integridad Pública del Estado de México y Municipios</w:t>
      </w:r>
      <w:r w:rsidRPr="006A4BCA">
        <w:rPr>
          <w:rFonts w:ascii="Times New Roman" w:hAnsi="Times New Roman" w:cs="Times New Roman"/>
          <w:sz w:val="24"/>
          <w:szCs w:val="24"/>
        </w:rPr>
        <w:t xml:space="preserve">, presentada por el Diputado Gerardo Pliego Santana, en nombre del Grupo Parlamentario del Partido morena. </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t xml:space="preserve">12.- Lectura y acuerdo conducente de la Iniciativa </w:t>
      </w:r>
      <w:r w:rsidRPr="006A4BCA">
        <w:rPr>
          <w:rFonts w:ascii="Times New Roman" w:hAnsi="Times New Roman" w:cs="Times New Roman"/>
          <w:sz w:val="24"/>
          <w:szCs w:val="24"/>
        </w:rPr>
        <w:t xml:space="preserve">con Proyecto de Decreto por el que se reforma la fracción XV del artículo 2.8; fracciones IV, XVI y XX del artículo 2.9; artículo 2.140; 2.141; 2.143; fracción III y primer párrafo del artículo 2.144; artículo 2.150; 2.194; se adiciona una fracción XIII recorriéndose las subsecuentes del artículo 2.5; una fracción III al artículo 2.142; una fracción IV al artículo 2.145 y fracciones XVI y XVII recorriéndose las subsecuentes del artículo 2.149 y se modifica la denominación de Capítulo X del Título Quinto del Libro Segundo del </w:t>
      </w:r>
      <w:r w:rsidRPr="006A4BCA">
        <w:rPr>
          <w:rFonts w:ascii="Times New Roman" w:hAnsi="Times New Roman" w:cs="Times New Roman"/>
          <w:bCs/>
          <w:sz w:val="24"/>
          <w:szCs w:val="24"/>
        </w:rPr>
        <w:t>Código para la Biodiversidad del Estado de México</w:t>
      </w:r>
      <w:r w:rsidRPr="006A4BCA">
        <w:rPr>
          <w:rFonts w:ascii="Times New Roman" w:hAnsi="Times New Roman" w:cs="Times New Roman"/>
          <w:sz w:val="24"/>
          <w:szCs w:val="24"/>
        </w:rPr>
        <w:t xml:space="preserve">, en materia de contaminación odorífera, presentada por el Diputado Octavio Martínez Vargas, en nombre del Grupo Parlamentario del Partido morena. </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t xml:space="preserve">13.- </w:t>
      </w:r>
      <w:r w:rsidRPr="006A4BCA">
        <w:rPr>
          <w:rFonts w:ascii="Times New Roman" w:hAnsi="Times New Roman" w:cs="Times New Roman"/>
          <w:sz w:val="24"/>
          <w:szCs w:val="24"/>
        </w:rPr>
        <w:t xml:space="preserve">Lectura y acuerdo conducente de la </w:t>
      </w:r>
      <w:r w:rsidRPr="006A4BCA">
        <w:rPr>
          <w:rFonts w:ascii="Times New Roman" w:hAnsi="Times New Roman" w:cs="Times New Roman"/>
          <w:bCs/>
          <w:sz w:val="24"/>
          <w:szCs w:val="24"/>
        </w:rPr>
        <w:t xml:space="preserve">Iniciativa </w:t>
      </w:r>
      <w:r w:rsidRPr="006A4BCA">
        <w:rPr>
          <w:rFonts w:ascii="Times New Roman" w:hAnsi="Times New Roman" w:cs="Times New Roman"/>
          <w:sz w:val="24"/>
          <w:szCs w:val="24"/>
        </w:rPr>
        <w:t xml:space="preserve">con Proyecto de Decreto por la que se reforman diversas disposiciones del </w:t>
      </w:r>
      <w:r w:rsidRPr="006A4BCA">
        <w:rPr>
          <w:rFonts w:ascii="Times New Roman" w:hAnsi="Times New Roman" w:cs="Times New Roman"/>
          <w:bCs/>
          <w:sz w:val="24"/>
          <w:szCs w:val="24"/>
        </w:rPr>
        <w:t>Código Administrativo del Estado de México</w:t>
      </w:r>
      <w:r w:rsidRPr="006A4BCA">
        <w:rPr>
          <w:rFonts w:ascii="Times New Roman" w:hAnsi="Times New Roman" w:cs="Times New Roman"/>
          <w:sz w:val="24"/>
          <w:szCs w:val="24"/>
        </w:rPr>
        <w:t xml:space="preserve">, en materia de Áreas Verdes Urbanas, presentada por la Diputada Itzel Guadalupe Pérez Correa, en nombre del Grupo Parlamentario del Partido Verde Ecologista de México. </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t xml:space="preserve">14.- </w:t>
      </w:r>
      <w:r w:rsidRPr="006A4BCA">
        <w:rPr>
          <w:rFonts w:ascii="Times New Roman" w:hAnsi="Times New Roman" w:cs="Times New Roman"/>
          <w:sz w:val="24"/>
          <w:szCs w:val="24"/>
        </w:rPr>
        <w:t xml:space="preserve">Lectura y acuerdo conducente de la </w:t>
      </w:r>
      <w:r w:rsidRPr="006A4BCA">
        <w:rPr>
          <w:rFonts w:ascii="Times New Roman" w:hAnsi="Times New Roman" w:cs="Times New Roman"/>
          <w:bCs/>
          <w:sz w:val="24"/>
          <w:szCs w:val="24"/>
        </w:rPr>
        <w:t xml:space="preserve">Iniciativa </w:t>
      </w:r>
      <w:r w:rsidRPr="006A4BCA">
        <w:rPr>
          <w:rFonts w:ascii="Times New Roman" w:hAnsi="Times New Roman" w:cs="Times New Roman"/>
          <w:sz w:val="24"/>
          <w:szCs w:val="24"/>
        </w:rPr>
        <w:t xml:space="preserve">con Proyecto de Decreto por el que se expide la </w:t>
      </w:r>
      <w:r w:rsidRPr="006A4BCA">
        <w:rPr>
          <w:rFonts w:ascii="Times New Roman" w:hAnsi="Times New Roman" w:cs="Times New Roman"/>
          <w:bCs/>
          <w:sz w:val="24"/>
          <w:szCs w:val="24"/>
        </w:rPr>
        <w:t>Ley de Economía Circular del Estado de México y Municipios</w:t>
      </w:r>
      <w:r w:rsidRPr="006A4BCA">
        <w:rPr>
          <w:rFonts w:ascii="Times New Roman" w:hAnsi="Times New Roman" w:cs="Times New Roman"/>
          <w:sz w:val="24"/>
          <w:szCs w:val="24"/>
        </w:rPr>
        <w:t xml:space="preserve">, y se reforman diversas disposiciones al </w:t>
      </w:r>
      <w:r w:rsidRPr="006A4BCA">
        <w:rPr>
          <w:rFonts w:ascii="Times New Roman" w:hAnsi="Times New Roman" w:cs="Times New Roman"/>
          <w:bCs/>
          <w:sz w:val="24"/>
          <w:szCs w:val="24"/>
        </w:rPr>
        <w:t>Código para la Biodiversidad del Estado de México</w:t>
      </w:r>
      <w:r w:rsidRPr="006A4BCA">
        <w:rPr>
          <w:rFonts w:ascii="Times New Roman" w:hAnsi="Times New Roman" w:cs="Times New Roman"/>
          <w:sz w:val="24"/>
          <w:szCs w:val="24"/>
        </w:rPr>
        <w:t xml:space="preserve">, en materia de Economía Circular, presentada por el Diputado Carlos Alberto López Imm, en nombre del Grupo Parlamentario del Partido Verde Ecologista de México. </w:t>
      </w:r>
    </w:p>
    <w:p w:rsidR="00CC3E3A"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lastRenderedPageBreak/>
        <w:t xml:space="preserve">15.- </w:t>
      </w:r>
      <w:r w:rsidRPr="006A4BCA">
        <w:rPr>
          <w:rFonts w:ascii="Times New Roman" w:hAnsi="Times New Roman" w:cs="Times New Roman"/>
          <w:sz w:val="24"/>
          <w:szCs w:val="24"/>
        </w:rPr>
        <w:t xml:space="preserve">Lectura y acuerdo conducente de la </w:t>
      </w:r>
      <w:r w:rsidRPr="006A4BCA">
        <w:rPr>
          <w:rFonts w:ascii="Times New Roman" w:hAnsi="Times New Roman" w:cs="Times New Roman"/>
          <w:bCs/>
          <w:sz w:val="24"/>
          <w:szCs w:val="24"/>
        </w:rPr>
        <w:t xml:space="preserve">Iniciativa </w:t>
      </w:r>
      <w:r w:rsidRPr="006A4BCA">
        <w:rPr>
          <w:rFonts w:ascii="Times New Roman" w:hAnsi="Times New Roman" w:cs="Times New Roman"/>
          <w:sz w:val="24"/>
          <w:szCs w:val="24"/>
        </w:rPr>
        <w:t xml:space="preserve">con Proyecto de Decreto por el que se instituye al </w:t>
      </w:r>
      <w:r w:rsidRPr="006A4BCA">
        <w:rPr>
          <w:rFonts w:ascii="Times New Roman" w:hAnsi="Times New Roman" w:cs="Times New Roman"/>
          <w:bCs/>
          <w:sz w:val="24"/>
          <w:szCs w:val="24"/>
        </w:rPr>
        <w:t xml:space="preserve">Mérito Deportivo del Poder Legislativo del Estado de México </w:t>
      </w:r>
      <w:r w:rsidRPr="006A4BCA">
        <w:rPr>
          <w:rFonts w:ascii="Times New Roman" w:hAnsi="Times New Roman" w:cs="Times New Roman"/>
          <w:sz w:val="24"/>
          <w:szCs w:val="24"/>
        </w:rPr>
        <w:t xml:space="preserve">como un reconocimiento honorífico que otorgará la H. Legislatura, presentada por la Diputada Alejandra Figueroa Adame, en nombre del Grupo Parlamentario del Partido Verde Ecologista de México. </w:t>
      </w:r>
    </w:p>
    <w:p w:rsidR="00502260" w:rsidRPr="006A4BCA" w:rsidRDefault="00CC3E3A" w:rsidP="00C80DF4">
      <w:pPr>
        <w:pStyle w:val="Sinespaciado"/>
        <w:jc w:val="both"/>
        <w:rPr>
          <w:rFonts w:ascii="Times New Roman" w:hAnsi="Times New Roman" w:cs="Times New Roman"/>
          <w:sz w:val="24"/>
          <w:szCs w:val="24"/>
        </w:rPr>
      </w:pPr>
      <w:r w:rsidRPr="006A4BCA">
        <w:rPr>
          <w:rFonts w:ascii="Times New Roman" w:hAnsi="Times New Roman" w:cs="Times New Roman"/>
          <w:bCs/>
          <w:sz w:val="24"/>
          <w:szCs w:val="24"/>
        </w:rPr>
        <w:t xml:space="preserve">16.- Lectura y acuerdo conducente de la Iniciativa </w:t>
      </w:r>
      <w:r w:rsidRPr="006A4BCA">
        <w:rPr>
          <w:rFonts w:ascii="Times New Roman" w:hAnsi="Times New Roman" w:cs="Times New Roman"/>
          <w:sz w:val="24"/>
          <w:szCs w:val="24"/>
        </w:rPr>
        <w:t>con Proyecto de Decreto por el que se reforman la fracción XI, artículo 4.200 del Código Civil del Estado de México, en materia de Bienestar</w:t>
      </w:r>
      <w:r w:rsidR="004E6AA2" w:rsidRPr="006A4BCA">
        <w:rPr>
          <w:rFonts w:ascii="Times New Roman" w:hAnsi="Times New Roman" w:cs="Times New Roman"/>
          <w:sz w:val="24"/>
          <w:szCs w:val="24"/>
        </w:rPr>
        <w:t xml:space="preserve"> digital</w:t>
      </w:r>
      <w:r w:rsidR="00502260" w:rsidRPr="006A4BCA">
        <w:rPr>
          <w:rFonts w:ascii="Times New Roman" w:hAnsi="Times New Roman" w:cs="Times New Roman"/>
          <w:sz w:val="24"/>
          <w:szCs w:val="24"/>
        </w:rPr>
        <w:t xml:space="preserve"> de niñas y niños en su primera infancia desde la crianza responsable, presentada por la Diputada Yareli Anai Esparza Acevedo, en nombre del Grupo Parlamentario del Partido del Trabajo. </w:t>
      </w:r>
    </w:p>
    <w:p w:rsidR="00502260" w:rsidRPr="006A4BCA" w:rsidRDefault="00502260"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17.- Lectura y acuerdo conducente de la Iniciativa con Proyecto de Decreto por el que se reforman y adicionan diversas disposiciones de la Ley de Vivienda del Estado de México, para que los pueblos y comunidades indígenas y afromexicanas tengan acceso equitativo a la vivienda, presentada por el Diputado Eduardo Zarzosa Sánchez, en nombre del Grupo Parlamentario del Partido Revolucionario Institucional. </w:t>
      </w:r>
    </w:p>
    <w:p w:rsidR="00502260" w:rsidRPr="006A4BCA" w:rsidRDefault="00502260"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18.- Lectura y acuerdo conducente de la Iniciativa con Proyecto de Decreto por el que se adicionan diversas disposiciones del Código Administrativo del Estado de México, en materia salud digital, presentada por la Diputada Krishna Karina Romero Velázquez y el Diputado Pablo Fernández de Cevallos González, en nombre del Grupo Parlamentario del Partido Acción Nacional. </w:t>
      </w:r>
    </w:p>
    <w:p w:rsidR="00502260" w:rsidRPr="006A4BCA" w:rsidRDefault="00502260"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19.- Lectura y acuerdo conducente de la Iniciativa con Proyecto de Decreto por el que se reforma el artículo 59 Bis del Código Financiero del Estado de México y Municipios y se adiciona el numeral 3 al inciso B) de la fracción I del artículo 11 de la Ley de Ingresos del Estado de México, para el Ejercicio Fiscal 2026, en materia de estímulos fiscales a empresas que contraten a personas con discapacidad, presentada por el Diputado Anuar Roberto Azar Figueroa y el Diputado Pablo Fernández de Cevallos González, en nombre del Grupo Parlamentario del Partido Acción Nacional. 20.- Lectura y acuerdo conducente de la Iniciativa con Proyecto de Decreto que adiciona diversas disposiciones de la Ley de la Juventud del Estado de México, en materia de creación de Espacios Juveniles en los municipios, presentada por las y los integrantes del Grupo Parlamentario del Partido Movimiento Ciudadano.</w:t>
      </w:r>
    </w:p>
    <w:p w:rsidR="00502260" w:rsidRPr="006A4BCA" w:rsidRDefault="00502260"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21.- Lectura y acuerdo conducente de la Iniciativa con Proyecto de Decreto que reforma diversas disposiciones de la Ley de Seguridad del Estado de México, la Ley Orgánica Municipal del Estado de México y la Ley de la Comisión de Derechos Humanos del Estado de México, en materia de protocolos de actuación de servidores públicos y de las fuerzas de seguridad municipales, ante operativos municipales, marchas y protestas ciudadanas para garantizar la libertad de expresión y el respeto a los derechos humanos, presentada por las y los integrantes del Grupo Parlamentario del Partido Movimiento Ciudadano.</w:t>
      </w:r>
    </w:p>
    <w:p w:rsidR="00502260" w:rsidRPr="006A4BCA" w:rsidRDefault="00502260"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22.- Lectura y acuerdo conducente de</w:t>
      </w:r>
      <w:r w:rsidR="004F779D" w:rsidRPr="006A4BCA">
        <w:rPr>
          <w:rFonts w:ascii="Times New Roman" w:hAnsi="Times New Roman" w:cs="Times New Roman"/>
          <w:sz w:val="24"/>
          <w:szCs w:val="24"/>
        </w:rPr>
        <w:t xml:space="preserve"> la</w:t>
      </w:r>
      <w:r w:rsidRPr="006A4BCA">
        <w:rPr>
          <w:rFonts w:ascii="Times New Roman" w:hAnsi="Times New Roman" w:cs="Times New Roman"/>
          <w:sz w:val="24"/>
          <w:szCs w:val="24"/>
        </w:rPr>
        <w:t xml:space="preserve"> Iniciativa con </w:t>
      </w:r>
      <w:r w:rsidR="004F779D" w:rsidRPr="006A4BCA">
        <w:rPr>
          <w:rFonts w:ascii="Times New Roman" w:hAnsi="Times New Roman" w:cs="Times New Roman"/>
          <w:sz w:val="24"/>
          <w:szCs w:val="24"/>
        </w:rPr>
        <w:t xml:space="preserve">Proyecto </w:t>
      </w:r>
      <w:r w:rsidRPr="006A4BCA">
        <w:rPr>
          <w:rFonts w:ascii="Times New Roman" w:hAnsi="Times New Roman" w:cs="Times New Roman"/>
          <w:sz w:val="24"/>
          <w:szCs w:val="24"/>
        </w:rPr>
        <w:t xml:space="preserve">de </w:t>
      </w:r>
      <w:r w:rsidR="004F779D" w:rsidRPr="006A4BCA">
        <w:rPr>
          <w:rFonts w:ascii="Times New Roman" w:hAnsi="Times New Roman" w:cs="Times New Roman"/>
          <w:sz w:val="24"/>
          <w:szCs w:val="24"/>
        </w:rPr>
        <w:t xml:space="preserve">Decreto </w:t>
      </w:r>
      <w:r w:rsidRPr="006A4BCA">
        <w:rPr>
          <w:rFonts w:ascii="Times New Roman" w:hAnsi="Times New Roman" w:cs="Times New Roman"/>
          <w:sz w:val="24"/>
          <w:szCs w:val="24"/>
        </w:rPr>
        <w:t xml:space="preserve">por el que se adicionan y reforman diversos artículos del Código Electoral del Estado de México, en materia de fortalecimiento del Instituto Electoral del Estado de México, presentado por el Diputado Omar Ortega Álvarez y la Diputada Araceli Casasola Salazar, en nombre del Grupo Parlamentario del Partido de la Revolución Democrática. </w:t>
      </w:r>
    </w:p>
    <w:p w:rsidR="00502260" w:rsidRPr="006A4BCA" w:rsidRDefault="00502260"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23.- Lectura y acuerdo conducente del Punto de Acuerdo de urgente y obvia resolución, por el que se exhorta respetuosamente a la Secretaría de Educación, Ciencia, Tecnología e Innovación del Estado de México, a informar sobre el estado actual del Auditorio Metropolitano de Tecámac, a la Secretaría de Cultura y Turismo, así como a la Secretaria de Finanzas a considerar su donación y designación de recursos para un fin educativo, presentada por el Diputado Samuel Hernández Cruz, en nombre del Grupo Parlamentario del Partido morena.</w:t>
      </w:r>
    </w:p>
    <w:p w:rsidR="00502260" w:rsidRPr="006A4BCA" w:rsidRDefault="00502260" w:rsidP="00C80DF4">
      <w:pPr>
        <w:pStyle w:val="Sinespaciado"/>
        <w:jc w:val="both"/>
      </w:pPr>
      <w:r w:rsidRPr="006A4BCA">
        <w:rPr>
          <w:rFonts w:ascii="Times New Roman" w:hAnsi="Times New Roman" w:cs="Times New Roman"/>
          <w:sz w:val="24"/>
          <w:szCs w:val="24"/>
        </w:rPr>
        <w:t xml:space="preserve">24.- Lectura y acuerdo conducente del Punto de Acuerdo de urgente y obvia resolución, por el que se exhorta a la Encargada del Despacho de la Vocalía Ejecutiva del Consejo Estatal para el Desarrollo Integral de los Pueblos Indígenas del Estado de México y al Director General del </w:t>
      </w:r>
      <w:r w:rsidRPr="006A4BCA">
        <w:rPr>
          <w:rFonts w:ascii="Times New Roman" w:hAnsi="Times New Roman" w:cs="Times New Roman"/>
          <w:sz w:val="24"/>
          <w:szCs w:val="24"/>
        </w:rPr>
        <w:lastRenderedPageBreak/>
        <w:t>Instituto Nacional de los Pueblos Indígenas a realizar las acciones necesarias con el propósito de homologar el Listado de Localidades Indígenas del Estado de México con el Catálogo Nacional de Localidades Indígenas, presentado por la Diputada Leticia Mejía García, en nombre del Grupo Parlamentario del Partido Revolucionario Institucional</w:t>
      </w:r>
      <w:r w:rsidR="00D32641" w:rsidRPr="006A4BCA">
        <w:t>.</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25.- Comunicado de la Presidenta Municipal Constitucional de Amecameca, en relación con salida de trabajo al extranjero. (Nueva York, Estados Unidos, del 07 al 11 de marzo de 2026).</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26. Comunicado de la Presidenta Municipal Constitucional de San Mateo Atenco, en relación con salida de trabajo al extranjero. (Nueva York, Estados Unidos, del 10 al 15 de marzo de 2026).</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27. Clausura de la sesión.</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Vamos a rectificar.</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6. Lectura y acuerdo conducente de Iniciativa con Proyecto de Decreto por el que se adicionan las fracciones VIII y VIII Bis del artículo 27 de la Ley de Movilidad y Seguridad Vial del Estado de México y sus Municipios, y se adicionan las fracciones XVII Bis, XVII Ter, XVII Quarter del artículo 2.8 del Código para la Biodiversidad del Estado de México, para la instalación de máquinas recicladoras en estaciones del transporte público, presentada por la Diputada Arleth Stephanie Grimaldo Osorio, en nombre del Grupo Parlamentario del Partido morena. </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Pido a quienes estén de acuerdo en que la propuesta que ha dado cuenta a la Secretaría sea aprobada como orden del día, se sirva levantar la mano ¿En contra? ¿En abstención?</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SECRETARIO DIP. EDMUNDO LUIS VALDEÑA BASTIDA. La propuesta del orden del día ha sido aprobada por unanimidad de votos.</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Gracias Secretario.</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Sobre el punto número 1, informo a esta Legislatura que el acta de la sesión anterior fue publicada en la Gaceta Parlamentaria</w:t>
      </w:r>
      <w:r w:rsidR="004B0401" w:rsidRPr="006A4BCA">
        <w:rPr>
          <w:rFonts w:ascii="Times New Roman" w:hAnsi="Times New Roman" w:cs="Times New Roman"/>
          <w:sz w:val="24"/>
          <w:szCs w:val="24"/>
        </w:rPr>
        <w:t>;</w:t>
      </w:r>
      <w:r w:rsidRPr="006A4BCA">
        <w:rPr>
          <w:rFonts w:ascii="Times New Roman" w:hAnsi="Times New Roman" w:cs="Times New Roman"/>
          <w:sz w:val="24"/>
          <w:szCs w:val="24"/>
        </w:rPr>
        <w:t xml:space="preserve"> </w:t>
      </w:r>
      <w:r w:rsidR="004B0401" w:rsidRPr="006A4BCA">
        <w:rPr>
          <w:rFonts w:ascii="Times New Roman" w:hAnsi="Times New Roman" w:cs="Times New Roman"/>
          <w:sz w:val="24"/>
          <w:szCs w:val="24"/>
        </w:rPr>
        <w:t>p</w:t>
      </w:r>
      <w:r w:rsidRPr="006A4BCA">
        <w:rPr>
          <w:rFonts w:ascii="Times New Roman" w:hAnsi="Times New Roman" w:cs="Times New Roman"/>
          <w:sz w:val="24"/>
          <w:szCs w:val="24"/>
        </w:rPr>
        <w:t>or ello, les consulto si tienen observaciones y</w:t>
      </w:r>
      <w:r w:rsidR="004B0401" w:rsidRPr="006A4BCA">
        <w:rPr>
          <w:rFonts w:ascii="Times New Roman" w:hAnsi="Times New Roman" w:cs="Times New Roman"/>
          <w:sz w:val="24"/>
          <w:szCs w:val="24"/>
        </w:rPr>
        <w:t>/</w:t>
      </w:r>
      <w:r w:rsidRPr="006A4BCA">
        <w:rPr>
          <w:rFonts w:ascii="Times New Roman" w:hAnsi="Times New Roman" w:cs="Times New Roman"/>
          <w:sz w:val="24"/>
          <w:szCs w:val="24"/>
        </w:rPr>
        <w:t xml:space="preserve">o comentarios y en su caso, la Secretaría se servirá atenderlos al término de la sesión. </w:t>
      </w:r>
    </w:p>
    <w:p w:rsidR="00D36890" w:rsidRPr="006A4BCA" w:rsidRDefault="00D36890" w:rsidP="008A69BF">
      <w:pPr>
        <w:pStyle w:val="Sinespaciado"/>
        <w:jc w:val="both"/>
        <w:rPr>
          <w:rFonts w:ascii="Times New Roman" w:hAnsi="Times New Roman" w:cs="Times New Roman"/>
          <w:sz w:val="24"/>
          <w:szCs w:val="24"/>
        </w:rPr>
      </w:pPr>
    </w:p>
    <w:p w:rsidR="00D36890" w:rsidRPr="006A4BCA" w:rsidRDefault="00D36890" w:rsidP="008A69BF">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(Se inserta documento)</w:t>
      </w:r>
    </w:p>
    <w:p w:rsidR="00D36890" w:rsidRPr="006A4BCA" w:rsidRDefault="00D36890" w:rsidP="008A69BF">
      <w:pPr>
        <w:spacing w:after="0" w:line="240" w:lineRule="auto"/>
        <w:jc w:val="center"/>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ACTA DE LA SESIÓN DELIBERANTE DE LA “LXII” LEGISLATURA DEL  ESTADO DE MÉXICO, CELEBRADA EL DÍA CUATRO DE MARZO DE DOS MIL VEINTISÉIS.</w:t>
      </w:r>
    </w:p>
    <w:p w:rsidR="00B9225E" w:rsidRPr="006A4BCA" w:rsidRDefault="00B9225E" w:rsidP="008A69BF">
      <w:pPr>
        <w:spacing w:after="0" w:line="240" w:lineRule="auto"/>
        <w:jc w:val="center"/>
        <w:rPr>
          <w:rFonts w:ascii="Times New Roman" w:hAnsi="Times New Roman" w:cs="Times New Roman"/>
          <w:sz w:val="24"/>
          <w:szCs w:val="24"/>
        </w:rPr>
      </w:pPr>
    </w:p>
    <w:p w:rsidR="00B9225E" w:rsidRPr="006A4BCA" w:rsidRDefault="00B9225E" w:rsidP="008A69BF">
      <w:pPr>
        <w:spacing w:after="0" w:line="240" w:lineRule="auto"/>
        <w:jc w:val="center"/>
        <w:rPr>
          <w:rFonts w:ascii="Times New Roman" w:hAnsi="Times New Roman" w:cs="Times New Roman"/>
          <w:b/>
          <w:sz w:val="24"/>
          <w:szCs w:val="24"/>
        </w:rPr>
      </w:pPr>
      <w:r w:rsidRPr="006A4BCA">
        <w:rPr>
          <w:rFonts w:ascii="Times New Roman" w:eastAsia="Calibri" w:hAnsi="Times New Roman" w:cs="Times New Roman"/>
          <w:b/>
          <w:sz w:val="24"/>
          <w:szCs w:val="24"/>
        </w:rPr>
        <w:t>Presidenta Diputada Martha Azucena Camacho Reynoso.</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En el Salón de Sesiones del H. Poder Legislativo, en la ciudad de Toluca de Lerdo, capital del Estado de México, la Presidencia abre la sesión siendo las trece horas con cuarenta y un minutos del día cuatro de marzo de dos mil veintiséis, una vez que la Secretaría verificó la existencia del quórum, mediante el sistema electrónico.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Para hechos, hacen uso de la palabra las diputadas Ruth Salinas Reyes y María José Pérez Domínguez.</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B9225E" w:rsidRPr="006A4BCA" w:rsidRDefault="00B9225E" w:rsidP="008A69BF">
      <w:pPr>
        <w:spacing w:after="0" w:line="240" w:lineRule="auto"/>
        <w:jc w:val="both"/>
        <w:rPr>
          <w:rFonts w:ascii="Times New Roman" w:eastAsia="Calibri" w:hAnsi="Times New Roman" w:cs="Times New Roman"/>
          <w:sz w:val="24"/>
          <w:szCs w:val="24"/>
        </w:rPr>
      </w:pPr>
    </w:p>
    <w:p w:rsidR="00B9225E" w:rsidRPr="006A4BCA" w:rsidRDefault="00B9225E" w:rsidP="008A69BF">
      <w:pPr>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B9225E" w:rsidRPr="006A4BCA" w:rsidRDefault="00B9225E" w:rsidP="008A69BF">
      <w:pPr>
        <w:spacing w:after="0" w:line="240" w:lineRule="auto"/>
        <w:jc w:val="both"/>
        <w:rPr>
          <w:rFonts w:ascii="Times New Roman" w:hAnsi="Times New Roman" w:cs="Times New Roman"/>
          <w:sz w:val="24"/>
          <w:szCs w:val="24"/>
          <w:lang w:eastAsia="es-MX"/>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 xml:space="preserve">2.- El diputado Carlos Alberto López Imm hace uso de la palabra, para dar lectura al Dictamen de la Iniciativa de Decreto por el que se reforman diversas disposiciones del Código para la Biodiversidad del Estado de México y la Ley Orgánica Municipal del Estado de México, en materia de Prácticas Ambientalmente Responsables de Inhumación, presentada por la Titular del Ejecutivo Estatal, formulado por las Comisiones Unidas de Protección Ambiental y Cambio Climático y de Legislación y Administración Municipal. </w:t>
      </w: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3.- La diputada Zaira Cedillo Silva hace uso de la palabra, para dar lectura al Dictamen de la Iniciativa con Proyecto de Decreto por el que se reforma, adicionan y derogan diversas disposiciones de la Ley de Acceso de las Mujeres a una Vida Libre de Violencia del Estado de México, del Código Civil del Estado de México y del Código Penal del Estado de México, presentada por la propia diputada, en nombre del Grupo Parlamentario del Partido morena; de la Iniciativa de Decreto por la que se reforman y adicionan diversas disposiciones al Código Civil del Estado de México y del Código Penal del Estado de México, presentada por la Diputada Selina Trujillo Arizmendi, en nombre del Grupo Parlamentario del Partido morena; de la Iniciativa con Proyecto de Decreto por el que se reforma el artículo 4.224 añadiendo la fracción IX del Código Civil del Estado de México, presentada por el Grupo Parlamentario del Partido Verde Ecologista de México; de la Iniciativa con Proyecto de Decreto por el que se reforma el artículo 218 del Código Penal del Estado de México, presentada por el Grupo Parlamentario del Partido Verde Ecologista de México; de la Iniciativa con Proyecto de Decreto por el que se adiciona un inciso e) recorriéndose el subsecuente a la fracción I del artículo 4.397 del Código Civil del Estado de México, presentada por el Grupo Parlamentario del Partido Verde Ecologista de México; y de la Iniciativa con Proyecto de Decreto mediante la cual se reforman diversas disposiciones del Código de Procedimientos Civiles del Estado de México, del Código Penal del Estado de México y del Código Civil del Estado de México, presentada por el Grupo Parlamentario del Partido Acción Nacional y por el Grupo Parlamentario del Partido de la Revolución Democrática; todas relativas a la violencia vicaria, formulado por la Comisión Legislativa de Procuración y Administración de Justicia.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Para hablar sobre el dictamen, hacen uso de la palabra las diputadas Zaira Cedillo Silva, Ruth Salinas Reyes, el diputado Omar Ortega Álvarez y las diputadas Paola Jiménez Hernández, Miriam Silva Mata y Selina Trujillo Arizmendi.</w:t>
      </w: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eastAsia="Times New Roman" w:hAnsi="Times New Roman" w:cs="Times New Roman"/>
          <w:sz w:val="24"/>
          <w:szCs w:val="24"/>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w:t>
      </w:r>
      <w:r w:rsidRPr="006A4BCA">
        <w:rPr>
          <w:rFonts w:ascii="Times New Roman" w:eastAsia="Times New Roman" w:hAnsi="Times New Roman" w:cs="Times New Roman"/>
          <w:sz w:val="24"/>
          <w:szCs w:val="24"/>
          <w:lang w:eastAsia="es-MX"/>
        </w:rPr>
        <w:lastRenderedPageBreak/>
        <w:t>discusión particular, se tienen también por aprobados en lo particular y la Presidencia solicita a la Secretaría provea el cumplimiento de la resolución de la Legislatura para los efectos procedentes.</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r w:rsidRPr="006A4BCA">
        <w:rPr>
          <w:rFonts w:ascii="Times New Roman" w:hAnsi="Times New Roman" w:cs="Times New Roman"/>
          <w:sz w:val="24"/>
          <w:szCs w:val="24"/>
        </w:rPr>
        <w:t>4.- La diputada Nelly Brígida Rivera Sánchez hace uso de la palabra, para dar lectura al Dictamen de la Iniciativa con Proyecto de Decreto mediante el cual se declara el 13 de febrero de cada año como “Día del amor a nuestros Bosques Mexiquenses”, presentada por la propia diputada, en nombre del Grupo Parlamentario del Partido morena, formulado por las Comisiones Unidas de Gobernación y Puntos Constitucionales y de Protección Ambiental y Cambio Climático.</w:t>
      </w:r>
      <w:r w:rsidRPr="006A4BCA">
        <w:rPr>
          <w:rFonts w:ascii="Times New Roman" w:eastAsia="Times New Roman" w:hAnsi="Times New Roman" w:cs="Times New Roman"/>
          <w:sz w:val="24"/>
          <w:szCs w:val="24"/>
          <w:lang w:eastAsia="es-MX"/>
        </w:rPr>
        <w:t xml:space="preserve"> </w:t>
      </w: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5.- El diputado Javier Cruz Jaramillo hace uso de la palabra, para dar lectura al Dictamen de la Iniciativa con Proyecto de Decreto por el que se reforman y adicionan diversos artículos del Código Penal del Estado de México, presentada por el Diputado Israel Espíndola López, en nombre del Grupo Parlamentario del Partido morena; de la Iniciativa con Proyecto de Decreto, por el que se reforma el artículo 228, con adición de la fracción XI del Código Penal del Estado de México, presentada por el propio diputado, en nombre del Grupo Parlamentario del Partido morena; y de la Iniciativa con Proyecto de Decreto por la que se adiciona el Capítulo Cuarto denominado “Ecocidio” al Subtítulo Séptimo del Código Penal del Estado de México, presentada por el Grupo Parlamentario del Partido Verde Ecologista de México; todas en materia de delitos contra el medio ambiente, formulado por las Comisiones Unidas de Protección Ambiental y Cambio Climático, y de Procuración y Administración de Justicia.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Para hablar sobre el dictamen, hacen uso de la palabra el diputado Israel Espíndola López y la diputada Itzel Guadalupe Pérez Correa. </w:t>
      </w: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eastAsia="Times New Roman" w:hAnsi="Times New Roman" w:cs="Times New Roman"/>
          <w:sz w:val="24"/>
          <w:szCs w:val="24"/>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6.- La diputada Angélica Pérez Cerón hace uso de la palabra, para dar lectura a la Iniciativa de Decreto por el que se autoriza al H. Ayuntamiento de Tepotzotlán, Estado de México, a desincorporar del patrimonio del municipio un inmueble, donde se encuentra el “Hospital Comunitario de 18 Camas” para que sea donado a título gratuito, a favor del Instituto de Salud del Estado de México, presentada por la Titular del Ejecutivo Estatal. (De urgente y obvia resolución). Solicita la dispensa del trámite de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Para hablar sobre la Iniciativa, hace uso de la palabra la diputada Ruth Salinas Reyes.</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Es aprobada la dispensa del trámite de dictamen, por unanimidad de votos.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7.- El diputado Esteban Juárez Hernández hace uso de la palabra, para dar lectura a la Iniciativa con Proyecto de Decreto por el que se reforma la fracción XXIII y se adiciona la fracción XXIV al Artículo 2.16 del Código Administrativo del Estado de México, en materia de provisión gratuita de los servicios de salud tratándose de personas sin seguridad social, presentada por el propio diputado, en nombre del Grupo Parlamentario del Partido morena.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La Presidencia la remite a las Comisiones Legislativas de Gobernación y Puntos Constitucionales, de Salud, Asistencia y Bienestar Social, para su estudio y dictamen.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8.- El diputado Valentín Martínez Castillo hace uso de la palabra, para dar lectura a la Iniciativa con Proyecto de Decreto por el que se reforma la fracción V del artículo 115 de la Constitución Política de los Estados Unidos Mexicanos y la fracción XXII del artículo 19 de la Ley General de Protección Civil, en materia de atlas de riesgos en municipios, presentada por el propio diputado, en nombre del Grupo Parlamentario del Partido morena.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las Comisiones Legislativas de Gobernación y Puntos Constitucionales y de Gestión Integral de Riesgos y Protección Civil,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9.- La diputada Paola Jiménez Hernández hace uso de la palabra, para dar lectura a la Iniciativa con Proyecto de Decreto por el que se reforma la Ley de Educación del Estado Libre y Soberano del Estado de México, así como el Código para la Biodiversidad del Estado de México, en materia de servicio social y cuidado y bienestar animal, presentada por la propia diputada, en nombre del Grupo Parlamentario del Partido morena.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Arial" w:hAnsi="Times New Roman" w:cs="Times New Roman"/>
          <w:sz w:val="24"/>
          <w:szCs w:val="24"/>
        </w:rPr>
      </w:pPr>
      <w:r w:rsidRPr="006A4BCA">
        <w:rPr>
          <w:rFonts w:ascii="Times New Roman" w:hAnsi="Times New Roman" w:cs="Times New Roman"/>
          <w:sz w:val="24"/>
          <w:szCs w:val="24"/>
        </w:rPr>
        <w:t xml:space="preserve">La Presidencia la </w:t>
      </w:r>
      <w:r w:rsidRPr="006A4BCA">
        <w:rPr>
          <w:rFonts w:ascii="Times New Roman" w:eastAsia="Arial" w:hAnsi="Times New Roman" w:cs="Times New Roman"/>
          <w:sz w:val="24"/>
          <w:szCs w:val="24"/>
        </w:rPr>
        <w:t>remite a las Comisiones Legislativas de Educación, Cultura, Ciencia, Tecnología e Innovación y de Protección Ambiental y Cambio Climático,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10.- La diputada María del Carmen de la Rosa Mendoza hace uso de la palabra, para dar lectura a la Iniciativa con Proyecto de Decreto por el que se adicionan un segundo párrafo al artículo 2.3 del Código Administrativo del Estado de México, en materia de acciones y estrategias para prevenir y combatir el robo de medicamentos, presentada por la propia diputada, en nombre del Grupo Parlamentario del Partido morena.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La Presidencia la remite a las Comisiones Legislativas de Gobernación y Puntos Constitucionales y de Salud, Asistencia y Bienestar Social, para su estudio y dictamen.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 xml:space="preserve">11.- El diputado José Miguel Gutiérrez Morales hace uso de la palabra, para dar lectura a la Iniciativa con Proyecto de Decreto por el que se reforman las fracciones I Bis y XLV del artículo 31; el primer párrafo del artículo 32; la fracción XIII Bis 48; 85 Ter; 85 Quáter; las fracciones I y II del artículo 85 Quinquies; 85 Sexies; la fracción VI del artículo 96 Decies; la fracción V Bis del artículo 162 y la denominación del “Capítulo Octavo Comisión Municipal de Mejora Regulatoria”; y, se deroga el artículo 85 Bis de la Ley Orgánica Municipal del Estado de México, con el objeto de que los 125 Municipios Mexiquenses cumplan las obligaciones establecidas en la Ley Nacional para Eliminar Trámites Burocráticos, presentada por el propio diputado, en nombre del Grupo Parlamentario del Partido morena.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 Comisión Legislativa de Legislación y Administración Municipal,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12.- El diputado Octavio Martínez Vargas hace uso de la palabra, para dar lectura a la Iniciativa con Proyecto de Decreto por el que se reforman y derogan diversas disposiciones de la Ley Orgánica de la Administración Pública del Estado de México, y del Código Administrativo del Estado de México, para que se transfieran las funciones sustantivas del ISEM a la Secretaría de Salud, presentada por el propio diputado, en nombre del Grupo Parlamentario del Partido morena.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 Comisión Legislativa de Gobernación y Puntos Constitucionales y de Salud, Asistencia y Bienestar Social,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19.- La diputada Maricela Beltrán Sánchez hace uso de la palabra, para dar lectura a la Iniciativa con Proyecto de Decreto por la que se adiciona el artículo 33 Bis a la Ley de Prestación de Servicios para la Atención, Cuidado y Desarrollo Integral Infantil en el Estado de México; se adiciona un artículo 16 bis a la Ley de los Derechos de Niñas, Niños y Adolescentes del Estado de México; se adiciona una fracción VII al apartado B del artículo 16 de la Ley de Seguridad del Estado de México; se adiciona un inciso g) a la fracción II del Artículo 9 de la Ley para Prevenir, Combatir y Eliminar Actos de Discriminación en el Estado de México, se reforma la fracción VI del Artículo 7 de la Ley de Asistencia Social del Estado de México y Municipios, y se adiciona, al final de la fracción VI del Artículo 28 de la Ley de Víctimas del Estado de México, en materia de Protocolo de externamiento de niñas, niños y adolescentes de Centros Penitenciarios y de Reinserción Social en el Estado de México, presentada por las y los integrantes del Grupo Parlamentario del Partido Movimiento Ciudadano.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las Comisiones Legislativas de Seguridad Pública y Tránsito y Para la Protección de los Derechos de las Niñas, Niños, Adolescentes y Primera Infancia,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13.- La diputada Itzel Guadalupe Pérez Correa hace uso de la palabra, para dar lectura a la ⁠ Iniciativa con Proyecto de Decreto por el que se reforma el artículo 254 del Código Penal del Estado de México, con la finalidad de sancionar el abandono de personas adultas mayores en la entidad, presentada por la propia diputada, en nombre del Grupo Parlamentario del Partido Verde Ecologista de México.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las Comisiones Legislativas de Procuración y Administración de Justicia y Para la Atención de Grupos Vulnerables,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 xml:space="preserve">14.- La diputada Alejandra Figueroa Adame hace uso de la palabra, para dar lectura a la Iniciativa con Proyecto de Decreto por el que se reforman y adicionan diversas disposiciones de la Ley de Cultura Física y Deporte del Estado de México, en materia de fortalecer la protección de las juventudes en el ámbito deportivo, presentada por la propia diputada, en nombre del Grupo Parlamentario del Partido Verde Ecologista de México.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r w:rsidRPr="006A4BCA">
        <w:rPr>
          <w:rFonts w:ascii="Times New Roman" w:hAnsi="Times New Roman" w:cs="Times New Roman"/>
          <w:sz w:val="24"/>
          <w:szCs w:val="24"/>
        </w:rPr>
        <w:t xml:space="preserve">La Presidencia la </w:t>
      </w:r>
      <w:r w:rsidRPr="006A4BCA">
        <w:rPr>
          <w:rFonts w:ascii="Times New Roman" w:eastAsia="Times New Roman" w:hAnsi="Times New Roman" w:cs="Times New Roman"/>
          <w:sz w:val="24"/>
          <w:szCs w:val="24"/>
          <w:lang w:eastAsia="es-MX"/>
        </w:rPr>
        <w:t xml:space="preserve">remite a la Comisión Legislativa de la Juventud y el Deporte, para su estudio y dictamen.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15.- La diputada Miriam Silva Mata hace uso de la palabra, para dar lectura a la Iniciativa con Proyecto de Decreto por el que se reforman los segundos párrafos de los artículos 25 y 44, la fracción IV del artículo 74, la fracción I del artículo 83 y se adiciona una fracción XL, recorriéndose la subsecuente del artículo 5, un artículo 30 Quatér y una fracción XXIV al artículo 90 recorriéndose la subsecuente, todos de la Ley de los Derechos de Niñas, Niños y Adolescentes del Estado de México, se reforma el artículo 268 Ter y se adiciona el artículo 268 Ter 1 al Código Penal del Estado de México para prohibir la servidumbre infantil por endeudamiento en el Estado de México, presentada por la propia diputada, en nombre del Grupo Parlamentario del Partido Verde Ecologista de México.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las Comisiones Legislativas Para la Protección de los Derechos de las Niñas, Niños, Adolescentes y la Primera Infancia y de Procuración y Administración de Justicia,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16.- La diputada María Mercedes Colín Guadarrama hace uso de la palabra, para dar lectura a la Iniciativa con Proyecto de Decreto por el que se reforman y adicionan diversas disposiciones del Código Administrativo del Estado de México, para proteger a las familias mexiquenses que no cuenten con seguridad social frente a gastos catastróficos ocasionados por el cáncer infantil y las malformaciones cardíacas congénitas, presentada por la propia diputada, en nombre del Grupo Parlamentario del Partido Revolucionario Institucional.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las Comisiones Legislativas de Gobernación y Puntos Constitucionales y de Salud, Asistencia y Bienestar Social,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17.- La diputada Rocío Alexia Dávila Sánchez hace uso de la palabra, para dar lectura a la Iniciativa con Proyecto de Decreto por el que se adicionan diversas disposiciones de la Ley de Ingresos de los Municipios del Estado de México, del Código Financiero del Estado de México y sus Municipios, y la Ley del Agua para el Estado de México y Municipios, para impulsar el comercio mexiquense, presentada por la propia diputada y el diputado Pablo Fernández de Cevallos González, en nombre del Grupo Parlamentario del Partido Acción Nacional.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las Comisiones Legislativas de Planeación y Gasto Público, de Finanzas Públicas y de Recursos Hidráulicos,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18.- La diputada Joanna Alejandra Felipe Torres hace uso de la palabra, para dar lectura a la Iniciativa de Decreto por el que se adicionan diversas disposiciones al Código Civil del Estado de México, al Código Penal del Estado de México y a la Ley de Acceso de las Mujeres a una Vida Libre de Violencia del Estado de México, en materia subrogada con fines comerciales, presentada por la propia diputada y el diputado Pablo Fernández de Cevallos González, en nombre del Grupo Parlamentario del Partido Acción Nacional.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Presidencia la remite a la Comisión Legislativa de Procuración y Administración de Justicia, para su estudio y dictamen.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20.- La diputada Ruth Salinas Reyes hace uso de la palabra, para dar lectura a la Iniciativa con Proyecto de Decreto que Reforma Diversas Disposiciones de la Ley Orgánica de la Administración Pública del Estado de México y la Ley de Gobierno Digital del Estado de México y Municipios en materia de Creación de la Plataforma de Consulta Ciudadana de Medicinas y Vacunas, presentada por las y los integrantes del Grupo Parlamentario del Partido Movimiento Ciudadano.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La Presidencia la remite a las Comisiones Legislativas de Gobernación y Puntos Constitucionales y de Salud, Asistencia y Bienestar Social, para su estudio y dictamen.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21.- La diputada Araceli Casasola Salazar hace uso de la palabra, para dar lectura a la Iniciativa con Proyecto de Decreto por el que se reforman y adicionan diversas disposiciones del Código Civil y del Código de Procedimientos Civiles del Estado de México, en materia de alimentos, presentado por la propia diputada y el diputado Omar Ortega Álvarez, en nombre del Grupo Parlamentario del Partido de la Revolución Democrática.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La Presidencia la remite a la Comisión Legislativa de Procuración y Administración de Justicia, para su estudio y dictamen.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22.- Se retira del orden del día el Punto de Acuerdo de urgente y obvia resolución, mediante el cual se exhorta respetuosamente a la Secretaría del Campo del Gobierno del Estado de México, así como a la Secretaría de Agricultura y Desarrollo Rural del Gobierno Federal, para que refuercen de manera inmediata las brigadas veterinarias y los programas de control del gusano barrenador en los municipios del sur del Estado de México, presentada por el Diputado Javier Cruz Jaramillo, en nombre del Grupo Parlamentario del Partido morena.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23.- La diputada Sandra Patricia Santos Rodríguez hace uso de la palabra, para dar lectura al Punto de Acuerdo de urgente y obvia resolución, mediante el cual se exhorta a los 125 Ayuntamientos del Estado de México para que inicien trabajos coordinados con el Instituto de Investigación y Fomento de las Artesanías del Estado de México (IIFAEM), con el objetivo de sumar esfuerzos que permitan la instalación de tiendas CASART en sus demarcaciones, presentada por la propia diputada, en nombre del Grupo Parlamentario del Partido morena. Solicita la dispensa del trámite de dictamen.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Es aprobada la dispensa del trámite de dictamen, por unanimidad de votos.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 xml:space="preserve">24.- La Vicepresidencia, por instrucciones de la Presidencia, da lectura al Comunicado sobre turno de Comisiones Legislativas. </w:t>
      </w:r>
    </w:p>
    <w:p w:rsidR="00B9225E" w:rsidRPr="006A4BCA" w:rsidRDefault="00B9225E" w:rsidP="008A69BF">
      <w:pPr>
        <w:spacing w:after="0" w:line="240" w:lineRule="auto"/>
        <w:jc w:val="both"/>
        <w:rPr>
          <w:rFonts w:ascii="Times New Roman" w:hAnsi="Times New Roman" w:cs="Times New Roman"/>
          <w:sz w:val="24"/>
          <w:szCs w:val="24"/>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11"/>
        <w:gridCol w:w="2122"/>
        <w:gridCol w:w="1727"/>
        <w:gridCol w:w="1509"/>
        <w:gridCol w:w="1710"/>
        <w:gridCol w:w="1816"/>
      </w:tblGrid>
      <w:tr w:rsidR="00B9225E" w:rsidRPr="006A4BCA" w:rsidTr="002C66B3">
        <w:trPr>
          <w:tblHeader/>
        </w:trPr>
        <w:tc>
          <w:tcPr>
            <w:tcW w:w="234" w:type="pct"/>
            <w:tcBorders>
              <w:top w:val="single" w:sz="4" w:space="0" w:color="BFBFBF"/>
              <w:left w:val="single" w:sz="4" w:space="0" w:color="BFBFBF"/>
              <w:bottom w:val="single" w:sz="4" w:space="0" w:color="BFBFBF"/>
              <w:right w:val="single" w:sz="4" w:space="0" w:color="BFBFBF"/>
            </w:tcBorders>
            <w:hideMark/>
          </w:tcPr>
          <w:p w:rsidR="00B9225E" w:rsidRPr="006A4BCA" w:rsidRDefault="00B9225E" w:rsidP="008A69BF">
            <w:pPr>
              <w:spacing w:after="0" w:line="240" w:lineRule="auto"/>
              <w:jc w:val="center"/>
              <w:rPr>
                <w:rFonts w:ascii="Times New Roman" w:hAnsi="Times New Roman" w:cs="Times New Roman"/>
                <w:b/>
                <w:bCs/>
                <w:sz w:val="20"/>
                <w:szCs w:val="20"/>
              </w:rPr>
            </w:pPr>
            <w:r w:rsidRPr="006A4BCA">
              <w:rPr>
                <w:rFonts w:ascii="Times New Roman" w:hAnsi="Times New Roman" w:cs="Times New Roman"/>
                <w:b/>
                <w:bCs/>
                <w:sz w:val="20"/>
                <w:szCs w:val="20"/>
              </w:rPr>
              <w:t>No.</w:t>
            </w:r>
          </w:p>
        </w:tc>
        <w:tc>
          <w:tcPr>
            <w:tcW w:w="1515" w:type="pct"/>
            <w:tcBorders>
              <w:top w:val="single" w:sz="4" w:space="0" w:color="BFBFBF"/>
              <w:left w:val="single" w:sz="4" w:space="0" w:color="BFBFBF"/>
              <w:bottom w:val="single" w:sz="4" w:space="0" w:color="BFBFBF"/>
              <w:right w:val="single" w:sz="4" w:space="0" w:color="BFBFBF"/>
            </w:tcBorders>
            <w:hideMark/>
          </w:tcPr>
          <w:p w:rsidR="00B9225E" w:rsidRPr="006A4BCA" w:rsidRDefault="00B9225E" w:rsidP="008A69BF">
            <w:pPr>
              <w:spacing w:after="0" w:line="240" w:lineRule="auto"/>
              <w:jc w:val="center"/>
              <w:rPr>
                <w:rFonts w:ascii="Times New Roman" w:hAnsi="Times New Roman" w:cs="Times New Roman"/>
                <w:b/>
                <w:bCs/>
                <w:sz w:val="20"/>
                <w:szCs w:val="20"/>
                <w:lang w:eastAsia="es-ES"/>
              </w:rPr>
            </w:pPr>
            <w:r w:rsidRPr="006A4BCA">
              <w:rPr>
                <w:rFonts w:ascii="Times New Roman" w:hAnsi="Times New Roman" w:cs="Times New Roman"/>
                <w:b/>
                <w:bCs/>
                <w:sz w:val="20"/>
                <w:szCs w:val="20"/>
              </w:rPr>
              <w:t>Iniciativa</w:t>
            </w:r>
          </w:p>
        </w:tc>
        <w:tc>
          <w:tcPr>
            <w:tcW w:w="809" w:type="pct"/>
            <w:tcBorders>
              <w:top w:val="single" w:sz="4" w:space="0" w:color="BFBFBF"/>
              <w:left w:val="single" w:sz="4" w:space="0" w:color="BFBFBF"/>
              <w:bottom w:val="single" w:sz="4" w:space="0" w:color="BFBFBF"/>
              <w:right w:val="single" w:sz="4" w:space="0" w:color="BFBFBF"/>
            </w:tcBorders>
            <w:hideMark/>
          </w:tcPr>
          <w:p w:rsidR="00B9225E" w:rsidRPr="006A4BCA" w:rsidRDefault="00B9225E" w:rsidP="008A69BF">
            <w:pPr>
              <w:spacing w:after="0" w:line="240" w:lineRule="auto"/>
              <w:jc w:val="center"/>
              <w:rPr>
                <w:rFonts w:ascii="Times New Roman" w:hAnsi="Times New Roman" w:cs="Times New Roman"/>
                <w:b/>
                <w:bCs/>
                <w:sz w:val="20"/>
                <w:szCs w:val="20"/>
              </w:rPr>
            </w:pPr>
            <w:r w:rsidRPr="006A4BCA">
              <w:rPr>
                <w:rFonts w:ascii="Times New Roman" w:hAnsi="Times New Roman" w:cs="Times New Roman"/>
                <w:b/>
                <w:bCs/>
                <w:sz w:val="20"/>
                <w:szCs w:val="20"/>
              </w:rPr>
              <w:t>Resumen</w:t>
            </w:r>
          </w:p>
        </w:tc>
        <w:tc>
          <w:tcPr>
            <w:tcW w:w="677" w:type="pct"/>
            <w:tcBorders>
              <w:top w:val="single" w:sz="4" w:space="0" w:color="BFBFBF"/>
              <w:left w:val="single" w:sz="4" w:space="0" w:color="BFBFBF"/>
              <w:bottom w:val="single" w:sz="4" w:space="0" w:color="BFBFBF"/>
              <w:right w:val="single" w:sz="4" w:space="0" w:color="BFBFBF"/>
            </w:tcBorders>
            <w:hideMark/>
          </w:tcPr>
          <w:p w:rsidR="00B9225E" w:rsidRPr="006A4BCA" w:rsidRDefault="00B9225E" w:rsidP="008A69BF">
            <w:pPr>
              <w:spacing w:after="0" w:line="240" w:lineRule="auto"/>
              <w:jc w:val="center"/>
              <w:rPr>
                <w:rFonts w:ascii="Times New Roman" w:hAnsi="Times New Roman" w:cs="Times New Roman"/>
                <w:b/>
                <w:sz w:val="24"/>
                <w:szCs w:val="24"/>
              </w:rPr>
            </w:pPr>
            <w:r w:rsidRPr="006A4BCA">
              <w:rPr>
                <w:rFonts w:ascii="Times New Roman" w:hAnsi="Times New Roman" w:cs="Times New Roman"/>
                <w:b/>
                <w:bCs/>
                <w:sz w:val="24"/>
                <w:szCs w:val="24"/>
              </w:rPr>
              <w:t>Presentante</w:t>
            </w:r>
          </w:p>
        </w:tc>
        <w:tc>
          <w:tcPr>
            <w:tcW w:w="1085" w:type="pct"/>
            <w:tcBorders>
              <w:top w:val="single" w:sz="4" w:space="0" w:color="BFBFBF"/>
              <w:left w:val="single" w:sz="4" w:space="0" w:color="BFBFBF"/>
              <w:bottom w:val="single" w:sz="4" w:space="0" w:color="BFBFBF"/>
              <w:right w:val="single" w:sz="4" w:space="0" w:color="BFBFBF"/>
            </w:tcBorders>
            <w:hideMark/>
          </w:tcPr>
          <w:p w:rsidR="00B9225E" w:rsidRPr="006A4BCA" w:rsidRDefault="00B9225E" w:rsidP="008A69BF">
            <w:pPr>
              <w:spacing w:after="0" w:line="240" w:lineRule="auto"/>
              <w:jc w:val="center"/>
              <w:rPr>
                <w:rFonts w:ascii="Times New Roman" w:hAnsi="Times New Roman" w:cs="Times New Roman"/>
                <w:b/>
                <w:bCs/>
                <w:sz w:val="24"/>
                <w:szCs w:val="24"/>
              </w:rPr>
            </w:pPr>
            <w:r w:rsidRPr="006A4BCA">
              <w:rPr>
                <w:rFonts w:ascii="Times New Roman" w:hAnsi="Times New Roman" w:cs="Times New Roman"/>
                <w:b/>
                <w:bCs/>
                <w:sz w:val="24"/>
                <w:szCs w:val="24"/>
              </w:rPr>
              <w:t>Turno Original</w:t>
            </w:r>
          </w:p>
        </w:tc>
        <w:tc>
          <w:tcPr>
            <w:tcW w:w="681" w:type="pct"/>
            <w:tcBorders>
              <w:top w:val="single" w:sz="4" w:space="0" w:color="BFBFBF"/>
              <w:left w:val="single" w:sz="4" w:space="0" w:color="BFBFBF"/>
              <w:bottom w:val="single" w:sz="4" w:space="0" w:color="BFBFBF"/>
              <w:right w:val="single" w:sz="4" w:space="0" w:color="BFBFBF"/>
            </w:tcBorders>
            <w:hideMark/>
          </w:tcPr>
          <w:p w:rsidR="00B9225E" w:rsidRPr="006A4BCA" w:rsidRDefault="00B9225E" w:rsidP="008A69BF">
            <w:pPr>
              <w:spacing w:after="0" w:line="240" w:lineRule="auto"/>
              <w:jc w:val="center"/>
              <w:rPr>
                <w:rFonts w:ascii="Times New Roman" w:hAnsi="Times New Roman" w:cs="Times New Roman"/>
                <w:b/>
                <w:bCs/>
                <w:sz w:val="24"/>
                <w:szCs w:val="24"/>
              </w:rPr>
            </w:pPr>
            <w:r w:rsidRPr="006A4BCA">
              <w:rPr>
                <w:rFonts w:ascii="Times New Roman" w:hAnsi="Times New Roman" w:cs="Times New Roman"/>
                <w:b/>
                <w:bCs/>
                <w:sz w:val="24"/>
                <w:szCs w:val="24"/>
              </w:rPr>
              <w:t>Turno Final</w:t>
            </w:r>
          </w:p>
        </w:tc>
      </w:tr>
      <w:tr w:rsidR="00B9225E" w:rsidRPr="006A4BCA" w:rsidTr="002C66B3">
        <w:trPr>
          <w:trHeight w:val="1666"/>
        </w:trPr>
        <w:tc>
          <w:tcPr>
            <w:tcW w:w="234"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B9225E" w:rsidRPr="006A4BCA" w:rsidRDefault="00B9225E" w:rsidP="008A69BF">
            <w:pPr>
              <w:spacing w:after="0" w:line="240" w:lineRule="auto"/>
              <w:jc w:val="center"/>
              <w:rPr>
                <w:rFonts w:ascii="Times New Roman" w:hAnsi="Times New Roman" w:cs="Times New Roman"/>
                <w:b/>
                <w:bCs/>
                <w:sz w:val="20"/>
                <w:szCs w:val="20"/>
              </w:rPr>
            </w:pPr>
            <w:r w:rsidRPr="006A4BCA">
              <w:rPr>
                <w:rFonts w:ascii="Times New Roman" w:hAnsi="Times New Roman" w:cs="Times New Roman"/>
                <w:b/>
                <w:bCs/>
                <w:sz w:val="20"/>
                <w:szCs w:val="20"/>
              </w:rPr>
              <w:t>1</w:t>
            </w:r>
          </w:p>
        </w:tc>
        <w:tc>
          <w:tcPr>
            <w:tcW w:w="1515" w:type="pct"/>
            <w:tcBorders>
              <w:top w:val="single" w:sz="4" w:space="0" w:color="BFBFBF"/>
              <w:left w:val="single" w:sz="4" w:space="0" w:color="BFBFBF"/>
              <w:bottom w:val="single" w:sz="4" w:space="0" w:color="BFBFBF"/>
              <w:right w:val="single" w:sz="4" w:space="0" w:color="BFBFBF"/>
            </w:tcBorders>
            <w:shd w:val="clear" w:color="auto" w:fill="F2F2F2"/>
            <w:hideMark/>
          </w:tcPr>
          <w:p w:rsidR="00B9225E" w:rsidRPr="006A4BCA" w:rsidRDefault="00B9225E" w:rsidP="008A69BF">
            <w:pPr>
              <w:spacing w:after="0" w:line="240" w:lineRule="auto"/>
              <w:jc w:val="both"/>
              <w:rPr>
                <w:rFonts w:ascii="Times New Roman" w:hAnsi="Times New Roman" w:cs="Times New Roman"/>
                <w:bCs/>
                <w:sz w:val="20"/>
                <w:szCs w:val="20"/>
              </w:rPr>
            </w:pPr>
            <w:r w:rsidRPr="006A4BCA">
              <w:rPr>
                <w:rFonts w:ascii="Times New Roman" w:hAnsi="Times New Roman" w:cs="Times New Roman"/>
                <w:b/>
                <w:bCs/>
                <w:sz w:val="20"/>
                <w:szCs w:val="20"/>
              </w:rPr>
              <w:t>Iniciativa</w:t>
            </w:r>
            <w:r w:rsidRPr="006A4BCA">
              <w:rPr>
                <w:rFonts w:ascii="Times New Roman" w:hAnsi="Times New Roman" w:cs="Times New Roman"/>
                <w:bCs/>
                <w:sz w:val="20"/>
                <w:szCs w:val="20"/>
              </w:rPr>
              <w:t xml:space="preserve"> con Proyecto de Decreto por el que se agrega la fracción X, recorriéndose las subsecuentes, del artículo 96 Quaterdecie de la </w:t>
            </w:r>
            <w:r w:rsidRPr="006A4BCA">
              <w:rPr>
                <w:rFonts w:ascii="Times New Roman" w:hAnsi="Times New Roman" w:cs="Times New Roman"/>
                <w:b/>
                <w:bCs/>
                <w:sz w:val="20"/>
                <w:szCs w:val="20"/>
              </w:rPr>
              <w:t>Ley Orgánica Municipal del Estado de México</w:t>
            </w:r>
            <w:r w:rsidRPr="006A4BCA">
              <w:rPr>
                <w:rFonts w:ascii="Times New Roman" w:hAnsi="Times New Roman" w:cs="Times New Roman"/>
                <w:bCs/>
                <w:sz w:val="20"/>
                <w:szCs w:val="20"/>
              </w:rPr>
              <w:t xml:space="preserve"> y se adiciona la fracción VIII, recorriéndose la subsecuente, del artículo 10 de la </w:t>
            </w:r>
            <w:r w:rsidRPr="006A4BCA">
              <w:rPr>
                <w:rFonts w:ascii="Times New Roman" w:hAnsi="Times New Roman" w:cs="Times New Roman"/>
                <w:b/>
                <w:bCs/>
                <w:sz w:val="20"/>
                <w:szCs w:val="20"/>
              </w:rPr>
              <w:t>Ley de Igualdad de Trato y Oportunidades entre Mujeres y Hombres del Estado de México</w:t>
            </w:r>
            <w:r w:rsidRPr="006A4BCA">
              <w:rPr>
                <w:rFonts w:ascii="Times New Roman" w:hAnsi="Times New Roman" w:cs="Times New Roman"/>
                <w:bCs/>
                <w:sz w:val="20"/>
                <w:szCs w:val="20"/>
              </w:rPr>
              <w:t>.</w:t>
            </w:r>
          </w:p>
          <w:p w:rsidR="00B9225E" w:rsidRPr="006A4BCA" w:rsidRDefault="00B9225E" w:rsidP="008A69BF">
            <w:pPr>
              <w:spacing w:after="0" w:line="240" w:lineRule="auto"/>
              <w:jc w:val="both"/>
              <w:rPr>
                <w:rFonts w:ascii="Times New Roman" w:hAnsi="Times New Roman" w:cs="Times New Roman"/>
                <w:bCs/>
                <w:sz w:val="20"/>
                <w:szCs w:val="20"/>
              </w:rPr>
            </w:pPr>
          </w:p>
        </w:tc>
        <w:tc>
          <w:tcPr>
            <w:tcW w:w="809"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B9225E" w:rsidRPr="006A4BCA" w:rsidRDefault="00B9225E" w:rsidP="008A69BF">
            <w:pPr>
              <w:spacing w:after="0" w:line="240" w:lineRule="auto"/>
              <w:jc w:val="both"/>
              <w:rPr>
                <w:rFonts w:ascii="Times New Roman" w:hAnsi="Times New Roman" w:cs="Times New Roman"/>
                <w:sz w:val="20"/>
                <w:szCs w:val="20"/>
              </w:rPr>
            </w:pPr>
            <w:r w:rsidRPr="006A4BCA">
              <w:rPr>
                <w:rFonts w:ascii="Times New Roman" w:hAnsi="Times New Roman" w:cs="Times New Roman"/>
                <w:sz w:val="20"/>
                <w:szCs w:val="20"/>
              </w:rPr>
              <w:t>En materia de corresponsabilidad en el ámbito familiar.</w:t>
            </w:r>
          </w:p>
        </w:tc>
        <w:tc>
          <w:tcPr>
            <w:tcW w:w="677"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B9225E" w:rsidRPr="006A4BCA" w:rsidRDefault="00B9225E" w:rsidP="008A69BF">
            <w:pPr>
              <w:spacing w:after="0" w:line="240" w:lineRule="auto"/>
              <w:jc w:val="center"/>
              <w:rPr>
                <w:rFonts w:ascii="Times New Roman" w:hAnsi="Times New Roman" w:cs="Times New Roman"/>
                <w:bCs/>
                <w:sz w:val="24"/>
                <w:szCs w:val="24"/>
              </w:rPr>
            </w:pPr>
            <w:r w:rsidRPr="006A4BCA">
              <w:rPr>
                <w:rFonts w:ascii="Times New Roman" w:hAnsi="Times New Roman" w:cs="Times New Roman"/>
                <w:bCs/>
                <w:sz w:val="24"/>
                <w:szCs w:val="24"/>
              </w:rPr>
              <w:t>GPPRD</w:t>
            </w:r>
          </w:p>
        </w:tc>
        <w:tc>
          <w:tcPr>
            <w:tcW w:w="1085" w:type="pct"/>
            <w:tcBorders>
              <w:top w:val="single" w:sz="4" w:space="0" w:color="BFBFBF"/>
              <w:left w:val="single" w:sz="4" w:space="0" w:color="BFBFBF"/>
              <w:bottom w:val="single" w:sz="4" w:space="0" w:color="BFBFBF"/>
              <w:right w:val="single" w:sz="4" w:space="0" w:color="BFBFBF"/>
            </w:tcBorders>
            <w:shd w:val="clear" w:color="auto" w:fill="F2F2F2"/>
            <w:vAlign w:val="center"/>
          </w:tcPr>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Legislación y Administración Municipal</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Para la Igualdad de Género</w:t>
            </w:r>
          </w:p>
        </w:tc>
        <w:tc>
          <w:tcPr>
            <w:tcW w:w="681" w:type="pct"/>
            <w:tcBorders>
              <w:top w:val="single" w:sz="4" w:space="0" w:color="BFBFBF"/>
              <w:left w:val="single" w:sz="4" w:space="0" w:color="BFBFBF"/>
              <w:bottom w:val="single" w:sz="4" w:space="0" w:color="BFBFBF"/>
              <w:right w:val="single" w:sz="4" w:space="0" w:color="BFBFBF"/>
            </w:tcBorders>
            <w:shd w:val="clear" w:color="auto" w:fill="F2F2F2"/>
            <w:vAlign w:val="center"/>
          </w:tcPr>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Procuración y Administración de Justicia</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Para la Igualdad de Género</w:t>
            </w:r>
          </w:p>
        </w:tc>
      </w:tr>
      <w:tr w:rsidR="00B9225E" w:rsidRPr="006A4BCA" w:rsidTr="002C66B3">
        <w:trPr>
          <w:trHeight w:val="1666"/>
        </w:trPr>
        <w:tc>
          <w:tcPr>
            <w:tcW w:w="234" w:type="pct"/>
            <w:tcBorders>
              <w:top w:val="single" w:sz="4" w:space="0" w:color="BFBFBF"/>
              <w:left w:val="single" w:sz="4" w:space="0" w:color="BFBFBF"/>
              <w:bottom w:val="single" w:sz="4" w:space="0" w:color="BFBFBF"/>
              <w:right w:val="single" w:sz="4" w:space="0" w:color="BFBFBF"/>
            </w:tcBorders>
            <w:vAlign w:val="center"/>
            <w:hideMark/>
          </w:tcPr>
          <w:p w:rsidR="00B9225E" w:rsidRPr="006A4BCA" w:rsidRDefault="00B9225E" w:rsidP="008A69BF">
            <w:pPr>
              <w:spacing w:after="0" w:line="240" w:lineRule="auto"/>
              <w:jc w:val="center"/>
              <w:rPr>
                <w:rFonts w:ascii="Times New Roman" w:hAnsi="Times New Roman" w:cs="Times New Roman"/>
                <w:b/>
                <w:bCs/>
                <w:sz w:val="20"/>
                <w:szCs w:val="20"/>
              </w:rPr>
            </w:pPr>
            <w:r w:rsidRPr="006A4BCA">
              <w:rPr>
                <w:rFonts w:ascii="Times New Roman" w:hAnsi="Times New Roman" w:cs="Times New Roman"/>
                <w:b/>
                <w:bCs/>
                <w:sz w:val="20"/>
                <w:szCs w:val="20"/>
              </w:rPr>
              <w:t>2</w:t>
            </w:r>
          </w:p>
        </w:tc>
        <w:tc>
          <w:tcPr>
            <w:tcW w:w="1515" w:type="pct"/>
            <w:tcBorders>
              <w:top w:val="single" w:sz="4" w:space="0" w:color="BFBFBF"/>
              <w:left w:val="single" w:sz="4" w:space="0" w:color="BFBFBF"/>
              <w:bottom w:val="single" w:sz="4" w:space="0" w:color="BFBFBF"/>
              <w:right w:val="single" w:sz="4" w:space="0" w:color="BFBFBF"/>
            </w:tcBorders>
            <w:hideMark/>
          </w:tcPr>
          <w:p w:rsidR="00B9225E" w:rsidRPr="006A4BCA" w:rsidRDefault="00B9225E" w:rsidP="008A69BF">
            <w:pPr>
              <w:spacing w:after="0" w:line="240" w:lineRule="auto"/>
              <w:jc w:val="both"/>
              <w:rPr>
                <w:rFonts w:ascii="Times New Roman" w:hAnsi="Times New Roman" w:cs="Times New Roman"/>
                <w:b/>
                <w:bCs/>
                <w:sz w:val="20"/>
                <w:szCs w:val="20"/>
              </w:rPr>
            </w:pPr>
            <w:r w:rsidRPr="006A4BCA">
              <w:rPr>
                <w:rFonts w:ascii="Times New Roman" w:hAnsi="Times New Roman" w:cs="Times New Roman"/>
                <w:b/>
                <w:bCs/>
                <w:sz w:val="20"/>
                <w:szCs w:val="20"/>
              </w:rPr>
              <w:t xml:space="preserve">Iniciativa </w:t>
            </w:r>
            <w:r w:rsidRPr="006A4BCA">
              <w:rPr>
                <w:rFonts w:ascii="Times New Roman" w:hAnsi="Times New Roman" w:cs="Times New Roman"/>
                <w:bCs/>
                <w:sz w:val="20"/>
                <w:szCs w:val="20"/>
              </w:rPr>
              <w:t>con Proyecto de Decreto por el que se adicionan la fracción XIV al artículo 2.21 y la fracción VII Bis al artículo 2.22, ambos del Capítulo Segundo, Título Tercero, Libro Segundo, del</w:t>
            </w:r>
            <w:r w:rsidRPr="006A4BCA">
              <w:rPr>
                <w:rFonts w:ascii="Times New Roman" w:hAnsi="Times New Roman" w:cs="Times New Roman"/>
                <w:b/>
                <w:bCs/>
                <w:sz w:val="20"/>
                <w:szCs w:val="20"/>
              </w:rPr>
              <w:t xml:space="preserve"> Código Administrativo del Estado de México.</w:t>
            </w:r>
          </w:p>
        </w:tc>
        <w:tc>
          <w:tcPr>
            <w:tcW w:w="809" w:type="pct"/>
            <w:tcBorders>
              <w:top w:val="single" w:sz="4" w:space="0" w:color="BFBFBF"/>
              <w:left w:val="single" w:sz="4" w:space="0" w:color="BFBFBF"/>
              <w:bottom w:val="single" w:sz="4" w:space="0" w:color="BFBFBF"/>
              <w:right w:val="single" w:sz="4" w:space="0" w:color="BFBFBF"/>
            </w:tcBorders>
            <w:vAlign w:val="center"/>
            <w:hideMark/>
          </w:tcPr>
          <w:p w:rsidR="00B9225E" w:rsidRPr="006A4BCA" w:rsidRDefault="00B9225E" w:rsidP="008A69BF">
            <w:pPr>
              <w:spacing w:after="0" w:line="240" w:lineRule="auto"/>
              <w:jc w:val="both"/>
              <w:rPr>
                <w:rFonts w:ascii="Times New Roman" w:hAnsi="Times New Roman" w:cs="Times New Roman"/>
                <w:sz w:val="20"/>
                <w:szCs w:val="20"/>
              </w:rPr>
            </w:pPr>
            <w:r w:rsidRPr="006A4BCA">
              <w:rPr>
                <w:rFonts w:ascii="Times New Roman" w:hAnsi="Times New Roman" w:cs="Times New Roman"/>
                <w:sz w:val="20"/>
                <w:szCs w:val="20"/>
              </w:rPr>
              <w:t>En materia de incorporación de las Tecnologías de la Información y de las Comunicaciones (TICs) en los servicios de salud.</w:t>
            </w:r>
          </w:p>
        </w:tc>
        <w:tc>
          <w:tcPr>
            <w:tcW w:w="677" w:type="pct"/>
            <w:tcBorders>
              <w:top w:val="single" w:sz="4" w:space="0" w:color="BFBFBF"/>
              <w:left w:val="single" w:sz="4" w:space="0" w:color="BFBFBF"/>
              <w:bottom w:val="single" w:sz="4" w:space="0" w:color="BFBFBF"/>
              <w:right w:val="single" w:sz="4" w:space="0" w:color="BFBFBF"/>
            </w:tcBorders>
            <w:vAlign w:val="center"/>
          </w:tcPr>
          <w:p w:rsidR="00B9225E" w:rsidRPr="006A4BCA" w:rsidRDefault="00B9225E" w:rsidP="008A69BF">
            <w:pPr>
              <w:spacing w:after="0" w:line="240" w:lineRule="auto"/>
              <w:jc w:val="center"/>
              <w:rPr>
                <w:rFonts w:ascii="Times New Roman" w:hAnsi="Times New Roman" w:cs="Times New Roman"/>
                <w:bCs/>
                <w:sz w:val="24"/>
                <w:szCs w:val="24"/>
              </w:rPr>
            </w:pPr>
            <w:r w:rsidRPr="006A4BCA">
              <w:rPr>
                <w:rFonts w:ascii="Times New Roman" w:hAnsi="Times New Roman" w:cs="Times New Roman"/>
                <w:bCs/>
                <w:sz w:val="24"/>
                <w:szCs w:val="24"/>
              </w:rPr>
              <w:t>Dip. Krishna Karina Romero Velázquez</w:t>
            </w:r>
          </w:p>
          <w:p w:rsidR="00B9225E" w:rsidRPr="006A4BCA" w:rsidRDefault="00B9225E" w:rsidP="008A69BF">
            <w:pPr>
              <w:spacing w:after="0" w:line="240" w:lineRule="auto"/>
              <w:jc w:val="center"/>
              <w:rPr>
                <w:rFonts w:ascii="Times New Roman" w:hAnsi="Times New Roman" w:cs="Times New Roman"/>
                <w:bCs/>
                <w:sz w:val="24"/>
                <w:szCs w:val="24"/>
              </w:rPr>
            </w:pPr>
          </w:p>
          <w:p w:rsidR="00B9225E" w:rsidRPr="006A4BCA" w:rsidRDefault="00B9225E" w:rsidP="008A69BF">
            <w:pPr>
              <w:spacing w:after="0" w:line="240" w:lineRule="auto"/>
              <w:jc w:val="center"/>
              <w:rPr>
                <w:rFonts w:ascii="Times New Roman" w:hAnsi="Times New Roman" w:cs="Times New Roman"/>
                <w:bCs/>
                <w:sz w:val="24"/>
                <w:szCs w:val="24"/>
              </w:rPr>
            </w:pPr>
            <w:r w:rsidRPr="006A4BCA">
              <w:rPr>
                <w:rFonts w:ascii="Times New Roman" w:hAnsi="Times New Roman" w:cs="Times New Roman"/>
                <w:bCs/>
                <w:sz w:val="24"/>
                <w:szCs w:val="24"/>
              </w:rPr>
              <w:t>Dip. Pablo Fernández de Cevallos González</w:t>
            </w:r>
          </w:p>
        </w:tc>
        <w:tc>
          <w:tcPr>
            <w:tcW w:w="1085" w:type="pct"/>
            <w:tcBorders>
              <w:top w:val="single" w:sz="4" w:space="0" w:color="BFBFBF"/>
              <w:left w:val="single" w:sz="4" w:space="0" w:color="BFBFBF"/>
              <w:bottom w:val="single" w:sz="4" w:space="0" w:color="BFBFBF"/>
              <w:right w:val="single" w:sz="4" w:space="0" w:color="BFBFBF"/>
            </w:tcBorders>
            <w:vAlign w:val="center"/>
          </w:tcPr>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Salud, Asistencia y Bienestar Social</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Comisión Especial de Innovación, Gobierno Digital e Inteligencia Artificial</w:t>
            </w:r>
          </w:p>
        </w:tc>
        <w:tc>
          <w:tcPr>
            <w:tcW w:w="681" w:type="pct"/>
            <w:vMerge w:val="restart"/>
            <w:tcBorders>
              <w:top w:val="single" w:sz="4" w:space="0" w:color="BFBFBF"/>
              <w:left w:val="single" w:sz="4" w:space="0" w:color="BFBFBF"/>
              <w:bottom w:val="single" w:sz="4" w:space="0" w:color="BFBFBF"/>
              <w:right w:val="single" w:sz="4" w:space="0" w:color="BFBFBF"/>
            </w:tcBorders>
            <w:vAlign w:val="center"/>
          </w:tcPr>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Gobernación y Puntos Constitucionales</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Salud, Asistencia y Bienestar Social</w:t>
            </w:r>
          </w:p>
        </w:tc>
      </w:tr>
      <w:tr w:rsidR="00B9225E" w:rsidRPr="006A4BCA" w:rsidTr="002C66B3">
        <w:trPr>
          <w:trHeight w:val="1666"/>
        </w:trPr>
        <w:tc>
          <w:tcPr>
            <w:tcW w:w="234" w:type="pct"/>
            <w:tcBorders>
              <w:top w:val="single" w:sz="4" w:space="0" w:color="BFBFBF"/>
              <w:left w:val="single" w:sz="4" w:space="0" w:color="BFBFBF"/>
              <w:bottom w:val="single" w:sz="4" w:space="0" w:color="BFBFBF"/>
              <w:right w:val="single" w:sz="4" w:space="0" w:color="BFBFBF"/>
            </w:tcBorders>
            <w:vAlign w:val="center"/>
            <w:hideMark/>
          </w:tcPr>
          <w:p w:rsidR="00B9225E" w:rsidRPr="006A4BCA" w:rsidRDefault="00B9225E" w:rsidP="008A69BF">
            <w:pPr>
              <w:spacing w:after="0" w:line="240" w:lineRule="auto"/>
              <w:jc w:val="center"/>
              <w:rPr>
                <w:rFonts w:ascii="Times New Roman" w:hAnsi="Times New Roman" w:cs="Times New Roman"/>
                <w:b/>
                <w:bCs/>
                <w:sz w:val="20"/>
                <w:szCs w:val="20"/>
              </w:rPr>
            </w:pPr>
            <w:r w:rsidRPr="006A4BCA">
              <w:rPr>
                <w:rFonts w:ascii="Times New Roman" w:hAnsi="Times New Roman" w:cs="Times New Roman"/>
                <w:b/>
                <w:bCs/>
                <w:sz w:val="20"/>
                <w:szCs w:val="20"/>
              </w:rPr>
              <w:t>3</w:t>
            </w:r>
          </w:p>
        </w:tc>
        <w:tc>
          <w:tcPr>
            <w:tcW w:w="1515" w:type="pct"/>
            <w:tcBorders>
              <w:top w:val="single" w:sz="4" w:space="0" w:color="BFBFBF"/>
              <w:left w:val="single" w:sz="4" w:space="0" w:color="BFBFBF"/>
              <w:bottom w:val="single" w:sz="4" w:space="0" w:color="BFBFBF"/>
              <w:right w:val="single" w:sz="4" w:space="0" w:color="BFBFBF"/>
            </w:tcBorders>
            <w:hideMark/>
          </w:tcPr>
          <w:p w:rsidR="00B9225E" w:rsidRPr="006A4BCA" w:rsidRDefault="00B9225E" w:rsidP="008A69BF">
            <w:pPr>
              <w:spacing w:after="0" w:line="240" w:lineRule="auto"/>
              <w:jc w:val="both"/>
              <w:rPr>
                <w:rFonts w:ascii="Times New Roman" w:hAnsi="Times New Roman" w:cs="Times New Roman"/>
                <w:b/>
                <w:bCs/>
                <w:sz w:val="20"/>
                <w:szCs w:val="20"/>
              </w:rPr>
            </w:pPr>
            <w:r w:rsidRPr="006A4BCA">
              <w:rPr>
                <w:rFonts w:ascii="Times New Roman" w:hAnsi="Times New Roman" w:cs="Times New Roman"/>
                <w:b/>
                <w:bCs/>
                <w:sz w:val="20"/>
                <w:szCs w:val="20"/>
              </w:rPr>
              <w:t xml:space="preserve">Iniciativa </w:t>
            </w:r>
            <w:r w:rsidRPr="006A4BCA">
              <w:rPr>
                <w:rFonts w:ascii="Times New Roman" w:hAnsi="Times New Roman" w:cs="Times New Roman"/>
                <w:bCs/>
                <w:sz w:val="20"/>
                <w:szCs w:val="20"/>
              </w:rPr>
              <w:t>con Proyecto de Decreto por el que se reforman el artículo 31 de la Ley de los Derechos de Niñas, Niños y Adolescentes del Estado de México agregando un segundo párrafo y los artículos 14,18 y 19 de la</w:t>
            </w:r>
            <w:r w:rsidRPr="006A4BCA">
              <w:rPr>
                <w:rFonts w:ascii="Times New Roman" w:hAnsi="Times New Roman" w:cs="Times New Roman"/>
                <w:b/>
                <w:bCs/>
                <w:sz w:val="20"/>
                <w:szCs w:val="20"/>
              </w:rPr>
              <w:t xml:space="preserve"> Ley para la Protección, Apoyo y Promoción a la Lactancia Materna del Estado de México.</w:t>
            </w:r>
          </w:p>
          <w:p w:rsidR="00B9225E" w:rsidRPr="006A4BCA" w:rsidRDefault="00B9225E" w:rsidP="008A69BF">
            <w:pPr>
              <w:spacing w:after="0" w:line="240" w:lineRule="auto"/>
              <w:jc w:val="both"/>
              <w:rPr>
                <w:rFonts w:ascii="Times New Roman" w:hAnsi="Times New Roman" w:cs="Times New Roman"/>
                <w:b/>
                <w:bCs/>
                <w:sz w:val="20"/>
                <w:szCs w:val="20"/>
              </w:rPr>
            </w:pPr>
          </w:p>
        </w:tc>
        <w:tc>
          <w:tcPr>
            <w:tcW w:w="809" w:type="pct"/>
            <w:tcBorders>
              <w:top w:val="single" w:sz="4" w:space="0" w:color="BFBFBF"/>
              <w:left w:val="single" w:sz="4" w:space="0" w:color="BFBFBF"/>
              <w:bottom w:val="single" w:sz="4" w:space="0" w:color="BFBFBF"/>
              <w:right w:val="single" w:sz="4" w:space="0" w:color="BFBFBF"/>
            </w:tcBorders>
            <w:vAlign w:val="center"/>
            <w:hideMark/>
          </w:tcPr>
          <w:p w:rsidR="00B9225E" w:rsidRPr="006A4BCA" w:rsidRDefault="00B9225E" w:rsidP="008A69BF">
            <w:pPr>
              <w:spacing w:after="0" w:line="240" w:lineRule="auto"/>
              <w:jc w:val="both"/>
              <w:rPr>
                <w:rFonts w:ascii="Times New Roman" w:hAnsi="Times New Roman" w:cs="Times New Roman"/>
                <w:sz w:val="20"/>
                <w:szCs w:val="20"/>
              </w:rPr>
            </w:pPr>
            <w:r w:rsidRPr="006A4BCA">
              <w:rPr>
                <w:rFonts w:ascii="Times New Roman" w:hAnsi="Times New Roman" w:cs="Times New Roman"/>
                <w:sz w:val="20"/>
                <w:szCs w:val="20"/>
              </w:rPr>
              <w:t>En materia de promoción a la lactancia materna.</w:t>
            </w:r>
          </w:p>
        </w:tc>
        <w:tc>
          <w:tcPr>
            <w:tcW w:w="677" w:type="pct"/>
            <w:tcBorders>
              <w:top w:val="single" w:sz="4" w:space="0" w:color="BFBFBF"/>
              <w:left w:val="single" w:sz="4" w:space="0" w:color="BFBFBF"/>
              <w:bottom w:val="single" w:sz="4" w:space="0" w:color="BFBFBF"/>
              <w:right w:val="single" w:sz="4" w:space="0" w:color="BFBFBF"/>
            </w:tcBorders>
            <w:vAlign w:val="center"/>
          </w:tcPr>
          <w:p w:rsidR="00B9225E" w:rsidRPr="006A4BCA" w:rsidRDefault="00B9225E" w:rsidP="008A69BF">
            <w:pPr>
              <w:spacing w:after="0" w:line="240" w:lineRule="auto"/>
              <w:jc w:val="center"/>
              <w:rPr>
                <w:rFonts w:ascii="Times New Roman" w:hAnsi="Times New Roman" w:cs="Times New Roman"/>
                <w:bCs/>
                <w:sz w:val="24"/>
                <w:szCs w:val="24"/>
              </w:rPr>
            </w:pPr>
            <w:r w:rsidRPr="006A4BCA">
              <w:rPr>
                <w:rFonts w:ascii="Times New Roman" w:hAnsi="Times New Roman" w:cs="Times New Roman"/>
                <w:bCs/>
                <w:sz w:val="24"/>
                <w:szCs w:val="24"/>
              </w:rPr>
              <w:t>Dip. Emma Laura Alvarez Villavicencio</w:t>
            </w:r>
          </w:p>
          <w:p w:rsidR="00B9225E" w:rsidRPr="006A4BCA" w:rsidRDefault="00B9225E" w:rsidP="008A69BF">
            <w:pPr>
              <w:spacing w:after="0" w:line="240" w:lineRule="auto"/>
              <w:jc w:val="center"/>
              <w:rPr>
                <w:rFonts w:ascii="Times New Roman" w:hAnsi="Times New Roman" w:cs="Times New Roman"/>
                <w:bCs/>
                <w:sz w:val="24"/>
                <w:szCs w:val="24"/>
              </w:rPr>
            </w:pPr>
          </w:p>
          <w:p w:rsidR="00B9225E" w:rsidRPr="006A4BCA" w:rsidRDefault="00B9225E" w:rsidP="008A69BF">
            <w:pPr>
              <w:spacing w:after="0" w:line="240" w:lineRule="auto"/>
              <w:jc w:val="center"/>
              <w:rPr>
                <w:rFonts w:ascii="Times New Roman" w:hAnsi="Times New Roman" w:cs="Times New Roman"/>
                <w:bCs/>
                <w:sz w:val="24"/>
                <w:szCs w:val="24"/>
              </w:rPr>
            </w:pPr>
            <w:r w:rsidRPr="006A4BCA">
              <w:rPr>
                <w:rFonts w:ascii="Times New Roman" w:hAnsi="Times New Roman" w:cs="Times New Roman"/>
                <w:bCs/>
                <w:sz w:val="24"/>
                <w:szCs w:val="24"/>
              </w:rPr>
              <w:t>Dip. Pablo Fernández de Cevallos González</w:t>
            </w:r>
          </w:p>
        </w:tc>
        <w:tc>
          <w:tcPr>
            <w:tcW w:w="1085" w:type="pct"/>
            <w:tcBorders>
              <w:top w:val="single" w:sz="4" w:space="0" w:color="BFBFBF"/>
              <w:left w:val="single" w:sz="4" w:space="0" w:color="BFBFBF"/>
              <w:bottom w:val="single" w:sz="4" w:space="0" w:color="BFBFBF"/>
              <w:right w:val="single" w:sz="4" w:space="0" w:color="BFBFBF"/>
            </w:tcBorders>
            <w:vAlign w:val="center"/>
            <w:hideMark/>
          </w:tcPr>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Protección de los Derechos de las Niñas, Niños, Adolescentes y la Primera infancia</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rsidR="00B9225E" w:rsidRPr="006A4BCA" w:rsidRDefault="00B9225E" w:rsidP="008A69BF">
            <w:pPr>
              <w:spacing w:after="0" w:line="240" w:lineRule="auto"/>
              <w:rPr>
                <w:rFonts w:ascii="Times New Roman" w:eastAsia="Times New Roman" w:hAnsi="Times New Roman" w:cs="Times New Roman"/>
                <w:sz w:val="24"/>
                <w:szCs w:val="24"/>
                <w:lang w:eastAsia="es-ES"/>
              </w:rPr>
            </w:pPr>
          </w:p>
        </w:tc>
      </w:tr>
    </w:tbl>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La Presidencia acuerda el turno a comisiones solicitando y su ampliación a los supuestos que se contienen y se consideren pertinentes.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 xml:space="preserve">La Vicepresidencia, por instrucciones de la Presidencia, da lectura a los comunicados siguientes: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Diputada Sandra Patricia Santos Rodríguez, Iniciativa con Proyecto de Decreto por el que se reforma el artículo 1 y se adiciona una fracción VIII, recorriéndose de manera subsecuente los demás, al artículo 7, ambos de la Ley de Acceso de las Mujeres a una Vida Libre de Violencia en el Estado de México; Iniciativa con Proyecto de Decreto por el que se adicionan y reforman diversas disposiciones de la Ley de Acceso de las Mujeres a una Vida Libre de Violencia en el Estado de México, también presentada por el Grupo Parlamentario del Partido Verde del Estado de México, jueves 5 de marzo, 12:00 horas, Salón Narciso Bassols, modalidad mixta, Comisión Legislativa de Procuración y Administración de Justicia, reunión de trabajo y en su caso, dictaminación.</w:t>
      </w: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p>
    <w:p w:rsidR="00B9225E" w:rsidRPr="006A4BCA" w:rsidRDefault="00B9225E" w:rsidP="008A69BF">
      <w:pPr>
        <w:spacing w:after="0" w:line="240" w:lineRule="aut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Diputado Edgar Samuel Ríos Moreno, Iniciativa con Proyecto de Decreto por el que se reforman y adicionan diversas disposiciones de la Ley del Gobierno Digital del Estado de México y Municipios y Ley para la Mejora Regulatoria del Estado de México y sus Municipios, jueves 5 de marzo, 13:00 horas, Salón Protocolo, modalidad mixta, Comisión Legislativa de Desarrollo Económico, Industrial, Comercial y Minero, reunión de trabajo y en su caso, dictaminación.</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B9225E" w:rsidRPr="006A4BCA" w:rsidRDefault="00B9225E" w:rsidP="008A69BF">
      <w:pPr>
        <w:spacing w:after="0" w:line="240" w:lineRule="auto"/>
        <w:jc w:val="both"/>
        <w:rPr>
          <w:rFonts w:ascii="Times New Roman" w:hAnsi="Times New Roman" w:cs="Times New Roman"/>
          <w:sz w:val="24"/>
          <w:szCs w:val="24"/>
        </w:rPr>
      </w:pPr>
    </w:p>
    <w:p w:rsidR="00B9225E" w:rsidRPr="006A4BCA" w:rsidRDefault="00B9225E" w:rsidP="008A69BF">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25.- Agotados los asuntos en cartera, la Presidencia levanta la Sesión siendo las dieciocho horas con cincuenta minutos del día de la fecha y cita para el día once del mes y año en curso a las doce horas.</w:t>
      </w:r>
    </w:p>
    <w:p w:rsidR="00B9225E" w:rsidRPr="006A4BCA" w:rsidRDefault="00B9225E" w:rsidP="008A69BF">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B9225E" w:rsidRPr="006A4BCA" w:rsidTr="00E02935">
        <w:trPr>
          <w:jc w:val="center"/>
        </w:trPr>
        <w:tc>
          <w:tcPr>
            <w:tcW w:w="5264" w:type="dxa"/>
          </w:tcPr>
          <w:p w:rsidR="00B9225E" w:rsidRPr="006A4BCA" w:rsidRDefault="00B9225E" w:rsidP="008A69BF">
            <w:pPr>
              <w:spacing w:line="240" w:lineRule="auto"/>
              <w:jc w:val="center"/>
              <w:rPr>
                <w:rFonts w:ascii="Times New Roman" w:hAnsi="Times New Roman" w:cs="Times New Roman"/>
                <w:b/>
                <w:sz w:val="24"/>
                <w:szCs w:val="24"/>
              </w:rPr>
            </w:pPr>
            <w:r w:rsidRPr="006A4BCA">
              <w:rPr>
                <w:rFonts w:ascii="Times New Roman" w:hAnsi="Times New Roman" w:cs="Times New Roman"/>
                <w:b/>
                <w:sz w:val="24"/>
                <w:szCs w:val="24"/>
              </w:rPr>
              <w:t>SECRETARIO</w:t>
            </w:r>
          </w:p>
          <w:p w:rsidR="00B9225E" w:rsidRPr="006A4BCA" w:rsidRDefault="00B9225E" w:rsidP="008A69BF">
            <w:pPr>
              <w:spacing w:line="240" w:lineRule="auto"/>
              <w:jc w:val="center"/>
              <w:rPr>
                <w:rFonts w:ascii="Times New Roman" w:hAnsi="Times New Roman" w:cs="Times New Roman"/>
                <w:sz w:val="24"/>
                <w:szCs w:val="24"/>
              </w:rPr>
            </w:pPr>
            <w:r w:rsidRPr="006A4BCA">
              <w:rPr>
                <w:rFonts w:ascii="Times New Roman" w:hAnsi="Times New Roman" w:cs="Times New Roman"/>
                <w:b/>
                <w:sz w:val="24"/>
                <w:szCs w:val="24"/>
              </w:rPr>
              <w:t>DIP. EDMUNDO LUIS VALDEÑA BASTIDA</w:t>
            </w:r>
          </w:p>
        </w:tc>
        <w:tc>
          <w:tcPr>
            <w:tcW w:w="5264" w:type="dxa"/>
          </w:tcPr>
          <w:p w:rsidR="00B9225E" w:rsidRPr="006A4BCA" w:rsidRDefault="00B9225E" w:rsidP="008A69BF">
            <w:pPr>
              <w:spacing w:line="240" w:lineRule="auto"/>
              <w:jc w:val="center"/>
              <w:rPr>
                <w:rFonts w:ascii="Times New Roman" w:hAnsi="Times New Roman" w:cs="Times New Roman"/>
                <w:b/>
                <w:sz w:val="24"/>
                <w:szCs w:val="24"/>
              </w:rPr>
            </w:pPr>
            <w:r w:rsidRPr="006A4BCA">
              <w:rPr>
                <w:rFonts w:ascii="Times New Roman" w:hAnsi="Times New Roman" w:cs="Times New Roman"/>
                <w:b/>
                <w:sz w:val="24"/>
                <w:szCs w:val="24"/>
              </w:rPr>
              <w:t>SECRETARIA</w:t>
            </w:r>
          </w:p>
          <w:p w:rsidR="00B9225E" w:rsidRPr="006A4BCA" w:rsidRDefault="00B9225E" w:rsidP="008A69BF">
            <w:pPr>
              <w:spacing w:line="240" w:lineRule="auto"/>
              <w:jc w:val="center"/>
              <w:rPr>
                <w:rFonts w:ascii="Times New Roman" w:hAnsi="Times New Roman" w:cs="Times New Roman"/>
                <w:sz w:val="24"/>
                <w:szCs w:val="24"/>
              </w:rPr>
            </w:pPr>
            <w:r w:rsidRPr="006A4BCA">
              <w:rPr>
                <w:rFonts w:ascii="Times New Roman" w:hAnsi="Times New Roman" w:cs="Times New Roman"/>
                <w:b/>
                <w:sz w:val="24"/>
                <w:szCs w:val="24"/>
              </w:rPr>
              <w:t>DIP. MARICELA BELTRÁN SÁNCHEZ</w:t>
            </w:r>
          </w:p>
        </w:tc>
      </w:tr>
    </w:tbl>
    <w:p w:rsidR="00D36890" w:rsidRPr="006A4BCA" w:rsidRDefault="00D36890" w:rsidP="008A69BF">
      <w:pPr>
        <w:spacing w:after="0" w:line="240" w:lineRule="auto"/>
        <w:jc w:val="center"/>
        <w:rPr>
          <w:rFonts w:ascii="Times New Roman" w:hAnsi="Times New Roman" w:cs="Times New Roman"/>
          <w:sz w:val="24"/>
          <w:szCs w:val="24"/>
        </w:rPr>
      </w:pPr>
    </w:p>
    <w:p w:rsidR="00D36890" w:rsidRPr="006A4BCA" w:rsidRDefault="00D36890" w:rsidP="008A69BF">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(Fin del documento)</w:t>
      </w:r>
    </w:p>
    <w:p w:rsidR="00D36890" w:rsidRPr="006A4BCA" w:rsidRDefault="00D36890" w:rsidP="008A69BF">
      <w:pPr>
        <w:spacing w:after="0" w:line="240" w:lineRule="auto"/>
        <w:jc w:val="center"/>
        <w:rPr>
          <w:rFonts w:ascii="Times New Roman" w:hAnsi="Times New Roman" w:cs="Times New Roman"/>
          <w:sz w:val="24"/>
          <w:szCs w:val="24"/>
        </w:rPr>
      </w:pPr>
    </w:p>
    <w:p w:rsidR="0027353A" w:rsidRPr="006A4BCA" w:rsidRDefault="00D36890"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w:t>
      </w:r>
      <w:r w:rsidR="0027353A" w:rsidRPr="006A4BCA">
        <w:rPr>
          <w:rFonts w:ascii="Times New Roman" w:hAnsi="Times New Roman" w:cs="Times New Roman"/>
          <w:sz w:val="24"/>
          <w:szCs w:val="24"/>
        </w:rPr>
        <w:t>Quienes estén por la aprobatoria del acta, sírvanse levantar la mano ¿En contra? ¿En abstención?</w:t>
      </w:r>
    </w:p>
    <w:p w:rsidR="0027353A" w:rsidRPr="006A4BCA" w:rsidRDefault="0027353A" w:rsidP="00C80DF4">
      <w:pPr>
        <w:pStyle w:val="Sinespaciado"/>
        <w:jc w:val="both"/>
        <w:rPr>
          <w:rFonts w:ascii="Times New Roman" w:hAnsi="Times New Roman" w:cs="Times New Roman"/>
          <w:sz w:val="24"/>
          <w:szCs w:val="24"/>
        </w:rPr>
      </w:pPr>
      <w:bookmarkStart w:id="0" w:name="_Hlk224129241"/>
      <w:r w:rsidRPr="006A4BCA">
        <w:rPr>
          <w:rFonts w:ascii="Times New Roman" w:hAnsi="Times New Roman" w:cs="Times New Roman"/>
          <w:sz w:val="24"/>
          <w:szCs w:val="24"/>
        </w:rPr>
        <w:t>SECRETARIO DIP. EDMUNDO LUIS VALDEÑA BASTIDA. El acta ha sido aprobada por unanimidad de votos.</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w:t>
      </w:r>
      <w:bookmarkEnd w:id="0"/>
      <w:r w:rsidRPr="006A4BCA">
        <w:rPr>
          <w:rFonts w:ascii="Times New Roman" w:hAnsi="Times New Roman" w:cs="Times New Roman"/>
          <w:sz w:val="24"/>
          <w:szCs w:val="24"/>
        </w:rPr>
        <w:t>. Gracias Secretario.</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En atención al punto número 2, la diputada María del Carmen de la Rosa Mendoza, leerá el Dictamen de la Iniciativa con Proyecto de Decreto por el que se reforman y adicionan diversas disposiciones al Código Civil del Estado de México y</w:t>
      </w:r>
      <w:r w:rsidR="0029043D" w:rsidRPr="006A4BCA">
        <w:rPr>
          <w:rFonts w:ascii="Times New Roman" w:hAnsi="Times New Roman" w:cs="Times New Roman"/>
          <w:sz w:val="24"/>
          <w:szCs w:val="24"/>
        </w:rPr>
        <w:t xml:space="preserve"> a</w:t>
      </w:r>
      <w:r w:rsidRPr="006A4BCA">
        <w:rPr>
          <w:rFonts w:ascii="Times New Roman" w:hAnsi="Times New Roman" w:cs="Times New Roman"/>
          <w:sz w:val="24"/>
          <w:szCs w:val="24"/>
        </w:rPr>
        <w:t xml:space="preserve"> la Ley de Igualdad de Trato y Oportunidades entre Mujeres y Hombres del Estado de México, presentada por la Diputada María del Carmen de la Rosa Mendoza, en nombre del Grupo Parlamentario del Partido morena; y de la Iniciativa con Proyecto de Decreto por el que se agrega la fracción X, recorriéndose las subsecuentes, del artículo 96 Quaterdecie</w:t>
      </w:r>
      <w:r w:rsidR="006F637E" w:rsidRPr="006A4BCA">
        <w:rPr>
          <w:rFonts w:ascii="Times New Roman" w:hAnsi="Times New Roman" w:cs="Times New Roman"/>
          <w:sz w:val="24"/>
          <w:szCs w:val="24"/>
        </w:rPr>
        <w:t>s</w:t>
      </w:r>
      <w:r w:rsidRPr="006A4BCA">
        <w:rPr>
          <w:rFonts w:ascii="Times New Roman" w:hAnsi="Times New Roman" w:cs="Times New Roman"/>
          <w:sz w:val="24"/>
          <w:szCs w:val="24"/>
        </w:rPr>
        <w:t xml:space="preserve"> de la Ley Orgánica Municipal del Estado de México y se adiciona la fracción VIII, recorriéndose la subsecuente, del artículo 10 de la Ley de Igualdad de Trato y Oportunidades entre Mujeres y Hombres del Estado de México, presentada por el Grupo Parlamentario del Partido de la Revolución Democrática, ambas en materia de corresponsabilidad </w:t>
      </w:r>
      <w:r w:rsidRPr="006A4BCA">
        <w:rPr>
          <w:rFonts w:ascii="Times New Roman" w:hAnsi="Times New Roman" w:cs="Times New Roman"/>
          <w:sz w:val="24"/>
          <w:szCs w:val="24"/>
        </w:rPr>
        <w:lastRenderedPageBreak/>
        <w:t>familiar, formulado por las Comisiones Unidas de Procuración y Administración de Justicia y para la Igualdad de Género.</w:t>
      </w:r>
    </w:p>
    <w:p w:rsidR="0027353A"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MARÍA DEL CARMEN DE LA ROSA MENDOZA. Con su venia Presidenta. Integrantes de la Mesa Directiva. </w:t>
      </w:r>
    </w:p>
    <w:p w:rsidR="00F26C08" w:rsidRPr="006A4BCA" w:rsidRDefault="0027353A"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Quisiera solicitar, primeramente, una intervención antes de la lectura del proyecto de decreto, con la finalidad de poder hacer una un posicionamiento. Muchas gracias Presidenta y bueno, creo que hoy estamos avanzando de manera trascendental para las mujeres del Estado de México, porque hoy les estamos garantizando a miles de mujeres mexiquenses el poder hacer una mejor distribución de sus tiempos. </w:t>
      </w:r>
    </w:p>
    <w:p w:rsidR="007A66B3" w:rsidRPr="006A4BCA" w:rsidRDefault="0027353A" w:rsidP="00F26C08">
      <w:pPr>
        <w:pStyle w:val="Sinespaciado"/>
        <w:ind w:firstLine="708"/>
        <w:jc w:val="both"/>
        <w:rPr>
          <w:rFonts w:ascii="Times New Roman" w:hAnsi="Times New Roman" w:cs="Times New Roman"/>
          <w:sz w:val="24"/>
        </w:rPr>
      </w:pPr>
      <w:r w:rsidRPr="006A4BCA">
        <w:rPr>
          <w:rFonts w:ascii="Times New Roman" w:hAnsi="Times New Roman" w:cs="Times New Roman"/>
          <w:sz w:val="24"/>
          <w:szCs w:val="24"/>
        </w:rPr>
        <w:t>Hoy creo que a partir de esta iniciativa nunca más se va a volver a repetir que las mujeres somos el sexo débil y que además vamos a eliminar ciertos estereotipos que socialmente o culturalmente no</w:t>
      </w:r>
      <w:r w:rsidR="00F26C08" w:rsidRPr="006A4BCA">
        <w:rPr>
          <w:rFonts w:ascii="Times New Roman" w:hAnsi="Times New Roman" w:cs="Times New Roman"/>
          <w:sz w:val="24"/>
          <w:szCs w:val="24"/>
        </w:rPr>
        <w:t>s</w:t>
      </w:r>
      <w:r w:rsidRPr="006A4BCA">
        <w:rPr>
          <w:rFonts w:ascii="Times New Roman" w:hAnsi="Times New Roman" w:cs="Times New Roman"/>
          <w:sz w:val="24"/>
          <w:szCs w:val="24"/>
        </w:rPr>
        <w:t xml:space="preserve"> </w:t>
      </w:r>
      <w:r w:rsidR="00F26C08" w:rsidRPr="006A4BCA">
        <w:rPr>
          <w:rFonts w:ascii="Times New Roman" w:hAnsi="Times New Roman" w:cs="Times New Roman"/>
          <w:sz w:val="24"/>
          <w:szCs w:val="24"/>
        </w:rPr>
        <w:t>h</w:t>
      </w:r>
      <w:r w:rsidRPr="006A4BCA">
        <w:rPr>
          <w:rFonts w:ascii="Times New Roman" w:hAnsi="Times New Roman" w:cs="Times New Roman"/>
          <w:sz w:val="24"/>
          <w:szCs w:val="24"/>
        </w:rPr>
        <w:t>abían asignado a</w:t>
      </w:r>
      <w:r w:rsidR="00A80568" w:rsidRPr="006A4BCA">
        <w:rPr>
          <w:rFonts w:ascii="Times New Roman" w:hAnsi="Times New Roman" w:cs="Times New Roman"/>
          <w:sz w:val="24"/>
          <w:szCs w:val="24"/>
        </w:rPr>
        <w:t xml:space="preserve"> las mujeres, </w:t>
      </w:r>
      <w:r w:rsidR="0025160E" w:rsidRPr="006A4BCA">
        <w:rPr>
          <w:rFonts w:ascii="Times New Roman" w:hAnsi="Times New Roman" w:cs="Times New Roman"/>
          <w:sz w:val="24"/>
        </w:rPr>
        <w:t>hoy vamos a construir de manera importante nuevos núcleos familiares que transformen la vida y la realidad de las familias</w:t>
      </w:r>
      <w:r w:rsidR="007A66B3" w:rsidRPr="006A4BCA">
        <w:rPr>
          <w:rFonts w:ascii="Times New Roman" w:hAnsi="Times New Roman" w:cs="Times New Roman"/>
          <w:sz w:val="24"/>
        </w:rPr>
        <w:t>;</w:t>
      </w:r>
      <w:r w:rsidR="0025160E" w:rsidRPr="006A4BCA">
        <w:rPr>
          <w:rFonts w:ascii="Times New Roman" w:hAnsi="Times New Roman" w:cs="Times New Roman"/>
          <w:sz w:val="24"/>
        </w:rPr>
        <w:t xml:space="preserve"> pero sobre todo de las mujeres</w:t>
      </w:r>
      <w:r w:rsidR="007A66B3" w:rsidRPr="006A4BCA">
        <w:rPr>
          <w:rFonts w:ascii="Times New Roman" w:hAnsi="Times New Roman" w:cs="Times New Roman"/>
          <w:sz w:val="24"/>
        </w:rPr>
        <w:t>.</w:t>
      </w:r>
    </w:p>
    <w:p w:rsidR="00061143" w:rsidRPr="006A4BCA" w:rsidRDefault="007A66B3" w:rsidP="00F26C08">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También </w:t>
      </w:r>
      <w:r w:rsidR="0025160E" w:rsidRPr="006A4BCA">
        <w:rPr>
          <w:rFonts w:ascii="Times New Roman" w:hAnsi="Times New Roman" w:cs="Times New Roman"/>
          <w:sz w:val="24"/>
        </w:rPr>
        <w:t>quiero aprovechar para solidarizarnos con todas esas mujeres que hoy en el marco del día 8 de marzo, con todas esas colectivas</w:t>
      </w:r>
      <w:r w:rsidRPr="006A4BCA">
        <w:rPr>
          <w:rFonts w:ascii="Times New Roman" w:hAnsi="Times New Roman" w:cs="Times New Roman"/>
          <w:sz w:val="24"/>
        </w:rPr>
        <w:t>,</w:t>
      </w:r>
      <w:r w:rsidR="0025160E" w:rsidRPr="006A4BCA">
        <w:rPr>
          <w:rFonts w:ascii="Times New Roman" w:hAnsi="Times New Roman" w:cs="Times New Roman"/>
          <w:sz w:val="24"/>
        </w:rPr>
        <w:t xml:space="preserve"> organizaciones, movimientos que realizan cada día y avanzamos en favor de los derechos de las mujeres de manera noble y sorora, que sepan que no están solas, que habemos mujeres, hombres y por supuesto también nuestra diputade, que nos solidarizamos para seguir avanzando en términos de los derechos de las mujeres, estamos haciendo una enorme labor para seguir inspirando a más mujeres y empoderarlas y puedan ocupar sus tiempos de manera equitativa e igualitaria</w:t>
      </w:r>
      <w:r w:rsidR="00061143" w:rsidRPr="006A4BCA">
        <w:rPr>
          <w:rFonts w:ascii="Times New Roman" w:hAnsi="Times New Roman" w:cs="Times New Roman"/>
          <w:sz w:val="24"/>
        </w:rPr>
        <w:t>.</w:t>
      </w:r>
    </w:p>
    <w:p w:rsidR="0025160E" w:rsidRPr="006A4BCA" w:rsidRDefault="00061143" w:rsidP="00F26C08">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rPr>
        <w:t xml:space="preserve">Muchas </w:t>
      </w:r>
      <w:r w:rsidR="0025160E" w:rsidRPr="006A4BCA">
        <w:rPr>
          <w:rFonts w:ascii="Times New Roman" w:hAnsi="Times New Roman" w:cs="Times New Roman"/>
          <w:sz w:val="24"/>
        </w:rPr>
        <w:t>gracias a todas ellas por su labor, gracias porque no se nos olvida a nosotras las diputadas que hoy estamos aquí que muchas en nuestros casos emanamos justamente de esos frentes sociales que alguna vez estuvimos también allá afuera solicitando que se hiciera válido un derecho y hoy pues nos da sentido de responsabilidad el poder continuar con nuestra lucha, pero ahora aquí, desde esta trinchera, desde nuestras atribuciones y desde nuestras funciones, seguiremos haciendo lo propio</w:t>
      </w:r>
      <w:r w:rsidR="00CF129E" w:rsidRPr="006A4BCA">
        <w:rPr>
          <w:rFonts w:ascii="Times New Roman" w:hAnsi="Times New Roman" w:cs="Times New Roman"/>
          <w:sz w:val="24"/>
        </w:rPr>
        <w:t>;</w:t>
      </w:r>
      <w:r w:rsidR="0025160E" w:rsidRPr="006A4BCA">
        <w:rPr>
          <w:rFonts w:ascii="Times New Roman" w:hAnsi="Times New Roman" w:cs="Times New Roman"/>
          <w:sz w:val="24"/>
        </w:rPr>
        <w:t xml:space="preserve"> entonces, muchas gracias, diputadas, diputados, diputade, por sumarse a esta propuesta.</w:t>
      </w:r>
    </w:p>
    <w:p w:rsidR="0025160E" w:rsidRPr="006A4BCA" w:rsidRDefault="0025160E"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Y también de manera personal quisiera agradecer a mi compañera la diputada Araceli Casasola y al diputado Omar Ortega del PRD, porque también fueron clave y personas importantes para que pudiese avanzar la aprobación de este dictamen y pues seguimos hablando de una temática imprescindible</w:t>
      </w:r>
      <w:r w:rsidR="00A95C06" w:rsidRPr="006A4BCA">
        <w:rPr>
          <w:rFonts w:ascii="Times New Roman" w:hAnsi="Times New Roman" w:cs="Times New Roman"/>
          <w:sz w:val="24"/>
        </w:rPr>
        <w:t>;</w:t>
      </w:r>
      <w:r w:rsidRPr="006A4BCA">
        <w:rPr>
          <w:rFonts w:ascii="Times New Roman" w:hAnsi="Times New Roman" w:cs="Times New Roman"/>
          <w:sz w:val="24"/>
        </w:rPr>
        <w:t xml:space="preserve"> esta reforma es un parteaguas para la diputación, para la legislación, para seguir avanzando en adecuar nuevas realidades que enfrentan nuestras mujeres mexiquenses</w:t>
      </w:r>
      <w:r w:rsidR="00A95C06" w:rsidRPr="006A4BCA">
        <w:rPr>
          <w:rFonts w:ascii="Times New Roman" w:hAnsi="Times New Roman" w:cs="Times New Roman"/>
          <w:sz w:val="24"/>
        </w:rPr>
        <w:t>.</w:t>
      </w:r>
      <w:r w:rsidRPr="006A4BCA">
        <w:rPr>
          <w:rFonts w:ascii="Times New Roman" w:hAnsi="Times New Roman" w:cs="Times New Roman"/>
          <w:sz w:val="24"/>
        </w:rPr>
        <w:t xml:space="preserve"> </w:t>
      </w:r>
      <w:r w:rsidR="00A95C06" w:rsidRPr="006A4BCA">
        <w:rPr>
          <w:rFonts w:ascii="Times New Roman" w:hAnsi="Times New Roman" w:cs="Times New Roman"/>
          <w:sz w:val="24"/>
        </w:rPr>
        <w:t xml:space="preserve">Vamos </w:t>
      </w:r>
      <w:r w:rsidRPr="006A4BCA">
        <w:rPr>
          <w:rFonts w:ascii="Times New Roman" w:hAnsi="Times New Roman" w:cs="Times New Roman"/>
          <w:sz w:val="24"/>
        </w:rPr>
        <w:t xml:space="preserve">paso a paso, tenemos una gran prueba como sociedad porque es ahora responsabilidad de las instituciones, de los poderes, de los diferentes niveles de gobierno, de las dependencias federales, estatales, organizaciones civiles y ciudadanía en general, en que la corresponsabilidad familiar no solamente se encuentre plasmado en una ley, sino que sea una completa realidad a corto y a mediano plazo. </w:t>
      </w:r>
    </w:p>
    <w:p w:rsidR="00951EF2" w:rsidRPr="006A4BCA" w:rsidRDefault="0025160E"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De igual forma quiero referir que este proyecto fortalece, dentro del ámbito de nuestras facultades, que las acciones y proyectos sean a través de políticas públicas, esto va en el marco también de nuestra Presidenta de la República y nuestra gobernadora, la </w:t>
      </w:r>
      <w:r w:rsidR="00BD196C" w:rsidRPr="006A4BCA">
        <w:rPr>
          <w:rFonts w:ascii="Times New Roman" w:hAnsi="Times New Roman" w:cs="Times New Roman"/>
          <w:sz w:val="24"/>
        </w:rPr>
        <w:t xml:space="preserve">Maestra </w:t>
      </w:r>
      <w:r w:rsidRPr="006A4BCA">
        <w:rPr>
          <w:rFonts w:ascii="Times New Roman" w:hAnsi="Times New Roman" w:cs="Times New Roman"/>
          <w:sz w:val="24"/>
        </w:rPr>
        <w:t xml:space="preserve">Delfina y queremos seguir avanzando porque ninguna mujer hoy tendría que sacrificar su tiempo para no dedicárselo a una vida profesional plena y digna. </w:t>
      </w:r>
    </w:p>
    <w:p w:rsidR="0047392D" w:rsidRPr="006A4BCA" w:rsidRDefault="0025160E"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Hoy las mujeres, con el avance que tenemos de las 40 horas, s</w:t>
      </w:r>
      <w:r w:rsidR="00951EF2" w:rsidRPr="006A4BCA">
        <w:rPr>
          <w:rFonts w:ascii="Times New Roman" w:hAnsi="Times New Roman" w:cs="Times New Roman"/>
          <w:sz w:val="24"/>
        </w:rPr>
        <w:t>í</w:t>
      </w:r>
      <w:r w:rsidRPr="006A4BCA">
        <w:rPr>
          <w:rFonts w:ascii="Times New Roman" w:hAnsi="Times New Roman" w:cs="Times New Roman"/>
          <w:sz w:val="24"/>
        </w:rPr>
        <w:t xml:space="preserve"> significativamente nos va a apoyar a que podamos destinar ese tiempo o en otras cosas de manera personal o profesional, pero el que hoy ya se establezca en esta ley, que haya una distribución equitativa e igualitaria de las labores domésticas da un cambio significativo al sistema de cuidados, que no se siga perpetuando que esa labor, tan solo por ser mujeres, debiésemos de seguirlo haciendo y que toda esta cultura </w:t>
      </w:r>
      <w:r w:rsidRPr="006A4BCA">
        <w:rPr>
          <w:rFonts w:ascii="Times New Roman" w:hAnsi="Times New Roman" w:cs="Times New Roman"/>
          <w:sz w:val="24"/>
        </w:rPr>
        <w:lastRenderedPageBreak/>
        <w:t xml:space="preserve">vaya cambiando, es momento de que en el territorio mexiquense comencemos a romper de manera progresiva con este modelo patriarcal que se había venido repitiendo durante muchísimos años. </w:t>
      </w:r>
    </w:p>
    <w:p w:rsidR="0025160E" w:rsidRPr="006A4BCA" w:rsidRDefault="0025160E"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La corresponsabilidad familiar es y siempre será una labor compartida de todos los que integramos las familias, los que conformamos un hogar; y por ello yo quiero felicitar y agradecer a todas esas mujeres que sostienen nuestros hogares.</w:t>
      </w:r>
    </w:p>
    <w:p w:rsidR="00D23106" w:rsidRPr="006A4BCA" w:rsidRDefault="0025160E"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Muchas gracias a todas ellas</w:t>
      </w:r>
      <w:r w:rsidR="00A72BB3" w:rsidRPr="006A4BCA">
        <w:rPr>
          <w:rFonts w:ascii="Times New Roman" w:hAnsi="Times New Roman" w:cs="Times New Roman"/>
          <w:sz w:val="24"/>
        </w:rPr>
        <w:t xml:space="preserve"> </w:t>
      </w:r>
      <w:r w:rsidR="00D23106" w:rsidRPr="006A4BCA">
        <w:rPr>
          <w:rFonts w:ascii="Times New Roman" w:hAnsi="Times New Roman" w:cs="Times New Roman"/>
          <w:sz w:val="24"/>
          <w:szCs w:val="24"/>
        </w:rPr>
        <w:t>larga vida a la corresponsabilidad familiar</w:t>
      </w:r>
      <w:r w:rsidR="0047392D" w:rsidRPr="006A4BCA">
        <w:rPr>
          <w:rFonts w:ascii="Times New Roman" w:hAnsi="Times New Roman" w:cs="Times New Roman"/>
          <w:sz w:val="24"/>
          <w:szCs w:val="24"/>
        </w:rPr>
        <w:t xml:space="preserve">. ¡Y </w:t>
      </w:r>
      <w:r w:rsidR="00D23106" w:rsidRPr="006A4BCA">
        <w:rPr>
          <w:rFonts w:ascii="Times New Roman" w:hAnsi="Times New Roman" w:cs="Times New Roman"/>
          <w:sz w:val="24"/>
          <w:szCs w:val="24"/>
        </w:rPr>
        <w:t>que viva, que vivan las mujeres</w:t>
      </w:r>
      <w:r w:rsidR="009F40BD" w:rsidRPr="006A4BCA">
        <w:rPr>
          <w:rFonts w:ascii="Times New Roman" w:hAnsi="Times New Roman" w:cs="Times New Roman"/>
          <w:sz w:val="24"/>
          <w:szCs w:val="24"/>
        </w:rPr>
        <w:t>!</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Ahora s</w:t>
      </w:r>
      <w:r w:rsidR="009F40BD" w:rsidRPr="006A4BCA">
        <w:rPr>
          <w:rFonts w:ascii="Times New Roman" w:hAnsi="Times New Roman" w:cs="Times New Roman"/>
          <w:sz w:val="24"/>
          <w:szCs w:val="24"/>
        </w:rPr>
        <w:t>í</w:t>
      </w:r>
      <w:r w:rsidRPr="006A4BCA">
        <w:rPr>
          <w:rFonts w:ascii="Times New Roman" w:hAnsi="Times New Roman" w:cs="Times New Roman"/>
          <w:sz w:val="24"/>
          <w:szCs w:val="24"/>
        </w:rPr>
        <w:t xml:space="preserve"> ya Presidenta voy a dar lectura al proyecto de decreto.</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HONORABLE ASAMBLEA:</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La Presidencia de la LXII Legislatura remitió a las Comisiones Legislativas de Procuración y Administración de Justicia, y Para la Igualdad de Género para su estudio y dictamen, la Iniciativa con Proyecto de Decreto por el que se reforman y adicionan diversas disposiciones al Código Civil del Estado de México y a la Ley de Igualdad de Trato de Oportunidades entre Mujeres y Hombres del Estado de México, presentada por la diputada María del Carmen de la Rosa Mendoza, en nombre del Grupo Parlamentario del Partido morena; y la Iniciativa con Proyecto de Decreto por el que se agrega la fracción X recorriéndose las subsecuentes del artículo 96 de la Ley Orgánica Municipal del Estado de México y se adiciona la fracción VIII recorriéndose la subsecuente del artículo 10 de la Ley de Igualdad de Trato y Oportunidades entre Hombres y Mujeres del Estado de México, presentada por la diputada Araceli Casasola Salazar y el diputado Omar Ortega Álvarez, en nombre del Grupo Parlamentario del Partido de la Revolución Democrática.</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De acuerdo con la técnica legislativa y en términos del principio de economía procesal, advirtiendo que existe identidad de materia determinamos realizar el estudio conjunto de las iniciativas y conformar un dictamen y un proyecto de decreto que expresa los aspectos sobresalientes de las iniciativas y la normativa jurídica respectiva.</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Sustanciado el estudio de las iniciativas y ampliamente discutido en las comisiones legislativas, nos permitimos con fundamento con lo establecido en los artículos 68, 70 y 82 de la Ley Orgánica del Poder Legislativo, en relación con lo previsto en los artículos 13 A, 70, 73, 75, 78, 79 y 80 del Reglamento del Poder Legislativo, emitir el siguiente:</w:t>
      </w:r>
    </w:p>
    <w:p w:rsidR="00D23106" w:rsidRPr="006A4BCA" w:rsidRDefault="00D23106" w:rsidP="00C80DF4">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DICTAMEN</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Antecedentes y conclusión del estudio.</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la sesión de la LXII Legislatura realizada el día 3 de diciembre de 2025, la diputada María del Carmen de la Rosa Mendoza, en nombre del Grupo Parlamentario del Partido de morena, de conformidad con los artículos 6,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y 68 del Reglamento del Poder Legislativo del Estado Libre y Soberano de México, sometió a la consideración de la Soberanía Popular la iniciativa con Proyecto de Decreto por el que se reforman y adicionan diversas disposiciones al Código Civil del Estado de México y a la Ley de Igualdad de Trato y Oportunidades entre Hombres y Mujeres del Estado de México.</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Con sujeción al estudio realizado apreciamos que la iniciativa propone normativa a efecto de fomentar la igualdad de género en la distribución de los trabajos domésticos, así como también la corresponsabilidad familiar como principio.</w:t>
      </w:r>
    </w:p>
    <w:p w:rsidR="00D23106" w:rsidRPr="006A4BCA" w:rsidRDefault="00D23106"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la sesión de la LXII Legislatura celebrada el día 6 de febrero del año 2025 la diputada Araceli Casasola y el diputado Omar Ortega, en nombre del Grupo Parlamentario del Partido de la Revolución Democrática, en atención a lo dispuesto en los artículos 57 y 61 fracción I de la Constitución Política del Estado Libre y Soberano de México</w:t>
      </w:r>
      <w:r w:rsidR="009418C1" w:rsidRPr="006A4BCA">
        <w:rPr>
          <w:rFonts w:ascii="Times New Roman" w:hAnsi="Times New Roman" w:cs="Times New Roman"/>
          <w:sz w:val="24"/>
          <w:szCs w:val="24"/>
        </w:rPr>
        <w:t>;</w:t>
      </w:r>
      <w:r w:rsidRPr="006A4BCA">
        <w:rPr>
          <w:rFonts w:ascii="Times New Roman" w:hAnsi="Times New Roman" w:cs="Times New Roman"/>
          <w:sz w:val="24"/>
          <w:szCs w:val="24"/>
        </w:rPr>
        <w:t xml:space="preserve"> 38 fracción IV de la Ley Orgánica del Poder Legislativo y 72 de su Reglamento, sometió a la consideración de la Soberanía Popular la Iniciativa con Proyecto de Decreto por el que se agrega la fracción X recorriéndose las </w:t>
      </w:r>
      <w:r w:rsidRPr="006A4BCA">
        <w:rPr>
          <w:rFonts w:ascii="Times New Roman" w:hAnsi="Times New Roman" w:cs="Times New Roman"/>
          <w:sz w:val="24"/>
          <w:szCs w:val="24"/>
        </w:rPr>
        <w:lastRenderedPageBreak/>
        <w:t>subsecuentes el artículo 96 de la Ley Orgánica Municipal del Estado de México y se adiciona la fracción VIII recorriéndose las subsecuentes del artículo 10 de la Ley de Igualdad de Trato y Oportunidades entre Mujeres y Hombres del Estado de México.</w:t>
      </w:r>
    </w:p>
    <w:p w:rsidR="00E75FD5" w:rsidRPr="006A4BCA" w:rsidRDefault="00D23106" w:rsidP="00C80DF4">
      <w:pPr>
        <w:spacing w:after="0" w:line="240" w:lineRule="auto"/>
        <w:jc w:val="both"/>
      </w:pPr>
      <w:r w:rsidRPr="006A4BCA">
        <w:rPr>
          <w:rFonts w:ascii="Times New Roman" w:hAnsi="Times New Roman" w:cs="Times New Roman"/>
          <w:sz w:val="24"/>
          <w:szCs w:val="24"/>
        </w:rPr>
        <w:tab/>
        <w:t>Con apego al estudio realizado desprendemos que la iniciativa propone normativa en materia de corresponsabilidad en el ámbito familiar, en cumplimiento del proceso legislativo ordinario las comisiones legislativas celebramos el día 3 de marzo de 2026 reunión de estudio contando con la presencia y participación de la diputada María del Carmen de la Rosa Mendoza, promovente de una de las iniciativas, quien fortaleció los trabajos aportando mayores elementos que permitieron profundizar en los motivos, contenido y efecto de su propuesta legislativa, así como lo ordena la Ley Orgánica y el Reglamento del Poder Legislativo el día 10 de marzo del presente año, las comisiones legislativas dictaminaron las iniciativas como resultado</w:t>
      </w:r>
      <w:r w:rsidR="00F26FC5" w:rsidRPr="006A4BCA">
        <w:rPr>
          <w:rFonts w:ascii="Times New Roman" w:hAnsi="Times New Roman" w:cs="Times New Roman"/>
          <w:sz w:val="24"/>
          <w:szCs w:val="24"/>
        </w:rPr>
        <w:t xml:space="preserve"> del</w:t>
      </w:r>
      <w:r w:rsidR="00D76F1E" w:rsidRPr="006A4BCA">
        <w:rPr>
          <w:rFonts w:ascii="Times New Roman" w:hAnsi="Times New Roman" w:cs="Times New Roman"/>
          <w:sz w:val="24"/>
          <w:szCs w:val="24"/>
        </w:rPr>
        <w:t xml:space="preserve"> </w:t>
      </w:r>
      <w:r w:rsidR="00E75FD5" w:rsidRPr="006A4BCA">
        <w:rPr>
          <w:rFonts w:ascii="Times New Roman" w:hAnsi="Times New Roman" w:cs="Times New Roman"/>
          <w:sz w:val="24"/>
          <w:szCs w:val="24"/>
        </w:rPr>
        <w:t>estudio conjunto de las iniciativas es procedente reformar y adicionar en lo conducente y conforme al Proyecto de Decreto, la Ley Orgánica Municipal del Estado de México, el Código Civil del Estado de México y la Ley de Igualdad de Trato y Oportunidades entre Mujeres y Hombres del Estado de México.</w:t>
      </w:r>
    </w:p>
    <w:p w:rsidR="00E75FD5" w:rsidRPr="006A4BCA" w:rsidRDefault="00E75FD5"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En tér</w:t>
      </w:r>
      <w:r w:rsidR="00A50AA7" w:rsidRPr="006A4BCA">
        <w:rPr>
          <w:rFonts w:ascii="Times New Roman" w:hAnsi="Times New Roman" w:cs="Times New Roman"/>
          <w:sz w:val="24"/>
          <w:szCs w:val="24"/>
        </w:rPr>
        <w:t>m</w:t>
      </w:r>
      <w:r w:rsidRPr="006A4BCA">
        <w:rPr>
          <w:rFonts w:ascii="Times New Roman" w:hAnsi="Times New Roman" w:cs="Times New Roman"/>
          <w:sz w:val="24"/>
          <w:szCs w:val="24"/>
        </w:rPr>
        <w:t xml:space="preserve">inos del proyecto, conformando con la participación de integrantes de distintos grupos parlamentarios de las </w:t>
      </w:r>
      <w:r w:rsidR="00A50AA7" w:rsidRPr="006A4BCA">
        <w:rPr>
          <w:rFonts w:ascii="Times New Roman" w:hAnsi="Times New Roman" w:cs="Times New Roman"/>
          <w:sz w:val="24"/>
          <w:szCs w:val="24"/>
        </w:rPr>
        <w:t>comisiones legislativas</w:t>
      </w:r>
      <w:r w:rsidRPr="006A4BCA">
        <w:rPr>
          <w:rFonts w:ascii="Times New Roman" w:hAnsi="Times New Roman" w:cs="Times New Roman"/>
          <w:sz w:val="24"/>
          <w:szCs w:val="24"/>
        </w:rPr>
        <w:t>, reconocemos la trascendencia de la corresponsabilidad familiar y estamos de acuerdo en que se incorpore en la normativa jurídica conducente, entendiéndose como el reparto equilibrado de las tareas domésticas y de las responsabilidades familiares, tales como la organización, el cuidado, la educación y el afecto de las personas dependientes dentro del hogar, con el fin de distribuir de manera justa los tiempos de vida de hombres y mujeres.</w:t>
      </w:r>
    </w:p>
    <w:p w:rsidR="00E75FD5" w:rsidRPr="006A4BCA" w:rsidRDefault="00E75FD5" w:rsidP="008A79AE">
      <w:pPr>
        <w:pStyle w:val="Sinespaciado"/>
        <w:jc w:val="center"/>
        <w:rPr>
          <w:rFonts w:ascii="Times New Roman" w:hAnsi="Times New Roman" w:cs="Times New Roman"/>
          <w:sz w:val="24"/>
          <w:szCs w:val="24"/>
        </w:rPr>
      </w:pPr>
      <w:r w:rsidRPr="006A4BCA">
        <w:rPr>
          <w:rFonts w:ascii="Times New Roman" w:hAnsi="Times New Roman" w:cs="Times New Roman"/>
          <w:sz w:val="24"/>
          <w:szCs w:val="24"/>
        </w:rPr>
        <w:t>RESOLUTIVOS</w:t>
      </w:r>
    </w:p>
    <w:p w:rsidR="00E75FD5" w:rsidRPr="006A4BCA" w:rsidRDefault="00E75FD5"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PRIMERO. Son de aprobarse en lo conducente, conforme al Proyecto de Decreto que ha sido integrado la </w:t>
      </w:r>
      <w:r w:rsidR="00877022" w:rsidRPr="006A4BCA">
        <w:rPr>
          <w:rFonts w:ascii="Times New Roman" w:hAnsi="Times New Roman" w:cs="Times New Roman"/>
          <w:sz w:val="24"/>
          <w:szCs w:val="24"/>
        </w:rPr>
        <w:t xml:space="preserve">Iniciativa </w:t>
      </w:r>
      <w:r w:rsidRPr="006A4BCA">
        <w:rPr>
          <w:rFonts w:ascii="Times New Roman" w:hAnsi="Times New Roman" w:cs="Times New Roman"/>
          <w:sz w:val="24"/>
          <w:szCs w:val="24"/>
        </w:rPr>
        <w:t xml:space="preserve">con Proyecto de Decreto por el que se reforman y adicionan diversas disposiciones al Código Civil del Estado de México y la Ley de Igualdad de Trato y Oportunidades entre Mujeres y Hombres del Estado de México, presentada por la diputada María del Carmen de la Rosa Mendoza, en nombre del Grupo Parlamentario de morena y la iniciativa con proyecto de decreto por el que se reforma y adiciona la Ley Orgánica Municipal del Estado de México y adiciona la Ley de Igualdad de Trato y Oportunidades entre Mujeres y Hombres del Estado de México, presentada por la diputada Araceli Casasola Salazar y el diputado Omar Ortega Álvarez, en nombre del Grupo Parlamentario del Partido de la Revolución Democrática. </w:t>
      </w:r>
    </w:p>
    <w:p w:rsidR="00E75FD5" w:rsidRPr="006A4BCA" w:rsidRDefault="00E75FD5"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SEGUNDO. Se adjunta el Proyecto de Decreto por el que se reforman las fracciones XVI y XVII y se adiciona la fracción XVIII, al artículo 96 de la Ley Orgánica Municipal del Estado de México.</w:t>
      </w:r>
    </w:p>
    <w:p w:rsidR="00E75FD5" w:rsidRPr="006A4BCA" w:rsidRDefault="00E75FD5"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Se reforma el primer párrafo del artículo 4.1, el primer párrafo del artículo 4.1 Bis, el primer párrafo del artículo 4.16, el primer párrafo del artículo 4.19 y el artículo 4.404 del Código Civil del Estado de México. Se reforman las fracciones VI y VII del artículo 4º, las fracciones IX y X del artículo 7, la fracción XXII del artículo 10 y la fracción V, del artículo 32, y se adicionan la fracción VIII, al artículo 4º, la fracción III Bis, al artículo 6º, la fracción IX, al artículo 7 y la fracción XXIII al artículo 10 de la Ley de Igualdad de Trato y Oportunidades entre Mujeres y Hombres del Estado de México. </w:t>
      </w:r>
    </w:p>
    <w:p w:rsidR="00E75FD5" w:rsidRPr="006A4BCA" w:rsidRDefault="00E75FD5"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TERCERO. Previa discusión y aprobación por la Legislatura en pleno, remítase a la persona Titular del Ejecutivo Estatal para los efectos necesarios.</w:t>
      </w:r>
    </w:p>
    <w:p w:rsidR="00E75FD5" w:rsidRPr="006A4BCA" w:rsidRDefault="00E75FD5"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Dado en el Palacio del Poder Legislativo en la ciudad de Toluca de Lerdo, capital del Estado de México, a los diez días del mes marzo del dos mil veintiséis. </w:t>
      </w:r>
    </w:p>
    <w:p w:rsidR="00E75FD5" w:rsidRPr="006A4BCA" w:rsidRDefault="00E75FD5"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Es cuanto Presidenta. </w:t>
      </w:r>
    </w:p>
    <w:p w:rsidR="0091645A" w:rsidRPr="006A4BCA" w:rsidRDefault="0091645A" w:rsidP="00977984">
      <w:pPr>
        <w:pStyle w:val="Sinespaciado"/>
        <w:jc w:val="both"/>
        <w:rPr>
          <w:rFonts w:ascii="Times New Roman" w:hAnsi="Times New Roman" w:cs="Times New Roman"/>
          <w:sz w:val="24"/>
          <w:szCs w:val="24"/>
        </w:rPr>
      </w:pPr>
    </w:p>
    <w:p w:rsidR="0091645A" w:rsidRPr="006A4BCA" w:rsidRDefault="0091645A" w:rsidP="00977984">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(Se inserta documento)</w:t>
      </w:r>
    </w:p>
    <w:p w:rsidR="00935257" w:rsidRPr="006A4BCA" w:rsidRDefault="00935257" w:rsidP="00977984">
      <w:pPr>
        <w:spacing w:after="0" w:line="240" w:lineRule="auto"/>
        <w:contextualSpacing/>
        <w:jc w:val="both"/>
        <w:rPr>
          <w:rFonts w:ascii="Times New Roman" w:eastAsia="Calibri" w:hAnsi="Times New Roman" w:cs="Times New Roman"/>
          <w:b/>
          <w:sz w:val="24"/>
          <w:szCs w:val="24"/>
        </w:rPr>
      </w:pPr>
      <w:bookmarkStart w:id="1" w:name="_Hlk164223724"/>
      <w:bookmarkStart w:id="2" w:name="_Hlk211012948"/>
    </w:p>
    <w:p w:rsidR="00935257" w:rsidRPr="006A4BCA" w:rsidRDefault="00935257" w:rsidP="00977984">
      <w:pPr>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DICTAMEN FORMULADO A </w:t>
      </w:r>
      <w:bookmarkEnd w:id="1"/>
      <w:r w:rsidRPr="006A4BCA">
        <w:rPr>
          <w:rFonts w:ascii="Times New Roman" w:eastAsia="Calibri" w:hAnsi="Times New Roman" w:cs="Times New Roman"/>
          <w:b/>
          <w:sz w:val="24"/>
          <w:szCs w:val="24"/>
        </w:rPr>
        <w:t xml:space="preserve">LA </w:t>
      </w:r>
      <w:bookmarkEnd w:id="2"/>
      <w:r w:rsidRPr="006A4BCA">
        <w:rPr>
          <w:rFonts w:ascii="Times New Roman" w:eastAsia="Calibri" w:hAnsi="Times New Roman" w:cs="Times New Roman"/>
          <w:b/>
          <w:sz w:val="24"/>
          <w:szCs w:val="24"/>
        </w:rPr>
        <w:t>INICIATIVA CON PROYECTO DE DECRETO POR EL QUE SE REFORMAN Y ADICIONAN DIVERSAS DISPOSICIONES AL CÓDIGO CIVIL DEL ESTADO DE MÉXICO Y A LA LEY DE IGUALDAD DE TRATO Y OPORTUNIDADES ENTRE MUJERES Y HOMBRES DEL ESTADO DE MÉXICO, PRESENTADA POR LA DIPUTADA MARÍA DEL CARMEN DE LA ROSA MENDOZA, EN NOMBRE DEL GRUPO PARLAMENTARIO DEL PARTIDO MORENA Y A LA INICIATIVA CON PROYECTO DE DECRETO POR EL QUE SE AGREGA LA FRACCIÓN X, RECORRIÉNDOSE LAS SUBSECUENTES, DEL ARTÍCULO 96 QUATERDECIES DE LA LEY ORGÁNICA MUNICIPAL DEL ESTADO DE MÉXICO Y SE ADICIONA LA FRACCIÓN VIII, RECORRIÉNDOSE LA SUBSECUENTE, DEL ARTÍCULO 10 DE LA LEY DE IGUALDAD DE TRATO Y OPORTUNIDADES ENTRE MUJERES Y HOMBRES DEL ESTADO DE MÉXICO, PRESENTADA POR LA DIPUTADA ARACELI CASASOLA SALAZAR Y EL DIPUTADO OMAR ORTEGA ÁLVAREZ, EN NOMBRE DEL GRUPO PARLAMENTARIO DEL PARTIDO DE LA REVOLUCIÓN DEMOCRÁTICA.</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HONORABLE ASAMBLEA:</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La Presidencia de la "LXII" Legislatura remitió a las Comisiones Legislativas de Procuración y Administración de Justicia y Para la Igualdad de Género, para su estudio y dictamen, la </w:t>
      </w:r>
      <w:bookmarkStart w:id="3" w:name="_Hlk181982337"/>
      <w:bookmarkStart w:id="4" w:name="_Hlk223957293"/>
      <w:r w:rsidRPr="006A4BCA">
        <w:rPr>
          <w:rFonts w:ascii="Times New Roman" w:eastAsia="Calibri" w:hAnsi="Times New Roman" w:cs="Times New Roman"/>
          <w:sz w:val="24"/>
          <w:szCs w:val="24"/>
        </w:rPr>
        <w:t>Iniciativa con Proyecto de Decreto por el que se reforman y adicionan diversas disposiciones al Código Civil del Estado de México y a la Ley de Igualdad de Trato y Oportunidades entre Mujeres y Hombres del Estado de México, presentada por la Diputada María del Carmen De la Rosa Mendoza, en nombre del Grupo Parlamentario del Partido morena y la Iniciativa con Proyecto de Decreto por el que se agrega la fracción X, recorriéndose las subsecuentes, del artículo 96 Quaterdecies de la Ley Orgánica Municipal del Estado de México y se adiciona la fracción VIII, recorriéndose la subsecuente, del artículo 10 de la Ley de Igualdad de Trato y Oportunidades entre Mujeres y Hombres del Estado de México, presentada por la Diputada Araceli Casasola Salazar y el Diputado Omar Ortega Álvarez, en nombre del Grupo Parlamentario del Partido de la Revolución Democrática.</w:t>
      </w:r>
    </w:p>
    <w:bookmarkEnd w:id="4"/>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De acuerdo con la técnica legislativa y en términos del Principio de Economía Procesal, advirtiendo que existe identidad de materia, determinamos realizar el estudio conjunto de las iniciativas y conformar un dictamen y un Proyecto de Decreto que expresa los aspectos sobresalientes de las iniciativas y la normativa jurídica respectiva.</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bookmarkEnd w:id="3"/>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Sustanciado el estudio de las iniciativas y ampliamente discutido en las comisiones legislativas, nos permitimos, con fundamento en lo establecido en los artículos 68, 70 y 82 de la Ley Orgánica del Poder Legislativo, en relación con lo previsto en los artículos 13 A, 70, 73, 75, 78, 79 y 80 del Reglamento del Poder Legislativo, emitir el siguiente:</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DICTAMEN</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ANTECEDENTES Y CONCLUSIÓN DEL ESTUDIO.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
          <w:bCs/>
          <w:sz w:val="24"/>
          <w:szCs w:val="24"/>
        </w:rPr>
        <w:t>1.-</w:t>
      </w:r>
      <w:r w:rsidRPr="006A4BCA">
        <w:rPr>
          <w:rFonts w:ascii="Times New Roman" w:eastAsia="Calibri" w:hAnsi="Times New Roman" w:cs="Times New Roman"/>
          <w:bCs/>
          <w:sz w:val="24"/>
          <w:szCs w:val="24"/>
        </w:rPr>
        <w:t xml:space="preserve"> En sesión de la “LXII” Legislatura realizada el día tres de diciembre de dos mil veinticinco, la Diputada María del Carmen de la Rosa Mendoza, en nombre del Grupo Parlamentario del Partido morena, de conformidad con los artículos 6, 71 fracción III de la Constitución Política de los </w:t>
      </w:r>
      <w:r w:rsidRPr="006A4BCA">
        <w:rPr>
          <w:rFonts w:ascii="Times New Roman" w:eastAsia="Calibri" w:hAnsi="Times New Roman" w:cs="Times New Roman"/>
          <w:bCs/>
          <w:sz w:val="24"/>
          <w:szCs w:val="24"/>
        </w:rPr>
        <w:lastRenderedPageBreak/>
        <w:t>Estados Unidos Mexicanos; 57 y 61 fracciones I y IV de la Constitución Política del Estado Libre y Soberano de México; 28 fracción I, 38 fracción I, 79 y 81 de la Ley Orgánica del Poder Legislativo del Estado Libre y Soberano de México; y 68 del Reglamento del Poder Legislativo del Estado Libre y Soberano de México, sometió a la consideración de la Soberanía Popular la Iniciativa con Proyecto de Decreto por el que se reforman y adicionan diversas disposiciones al Código Civil del Estado de México y a la Ley de Igualdad de Trato y Oportunidades entre Mujeres y Hombres del Estado de México.</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Con sujeción al estudio realizado apreciamos que la iniciativa propone normativa a efecto de fomentar la igualdad de género en la distribución de los trabajos domésticos, así como también la corresponsabilidad familiar como principio.</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
          <w:bCs/>
          <w:sz w:val="24"/>
          <w:szCs w:val="24"/>
        </w:rPr>
        <w:t>2.-</w:t>
      </w:r>
      <w:r w:rsidRPr="006A4BCA">
        <w:rPr>
          <w:rFonts w:ascii="Times New Roman" w:eastAsia="Calibri" w:hAnsi="Times New Roman" w:cs="Times New Roman"/>
          <w:bCs/>
          <w:sz w:val="24"/>
          <w:szCs w:val="24"/>
        </w:rPr>
        <w:t xml:space="preserve"> En sesión de la “LXII” Legislatura celebrada el día seis de febrero de dos mil veinticinco, la Diputada Araceli Casasola Salazar y el Diputado Omar Ortega Álvarez, en nombre del Grupo Parlamentario del Partido de la Revolución Democrática, en atención a lo dispuesto en los artículos 57 y 61 fracción I de la Constitución Política del Estado Libre y Soberano de México; 38 fracción IV de la Ley Orgánica del Poder Legislativo; y 72 de su Reglamento, sometió a la consideración de la Soberanía Popular la Iniciativa con Proyecto de Decreto por el que se agrega la fracción X, recorriéndose las subsecuentes, del Artículo 96 Quaterdecies de la Ley Orgánica Municipal del Estado de México y se adiciona la fracción VIII, recorriéndose las subsecuentes, del Artículo 10 de la Ley de Igualdad de Trato y Oportunidades entre Mujeres y Hombres del Estado de México.</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Con apego al estudio realizado, desprendemos que la iniciativa propone normativa en materia de corresponsabilidad en el ámbito familiar.</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
          <w:bCs/>
          <w:sz w:val="24"/>
          <w:szCs w:val="24"/>
        </w:rPr>
        <w:t>3.-</w:t>
      </w:r>
      <w:r w:rsidRPr="006A4BCA">
        <w:rPr>
          <w:rFonts w:ascii="Times New Roman" w:eastAsia="Calibri" w:hAnsi="Times New Roman" w:cs="Times New Roman"/>
          <w:bCs/>
          <w:sz w:val="24"/>
          <w:szCs w:val="24"/>
        </w:rPr>
        <w:t xml:space="preserve"> En cumplimiento del proceso legislativo ordinario, las comisiones legislativas celebramos, el día tres de marzo dos mil veintiséis, reunión de estudio contando con la presencia y participación de la Diputada María del Carmen de la Rosa Mendoza, promovente de una de las iniciativas, quien fortaleció los trabajos, aportando mayores elementos que permitieron profundizar en los motivos, contenido y efectos de su propuesta legislativa.</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Asimismo, como lo ordena la Ley Orgánica y el Reglamento del Poder Legislativo, el día diez de marzo del presente año, las comisiones legislativas dictaminaron las iniciativas.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
          <w:sz w:val="24"/>
          <w:szCs w:val="24"/>
        </w:rPr>
        <w:t>4.-</w:t>
      </w:r>
      <w:r w:rsidRPr="006A4BCA">
        <w:rPr>
          <w:rFonts w:ascii="Times New Roman" w:eastAsia="Calibri" w:hAnsi="Times New Roman" w:cs="Times New Roman"/>
          <w:sz w:val="24"/>
          <w:szCs w:val="24"/>
        </w:rPr>
        <w:t xml:space="preserve"> Como resultado del estudio conjunto de las iniciativas es procedente reformar y adicionar, en lo conducente y conforme al Proyecto de Decreto correspondiente: la Ley Orgánica Municipal del Estado de México, el </w:t>
      </w:r>
      <w:r w:rsidRPr="006A4BCA">
        <w:rPr>
          <w:rFonts w:ascii="Times New Roman" w:eastAsia="Calibri" w:hAnsi="Times New Roman" w:cs="Times New Roman"/>
          <w:bCs/>
          <w:sz w:val="24"/>
          <w:szCs w:val="24"/>
        </w:rPr>
        <w:t>Código Civil del Estado de México y la Ley de Igualdad de Trato y Oportunidades entre Mujeres y Hombres del Estado de México, en términos del Proyecto de Decreto, conformado con la participación de integrantes de distintos Grupos Parlamentarios de las comisiones legislativas.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
          <w:bCs/>
          <w:sz w:val="24"/>
          <w:szCs w:val="24"/>
        </w:rPr>
        <w:t>5.-</w:t>
      </w:r>
      <w:r w:rsidRPr="006A4BCA">
        <w:rPr>
          <w:rFonts w:ascii="Times New Roman" w:eastAsia="Calibri" w:hAnsi="Times New Roman" w:cs="Times New Roman"/>
          <w:bCs/>
          <w:sz w:val="24"/>
          <w:szCs w:val="24"/>
        </w:rPr>
        <w:t xml:space="preserve"> Reconocemos la trascendencia de la corresponsabilidad familiar y estamos de acuerdo en que se incorpore en la normativa jurídica conducente, entendiéndose como el reparto equilibrado de las tareas domésticas y de las responsabilidades familiares, tales como la organización, el cuidado, la educación y el afecto de personas dependientes dentro del hogar, con el fin de distribuir de manera justa los tiempos de vida de mujeres y hombres.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CONSIDERACIONES.</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lastRenderedPageBreak/>
        <w:t>Compete a la “LXII” Legislatura conocer y resolver las iniciativas con Proyecto Decreto, en términos de lo señalado en el artículo 61 fracción I de la Constitución Política del Estado Libre y Soberano de México, que la faculta a</w:t>
      </w:r>
      <w:r w:rsidRPr="006A4BCA">
        <w:rPr>
          <w:rFonts w:ascii="Times New Roman" w:eastAsia="Times New Roman" w:hAnsi="Times New Roman" w:cs="Times New Roman"/>
          <w:sz w:val="24"/>
          <w:szCs w:val="24"/>
          <w:lang w:eastAsia="es-ES"/>
        </w:rPr>
        <w:t xml:space="preserve"> </w:t>
      </w:r>
      <w:r w:rsidRPr="006A4BCA">
        <w:rPr>
          <w:rFonts w:ascii="Times New Roman" w:eastAsia="Calibri" w:hAnsi="Times New Roman" w:cs="Times New Roman"/>
          <w:bCs/>
          <w:sz w:val="24"/>
          <w:szCs w:val="24"/>
        </w:rPr>
        <w:t>expedir leyes, decretos o acuerdos para el régimen interior del Estado, en todos los ramos de la administración del gobierno.</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bCs/>
          <w:sz w:val="24"/>
          <w:szCs w:val="24"/>
        </w:rPr>
      </w:pPr>
      <w:r w:rsidRPr="006A4BCA">
        <w:rPr>
          <w:rFonts w:ascii="Times New Roman" w:eastAsia="Calibri" w:hAnsi="Times New Roman" w:cs="Times New Roman"/>
          <w:b/>
          <w:bCs/>
          <w:sz w:val="24"/>
          <w:szCs w:val="24"/>
        </w:rPr>
        <w:t>ASPECTOS SOBRESALIENTES DE LA PARTE EXPOSITIVA DE LAS INICIATIVAS.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bCs/>
          <w:sz w:val="24"/>
          <w:szCs w:val="24"/>
        </w:rPr>
      </w:pPr>
      <w:r w:rsidRPr="006A4BCA">
        <w:rPr>
          <w:rFonts w:ascii="Times New Roman" w:eastAsia="Calibri" w:hAnsi="Times New Roman" w:cs="Times New Roman"/>
          <w:b/>
          <w:bCs/>
          <w:sz w:val="24"/>
          <w:szCs w:val="24"/>
        </w:rPr>
        <w:t>Iniciativa con Proyecto de Decreto por el que se reforman y adicionan diversas disposiciones al Código Civil del Estado de México y la Ley de Igualdad de Trato y Oportunidades entre Mujeres y Hombres del Estado de México, presentada por la Diputada María del Carmen De la Rosa Mendoza, en nombre del Grupo Parlamentario del Partido morena.</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Destaca que desde hace años los movimientos sociales encabezados por mujeres han impulsado la igualdad sustantiva en todos los ámbitos de la vida cotidiana, tanto en lo público como en lo privado. Han exhibido las brechas de desigualdad y han emprendido diversos esfuerzos para eliminar las barreras que impiden el ejercicio pleno de sus derechos.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Agrega que en el ámbito económico y laboral se advierte un mayor número de barreras existentes por razones de género que impiden que las mujeres se desarrollen plenamente en estos ámbitos, ONU MUJERES menciona que “las mujeres tienden en mayor medida a realizar trabajos por los que no reciben remuneración alguna, tal como el cuidado de menores, personas de la tercera edad, personas con discapacidad y/o personas enfermas, y el trabajo doméstico.”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Precisa que en este sentido la Comisión Económica para América Latina y el Caribe advierte que “las mujeres no pueden insertarse en el mercado de trabajo de forma adecuada debido al poco tiempo que tienen disponible, generando una reacción en cadena en su contra, ya que los ingresos que obtendrían por el trabajo remunerado serán menores y se insertarán en trabajos de baja calidad, muchos de ellos en la informalidad (CEPAL, 2020).”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Aclara que Kabeer sostiene que las reglas, costumbres, creencias y valores vinculados a la definición de lo femenino que asignan diferentes roles y responsabilidades a mujeres y niñas son clasificadas en la literatura como restricciones intrínsecas (Kabeer, 2012) y que la realidad que expone Kabeer ejemplifica la idea de que el papel de las mujeres se encontraba en lo privado, es decir, en el hogar y que la tarea de los cuidados familiares y labores domésticos no remunerados era obligación y responsabilidad de las mujeres, otorgándoles dobles jornadas laborales.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Comenta que la Convención sobre la eliminación de todas las formas de discriminación contra la mujer y reproduce en su artículo 16.</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Explica que al respecto la Declaración Universal de Derechos Humanos, establece que la familia es el elemento básico de la sociedad, es una institución social y jurídica. También es una institución económica. Los estudios de mercado en el ámbito de la familia han puesto de manifiesto que las estructuras familiares, la división del trabajo dentro de la familia en función del género y el derecho de familia afectan al bienestar económico de la mujer tanto como la estructura del mercado de trabajo y las leyes laborales. En efecto, con frecuencia las mujeres no se benefician por igual de la riqueza y las ganancias económicas de su familia, suelen soportar mayores cargas que los hombres en los casos de ruptura de la familia y pueden quedar en la indigencia tras su viudez, especialmente si tienen hijos y, en particular, cuando la red de seguridad económica que ofrece el Estado es escasa o nula.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Señala que la recomendación general relativa al artículo 16 de la Convención sobre la Eliminación de Todas las Formas de Discriminación contra la Mujer en su apartado “antecedentes” establece que el derecho de la mujer a la igualdad dentro de la familia está universalmente reconocido, como ponen de manifiesto las observaciones generales pertinentes de otros órganos creados en virtud de tratados de derechos humanos, a saber: las observaciones generales del Comité de Derechos Humanos núm. 28, sobre la igualdad de derechos entre hombres y mujeres (en particular los párrafos 23 a 27), y núm. 19, sobre la protección de la familia, el derecho al matrimonio y la igualdad de los esposos; y las observaciones generales del Comité de Derechos Económicos, Sociales y Culturales núm. 16, sobre la igualdad de derechos del hombre y la mujer al disfrute de los derechos económicos, sociales y culturales (en particular el párrafo 27), y núm. 20, sobre la no discriminación y los derechos económicos, sociales y culturales. Importantes documentos políticos mundiales como la Plataforma de Acción de Beijing y los Objetivos de Desarrollo del Milenio, también hacen referencia a la igualdad en la familia como principio fundamental.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Menciona que las actividades del hogar no remuneradas y los cuidados familiares recaen principalmente en las mujeres la ONU advierte que las sociedades con sistemas de cuidados que recaen sobre todo en el trabajo no remunerado de las mujeres al interior de los hogares y en las redes de cuidado informales, más que en esquemas de corresponsabilidad social y la provisión de servicios públicos y privados accesibles y pertinentes, contribuyen a la reproducción de cargas de cuidados desiguales, que afectan principalmente a las mujeres (Elson, 2017; UN Women, 2018) y limitan sus posibilidades de empoderamiento en múltiples dimensiones. De manera que las políticas orientadas a disminuir las cargas del trabajo de cuidados para las mujeres puede ser la manera más eficiente de reducir las brechas de género en la participación en el mercado laboral (UNECE, 2014; ONU Mujeres, 2018a). La disponibilidad, calidad y accesibilidad de servicios de cuidados determinan las condiciones del entorno, y al igual que la provisión de otros servicios sociales básicos, se relacionan con las posibilidades de reconocimiento, reducción, y redistribución del trabajo no remunerado de las mujeres.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Afirma que el marco de las Tres R propuesto por Elson (2008 y 2017) busca analizar las políticas de cuidados en función de los cambios que se propone alcanzar en relación con: El reconocimiento del trabajo de cuidados no remunerado; la reducción de dicho trabajo a través del desarrollo de servicios o prestaciones para el cuidado (licencias y medidas de corresponsabilidad en las empresas); y la redistribución del trabajo de cuidados no remunerado entre varones y mujeres.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Explica que en ese marco, la corresponsabilidad social refiere básicamente a la R de reducir el trabajo no remunerado de cuidados en los hogares mediante la provisión de servicios y prestaciones. La corresponsabilidad social se da entre las familias, el mercado, el Estado y la comunidad. La corresponsabilidad de género refiere a la redistribución del trabajo no remunerado entre varones y mujeres que debe darse al interior de las familias y los hogares. Según el enfoque de las Tres R, esto refiere a la R de redistribuir. Esa redistribución se promueve por medio de las licencias, la flexibilización de la jornada laboral (diaria o mensual) y la flexibilidad en el lugar de trabajo (teletrabajo o trabajo a distancia).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Enuncia diversos instrumentos internacionales que han profundizado sobre la importancia del trabajo de las mujeres en los hogares.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En cuanto a México, resalta que según la Encuesta Nacional de Ocupación y Empleo (ENOE) sobre la población de 15 años y más, en 2025 la tasa de participación económica de las mujeres fue de </w:t>
      </w:r>
      <w:r w:rsidRPr="006A4BCA">
        <w:rPr>
          <w:rFonts w:ascii="Times New Roman" w:eastAsia="Calibri" w:hAnsi="Times New Roman" w:cs="Times New Roman"/>
          <w:bCs/>
          <w:sz w:val="24"/>
          <w:szCs w:val="24"/>
        </w:rPr>
        <w:lastRenderedPageBreak/>
        <w:t>45.6 % y la de hombres, de 75.4 por ciento. Respecto al año anterior, la participación de mujeres bajó 0.9 puntos porcentuales y la de hombres se mantuvo.</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Estima que lo anterior puede tener diversas posturas analíticas, la ONU sostiene que las responsabilidades y tiempo dedicado al hogar o al cuidado de personas dependientes, sin recibir remuneración alguna, restringe notablemente la posibilidad de las mujeres de contar con ingresos propios, de buscar opciones en el mercado laboral, de participar plenamente en la política y la sociedad, al mismo tiempo que las relega de la protección social indispensable para la satisfacción autónoma de sus necesidades.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Adiciona que la Encuesta Nacional sobre Uso del Tiempo (ENUT) 2024, del Inegi, muestra que las mujeres dedican 66.8% de su tiempo laboral a actividades no remuneradas, mientras que los hombres 33.2%. En promedio, ellas trabajan 61.1 horas a la semana, 3.1 más que los hombres, pero gran parte corresponde a tareas domésticas y de cuidado: 39.7 horas semanales frente a 18.2 de los hombres, una brecha de 21.5 horas.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Por lo que respecta al Estado de México, reconoce que las mujeres se han integrado al mercado laboral con jornadas de 40.9 horas semanales promedio, pero siguen destinando 37.4 al trabajo no remunerado de los hogares y 5.9 a la producción de bienes para uso exclusivo del hogar, en tanto los varones cumplen con jornadas laborales remuneradas que alcanzan las 50.8 horas semanales, lo cual disminuye su participación en los trabajos domésticos y de cuidados a escasas 13.9 horas y a 6.8 para el caso de la producción de bienes para uso exclusivo del hogar. A pesar de las disparidades con respecto a los promedios nacionales, la brecha del tiempo total de trabajo entre hombres y mujeres en el Estado de México se reduce a 5 horas a la semana.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Alude a la afirmación de la ONU en cuanto a que para lograr la igualdad entre los géneros y empoderar a todas las mujeres y las niñas, como dicta el Objetivo número 5 de Desarrollo Sostenible, conlleva prestar especial atención a la división y patrones de género existentes en el mercado de trabajo, y al interior de la organización familiar y a cómo en ese mundo las mujeres se encuentran en una situación de desventaja al tomar acción y decisiones dentro de una estructura delimitada por reglas y normas sociales.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bCs/>
          <w:sz w:val="24"/>
          <w:szCs w:val="24"/>
        </w:rPr>
      </w:pPr>
      <w:r w:rsidRPr="006A4BCA">
        <w:rPr>
          <w:rFonts w:ascii="Times New Roman" w:eastAsia="Calibri" w:hAnsi="Times New Roman" w:cs="Times New Roman"/>
          <w:b/>
          <w:bCs/>
          <w:sz w:val="24"/>
          <w:szCs w:val="24"/>
        </w:rPr>
        <w:t>Iniciativa con Proyecto de Decreto por el que se agrega la fracción X, recorriéndose las subsecuentes, del artículo 96 Quaterdecies de la Ley Orgánica Municipal del Estado de México y se adiciona la fracción VIII, recorriéndose la subsecuente, del artículo 10 de la Ley de Igualdad de Trato y Oportunidades entre Mujeres y Hombres del Estado de México, presentada por la Diputada Araceli Casasola Salazar y el Diputado Omar Ortega Álvarez, en nombre del Grupo Parlamentario del Partido de la Revolución Democrática.</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Expone que la corresponsabilidad familiar es un concepto fundamental que busca la participación equitativa de todos los miembros del hogar en las tareas domésticas, el cuidado de las hijas e hijos, y la atención emocional dentro del ámbito familiar.</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Precisa que, en México, este tema ha cobrado relevancia en los últimos años debido a la necesidad de avanzar hacia una sociedad más equitativa y justa, donde la igualdad de género no sea solo un ideal, sino una realidad tangible en la vida cotidiana de las familias mexicanas.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Estima que, a pesar de los esfuerzos realizados, el tema enfrenta importantes desafíos en la realidad inmediata; las tradiciones culturales, los estereotipos de género arraigados y la falta de políticas </w:t>
      </w:r>
      <w:r w:rsidRPr="006A4BCA">
        <w:rPr>
          <w:rFonts w:ascii="Times New Roman" w:eastAsia="Calibri" w:hAnsi="Times New Roman" w:cs="Times New Roman"/>
          <w:bCs/>
          <w:sz w:val="24"/>
          <w:szCs w:val="24"/>
        </w:rPr>
        <w:lastRenderedPageBreak/>
        <w:t>públicas adecuadas han contribuido a que la distribución de las tareas del hogar y el cuidado de los hijos continúe recayendo mayoritariamente en las mujeres. Esta situación no solo perpetúa la desigualdad, sino que también limita las oportunidades de desarrollo personal y profesional para las mujeres.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Explica que hoy en día muchas mujeres participan activamente en el mercado laboral, sin embargo, continúan realizando dobles jornadas en el hogar, pues siguen siendo las principales responsables de las labores domésticas. Esta doble carga, hay que decirlo, afecta su bienestar físico y emocional, y reduce su tiempo disponible para actividades de desarrollo personal y profesional. Además, la falta de participación de los hombres en estas tareas refuerza estereotipos de género que perpetúan la desigualdad.</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Menciona la falta de políticas públicas que fomentan la corresponsabilidad también es un obstáculo, por ejemplo, las licencias de paternidad son limitadas en duración y no siempre son promovidas activamente por las empresas; esto dificulta que los padres puedan involucrarse de manera equitativa en el cuidado de sus hijos desde el nacimiento. Además, la falta de horarios laborales flexibles y de servicios de cuidado infantil accesibles y de calidad limita las posibilidades de que ambos padres compartan las responsabilidades del hogar.</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Refiere que en el Grupo Parlamentario del PRD en el Estado de México y propiamente el Instituto Político fue pionero en el tema en nuestra Entidad Federativa y, actualmente, los padres tienen el derecho de solicitar días para compartir con la o el recién nacido; esta reforma fue publicada en octubre del 2020 en Gaceta de Gobierno, pero los esfuerzos no deben de concluir ahí; todos ellos deben buscar abonar hacia la consolidación de una sociedad mucho más justa y sensible.</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Resalta que los modelos culturales tradicionales también juegan un papel importante en la falta de corresponsabilidad familiar. La cultura machista, que asigna roles específicos a hombres y mujeres, sigue presente en muchos hogares.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Agrega que esta cultura promueve la idea de que las mujeres son las únicas responsables del hogar y del cuidado de los hijos, mientras que los hombres deben ser los proveedores económicos. Estos estereotipos no solo afectan la dinámica familiar, sino que también limitan el desarrollo de los hombres en su rol de cuidadores y participantes activos en la vida familiar y aclara que la educación en corresponsabilidad es otro aspecto que necesita atención; en muchos casos, las infancias crecen en entornos donde la desigualdad en la distribución de las tareas es la norma, por ello, resulta importante implementar programas educativos que promuevan la equidad desde las primeras etapas de la vida, tanto en el ámbito escolar como en el familiar.</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Argumenta que el desarrollo adecuado de la corresponsabilidad familiar en México es crucial por varias razones. En primer lugar, promueve la igualdad de género. Cuando hombres y mujeres comparten de manera justa las tareas del hogar y el cuidado de los hijos, se derriban estereotipos de género y se crean oportunidades equitativas en todos los ámbitos de la vida.  Esto no solo beneficia a las mujeres, sino que también permite a los hombres desarrollar una relación más cercana y significativa con sus hijos y participar de manera activa en la vida familiar.</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Afirma que, la corresponsabilidad mejora el bienestar familiar. Cuando las responsabilidades se comparten de manera equitativa, se reduce el estrés y la sobrecarga que recae en un solo miembro de la familia. Esto contribuye a crear un ambiente más armonioso y equilibrado, donde todos los integrantes se sienten valorados y apoyados. La comunicación y la cooperación dentro del hogar </w:t>
      </w:r>
      <w:r w:rsidRPr="006A4BCA">
        <w:rPr>
          <w:rFonts w:ascii="Times New Roman" w:eastAsia="Calibri" w:hAnsi="Times New Roman" w:cs="Times New Roman"/>
          <w:bCs/>
          <w:sz w:val="24"/>
          <w:szCs w:val="24"/>
        </w:rPr>
        <w:lastRenderedPageBreak/>
        <w:t>también se fortalecen, lo que mejora la calidad de las relaciones familiares.  El impacto positivo de la corresponsabilidad en el desarrollo infantil también es significativo y reconoce que los niños y niñas que crecen en hogares donde ambos padres participan activamente en el cuidado y las tareas domésticas tienden a desarrollar una mayor empatía, sentido de justicia e independencia. Además, estos niños aprenden con el ejemplo a valorar la igualdad y la cooperación, lo que contribuye a formar ciudadanos más justos y equitativos en el futuro.</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Por otra parte, realiza la corresponsabilidad familiar en el sentido de que, también tiene beneficios para la salud mental y emocional de todos los miembros del hogar. La distribución de las tareas reduce la carga emocional y física, lo que contribuye a un mejor equilibrio entre la vida personal y profesional.</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Puntualiza cuando las responsabilidades familiares están equilibradas, tanto hombres como mujeres pueden desarrollarse plenamente en sus carreras profesionales. Esto no solo beneficia a las personas, sino que también incrementa la productividad y el talento disponible en el mercado laboral, contribuyendo al crecimiento económico del país.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Con base en lo anterior, admite necesario un esfuerzo conjunto que incluya cambios culturales, políticas públicas inclusivas y educación desde las primeras etapas de la vida. Es fundamental que el gobierno implemente políticas que fomenten la participación activa de los hombres en las responsabilidades del hogar, como licencias de paternidad más largas y flexibles, y programas de concientización sobre la importancia de la igualdad de género.</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Aprecia que las empresas también tienen un papel crucial en la promoción de la corresponsabilidad. La implementación de horarios flexibles, el teletrabajo y la creación de espacios de cuidado infantil en los lugares de trabajo pueden facilitar que tanto hombres como mujeres equilibren sus responsabilidades familiares y profesionales.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De igual forma, aprecia necesario incorporar en los programas educativos temas relacionados con la igualdad de género y la corresponsabilidad desde la educación básica. Además, es importante que las familias promuevan la equidad en el hogar, enseñando a los niñas y niños desde pequeños a compartir las responsabilidades y valorar el trabajo de todos los miembros de la familia.</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Considera necesario a propósito de esto, que su Grupo Parlamentario del PRD continúa abrazando temas dentro de nuestra agenda legislativa que busquen incidir positivamente en el cambio de paradigma respecto de lo que los hombres y las mujeres deben hacer y ser.</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bCs/>
          <w:sz w:val="24"/>
          <w:szCs w:val="24"/>
        </w:rPr>
      </w:pPr>
      <w:r w:rsidRPr="006A4BCA">
        <w:rPr>
          <w:rFonts w:ascii="Times New Roman" w:eastAsia="Calibri" w:hAnsi="Times New Roman" w:cs="Times New Roman"/>
          <w:b/>
          <w:bCs/>
          <w:sz w:val="24"/>
          <w:szCs w:val="24"/>
        </w:rPr>
        <w:t>ANÁLISIS Y VALORACIÓN DE LOS ARGUMENTOS.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Estamos de acuerdo en que el Gobierno Federal ha implementado una estrategia nacional de cuidados que busca involucrar a toda la estructura social y pública que reconoce el cuidado como un derecho y una necesidad para toda la sociedad, incluyendo a quienes cuidan y quienes son cuidados.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Reconocemos también, por lo que hace al gobierno encabezado por la Gobernadora Mtra. Delfina Gómez Álvarez, que ha impulsado una iniciativa constitucional que reconoce la necesidad de replantear la distribución de las tareas del hogar y los cuidados, reformó el artículo 5 de la Constitución para establecer que: El Estado establecerá el Sistema de Cuidados del Estado de México que coordine la prestación de servicios públicos universales, accesibles, pertinentes, </w:t>
      </w:r>
      <w:r w:rsidRPr="006A4BCA">
        <w:rPr>
          <w:rFonts w:ascii="Times New Roman" w:eastAsia="Calibri" w:hAnsi="Times New Roman" w:cs="Times New Roman"/>
          <w:bCs/>
          <w:sz w:val="24"/>
          <w:szCs w:val="24"/>
        </w:rPr>
        <w:lastRenderedPageBreak/>
        <w:t xml:space="preserve">suficientes, de calidad y desarrolle políticas públicas de cuidados, en el ámbito Estatal y Municipal en los términos que establezca la ley, basado en los principios de progresividad, universalidad, calidad, igualdad, accesibilidad y corresponsabilidad entre hombres y mujeres, que atenderá las particularidades de cada grupo poblacional, respetando su dignidad y autonomía, en coordinación con la sociedad civil organizada y el sector privado, de conformidad con las obligaciones internacionales en materia de derechos humanos. El sistema atenderá de manera prioritaria a las personas en situación de dependencia por enfermedad, discapacidad, vulnerabilidad, ciclo vital, especialmente en la infancia y la vejez, y a quienes, de manera no remunerada, están a cargo de su cuidado, y en lo conducente que, el Estado promoverá la corresponsabilidad entre mujeres y hombres, las familias, la comunidad, el sector laboral y el propio Estado en las actividades de cuidado.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Apreciamos que la corresponsabilidad familiar es un pilar fundamental para construir una sociedad más justa, equitativa y saludable en México. Superar las deficiencias actuales requiere un esfuerzo conjunto de todos los sectores de la sociedad. Solo a través de la participación equitativa en el hogar se podrán derribar las barreras que limitan el desarrollo personal y profesional, promoviendo un entorno familiar más armonioso y una sociedad más igualitaria para las futuras generaciones.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Coincidimos con los promoventes que el cuidado digno es de interés público, y que el Estado debe generar un marco legal adecuado, así como políticas, programas, servicios e infraestructura que faciliten la promoción, protección y ejercicio de estas tareas. No se trata solo de apoyar a las familias, sino de garantizar que estas actividades sean reconocidas.</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Estamos de acuerdo en que la corresponsabilidad familiar trae consigo una perspectiva sobre los vínculos, las emociones, así como las responsabilidades al interior de los hogares que ya no está inclinadas hacia las mujeres, sino que busca que todas y todos podamos hacernos cargo de lo que nos toca en la etapa de la vida en la que nos encontramos y que en mérito de lo expuesto, sometemos a la consideración de esta H. Asamblea el siguiente producto legislativo para poner al centro la corresponsabilidad familiar como medio por el cual podemos abonar en el tránsito hacia una sociedad mucho más consciente, justa y equitativa, haciendo participes tanto al gobierno municipal como al gobierno del Estado de México.</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ANÁLISIS Y ESTUDIO TÉCNICO DEL TEXTO NORMATIVO.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Consecuentes con el estudio y con aportaciones de distintos Grupos Parlamentarios conformamos un Proyecto de Decreto y, en tal sentido: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Resulta procedente reformar las fracciones XVI y XVII y adicionar una fracción XVIII al artículo 96 Quaterdecies de la Ley Orgánica Municipal del Estado de México.  Por lo tanto, es pertinente que la </w:t>
      </w:r>
      <w:r w:rsidRPr="006A4BCA">
        <w:rPr>
          <w:rFonts w:ascii="Times New Roman" w:eastAsia="Calibri" w:hAnsi="Times New Roman" w:cs="Times New Roman"/>
          <w:bCs/>
          <w:sz w:val="24"/>
          <w:szCs w:val="24"/>
        </w:rPr>
        <w:t xml:space="preserve">Dirección de las Mujeres, tenga entre otras atribuciones: </w:t>
      </w:r>
      <w:r w:rsidRPr="006A4BCA">
        <w:rPr>
          <w:rFonts w:ascii="Times New Roman" w:eastAsia="Calibri" w:hAnsi="Times New Roman" w:cs="Times New Roman"/>
          <w:sz w:val="24"/>
          <w:szCs w:val="24"/>
        </w:rPr>
        <w:t>Coordinar la transversalización de la perspectiva de género en la administración pública municipal; f</w:t>
      </w:r>
      <w:r w:rsidRPr="006A4BCA">
        <w:rPr>
          <w:rFonts w:ascii="Times New Roman" w:eastAsia="Calibri" w:hAnsi="Times New Roman" w:cs="Times New Roman"/>
          <w:bCs/>
          <w:sz w:val="24"/>
          <w:szCs w:val="24"/>
        </w:rPr>
        <w:t xml:space="preserve">omentar una cultura de corresponsabilidad entre mujeres y hombres, las familias, la comunidad, el sector laboral y el propio municipio, a través de acciones y programas que tengan como propósito: Promover la distribución equitativa de las tareas del hogar y cuidados, así como del tiempo para el autocuidado, entre mujeres y hombres; promover una participación justa en el cuidado de las hijas e hijos, personas adultas mayores o personas con discapacidad; favorecer el trabajo y la atención emocional de la familia; fomentar la crianza de hijas e hijos libre de estereotipos de género, privilegiando el interés superior de la niñez y adolescencia, y abordar cualquier otro aspecto relacionado con la </w:t>
      </w:r>
      <w:r w:rsidRPr="006A4BCA">
        <w:rPr>
          <w:rFonts w:ascii="Times New Roman" w:eastAsia="Calibri" w:hAnsi="Times New Roman" w:cs="Times New Roman"/>
          <w:bCs/>
          <w:sz w:val="24"/>
          <w:szCs w:val="24"/>
        </w:rPr>
        <w:lastRenderedPageBreak/>
        <w:t>corresponsabilidad familiar; así como, las demás que le sean conferidas por la o el Presidente Municipal o por el Ayuntamiento y las establecidas en las disposiciones jurídicas aplicables.</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Por otra parte, es procedente reformar el primer párrafo del artículo 4.1, el primer párrafo del artículo 4.1 Bis, el primer párrafo del artículo 4.16, el primer párrafo del artículo 4.19 y el artículo 4.404 del Código Civil del Estado de México y en tal sentido: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Por lo que hace al primer párrafo del artículo </w:t>
      </w:r>
      <w:r w:rsidRPr="006A4BCA">
        <w:rPr>
          <w:rFonts w:ascii="Times New Roman" w:eastAsia="Calibri" w:hAnsi="Times New Roman" w:cs="Times New Roman"/>
          <w:bCs/>
          <w:sz w:val="24"/>
          <w:szCs w:val="24"/>
        </w:rPr>
        <w:t>4.1, se precisa que l</w:t>
      </w:r>
      <w:r w:rsidRPr="006A4BCA">
        <w:rPr>
          <w:rFonts w:ascii="Times New Roman" w:eastAsia="Calibri" w:hAnsi="Times New Roman" w:cs="Times New Roman"/>
          <w:sz w:val="24"/>
          <w:szCs w:val="24"/>
        </w:rPr>
        <w:t xml:space="preserve">as disposiciones de este Código que se refieran a la familia, son de orden público e interés social y tienen por objeto proteger su organización y el desarrollo integral de sus miembros, basados en el respeto a su dignidad, libertad, la equidad de género y la </w:t>
      </w:r>
      <w:r w:rsidRPr="006A4BCA">
        <w:rPr>
          <w:rFonts w:ascii="Times New Roman" w:eastAsia="Calibri" w:hAnsi="Times New Roman" w:cs="Times New Roman"/>
          <w:bCs/>
          <w:sz w:val="24"/>
          <w:szCs w:val="24"/>
        </w:rPr>
        <w:t>corresponsabilidad familiar</w:t>
      </w:r>
      <w:r w:rsidRPr="006A4BCA">
        <w:rPr>
          <w:rFonts w:ascii="Times New Roman" w:eastAsia="Calibri" w:hAnsi="Times New Roman" w:cs="Times New Roman"/>
          <w:sz w:val="24"/>
          <w:szCs w:val="24"/>
        </w:rPr>
        <w:t xml:space="preserve">. </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En cuanto al primer párrafo del artículo 4.1 Bis, se dispone que el matrimonio es una institución de carácter público e interés social, por medio de la cual dos personas de manera libre y voluntaria deciden compartir un estado de vida para la búsqueda de su realización personal y conyugal, </w:t>
      </w:r>
      <w:r w:rsidRPr="006A4BCA">
        <w:rPr>
          <w:rFonts w:ascii="Times New Roman" w:eastAsia="Calibri" w:hAnsi="Times New Roman" w:cs="Times New Roman"/>
          <w:bCs/>
          <w:sz w:val="24"/>
          <w:szCs w:val="24"/>
        </w:rPr>
        <w:t xml:space="preserve">en donde ambas personas contrayentes se procuran respeto, igualdad y corresponsabilidad familiar, </w:t>
      </w:r>
      <w:r w:rsidRPr="006A4BCA">
        <w:rPr>
          <w:rFonts w:ascii="Times New Roman" w:eastAsia="Calibri" w:hAnsi="Times New Roman" w:cs="Times New Roman"/>
          <w:sz w:val="24"/>
          <w:szCs w:val="24"/>
        </w:rPr>
        <w:t xml:space="preserve">bajo las formalidades y solemnidades que establezca el presente Código.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Asimismo, en el primer párrafo del artículo 4.16, se determina que l</w:t>
      </w:r>
      <w:r w:rsidRPr="006A4BCA">
        <w:rPr>
          <w:rFonts w:ascii="Times New Roman" w:eastAsia="Calibri" w:hAnsi="Times New Roman" w:cs="Times New Roman"/>
          <w:sz w:val="24"/>
          <w:szCs w:val="24"/>
        </w:rPr>
        <w:t xml:space="preserve">os cónyuges están obligados a guardarse fidelidad, solidaridad, respetarse en su integridad física y psicológica, dignidad, bienes, creencias, nacionalidad, orígenes étnicos o de raza y en su condición de género, a contribuir a los fines del matrimonio, a socorrerse mutuamente, </w:t>
      </w:r>
      <w:r w:rsidRPr="006A4BCA">
        <w:rPr>
          <w:rFonts w:ascii="Times New Roman" w:eastAsia="Calibri" w:hAnsi="Times New Roman" w:cs="Times New Roman"/>
          <w:bCs/>
          <w:sz w:val="24"/>
          <w:szCs w:val="24"/>
        </w:rPr>
        <w:t xml:space="preserve">procurando respeto, igualdad y corresponsabilidad familiar.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Cs/>
          <w:sz w:val="24"/>
          <w:szCs w:val="24"/>
        </w:rPr>
        <w:t>Sobre el primer párrafo del artículo 4.19, se establece que l</w:t>
      </w:r>
      <w:r w:rsidRPr="006A4BCA">
        <w:rPr>
          <w:rFonts w:ascii="Times New Roman" w:eastAsia="Calibri" w:hAnsi="Times New Roman" w:cs="Times New Roman"/>
          <w:sz w:val="24"/>
          <w:szCs w:val="24"/>
        </w:rPr>
        <w:t>os cónyuges de común acuerdo decidirán lo relativo a la educación y formación de los hijos, basados en la crianza positiva, el amor, el diálogo</w:t>
      </w:r>
      <w:r w:rsidRPr="006A4BCA">
        <w:rPr>
          <w:rFonts w:ascii="Times New Roman" w:eastAsia="Calibri" w:hAnsi="Times New Roman" w:cs="Times New Roman"/>
          <w:bCs/>
          <w:sz w:val="24"/>
          <w:szCs w:val="24"/>
        </w:rPr>
        <w:t xml:space="preserve">, el respeto y la igualdad, </w:t>
      </w:r>
      <w:r w:rsidRPr="006A4BCA">
        <w:rPr>
          <w:rFonts w:ascii="Times New Roman" w:eastAsia="Calibri" w:hAnsi="Times New Roman" w:cs="Times New Roman"/>
          <w:sz w:val="24"/>
          <w:szCs w:val="24"/>
        </w:rPr>
        <w:t xml:space="preserve">quedando prohibido el castigo corporal, el castigo humillante y el ejercicio de cualquier tipo de violencia en este proceso, así como a la administración de los bienes que sean comunes a los cónyuges o que pertenezcan a los hijos sujetos a su patria potestad. </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sz w:val="24"/>
          <w:szCs w:val="24"/>
        </w:rPr>
        <w:t>En el artículo 4.404, se precisa que las personas en concubinato tienen los derechos y obligaciones alimentarias, de familia, hereditarios y de protección contra la violencia familiar reconocidos en el presente Código y en otras disposiciones legales, así como los establecidos para los cónyuges, en todo aquello que les sea aplicable, sobre todo los dirigidos a la protección de las mujeres, de las hijas y los hijos</w:t>
      </w:r>
      <w:r w:rsidRPr="006A4BCA">
        <w:rPr>
          <w:rFonts w:ascii="Times New Roman" w:eastAsia="Calibri" w:hAnsi="Times New Roman" w:cs="Times New Roman"/>
          <w:bCs/>
          <w:sz w:val="24"/>
          <w:szCs w:val="24"/>
        </w:rPr>
        <w:t xml:space="preserve">, procurando entre sí respeto, igualdad y corresponsabilidad familiar. </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Advertimos procedente reformar las fracciones VI y VII del artículo 4; las fracciones IX y X del artículo 7; la fracción XXII del artículo 10; y la fracción V del artículo 32; y adicionar la fracción VIII al artículo 4, la fracción III Bis al artículo 6, la fracción XI al artículo 7 y la fracción XXIII al artículo 10 de la Ley de Igualdad de Trato y Oportunidades entre Mujeres y Hombres del Estado de México.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Por ello, en la reforma de las fracciones VI y VII y adición de la fracción VIII del artículo 4, relativo a los </w:t>
      </w:r>
      <w:r w:rsidRPr="006A4BCA">
        <w:rPr>
          <w:rFonts w:ascii="Times New Roman" w:eastAsia="Calibri" w:hAnsi="Times New Roman" w:cs="Times New Roman"/>
          <w:bCs/>
          <w:sz w:val="24"/>
          <w:szCs w:val="24"/>
        </w:rPr>
        <w:t xml:space="preserve">principios rectores de la Ley se consideran pertinentes mencionar a la </w:t>
      </w:r>
      <w:r w:rsidRPr="006A4BCA">
        <w:rPr>
          <w:rFonts w:ascii="Times New Roman" w:eastAsia="Calibri" w:hAnsi="Times New Roman" w:cs="Times New Roman"/>
          <w:sz w:val="24"/>
          <w:szCs w:val="24"/>
        </w:rPr>
        <w:t xml:space="preserve">transversalidad; y a la </w:t>
      </w:r>
      <w:r w:rsidRPr="006A4BCA">
        <w:rPr>
          <w:rFonts w:ascii="Times New Roman" w:eastAsia="Calibri" w:hAnsi="Times New Roman" w:cs="Times New Roman"/>
          <w:bCs/>
          <w:sz w:val="24"/>
          <w:szCs w:val="24"/>
        </w:rPr>
        <w:t xml:space="preserve">corresponsabilidad entre hombres y mujeres, así como a los establecidos </w:t>
      </w:r>
      <w:r w:rsidRPr="006A4BCA">
        <w:rPr>
          <w:rFonts w:ascii="Times New Roman" w:eastAsia="Calibri" w:hAnsi="Times New Roman" w:cs="Times New Roman"/>
          <w:sz w:val="24"/>
          <w:szCs w:val="24"/>
        </w:rPr>
        <w:t>en la Constitución Política de los Estados Unidos Mexicanos, los instrumentos internacionales ratificados por el Estado Mexicano, la legislación federal y la Constitución Política del Estado Libre y Soberano de México.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lastRenderedPageBreak/>
        <w:t>En cuanto a la adición de la fracción III Bis del artículo 6 relativo al glosario de la Ley, es adecuado precisar que la c</w:t>
      </w:r>
      <w:r w:rsidRPr="006A4BCA">
        <w:rPr>
          <w:rFonts w:ascii="Times New Roman" w:eastAsia="Calibri" w:hAnsi="Times New Roman" w:cs="Times New Roman"/>
          <w:bCs/>
          <w:sz w:val="24"/>
          <w:szCs w:val="24"/>
        </w:rPr>
        <w:t xml:space="preserve">orresponsabilidad familiar: Es el reparto equilibrado de las tareas domésticas y de las responsabilidades familiares, tales como la organización, el cuidado, la educación y el afecto de personas dependientes dentro del hogar, con el fin de distribuir de manera justa los tiempos de vida de mujeres y hombres.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Cs/>
          <w:sz w:val="24"/>
          <w:szCs w:val="24"/>
        </w:rPr>
        <w:t>En lo concerniente a la reforma de la fracción X y a la adición de la fracción XI del artículo 7, en relación con los objetivos de la Política Estatal en materia de igualdad de trato y oportunidades entre mujeres y hombres, que desarrollen las autoridades estatales y municipales, es oportuno, considerar el de promover y fomentar la corresponsabilidad familiar, y</w:t>
      </w:r>
      <w:r w:rsidRPr="006A4BCA">
        <w:rPr>
          <w:rFonts w:ascii="Times New Roman" w:eastAsia="Calibri" w:hAnsi="Times New Roman" w:cs="Times New Roman"/>
          <w:sz w:val="24"/>
          <w:szCs w:val="24"/>
        </w:rPr>
        <w:t xml:space="preserve"> los demás que sean necesarios para el cumplimiento de su objeto.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Cs/>
          <w:sz w:val="24"/>
          <w:szCs w:val="24"/>
        </w:rPr>
        <w:t>Tratándose de la reforma a la fracción XXII y la adición a la fracción XXIII del artículo 10 es adecuado señalar, atribuciones del Sistema Estatal, la de impulsar la corresponsabilidad familiar con el objetivo de promover una distribución justa de las actividades y cuidados al interior de los hogares, y l</w:t>
      </w:r>
      <w:r w:rsidRPr="006A4BCA">
        <w:rPr>
          <w:rFonts w:ascii="Times New Roman" w:eastAsia="Calibri" w:hAnsi="Times New Roman" w:cs="Times New Roman"/>
          <w:sz w:val="24"/>
          <w:szCs w:val="24"/>
        </w:rPr>
        <w:t xml:space="preserve">as demás que sean necesarias para el cumplimiento de su objeto. </w:t>
      </w:r>
    </w:p>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Cs/>
          <w:sz w:val="24"/>
          <w:szCs w:val="24"/>
        </w:rPr>
        <w:t>En atención a la reforma de la fracción V del artículo 32 referente a la disposición para lograr la igualdad entre mujeres y hombres en el acceso a los derechos sociales y el pleno disfrute de ellos, las autoridades estatales y municipales desarrollarán diversas acciones, estimamos correcto la de f</w:t>
      </w:r>
      <w:r w:rsidRPr="006A4BCA">
        <w:rPr>
          <w:rFonts w:ascii="Times New Roman" w:eastAsia="Calibri" w:hAnsi="Times New Roman" w:cs="Times New Roman"/>
          <w:sz w:val="24"/>
          <w:szCs w:val="24"/>
        </w:rPr>
        <w:t xml:space="preserve">omentar la corresponsabilidad </w:t>
      </w:r>
      <w:r w:rsidRPr="006A4BCA">
        <w:rPr>
          <w:rFonts w:ascii="Times New Roman" w:eastAsia="Calibri" w:hAnsi="Times New Roman" w:cs="Times New Roman"/>
          <w:bCs/>
          <w:sz w:val="24"/>
          <w:szCs w:val="24"/>
        </w:rPr>
        <w:t xml:space="preserve">familiar y </w:t>
      </w:r>
      <w:r w:rsidRPr="006A4BCA">
        <w:rPr>
          <w:rFonts w:ascii="Times New Roman" w:eastAsia="Calibri" w:hAnsi="Times New Roman" w:cs="Times New Roman"/>
          <w:sz w:val="24"/>
          <w:szCs w:val="24"/>
        </w:rPr>
        <w:t xml:space="preserve">social igualitaria, de mujeres y hombres. </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Por las razones expuestas, </w:t>
      </w:r>
      <w:r w:rsidRPr="006A4BCA">
        <w:rPr>
          <w:rFonts w:ascii="Times New Roman" w:eastAsia="Arial" w:hAnsi="Times New Roman" w:cs="Times New Roman"/>
          <w:iCs/>
          <w:sz w:val="24"/>
          <w:szCs w:val="24"/>
        </w:rPr>
        <w:t>valorados los argumentos, concluido el estudio técnico del Proyecto de Decreto, evidenciado el beneficio social de las iniciativas de Decreto, y satisfechos los r</w:t>
      </w:r>
      <w:r w:rsidRPr="006A4BCA">
        <w:rPr>
          <w:rFonts w:ascii="Times New Roman" w:eastAsia="Calibri" w:hAnsi="Times New Roman" w:cs="Times New Roman"/>
          <w:sz w:val="24"/>
          <w:szCs w:val="24"/>
        </w:rPr>
        <w:t xml:space="preserve">equisitos de fondo y forma, nos permitimos concluir con los siguientes: </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RESOLUTIVOS</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PRIMERO.-</w:t>
      </w:r>
      <w:r w:rsidRPr="006A4BCA">
        <w:rPr>
          <w:rFonts w:ascii="Times New Roman" w:eastAsia="Calibri" w:hAnsi="Times New Roman" w:cs="Times New Roman"/>
          <w:sz w:val="24"/>
          <w:szCs w:val="24"/>
        </w:rPr>
        <w:t xml:space="preserve"> Son de aprobarse, en lo conducente, conforme al Proyecto de Decreto que ha sido integrado, la Iniciativa con Proyecto de Decreto por el que se reforman y adicionan diversas disposiciones al Código Civil del Estado de México y la Ley de Igualdad de Trato y Oportunidades entre Mujeres y Hombres del Estado de México, presentada por la Diputada María del Carmen De la Rosa Mendoza, en nombre del Grupo Parlamentario del Partido morena y la Iniciativa con Proyecto de Decreto por el que reforma y adiciona la Ley Orgánica Municipal del Estado de México y adiciona la Ley de Igualdad de Trato y Oportunidades entre Mujeres y Hombres del Estado de México, presentada por la Diputada Araceli Casasola Salazar y el Diputado Omar Ortega Álvarez, en nombre del Grupo Parlamentario del Partido de la Revolución Democrática.</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bookmarkStart w:id="5" w:name="_Hlk215533601"/>
      <w:r w:rsidRPr="006A4BCA">
        <w:rPr>
          <w:rFonts w:ascii="Times New Roman" w:eastAsia="Calibri" w:hAnsi="Times New Roman" w:cs="Times New Roman"/>
          <w:b/>
          <w:bCs/>
          <w:sz w:val="24"/>
          <w:szCs w:val="24"/>
        </w:rPr>
        <w:t>SEGUNDO.-</w:t>
      </w:r>
      <w:r w:rsidRPr="006A4BCA">
        <w:rPr>
          <w:rFonts w:ascii="Times New Roman" w:eastAsia="Calibri" w:hAnsi="Times New Roman" w:cs="Times New Roman"/>
          <w:bCs/>
          <w:sz w:val="24"/>
          <w:szCs w:val="24"/>
        </w:rPr>
        <w:t xml:space="preserve"> </w:t>
      </w:r>
      <w:r w:rsidRPr="006A4BCA">
        <w:rPr>
          <w:rFonts w:ascii="Times New Roman" w:eastAsia="Calibri" w:hAnsi="Times New Roman" w:cs="Times New Roman"/>
          <w:sz w:val="24"/>
          <w:szCs w:val="24"/>
        </w:rPr>
        <w:t>Se adjunta el Proyecto de Decreto por el que:</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numPr>
          <w:ilvl w:val="0"/>
          <w:numId w:val="54"/>
        </w:num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Se reforma las fracciones XVI y XVII y se adiciona la fracción XVIII al artículo 96 Quaterdecies de la Ley Orgánica Municipal del Estado de México.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numPr>
          <w:ilvl w:val="0"/>
          <w:numId w:val="54"/>
        </w:num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Se reforma el primer párrafo del artículo 4.1, el primer párrafo del artículo 4.1 Bis, el primer párrafo del artículo 4.16, el primer párrafo del artículo 4.19, y el artículo 4.404 del Código Civil del Estado de México.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numPr>
          <w:ilvl w:val="0"/>
          <w:numId w:val="54"/>
        </w:num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lastRenderedPageBreak/>
        <w:t>Se reforman las fracciones VI y VII del artículo 4; las fracciones IX y X del artículo 7, la fracción XXII del artículo 10; y la fracción V del artículo 32; y se adicionan la fracción VIII al artículo 4, la fracción III Bis al artículo 6, la fracción XI al artículo 7 y la fracción XXIII al artículo 10 de la Ley de Igualdad de Trato y Oportunidades entre Mujeres y Hombres del Estado de México.</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bookmarkEnd w:id="5"/>
    <w:p w:rsidR="00935257" w:rsidRPr="006A4BCA" w:rsidRDefault="00935257" w:rsidP="00977984">
      <w:pPr>
        <w:spacing w:after="0" w:line="240" w:lineRule="auto"/>
        <w:contextualSpacing/>
        <w:jc w:val="both"/>
        <w:rPr>
          <w:rFonts w:ascii="Times New Roman" w:eastAsia="Calibri" w:hAnsi="Times New Roman" w:cs="Times New Roman"/>
          <w:bCs/>
          <w:sz w:val="24"/>
          <w:szCs w:val="24"/>
        </w:rPr>
      </w:pPr>
      <w:r w:rsidRPr="006A4BCA">
        <w:rPr>
          <w:rFonts w:ascii="Times New Roman" w:eastAsia="Calibri" w:hAnsi="Times New Roman" w:cs="Times New Roman"/>
          <w:b/>
          <w:bCs/>
          <w:sz w:val="24"/>
          <w:szCs w:val="24"/>
        </w:rPr>
        <w:t>TERCERO.-</w:t>
      </w:r>
      <w:r w:rsidRPr="006A4BCA">
        <w:rPr>
          <w:rFonts w:ascii="Times New Roman" w:eastAsia="Calibri" w:hAnsi="Times New Roman" w:cs="Times New Roman"/>
          <w:bCs/>
          <w:sz w:val="24"/>
          <w:szCs w:val="24"/>
        </w:rPr>
        <w:t xml:space="preserve"> Previa discusión y aprobación por la Legislatura en Pleno, remítase a la Persona Titular del Ejecutivo Estatal para los efectos necesarios.</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Dado en el Palacio del Poder Legislativo, en la ciudad de Toluca de Lerdo, capital del Estado de México, a los diez días del mes de marzo de dos mil veintiséis.</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LISTA DE VOTACIÓN</w:t>
      </w:r>
    </w:p>
    <w:p w:rsidR="00935257" w:rsidRPr="006A4BCA" w:rsidRDefault="00935257" w:rsidP="00977984">
      <w:pPr>
        <w:spacing w:after="0" w:line="240" w:lineRule="auto"/>
        <w:contextualSpacing/>
        <w:rPr>
          <w:rFonts w:ascii="Times New Roman" w:eastAsia="Calibri"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FECHA: </w:t>
      </w:r>
      <w:r w:rsidRPr="006A4BCA">
        <w:rPr>
          <w:rFonts w:ascii="Times New Roman" w:eastAsia="Calibri" w:hAnsi="Times New Roman" w:cs="Times New Roman"/>
          <w:sz w:val="24"/>
          <w:szCs w:val="24"/>
        </w:rPr>
        <w:t>10/MARZO/2026.</w:t>
      </w:r>
    </w:p>
    <w:p w:rsidR="00935257" w:rsidRPr="006A4BCA" w:rsidRDefault="00935257" w:rsidP="00977984">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rPr>
      </w:pPr>
      <w:r w:rsidRPr="006A4BCA">
        <w:rPr>
          <w:rFonts w:ascii="Times New Roman" w:eastAsia="Arial" w:hAnsi="Times New Roman" w:cs="Times New Roman"/>
          <w:b/>
          <w:bCs/>
          <w:sz w:val="24"/>
          <w:szCs w:val="24"/>
        </w:rPr>
        <w:t xml:space="preserve">ASUNTO: </w:t>
      </w:r>
      <w:r w:rsidRPr="006A4BCA">
        <w:rPr>
          <w:rFonts w:ascii="Times New Roman" w:eastAsia="Arial" w:hAnsi="Times New Roman" w:cs="Times New Roman"/>
          <w:bCs/>
          <w:sz w:val="24"/>
          <w:szCs w:val="24"/>
        </w:rPr>
        <w:t>DICTAMEN FORMULADO A LA INICIATIVA CON PROYECTO DE DECRETO POR EL QUE SE REFORMAN Y ADICIONAN DIVERSAS DISPOSICIONES AL CÓDIGO CIVIL DEL ESTADO DE MÉXICO Y LA LEY DE IGUALDAD DE TRATO Y OPORTUNIDADES ENTRE MUJERES Y HOMBRES DEL ESTADO DE MÉXICO, PRESENTADA POR LA DIPUTADA MARÍA DEL CARMEN DE LA ROSA MENDOZA, EN NOMBRE DEL GRUPO PARLAMENTARIO DEL PARTIDO MORENA Y DE INICIATIVA CON PROYECTO DE DECRETO POR EL QUE SE AGREGA LA FRACCIÓN X, RECORRIÉNDOSE LAS SUBSECUENTES, DEL ARTÍCULO 96 QUATERDECIE DE LA LEY ORGÁNICA MUNICIPAL DEL ESTADO DE MÉXICO Y SE ADICIONA LA FRACCIÓN VIII, RECORRIÉNDOSE LA SUBSECUENTE, DEL ARTÍCULO 10 DE LA LEY DE IGUALDAD DE TRATO Y OPORTUNIDADES ENTRE MUJERES Y HOMBRES DEL ESTADO DE MÉXICO, PRESENTADA POR LA DIPUTADA ARACELI CASASOLA SALAZAR Y EL DIPUTADO OMAR ORTEGA ÁLVAREZ, EN NOMBRE DEL GRUPO PARLAMENTARIO DEL PARTIDO DE LA REVOLUCIÓN DEMOCRÁTICA.</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COMISIÓN LEGISLATIVA DE</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PROCURACIÓN Y ADMINISTRACIÓN DE JUSTICIA </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3"/>
        <w:gridCol w:w="2320"/>
        <w:gridCol w:w="2321"/>
        <w:gridCol w:w="2321"/>
      </w:tblGrid>
      <w:tr w:rsidR="00095DD7" w:rsidRPr="006A4BCA" w:rsidTr="003F1E8A">
        <w:trPr>
          <w:trHeight w:val="20"/>
          <w:tblHeader/>
          <w:jc w:val="center"/>
        </w:trPr>
        <w:tc>
          <w:tcPr>
            <w:tcW w:w="250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DIPUTADA(O)</w:t>
            </w:r>
          </w:p>
        </w:tc>
        <w:tc>
          <w:tcPr>
            <w:tcW w:w="6962" w:type="dxa"/>
            <w:gridSpan w:val="3"/>
            <w:tcBorders>
              <w:top w:val="single" w:sz="4" w:space="0" w:color="auto"/>
              <w:left w:val="single" w:sz="4" w:space="0" w:color="auto"/>
              <w:bottom w:val="single" w:sz="4" w:space="0" w:color="auto"/>
              <w:right w:val="single" w:sz="4" w:space="0" w:color="auto"/>
            </w:tcBorders>
            <w:shd w:val="clear" w:color="auto" w:fill="D9D9D9"/>
            <w:hideMark/>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FIRMA</w:t>
            </w:r>
          </w:p>
        </w:tc>
      </w:tr>
      <w:tr w:rsidR="00095DD7" w:rsidRPr="006A4BCA" w:rsidTr="003F1E8A">
        <w:trPr>
          <w:trHeight w:val="20"/>
          <w:tblHeader/>
          <w:jc w:val="center"/>
        </w:trPr>
        <w:tc>
          <w:tcPr>
            <w:tcW w:w="2503" w:type="dxa"/>
            <w:vMerge/>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rPr>
                <w:rFonts w:ascii="Times New Roman" w:eastAsia="Calibri" w:hAnsi="Times New Roman" w:cs="Times New Roman"/>
                <w:b/>
                <w:sz w:val="24"/>
                <w:szCs w:val="24"/>
              </w:rPr>
            </w:pPr>
          </w:p>
        </w:tc>
        <w:tc>
          <w:tcPr>
            <w:tcW w:w="2320" w:type="dxa"/>
            <w:tcBorders>
              <w:top w:val="single" w:sz="4" w:space="0" w:color="auto"/>
              <w:left w:val="single" w:sz="4" w:space="0" w:color="auto"/>
              <w:bottom w:val="single" w:sz="4" w:space="0" w:color="auto"/>
              <w:right w:val="single" w:sz="4" w:space="0" w:color="auto"/>
            </w:tcBorders>
            <w:shd w:val="clear" w:color="auto" w:fill="D9D9D9"/>
            <w:hideMark/>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A FAVOR</w:t>
            </w:r>
          </w:p>
        </w:tc>
        <w:tc>
          <w:tcPr>
            <w:tcW w:w="2321" w:type="dxa"/>
            <w:tcBorders>
              <w:top w:val="single" w:sz="4" w:space="0" w:color="auto"/>
              <w:left w:val="single" w:sz="4" w:space="0" w:color="auto"/>
              <w:bottom w:val="single" w:sz="4" w:space="0" w:color="auto"/>
              <w:right w:val="single" w:sz="4" w:space="0" w:color="auto"/>
            </w:tcBorders>
            <w:shd w:val="clear" w:color="auto" w:fill="D9D9D9"/>
            <w:hideMark/>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EN CONTRA</w:t>
            </w:r>
          </w:p>
        </w:tc>
        <w:tc>
          <w:tcPr>
            <w:tcW w:w="2321" w:type="dxa"/>
            <w:tcBorders>
              <w:top w:val="single" w:sz="4" w:space="0" w:color="auto"/>
              <w:left w:val="single" w:sz="4" w:space="0" w:color="auto"/>
              <w:bottom w:val="single" w:sz="4" w:space="0" w:color="auto"/>
              <w:right w:val="single" w:sz="4" w:space="0" w:color="auto"/>
            </w:tcBorders>
            <w:shd w:val="clear" w:color="auto" w:fill="D9D9D9"/>
            <w:hideMark/>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ABSTENCIÓN</w:t>
            </w: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b/>
                <w:sz w:val="24"/>
                <w:szCs w:val="24"/>
              </w:rPr>
              <w:t>Presidenta</w:t>
            </w: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sz w:val="24"/>
                <w:szCs w:val="24"/>
              </w:rPr>
              <w:t>Dip. Emma Laura Alvarez Villavicencio</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b/>
                <w:sz w:val="24"/>
                <w:szCs w:val="24"/>
              </w:rPr>
              <w:t>Secretario</w:t>
            </w:r>
          </w:p>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Dip. Omar </w:t>
            </w: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sz w:val="24"/>
                <w:szCs w:val="24"/>
              </w:rPr>
              <w:t>Ortega Álvarez</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lang w:eastAsia="es-MX"/>
              </w:rPr>
            </w:pPr>
            <w:r w:rsidRPr="006A4BCA">
              <w:rPr>
                <w:rFonts w:ascii="Times New Roman" w:eastAsia="Calibri" w:hAnsi="Times New Roman" w:cs="Times New Roman"/>
                <w:b/>
                <w:sz w:val="24"/>
                <w:szCs w:val="24"/>
              </w:rPr>
              <w:t>Prosecretario</w:t>
            </w:r>
          </w:p>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Dip. Octavio </w:t>
            </w: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sz w:val="24"/>
                <w:szCs w:val="24"/>
              </w:rPr>
              <w:t>Martínez Vargas</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sz w:val="24"/>
                <w:szCs w:val="24"/>
              </w:rPr>
              <w:t>Dip. Carlos Antonio Martínez Zurita Trejo</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Dip. Vladimir Hernández Villegas</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lastRenderedPageBreak/>
              <w:t>Dip. Nelly Brígida Rivera Sánchez</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Dip. Yesica Yanet Rojas Hernández</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Dip. Héctor Karim Carvallo Delfín</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Dip. Selina </w:t>
            </w:r>
          </w:p>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Trujillo Arizmendi</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Dip. Miriam </w:t>
            </w:r>
          </w:p>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Silva Mata</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Dip. Ana Yurixi </w:t>
            </w:r>
          </w:p>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Leyva Piñón</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Dip. María Mercedes Colín Guadarrama</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20"/>
          <w:jc w:val="center"/>
        </w:trPr>
        <w:tc>
          <w:tcPr>
            <w:tcW w:w="2503" w:type="dxa"/>
            <w:tcBorders>
              <w:top w:val="single" w:sz="4" w:space="0" w:color="auto"/>
              <w:left w:val="single" w:sz="4" w:space="0" w:color="auto"/>
              <w:bottom w:val="single" w:sz="4" w:space="0" w:color="auto"/>
              <w:right w:val="single" w:sz="4" w:space="0" w:color="auto"/>
            </w:tcBorders>
            <w:vAlign w:val="center"/>
            <w:hideMark/>
          </w:tcPr>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Dip. Ruth </w:t>
            </w:r>
          </w:p>
          <w:p w:rsidR="00935257" w:rsidRPr="006A4BCA" w:rsidRDefault="00935257" w:rsidP="00977984">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Salinas Reyes</w:t>
            </w:r>
          </w:p>
        </w:tc>
        <w:tc>
          <w:tcPr>
            <w:tcW w:w="2320"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321" w:type="dxa"/>
            <w:tcBorders>
              <w:top w:val="single" w:sz="4" w:space="0" w:color="auto"/>
              <w:left w:val="single" w:sz="4" w:space="0" w:color="auto"/>
              <w:bottom w:val="single" w:sz="4" w:space="0" w:color="auto"/>
              <w:right w:val="single" w:sz="4" w:space="0" w:color="auto"/>
            </w:tcBorders>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bl>
    <w:p w:rsidR="00935257" w:rsidRPr="006A4BCA" w:rsidRDefault="00935257" w:rsidP="00977984">
      <w:pPr>
        <w:spacing w:after="0" w:line="240" w:lineRule="auto"/>
        <w:contextualSpacing/>
        <w:rPr>
          <w:rFonts w:ascii="Times New Roman" w:eastAsia="Calibri" w:hAnsi="Times New Roman" w:cs="Times New Roman"/>
          <w:sz w:val="24"/>
          <w:szCs w:val="24"/>
        </w:rPr>
      </w:pPr>
    </w:p>
    <w:p w:rsidR="003F1E8A" w:rsidRPr="006A4BCA" w:rsidRDefault="003F1E8A" w:rsidP="00977984">
      <w:pPr>
        <w:spacing w:after="0" w:line="240" w:lineRule="auto"/>
        <w:contextualSpacing/>
        <w:jc w:val="center"/>
        <w:rPr>
          <w:rFonts w:ascii="Times New Roman" w:eastAsia="Calibri" w:hAnsi="Times New Roman" w:cs="Times New Roman"/>
          <w:sz w:val="24"/>
          <w:szCs w:val="24"/>
        </w:rPr>
      </w:pP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LISTA DE VOTACIÓN</w:t>
      </w:r>
    </w:p>
    <w:p w:rsidR="00935257" w:rsidRPr="006A4BCA" w:rsidRDefault="00935257" w:rsidP="00977984">
      <w:pPr>
        <w:spacing w:after="0" w:line="240" w:lineRule="auto"/>
        <w:contextualSpacing/>
        <w:rPr>
          <w:rFonts w:ascii="Times New Roman" w:eastAsia="Calibri"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FECHA: </w:t>
      </w:r>
      <w:r w:rsidRPr="006A4BCA">
        <w:rPr>
          <w:rFonts w:ascii="Times New Roman" w:eastAsia="Calibri" w:hAnsi="Times New Roman" w:cs="Times New Roman"/>
          <w:sz w:val="24"/>
          <w:szCs w:val="24"/>
        </w:rPr>
        <w:t>10/MARZO/2026.</w:t>
      </w:r>
    </w:p>
    <w:p w:rsidR="00935257" w:rsidRPr="006A4BCA" w:rsidRDefault="00935257" w:rsidP="00977984">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rPr>
      </w:pPr>
      <w:r w:rsidRPr="006A4BCA">
        <w:rPr>
          <w:rFonts w:ascii="Times New Roman" w:eastAsia="Arial" w:hAnsi="Times New Roman" w:cs="Times New Roman"/>
          <w:b/>
          <w:bCs/>
          <w:sz w:val="24"/>
          <w:szCs w:val="24"/>
        </w:rPr>
        <w:t xml:space="preserve">ASUNTO: </w:t>
      </w:r>
      <w:r w:rsidRPr="006A4BCA">
        <w:rPr>
          <w:rFonts w:ascii="Times New Roman" w:eastAsia="Arial" w:hAnsi="Times New Roman" w:cs="Times New Roman"/>
          <w:bCs/>
          <w:sz w:val="24"/>
          <w:szCs w:val="24"/>
        </w:rPr>
        <w:t>DICTAMEN FORMULADO A LA INICIATIVA CON PROYECTO DE DECRETO POR EL QUE SE REFORMAN Y ADICIONAN DIVERSAS DISPOSICIONES AL CÓDIGO CIVIL DEL ESTADO DE MÉXICO Y LA LEY DE IGUALDAD DE TRATO Y OPORTUNIDADES ENTRE MUJERES Y HOMBRES DEL ESTADO DE MÉXICO, PRESENTADA POR LA DIPUTADA MARÍA DEL CARMEN DE LA ROSA MENDOZA, EN NOMBRE DEL GRUPO PARLAMENTARIO DEL PARTIDO MORENA Y DE INICIATIVA CON PROYECTO DE DECRETO POR EL QUE SE AGREGA LA FRACCIÓN X, RECORRIÉNDOSE LAS SUBSECUENTES, DEL ARTÍCULO 96 QUATERDECIE DE LA LEY ORGÁNICA MUNICIPAL DEL ESTADO DE MÉXICO Y SE ADICIONA LA FRACCIÓN VIII, RECORRIÉNDOSE LA SUBSECUENTE, DEL ARTÍCULO 10 DE LA LEY DE IGUALDAD DE TRATO Y OPORTUNIDADES ENTRE MUJERES Y HOMBRES DEL ESTADO DE MÉXICO, PRESENTADA POR LA DIPUTADA ARACELI CASASOLA SALAZAR Y EL DIPUTADO OMAR ORTEGA ÁLVAREZ, EN NOMBRE DEL GRUPO PARLAMENTARIO DEL PARTIDO DE LA REVOLUCIÓN DEMOCRÁTICA.</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COMISIÓN LEGISLATIVA PARA </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LA IGUALDAD DE GÉNERO </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2"/>
        <w:gridCol w:w="2591"/>
        <w:gridCol w:w="2093"/>
        <w:gridCol w:w="2094"/>
      </w:tblGrid>
      <w:tr w:rsidR="00095DD7" w:rsidRPr="006A4BCA" w:rsidTr="003F1E8A">
        <w:trPr>
          <w:trHeight w:val="19"/>
          <w:tblHeader/>
          <w:jc w:val="center"/>
        </w:trPr>
        <w:tc>
          <w:tcPr>
            <w:tcW w:w="2612" w:type="dxa"/>
            <w:vMerge w:val="restart"/>
            <w:shd w:val="clear" w:color="auto" w:fill="D9D9D9"/>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DIPUTADA (O) (E)</w:t>
            </w:r>
          </w:p>
        </w:tc>
        <w:tc>
          <w:tcPr>
            <w:tcW w:w="6778" w:type="dxa"/>
            <w:gridSpan w:val="3"/>
            <w:shd w:val="clear" w:color="auto" w:fill="D9D9D9"/>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FIRMA</w:t>
            </w:r>
          </w:p>
        </w:tc>
      </w:tr>
      <w:tr w:rsidR="00095DD7" w:rsidRPr="006A4BCA" w:rsidTr="003F1E8A">
        <w:trPr>
          <w:trHeight w:val="19"/>
          <w:tblHeader/>
          <w:jc w:val="center"/>
        </w:trPr>
        <w:tc>
          <w:tcPr>
            <w:tcW w:w="2612" w:type="dxa"/>
            <w:vMerge/>
            <w:shd w:val="clear" w:color="auto" w:fill="D9D9D9"/>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591" w:type="dxa"/>
            <w:shd w:val="clear" w:color="auto" w:fill="D9D9D9"/>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A FAVOR</w:t>
            </w:r>
          </w:p>
        </w:tc>
        <w:tc>
          <w:tcPr>
            <w:tcW w:w="2093" w:type="dxa"/>
            <w:shd w:val="clear" w:color="auto" w:fill="D9D9D9"/>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EN CONTRA</w:t>
            </w:r>
          </w:p>
        </w:tc>
        <w:tc>
          <w:tcPr>
            <w:tcW w:w="2093" w:type="dxa"/>
            <w:shd w:val="clear" w:color="auto" w:fill="D9D9D9"/>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ABSTENCIÓN</w:t>
            </w: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b/>
                <w:sz w:val="24"/>
                <w:szCs w:val="24"/>
              </w:rPr>
              <w:t>Presidenta</w:t>
            </w:r>
          </w:p>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Dip. Zaira </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sz w:val="24"/>
                <w:szCs w:val="24"/>
              </w:rPr>
              <w:t>Cedillo Silva</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b/>
                <w:sz w:val="24"/>
                <w:szCs w:val="24"/>
              </w:rPr>
              <w:t>Secretaria</w:t>
            </w:r>
          </w:p>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Dip. Paola </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sz w:val="24"/>
                <w:szCs w:val="24"/>
              </w:rPr>
              <w:lastRenderedPageBreak/>
              <w:t>Jiménez Hernández</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lastRenderedPageBreak/>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sz w:val="24"/>
                <w:szCs w:val="24"/>
                <w:lang w:eastAsia="es-MX"/>
              </w:rPr>
            </w:pPr>
            <w:r w:rsidRPr="006A4BCA">
              <w:rPr>
                <w:rFonts w:ascii="Times New Roman" w:eastAsia="Calibri" w:hAnsi="Times New Roman" w:cs="Times New Roman"/>
                <w:b/>
                <w:sz w:val="24"/>
                <w:szCs w:val="24"/>
              </w:rPr>
              <w:t>Prosecretaria</w:t>
            </w: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sz w:val="24"/>
                <w:szCs w:val="24"/>
              </w:rPr>
              <w:t>Dip. Gloria Vanessa Linares Zetina</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sz w:val="24"/>
                <w:szCs w:val="24"/>
              </w:rPr>
              <w:t>Dip. Itzel Daniela Ballesteros Lule</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Dip. Graciela </w:t>
            </w:r>
          </w:p>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bCs/>
                <w:sz w:val="24"/>
                <w:szCs w:val="24"/>
              </w:rPr>
              <w:t>Argueta Bello</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bCs/>
                <w:sz w:val="24"/>
                <w:szCs w:val="24"/>
              </w:rPr>
              <w:t>Dip. Brenda Colette Miranda Vargas</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bCs/>
                <w:sz w:val="24"/>
                <w:szCs w:val="24"/>
              </w:rPr>
              <w:t>Dip. Luisa Esmeralda Navarro Hernández</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Dip. Angélica </w:t>
            </w:r>
          </w:p>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bCs/>
                <w:sz w:val="24"/>
                <w:szCs w:val="24"/>
              </w:rPr>
              <w:t>Pérez Cerón</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Dip. María José </w:t>
            </w:r>
          </w:p>
          <w:p w:rsidR="00935257" w:rsidRPr="006A4BCA" w:rsidRDefault="00935257" w:rsidP="00977984">
            <w:pPr>
              <w:spacing w:after="0" w:line="240" w:lineRule="auto"/>
              <w:contextualSpacing/>
              <w:jc w:val="center"/>
              <w:rPr>
                <w:rFonts w:ascii="Times New Roman" w:eastAsia="Calibri" w:hAnsi="Times New Roman" w:cs="Times New Roman"/>
                <w:sz w:val="24"/>
                <w:szCs w:val="24"/>
              </w:rPr>
            </w:pPr>
            <w:r w:rsidRPr="006A4BCA">
              <w:rPr>
                <w:rFonts w:ascii="Times New Roman" w:eastAsia="Calibri" w:hAnsi="Times New Roman" w:cs="Times New Roman"/>
                <w:bCs/>
                <w:sz w:val="24"/>
                <w:szCs w:val="24"/>
              </w:rPr>
              <w:t>Pérez Domínguez</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Dip. Ana Yurixi </w:t>
            </w:r>
          </w:p>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Leyva Piñón</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Dip. Joanna Alejandra Felipe Torres</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Dip. Ruth </w:t>
            </w:r>
          </w:p>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Salinas Reyes</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r w:rsidR="00095DD7" w:rsidRPr="006A4BCA" w:rsidTr="003F1E8A">
        <w:trPr>
          <w:trHeight w:val="19"/>
          <w:jc w:val="center"/>
        </w:trPr>
        <w:tc>
          <w:tcPr>
            <w:tcW w:w="2612"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 xml:space="preserve">Dip. Araceli </w:t>
            </w:r>
          </w:p>
          <w:p w:rsidR="00935257" w:rsidRPr="006A4BCA" w:rsidRDefault="00935257" w:rsidP="00977984">
            <w:pPr>
              <w:spacing w:after="0" w:line="240" w:lineRule="auto"/>
              <w:contextualSpacing/>
              <w:jc w:val="center"/>
              <w:rPr>
                <w:rFonts w:ascii="Times New Roman" w:eastAsia="Calibri" w:hAnsi="Times New Roman" w:cs="Times New Roman"/>
                <w:bCs/>
                <w:sz w:val="24"/>
                <w:szCs w:val="24"/>
              </w:rPr>
            </w:pPr>
            <w:r w:rsidRPr="006A4BCA">
              <w:rPr>
                <w:rFonts w:ascii="Times New Roman" w:eastAsia="Calibri" w:hAnsi="Times New Roman" w:cs="Times New Roman"/>
                <w:bCs/>
                <w:sz w:val="24"/>
                <w:szCs w:val="24"/>
              </w:rPr>
              <w:t>Casasola Salazar</w:t>
            </w:r>
          </w:p>
        </w:tc>
        <w:tc>
          <w:tcPr>
            <w:tcW w:w="2591"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w:t>
            </w: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c>
          <w:tcPr>
            <w:tcW w:w="2093" w:type="dxa"/>
            <w:shd w:val="clear" w:color="auto" w:fill="auto"/>
            <w:vAlign w:val="center"/>
          </w:tcPr>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p>
        </w:tc>
      </w:tr>
    </w:tbl>
    <w:p w:rsidR="0091645A" w:rsidRPr="006A4BCA" w:rsidRDefault="0091645A" w:rsidP="00977984">
      <w:pPr>
        <w:spacing w:after="0" w:line="240" w:lineRule="auto"/>
        <w:jc w:val="center"/>
        <w:rPr>
          <w:rFonts w:ascii="Times New Roman" w:hAnsi="Times New Roman" w:cs="Times New Roman"/>
          <w:sz w:val="24"/>
          <w:szCs w:val="24"/>
        </w:rPr>
      </w:pPr>
    </w:p>
    <w:p w:rsidR="00935257" w:rsidRPr="006A4BCA" w:rsidRDefault="00935257" w:rsidP="00977984">
      <w:pPr>
        <w:spacing w:after="0" w:line="240" w:lineRule="auto"/>
        <w:jc w:val="center"/>
        <w:rPr>
          <w:rFonts w:ascii="Times New Roman"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DECRETO NÚMERO</w:t>
      </w:r>
    </w:p>
    <w:p w:rsidR="00935257" w:rsidRPr="006A4BCA" w:rsidRDefault="00935257" w:rsidP="00977984">
      <w:pPr>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LA H. “LXII” LEGISLATURA </w:t>
      </w:r>
    </w:p>
    <w:p w:rsidR="00935257" w:rsidRPr="006A4BCA" w:rsidRDefault="00935257" w:rsidP="00977984">
      <w:pPr>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DEL ESTADO DE MÉXICO </w:t>
      </w:r>
    </w:p>
    <w:p w:rsidR="00935257" w:rsidRPr="006A4BCA" w:rsidRDefault="00935257" w:rsidP="00977984">
      <w:pPr>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DECRETA:</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ind w:right="263"/>
        <w:contextualSpacing/>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PRIMERO.- </w:t>
      </w:r>
      <w:r w:rsidRPr="006A4BCA">
        <w:rPr>
          <w:rFonts w:ascii="Times New Roman" w:eastAsia="Arial MT" w:hAnsi="Times New Roman" w:cs="Times New Roman"/>
          <w:sz w:val="24"/>
          <w:szCs w:val="24"/>
        </w:rPr>
        <w:t>Se reforman las fracciones XVI y XVII y se adiciona la fracción XVIII al artículo 96 Quaterdecies de la Ley Orgánica Municipal del Estado de México, para quedar como sigue:</w:t>
      </w:r>
    </w:p>
    <w:p w:rsidR="00935257" w:rsidRPr="006A4BCA" w:rsidRDefault="00935257" w:rsidP="00977984">
      <w:pPr>
        <w:spacing w:after="0" w:line="240" w:lineRule="auto"/>
        <w:contextualSpacing/>
        <w:rPr>
          <w:rFonts w:ascii="Times New Roman" w:eastAsia="Calibri" w:hAnsi="Times New Roman" w:cs="Times New Roman"/>
          <w:b/>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Artículo 96 Quaterdecies.-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jc w:val="both"/>
        <w:rPr>
          <w:rFonts w:ascii="Times New Roman" w:eastAsia="Arial MT"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I. </w:t>
      </w:r>
      <w:r w:rsidRPr="006A4BCA">
        <w:rPr>
          <w:rFonts w:ascii="Times New Roman" w:eastAsia="Calibri" w:hAnsi="Times New Roman" w:cs="Times New Roman"/>
          <w:sz w:val="24"/>
          <w:szCs w:val="24"/>
        </w:rPr>
        <w:t xml:space="preserve">a </w:t>
      </w:r>
      <w:r w:rsidRPr="006A4BCA">
        <w:rPr>
          <w:rFonts w:ascii="Times New Roman" w:eastAsia="Calibri" w:hAnsi="Times New Roman" w:cs="Times New Roman"/>
          <w:b/>
          <w:sz w:val="24"/>
          <w:szCs w:val="24"/>
        </w:rPr>
        <w:t xml:space="preserve">XV.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jc w:val="both"/>
        <w:rPr>
          <w:rFonts w:ascii="Times New Roman" w:eastAsia="Arial MT" w:hAnsi="Times New Roman" w:cs="Times New Roman"/>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XVI.</w:t>
      </w:r>
      <w:r w:rsidRPr="006A4BCA">
        <w:rPr>
          <w:rFonts w:ascii="Times New Roman" w:eastAsia="Calibri" w:hAnsi="Times New Roman" w:cs="Times New Roman"/>
          <w:sz w:val="24"/>
          <w:szCs w:val="24"/>
        </w:rPr>
        <w:t xml:space="preserve"> Coordinar la transversalización de la perspectiva de género en la administración pública municipal;</w:t>
      </w: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XVII. Fomentar una cultura de corresponsabilidad entre mujeres y hombres, las familias, la comunidad, el sector laboral y el propio municipio, a través de acciones y programas que tengan como propósito:</w:t>
      </w: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a) Promover la distribución equitativa de las tareas del hogar y cuidados, así como del tiempo </w:t>
      </w:r>
      <w:r w:rsidRPr="006A4BCA">
        <w:rPr>
          <w:rFonts w:ascii="Times New Roman" w:eastAsia="Calibri" w:hAnsi="Times New Roman" w:cs="Times New Roman"/>
          <w:b/>
          <w:sz w:val="24"/>
          <w:szCs w:val="24"/>
        </w:rPr>
        <w:lastRenderedPageBreak/>
        <w:t>para el autocuidado, entre mujeres y hombres;</w:t>
      </w: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b) Promover una participación justa en el cuidado de las hijas e hijos, personas adultas mayores o personas con discapacidad;</w:t>
      </w: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c) Favorecer el trabajo y la atención emocional de la familia;</w:t>
      </w:r>
    </w:p>
    <w:p w:rsidR="00935257" w:rsidRPr="006A4BCA" w:rsidRDefault="00935257" w:rsidP="00977984">
      <w:pPr>
        <w:widowControl w:val="0"/>
        <w:autoSpaceDE w:val="0"/>
        <w:autoSpaceDN w:val="0"/>
        <w:spacing w:after="0" w:line="240" w:lineRule="auto"/>
        <w:contextualSpacing/>
        <w:jc w:val="both"/>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d) Fomentar la crianza de hijas e hijos libre de estereotipos de género, privilegiando el interés superior de la niñez y adolescencia, y</w:t>
      </w: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e) Abordar cualquier otro aspecto relacionado con la corresponsabilidad familiar.</w:t>
      </w: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XVIII. Las demás que le sean conferidas por la o el Presidente Municipal o por el Ayuntamiento y las establecidas en las disposiciones jurídicas aplicables.</w:t>
      </w:r>
    </w:p>
    <w:p w:rsidR="00935257" w:rsidRPr="006A4BCA" w:rsidRDefault="00935257" w:rsidP="00977984">
      <w:pPr>
        <w:spacing w:after="0" w:line="240" w:lineRule="auto"/>
        <w:ind w:right="253"/>
        <w:contextualSpacing/>
        <w:rPr>
          <w:rFonts w:ascii="Times New Roman" w:eastAsia="Calibri" w:hAnsi="Times New Roman" w:cs="Times New Roman"/>
          <w:b/>
          <w:sz w:val="24"/>
          <w:szCs w:val="24"/>
        </w:rPr>
      </w:pPr>
    </w:p>
    <w:p w:rsidR="00935257" w:rsidRPr="006A4BCA" w:rsidRDefault="00935257" w:rsidP="00977984">
      <w:pPr>
        <w:spacing w:after="0" w:line="240" w:lineRule="auto"/>
        <w:ind w:right="253"/>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SEGUNDO.- </w:t>
      </w:r>
      <w:r w:rsidRPr="006A4BCA">
        <w:rPr>
          <w:rFonts w:ascii="Times New Roman" w:eastAsia="Calibri" w:hAnsi="Times New Roman" w:cs="Times New Roman"/>
          <w:sz w:val="24"/>
          <w:szCs w:val="24"/>
        </w:rPr>
        <w:t>Se reforma el primer párrafo del artículo 4.1, el primer párrafo del artículo 4.1 Bis, el primer párrafo del artículo 4.16, el primer párrafo del artículo 4.19 y el artículo 4.404 del Código Civil del Estado de México, para quedar como sigue:</w:t>
      </w:r>
    </w:p>
    <w:p w:rsidR="00935257" w:rsidRPr="006A4BCA" w:rsidRDefault="00935257" w:rsidP="00977984">
      <w:pPr>
        <w:widowControl w:val="0"/>
        <w:autoSpaceDE w:val="0"/>
        <w:autoSpaceDN w:val="0"/>
        <w:spacing w:after="0" w:line="240" w:lineRule="auto"/>
        <w:ind w:right="263"/>
        <w:contextualSpacing/>
        <w:jc w:val="both"/>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ind w:right="263"/>
        <w:contextualSpacing/>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4.1.- </w:t>
      </w:r>
      <w:r w:rsidRPr="006A4BCA">
        <w:rPr>
          <w:rFonts w:ascii="Times New Roman" w:eastAsia="Arial MT" w:hAnsi="Times New Roman" w:cs="Times New Roman"/>
          <w:sz w:val="24"/>
          <w:szCs w:val="24"/>
        </w:rPr>
        <w:t xml:space="preserve">Las disposiciones de este Código que se refieran a la familia, son de orden público e interés social y tienen por objeto proteger su organización y el desarrollo integral de sus miembros, basados en el respeto a su dignidad, libertad, la equidad de género y la </w:t>
      </w:r>
      <w:r w:rsidRPr="006A4BCA">
        <w:rPr>
          <w:rFonts w:ascii="Times New Roman" w:eastAsia="Arial MT" w:hAnsi="Times New Roman" w:cs="Times New Roman"/>
          <w:b/>
          <w:sz w:val="24"/>
          <w:szCs w:val="24"/>
        </w:rPr>
        <w:t>corresponsabilidad familiar</w:t>
      </w:r>
      <w:r w:rsidRPr="006A4BCA">
        <w:rPr>
          <w:rFonts w:ascii="Times New Roman" w:eastAsia="Arial MT" w:hAnsi="Times New Roman" w:cs="Times New Roman"/>
          <w:sz w:val="24"/>
          <w:szCs w:val="24"/>
        </w:rPr>
        <w:t>.</w:t>
      </w:r>
    </w:p>
    <w:p w:rsidR="00935257" w:rsidRPr="006A4BCA" w:rsidRDefault="00935257" w:rsidP="00977984">
      <w:pPr>
        <w:spacing w:after="0" w:line="240" w:lineRule="auto"/>
        <w:contextualSpacing/>
        <w:rPr>
          <w:rFonts w:ascii="Times New Roman" w:eastAsia="Calibri"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ind w:right="261"/>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Artículo 4.1 Bis.-</w:t>
      </w:r>
      <w:r w:rsidRPr="006A4BCA">
        <w:rPr>
          <w:rFonts w:ascii="Times New Roman" w:eastAsia="Calibri" w:hAnsi="Times New Roman" w:cs="Times New Roman"/>
          <w:sz w:val="24"/>
          <w:szCs w:val="24"/>
        </w:rPr>
        <w:t xml:space="preserve"> El matrimonio es una institución de carácter público e interés social, por medio de la cual dos personas de manera libre y voluntaria deciden compartir un estado de vida para la búsqueda de su realización personal y conyugal, </w:t>
      </w:r>
      <w:r w:rsidRPr="006A4BCA">
        <w:rPr>
          <w:rFonts w:ascii="Times New Roman" w:eastAsia="Calibri" w:hAnsi="Times New Roman" w:cs="Times New Roman"/>
          <w:b/>
          <w:sz w:val="24"/>
          <w:szCs w:val="24"/>
        </w:rPr>
        <w:t xml:space="preserve">en donde ambas personas contrayentes se procuran respeto, igualdad y corresponsabilidad familiar, </w:t>
      </w:r>
      <w:r w:rsidRPr="006A4BCA">
        <w:rPr>
          <w:rFonts w:ascii="Times New Roman" w:eastAsia="Calibri" w:hAnsi="Times New Roman" w:cs="Times New Roman"/>
          <w:sz w:val="24"/>
          <w:szCs w:val="24"/>
        </w:rPr>
        <w:t>bajo las formalidades y solemnidades que establezca el presente Código.</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ind w:right="257"/>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Artículo 4.16.- </w:t>
      </w:r>
      <w:r w:rsidRPr="006A4BCA">
        <w:rPr>
          <w:rFonts w:ascii="Times New Roman" w:eastAsia="Calibri" w:hAnsi="Times New Roman" w:cs="Times New Roman"/>
          <w:sz w:val="24"/>
          <w:szCs w:val="24"/>
        </w:rPr>
        <w:t xml:space="preserve">Los cónyuges están obligados a guardarse fidelidad, solidaridad, respetarse en su integridad física y psicológica, dignidad, bienes, creencias, nacionalidad, orígenes étnicos o de raza y en su condición de género, a contribuir a los fines del matrimonio, a socorrerse mutuamente, </w:t>
      </w:r>
      <w:r w:rsidRPr="006A4BCA">
        <w:rPr>
          <w:rFonts w:ascii="Times New Roman" w:eastAsia="Calibri" w:hAnsi="Times New Roman" w:cs="Times New Roman"/>
          <w:b/>
          <w:sz w:val="24"/>
          <w:szCs w:val="24"/>
        </w:rPr>
        <w:t>procurando respeto, igualdad y corresponsabilidad familiar.</w:t>
      </w:r>
    </w:p>
    <w:p w:rsidR="00935257" w:rsidRPr="006A4BCA" w:rsidRDefault="00935257" w:rsidP="00977984">
      <w:pPr>
        <w:spacing w:after="0" w:line="240" w:lineRule="auto"/>
        <w:contextualSpacing/>
        <w:rPr>
          <w:rFonts w:ascii="Times New Roman" w:eastAsia="Calibri"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ind w:right="255"/>
        <w:contextualSpacing/>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4.19.- </w:t>
      </w:r>
      <w:r w:rsidRPr="006A4BCA">
        <w:rPr>
          <w:rFonts w:ascii="Times New Roman" w:eastAsia="Arial MT" w:hAnsi="Times New Roman" w:cs="Times New Roman"/>
          <w:sz w:val="24"/>
          <w:szCs w:val="24"/>
        </w:rPr>
        <w:t>Los cónyuges de común acuerdo decidirán lo relativo a la educación y formación de los hijos, basados en la crianza positiva, el amor, el diálogo</w:t>
      </w:r>
      <w:r w:rsidRPr="006A4BCA">
        <w:rPr>
          <w:rFonts w:ascii="Times New Roman" w:eastAsia="Arial MT" w:hAnsi="Times New Roman" w:cs="Times New Roman"/>
          <w:b/>
          <w:sz w:val="24"/>
          <w:szCs w:val="24"/>
        </w:rPr>
        <w:t xml:space="preserve">, el respeto y la igualdad, </w:t>
      </w:r>
      <w:r w:rsidRPr="006A4BCA">
        <w:rPr>
          <w:rFonts w:ascii="Times New Roman" w:eastAsia="Arial MT" w:hAnsi="Times New Roman" w:cs="Times New Roman"/>
          <w:sz w:val="24"/>
          <w:szCs w:val="24"/>
        </w:rPr>
        <w:t>quedando prohibido el castigo corporal, el castigo humillante y el ejercicio de cualquier tipo de violencia en este proceso, así como a la administración de los bienes que sean comunes a los cónyuges o que pertenezcan a los hijos sujetos a su patria potestad.</w:t>
      </w:r>
    </w:p>
    <w:p w:rsidR="00935257" w:rsidRPr="006A4BCA" w:rsidRDefault="00935257" w:rsidP="00977984">
      <w:pPr>
        <w:spacing w:after="0" w:line="240" w:lineRule="auto"/>
        <w:contextualSpacing/>
        <w:rPr>
          <w:rFonts w:ascii="Times New Roman" w:eastAsia="Calibri"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ind w:right="256"/>
        <w:contextualSpacing/>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lastRenderedPageBreak/>
        <w:t xml:space="preserve">Artículo 4.404.- </w:t>
      </w:r>
      <w:r w:rsidRPr="006A4BCA">
        <w:rPr>
          <w:rFonts w:ascii="Times New Roman" w:eastAsia="Arial MT" w:hAnsi="Times New Roman" w:cs="Times New Roman"/>
          <w:sz w:val="24"/>
          <w:szCs w:val="24"/>
        </w:rPr>
        <w:t>Las personas en concubinato tienen los derechos y obligaciones alimentarias, de familia, hereditarios y de protección contra la violencia familiar reconocidos en el presente Código y en otras disposiciones legales, así como los establecidos para los cónyuges, en todo aquello que les sea aplicable, sobre todo los dirigidos a la protección de las mujeres, de las hijas y los hijos</w:t>
      </w:r>
      <w:r w:rsidRPr="006A4BCA">
        <w:rPr>
          <w:rFonts w:ascii="Times New Roman" w:eastAsia="Arial MT" w:hAnsi="Times New Roman" w:cs="Times New Roman"/>
          <w:b/>
          <w:sz w:val="24"/>
          <w:szCs w:val="24"/>
        </w:rPr>
        <w:t>, procurando entre sí respeto, igualdad y corresponsabilidad familiar.</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ind w:right="262"/>
        <w:contextualSpacing/>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TERCERO.- </w:t>
      </w:r>
      <w:r w:rsidRPr="006A4BCA">
        <w:rPr>
          <w:rFonts w:ascii="Times New Roman" w:eastAsia="Arial MT" w:hAnsi="Times New Roman" w:cs="Times New Roman"/>
          <w:sz w:val="24"/>
          <w:szCs w:val="24"/>
        </w:rPr>
        <w:t>Se reforman las fracciones VI y VII del artículo 4, las fracciones IX y X del artículo 7, la fracción XXII del artículo 10, y la fracción V del artículo 32. y se adicionan la fracción VIII al artículo 4, la fracción III Bis al artículo 6, la fracción XI al artículo 7 y la fracción XXIII al artículo 10 de la Ley de Igualdad de Trato y Oportunidades entre Mujeres y Hombres del Estado de México, para quedar como sigue:</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Artículo 4.-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I.</w:t>
      </w:r>
      <w:r w:rsidRPr="006A4BCA">
        <w:rPr>
          <w:rFonts w:ascii="Times New Roman" w:eastAsia="Calibri" w:hAnsi="Times New Roman" w:cs="Times New Roman"/>
          <w:sz w:val="24"/>
          <w:szCs w:val="24"/>
        </w:rPr>
        <w:t xml:space="preserve"> a </w:t>
      </w:r>
      <w:r w:rsidRPr="006A4BCA">
        <w:rPr>
          <w:rFonts w:ascii="Times New Roman" w:eastAsia="Calibri" w:hAnsi="Times New Roman" w:cs="Times New Roman"/>
          <w:b/>
          <w:sz w:val="24"/>
          <w:szCs w:val="24"/>
        </w:rPr>
        <w:t xml:space="preserve">IV.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VI.</w:t>
      </w:r>
      <w:r w:rsidRPr="006A4BCA">
        <w:rPr>
          <w:rFonts w:ascii="Times New Roman" w:eastAsia="Calibri" w:hAnsi="Times New Roman" w:cs="Times New Roman"/>
          <w:sz w:val="24"/>
          <w:szCs w:val="24"/>
        </w:rPr>
        <w:t xml:space="preserve"> La transversalidad;</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widowControl w:val="0"/>
        <w:autoSpaceDE w:val="0"/>
        <w:autoSpaceDN w:val="0"/>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VII. La corresponsabilidad entre hombres y mujeres; y</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ind w:right="261"/>
        <w:contextualSpacing/>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VIII.</w:t>
      </w:r>
      <w:r w:rsidRPr="006A4BCA">
        <w:rPr>
          <w:rFonts w:ascii="Times New Roman" w:eastAsia="Calibri" w:hAnsi="Times New Roman" w:cs="Times New Roman"/>
          <w:sz w:val="24"/>
          <w:szCs w:val="24"/>
        </w:rPr>
        <w:t xml:space="preserve"> Los establecidos en la Constitución Política de los Estados Unidos Mexicanos, los instrumentos internacionales ratificados por el Estado Mexicano, la legislación federal, la Constitución Política del Estado Libre y Soberano de México.</w:t>
      </w:r>
    </w:p>
    <w:p w:rsidR="00935257" w:rsidRPr="006A4BCA" w:rsidRDefault="00935257" w:rsidP="00977984">
      <w:pPr>
        <w:spacing w:after="0" w:line="240" w:lineRule="auto"/>
        <w:contextualSpacing/>
        <w:rPr>
          <w:rFonts w:ascii="Times New Roman" w:eastAsia="Calibri"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Artículo 6.-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widowControl w:val="0"/>
        <w:autoSpaceDE w:val="0"/>
        <w:autoSpaceDN w:val="0"/>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I.</w:t>
      </w:r>
      <w:r w:rsidRPr="006A4BCA">
        <w:rPr>
          <w:rFonts w:ascii="Times New Roman" w:eastAsia="Calibri" w:hAnsi="Times New Roman" w:cs="Times New Roman"/>
          <w:sz w:val="24"/>
          <w:szCs w:val="24"/>
        </w:rPr>
        <w:t xml:space="preserve"> a </w:t>
      </w:r>
      <w:r w:rsidRPr="006A4BCA">
        <w:rPr>
          <w:rFonts w:ascii="Times New Roman" w:eastAsia="Calibri" w:hAnsi="Times New Roman" w:cs="Times New Roman"/>
          <w:b/>
          <w:sz w:val="24"/>
          <w:szCs w:val="24"/>
        </w:rPr>
        <w:t xml:space="preserve">III.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spacing w:after="0" w:line="240" w:lineRule="auto"/>
        <w:ind w:right="260"/>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III Bis. Corresponsabilidad familiar: Es el reparto equilibrado de las tareas domésticas y de las responsabilidades familiares, tales como la organización, el cuidado, la educación y el afecto de personas dependientes dentro del hogar, con el fin de distribuir de manera justa los tiempos de vida de mujeres y hombres;</w:t>
      </w:r>
    </w:p>
    <w:p w:rsidR="00935257" w:rsidRPr="006A4BCA" w:rsidRDefault="00935257" w:rsidP="00977984">
      <w:pPr>
        <w:spacing w:after="0" w:line="240" w:lineRule="auto"/>
        <w:contextualSpacing/>
        <w:rPr>
          <w:rFonts w:ascii="Times New Roman" w:eastAsia="Calibri"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IV. </w:t>
      </w:r>
      <w:r w:rsidRPr="006A4BCA">
        <w:rPr>
          <w:rFonts w:ascii="Times New Roman" w:eastAsia="Calibri" w:hAnsi="Times New Roman" w:cs="Times New Roman"/>
          <w:sz w:val="24"/>
          <w:szCs w:val="24"/>
        </w:rPr>
        <w:t xml:space="preserve">a </w:t>
      </w:r>
      <w:r w:rsidRPr="006A4BCA">
        <w:rPr>
          <w:rFonts w:ascii="Times New Roman" w:eastAsia="Calibri" w:hAnsi="Times New Roman" w:cs="Times New Roman"/>
          <w:b/>
          <w:sz w:val="24"/>
          <w:szCs w:val="24"/>
        </w:rPr>
        <w:t xml:space="preserve">XIX.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Artículo 7.-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I. </w:t>
      </w:r>
      <w:r w:rsidRPr="006A4BCA">
        <w:rPr>
          <w:rFonts w:ascii="Times New Roman" w:eastAsia="Calibri" w:hAnsi="Times New Roman" w:cs="Times New Roman"/>
          <w:sz w:val="24"/>
          <w:szCs w:val="24"/>
        </w:rPr>
        <w:t xml:space="preserve">a </w:t>
      </w:r>
      <w:r w:rsidRPr="006A4BCA">
        <w:rPr>
          <w:rFonts w:ascii="Times New Roman" w:eastAsia="Calibri" w:hAnsi="Times New Roman" w:cs="Times New Roman"/>
          <w:b/>
          <w:sz w:val="24"/>
          <w:szCs w:val="24"/>
        </w:rPr>
        <w:t xml:space="preserve">VIII.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spacing w:after="0" w:line="240" w:lineRule="auto"/>
        <w:contextualSpacing/>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b/>
          <w:sz w:val="24"/>
          <w:szCs w:val="24"/>
          <w:lang w:eastAsia="es-MX"/>
        </w:rPr>
        <w:t xml:space="preserve">IX. </w:t>
      </w:r>
      <w:r w:rsidRPr="006A4BCA">
        <w:rPr>
          <w:rFonts w:ascii="Times New Roman" w:eastAsia="Times New Roman" w:hAnsi="Times New Roman" w:cs="Times New Roman"/>
          <w:sz w:val="24"/>
          <w:szCs w:val="24"/>
          <w:lang w:eastAsia="es-MX"/>
        </w:rPr>
        <w:t xml:space="preserve">Promover la igualdad de género y la flexibilidad para el desarrollo de todas las actividades de las personas que dividen su tiempo entre la educación, el empleo remunerado y las responsabilidades familiares; </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b/>
          <w:sz w:val="24"/>
          <w:szCs w:val="24"/>
        </w:rPr>
      </w:pPr>
      <w:r w:rsidRPr="006A4BCA">
        <w:rPr>
          <w:rFonts w:ascii="Times New Roman" w:eastAsia="Calibri" w:hAnsi="Times New Roman" w:cs="Times New Roman"/>
          <w:b/>
          <w:sz w:val="24"/>
          <w:szCs w:val="24"/>
        </w:rPr>
        <w:t>X. Promover y fomentar la corresponsabilidad familiar, y</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r w:rsidRPr="006A4BCA">
        <w:rPr>
          <w:rFonts w:ascii="Times New Roman" w:eastAsia="Arial MT" w:hAnsi="Times New Roman" w:cs="Times New Roman"/>
          <w:b/>
          <w:sz w:val="24"/>
          <w:szCs w:val="24"/>
        </w:rPr>
        <w:t>XI.</w:t>
      </w:r>
      <w:r w:rsidRPr="006A4BCA">
        <w:rPr>
          <w:rFonts w:ascii="Times New Roman" w:eastAsia="Arial MT" w:hAnsi="Times New Roman" w:cs="Times New Roman"/>
          <w:sz w:val="24"/>
          <w:szCs w:val="24"/>
        </w:rPr>
        <w:t xml:space="preserve"> Los demás que sean necesarios para el cumplimiento de su objeto.</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Artículo 10.-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lastRenderedPageBreak/>
        <w:t xml:space="preserve">I. </w:t>
      </w:r>
      <w:r w:rsidRPr="006A4BCA">
        <w:rPr>
          <w:rFonts w:ascii="Times New Roman" w:eastAsia="Calibri" w:hAnsi="Times New Roman" w:cs="Times New Roman"/>
          <w:sz w:val="24"/>
          <w:szCs w:val="24"/>
        </w:rPr>
        <w:t xml:space="preserve">a </w:t>
      </w:r>
      <w:r w:rsidRPr="006A4BCA">
        <w:rPr>
          <w:rFonts w:ascii="Times New Roman" w:eastAsia="Calibri" w:hAnsi="Times New Roman" w:cs="Times New Roman"/>
          <w:b/>
          <w:sz w:val="24"/>
          <w:szCs w:val="24"/>
        </w:rPr>
        <w:t xml:space="preserve">XXI.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XXII. Impulsar la corresponsabilidad familiar con el objetivo de promover una distribución justa de las actividades y cuidados al interior de los hogares, y</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XXIII. </w:t>
      </w:r>
      <w:r w:rsidRPr="006A4BCA">
        <w:rPr>
          <w:rFonts w:ascii="Times New Roman" w:eastAsia="Arial MT" w:hAnsi="Times New Roman" w:cs="Times New Roman"/>
          <w:sz w:val="24"/>
          <w:szCs w:val="24"/>
        </w:rPr>
        <w:t>Las demás que sean necesarias para el cumplimiento de su objeto.</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Artículo 32.-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I. </w:t>
      </w:r>
      <w:r w:rsidRPr="006A4BCA">
        <w:rPr>
          <w:rFonts w:ascii="Times New Roman" w:eastAsia="Calibri" w:hAnsi="Times New Roman" w:cs="Times New Roman"/>
          <w:sz w:val="24"/>
          <w:szCs w:val="24"/>
        </w:rPr>
        <w:t xml:space="preserve">a </w:t>
      </w:r>
      <w:r w:rsidRPr="006A4BCA">
        <w:rPr>
          <w:rFonts w:ascii="Times New Roman" w:eastAsia="Calibri" w:hAnsi="Times New Roman" w:cs="Times New Roman"/>
          <w:b/>
          <w:sz w:val="24"/>
          <w:szCs w:val="24"/>
        </w:rPr>
        <w:t xml:space="preserve">IV.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V. </w:t>
      </w:r>
      <w:r w:rsidRPr="006A4BCA">
        <w:rPr>
          <w:rFonts w:ascii="Times New Roman" w:eastAsia="Arial MT" w:hAnsi="Times New Roman" w:cs="Times New Roman"/>
          <w:sz w:val="24"/>
          <w:szCs w:val="24"/>
        </w:rPr>
        <w:t xml:space="preserve">Fomentar la corresponsabilidad </w:t>
      </w:r>
      <w:r w:rsidRPr="006A4BCA">
        <w:rPr>
          <w:rFonts w:ascii="Times New Roman" w:eastAsia="Arial MT" w:hAnsi="Times New Roman" w:cs="Times New Roman"/>
          <w:b/>
          <w:sz w:val="24"/>
          <w:szCs w:val="24"/>
        </w:rPr>
        <w:t xml:space="preserve">familiar y </w:t>
      </w:r>
      <w:r w:rsidRPr="006A4BCA">
        <w:rPr>
          <w:rFonts w:ascii="Times New Roman" w:eastAsia="Arial MT" w:hAnsi="Times New Roman" w:cs="Times New Roman"/>
          <w:sz w:val="24"/>
          <w:szCs w:val="24"/>
        </w:rPr>
        <w:t>social igualitaria, de mujeres y hombres; y</w:t>
      </w:r>
    </w:p>
    <w:p w:rsidR="00935257" w:rsidRPr="006A4BCA" w:rsidRDefault="00935257" w:rsidP="00977984">
      <w:pPr>
        <w:spacing w:after="0" w:line="240" w:lineRule="auto"/>
        <w:contextualSpacing/>
        <w:rPr>
          <w:rFonts w:ascii="Times New Roman" w:eastAsia="Calibri" w:hAnsi="Times New Roman" w:cs="Times New Roman"/>
          <w:b/>
          <w:sz w:val="24"/>
          <w:szCs w:val="24"/>
        </w:rPr>
      </w:pPr>
    </w:p>
    <w:p w:rsidR="00935257" w:rsidRPr="006A4BCA" w:rsidRDefault="00935257" w:rsidP="00977984">
      <w:pPr>
        <w:spacing w:after="0" w:line="240" w:lineRule="auto"/>
        <w:contextualSpacing/>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VI. </w:t>
      </w:r>
      <w:r w:rsidRPr="006A4BCA">
        <w:rPr>
          <w:rFonts w:ascii="Times New Roman" w:eastAsia="Calibri" w:hAnsi="Times New Roman" w:cs="Times New Roman"/>
          <w:sz w:val="24"/>
          <w:szCs w:val="24"/>
        </w:rPr>
        <w:t>…</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T R A N S I T O R I O S</w:t>
      </w: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contextualSpacing/>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PRIMERO.- </w:t>
      </w:r>
      <w:r w:rsidRPr="006A4BCA">
        <w:rPr>
          <w:rFonts w:ascii="Times New Roman" w:eastAsia="Arial MT" w:hAnsi="Times New Roman" w:cs="Times New Roman"/>
          <w:sz w:val="24"/>
          <w:szCs w:val="24"/>
        </w:rPr>
        <w:t>Publíquese el presente Decreto en el Periódico Oficial “Gaceta del Gobierno”.</w:t>
      </w:r>
    </w:p>
    <w:p w:rsidR="00935257" w:rsidRPr="006A4BCA" w:rsidRDefault="00935257" w:rsidP="00977984">
      <w:pPr>
        <w:widowControl w:val="0"/>
        <w:autoSpaceDE w:val="0"/>
        <w:autoSpaceDN w:val="0"/>
        <w:spacing w:after="0" w:line="240" w:lineRule="auto"/>
        <w:ind w:right="75"/>
        <w:contextualSpacing/>
        <w:rPr>
          <w:rFonts w:ascii="Times New Roman" w:eastAsia="Arial MT" w:hAnsi="Times New Roman" w:cs="Times New Roman"/>
          <w:b/>
          <w:sz w:val="24"/>
          <w:szCs w:val="24"/>
        </w:rPr>
      </w:pPr>
    </w:p>
    <w:p w:rsidR="00935257" w:rsidRPr="006A4BCA" w:rsidRDefault="00935257" w:rsidP="00977984">
      <w:pPr>
        <w:widowControl w:val="0"/>
        <w:autoSpaceDE w:val="0"/>
        <w:autoSpaceDN w:val="0"/>
        <w:spacing w:after="0" w:line="240" w:lineRule="auto"/>
        <w:ind w:right="75"/>
        <w:contextualSpacing/>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SEGUNDO.- </w:t>
      </w:r>
      <w:r w:rsidRPr="006A4BCA">
        <w:rPr>
          <w:rFonts w:ascii="Times New Roman" w:eastAsia="Arial MT" w:hAnsi="Times New Roman" w:cs="Times New Roman"/>
          <w:sz w:val="24"/>
          <w:szCs w:val="24"/>
        </w:rPr>
        <w:t>El presente Decreto entrará en vigor al día siguiente de su publicación en el Periódico Oficial “Gaceta del Gobierno”.</w:t>
      </w:r>
    </w:p>
    <w:p w:rsidR="00935257" w:rsidRPr="006A4BCA" w:rsidRDefault="00935257" w:rsidP="00977984">
      <w:pPr>
        <w:widowControl w:val="0"/>
        <w:autoSpaceDE w:val="0"/>
        <w:autoSpaceDN w:val="0"/>
        <w:spacing w:after="0" w:line="240" w:lineRule="auto"/>
        <w:ind w:right="75"/>
        <w:contextualSpacing/>
        <w:rPr>
          <w:rFonts w:ascii="Times New Roman" w:eastAsia="Arial MT"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Lo tendrá entendido la Gobernadora del Estado, haciendo que se publique y se cumpla.</w:t>
      </w: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p>
    <w:p w:rsidR="00935257" w:rsidRPr="006A4BCA" w:rsidRDefault="00935257" w:rsidP="00977984">
      <w:pPr>
        <w:spacing w:after="0" w:line="240" w:lineRule="auto"/>
        <w:contextualSpacing/>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Dado en el Palacio del Poder Legislativo, en la ciudad de Toluca de Lerdo, Capital del Estado de México, a los once días del mes de marzo del dos mil veintiséis. </w:t>
      </w:r>
    </w:p>
    <w:p w:rsidR="00935257" w:rsidRPr="006A4BCA" w:rsidRDefault="00935257" w:rsidP="00977984">
      <w:pPr>
        <w:spacing w:after="0" w:line="240" w:lineRule="auto"/>
        <w:jc w:val="center"/>
        <w:rPr>
          <w:rFonts w:ascii="Times New Roman" w:eastAsia="Calibri" w:hAnsi="Times New Roman" w:cs="Times New Roman"/>
          <w:b/>
          <w:sz w:val="24"/>
          <w:szCs w:val="24"/>
        </w:rPr>
      </w:pP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PRESIDENTA</w:t>
      </w: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DIP. MARTHA AZUCENA CAMACHO REYNOSO</w:t>
      </w:r>
    </w:p>
    <w:p w:rsidR="00935257" w:rsidRPr="006A4BCA" w:rsidRDefault="00935257" w:rsidP="00977984">
      <w:pPr>
        <w:spacing w:after="0" w:line="240" w:lineRule="auto"/>
        <w:jc w:val="center"/>
        <w:rPr>
          <w:rFonts w:ascii="Times New Roman" w:eastAsia="Calibri" w:hAnsi="Times New Roman" w:cs="Times New Roman"/>
          <w:b/>
          <w:sz w:val="24"/>
          <w:szCs w:val="24"/>
        </w:rPr>
      </w:pP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SECRETARIO</w:t>
      </w: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DIP. EDMUNDO LUIS VALDEÑA BASTIDA</w:t>
      </w:r>
    </w:p>
    <w:p w:rsidR="00935257" w:rsidRPr="006A4BCA" w:rsidRDefault="00935257" w:rsidP="00977984">
      <w:pPr>
        <w:spacing w:after="0" w:line="240" w:lineRule="auto"/>
        <w:jc w:val="center"/>
        <w:rPr>
          <w:rFonts w:ascii="Times New Roman" w:eastAsia="Calibri" w:hAnsi="Times New Roman" w:cs="Times New Roman"/>
          <w:b/>
          <w:sz w:val="24"/>
          <w:szCs w:val="24"/>
        </w:rPr>
      </w:pP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888"/>
        <w:gridCol w:w="4517"/>
      </w:tblGrid>
      <w:tr w:rsidR="00935257" w:rsidRPr="006A4BCA" w:rsidTr="00935257">
        <w:tc>
          <w:tcPr>
            <w:tcW w:w="4888" w:type="dxa"/>
            <w:hideMark/>
          </w:tcPr>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DIP. KRISHNA KARINA</w:t>
            </w: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ROMERO VELÁZQUEZ </w:t>
            </w:r>
          </w:p>
        </w:tc>
        <w:tc>
          <w:tcPr>
            <w:tcW w:w="4517" w:type="dxa"/>
            <w:hideMark/>
          </w:tcPr>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DIP. MARICELA </w:t>
            </w:r>
          </w:p>
          <w:p w:rsidR="00935257" w:rsidRPr="006A4BCA" w:rsidRDefault="00935257" w:rsidP="00977984">
            <w:pPr>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BELTRÁN SÁNCHEZ </w:t>
            </w:r>
          </w:p>
        </w:tc>
      </w:tr>
    </w:tbl>
    <w:p w:rsidR="00935257" w:rsidRPr="006A4BCA" w:rsidRDefault="00935257" w:rsidP="00977984">
      <w:pPr>
        <w:spacing w:after="0" w:line="240" w:lineRule="auto"/>
        <w:jc w:val="center"/>
        <w:rPr>
          <w:rFonts w:ascii="Times New Roman" w:hAnsi="Times New Roman" w:cs="Times New Roman"/>
          <w:sz w:val="24"/>
          <w:szCs w:val="24"/>
        </w:rPr>
      </w:pPr>
    </w:p>
    <w:p w:rsidR="0091645A" w:rsidRPr="006A4BCA" w:rsidRDefault="0091645A" w:rsidP="00977984">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(Fin del documento)</w:t>
      </w:r>
    </w:p>
    <w:p w:rsidR="0091645A" w:rsidRPr="006A4BCA" w:rsidRDefault="0091645A" w:rsidP="00977984">
      <w:pPr>
        <w:spacing w:after="0" w:line="240" w:lineRule="auto"/>
        <w:jc w:val="center"/>
        <w:rPr>
          <w:rFonts w:ascii="Times New Roman" w:hAnsi="Times New Roman" w:cs="Times New Roman"/>
          <w:sz w:val="24"/>
          <w:szCs w:val="24"/>
        </w:rPr>
      </w:pPr>
    </w:p>
    <w:p w:rsidR="00E75FD5" w:rsidRPr="006A4BCA" w:rsidRDefault="00E75FD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Gracias diputada María del Carmen de la Rosa Mendoza. </w:t>
      </w:r>
    </w:p>
    <w:p w:rsidR="00E75FD5" w:rsidRPr="006A4BCA" w:rsidRDefault="00E75FD5" w:rsidP="00C80DF4">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Leído el dictamen con sus antecedentes, pido a quienes estén por su turno a discusión, se sirva levantar la mano. </w:t>
      </w:r>
    </w:p>
    <w:p w:rsidR="00E75FD5" w:rsidRPr="006A4BCA" w:rsidRDefault="00E75FD5" w:rsidP="00C80DF4">
      <w:pPr>
        <w:pStyle w:val="Sinespaciad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SECRETARIO DIP. EDMUNDO LUIS VALDEÑA BASTIDA. La propuesta ha sido aprobada por unanimidad de votos. </w:t>
      </w:r>
    </w:p>
    <w:p w:rsidR="00E75FD5" w:rsidRPr="006A4BCA" w:rsidRDefault="00E75FD5" w:rsidP="00C80DF4">
      <w:pPr>
        <w:pStyle w:val="Sinespaciado"/>
        <w:jc w:val="both"/>
        <w:rPr>
          <w:rFonts w:ascii="Times New Roman" w:eastAsia="Times New Roman" w:hAnsi="Times New Roman" w:cs="Times New Roman"/>
          <w:sz w:val="24"/>
          <w:szCs w:val="24"/>
          <w:lang w:eastAsia="es-MX"/>
        </w:rPr>
      </w:pPr>
      <w:r w:rsidRPr="006A4BCA">
        <w:rPr>
          <w:rFonts w:ascii="Times New Roman" w:hAnsi="Times New Roman" w:cs="Times New Roman"/>
          <w:sz w:val="24"/>
          <w:szCs w:val="24"/>
        </w:rPr>
        <w:t xml:space="preserve">PRESIDENTA DIP. MARTHA AZUCENA CAMACHO REYNOSO. </w:t>
      </w:r>
      <w:r w:rsidRPr="006A4BCA">
        <w:rPr>
          <w:rFonts w:ascii="Times New Roman" w:eastAsia="Times New Roman" w:hAnsi="Times New Roman" w:cs="Times New Roman"/>
          <w:sz w:val="24"/>
          <w:szCs w:val="24"/>
          <w:lang w:eastAsia="es-MX"/>
        </w:rPr>
        <w:t>Abro la discusión en lo general y pregunto a las y los diputados si desean hacer uso de la palabra.</w:t>
      </w:r>
    </w:p>
    <w:p w:rsidR="00E75FD5" w:rsidRPr="006A4BCA" w:rsidRDefault="00E75FD5" w:rsidP="00C80DF4">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Adelante diputada Selina</w:t>
      </w:r>
      <w:r w:rsidR="00E107C4" w:rsidRPr="006A4BCA">
        <w:rPr>
          <w:rFonts w:ascii="Times New Roman" w:eastAsia="Times New Roman" w:hAnsi="Times New Roman" w:cs="Times New Roman"/>
          <w:sz w:val="24"/>
          <w:szCs w:val="24"/>
          <w:lang w:eastAsia="es-MX"/>
        </w:rPr>
        <w:t>.</w:t>
      </w:r>
    </w:p>
    <w:p w:rsidR="00E75FD5" w:rsidRPr="006A4BCA" w:rsidRDefault="00E75FD5" w:rsidP="00C80DF4">
      <w:pPr>
        <w:pStyle w:val="Sinespaciad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DIP. SELINA TRUJILLO ARIZMENDI. Muy buenas tardes compañeras, compañeros. </w:t>
      </w:r>
    </w:p>
    <w:p w:rsidR="00E75FD5" w:rsidRPr="006A4BCA" w:rsidRDefault="00E75FD5" w:rsidP="00C80DF4">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lastRenderedPageBreak/>
        <w:t>En semanas pasadas cuando nuestra compañera Carmen de la Rosa hizo esta propuesta, me pareció que es un cambio muy profundo que vamos a dar en el Estado de México, como personas que somos, luchadoras sociales que siempre hemos buscado la igualdad, creo que esta propuesta va a cambiar la realidad de muchas familias y por supuesto el voto es a favor</w:t>
      </w:r>
      <w:r w:rsidR="007B7215" w:rsidRPr="006A4BCA">
        <w:rPr>
          <w:rFonts w:ascii="Times New Roman" w:eastAsia="Times New Roman" w:hAnsi="Times New Roman" w:cs="Times New Roman"/>
          <w:sz w:val="24"/>
          <w:szCs w:val="24"/>
          <w:lang w:eastAsia="es-MX"/>
        </w:rPr>
        <w:t>;</w:t>
      </w:r>
      <w:r w:rsidRPr="006A4BCA">
        <w:rPr>
          <w:rFonts w:ascii="Times New Roman" w:eastAsia="Times New Roman" w:hAnsi="Times New Roman" w:cs="Times New Roman"/>
          <w:sz w:val="24"/>
          <w:szCs w:val="24"/>
          <w:lang w:eastAsia="es-MX"/>
        </w:rPr>
        <w:t xml:space="preserve"> </w:t>
      </w:r>
      <w:r w:rsidR="007B7215" w:rsidRPr="006A4BCA">
        <w:rPr>
          <w:rFonts w:ascii="Times New Roman" w:eastAsia="Times New Roman" w:hAnsi="Times New Roman" w:cs="Times New Roman"/>
          <w:sz w:val="24"/>
          <w:szCs w:val="24"/>
          <w:lang w:eastAsia="es-MX"/>
        </w:rPr>
        <w:t>p</w:t>
      </w:r>
      <w:r w:rsidRPr="006A4BCA">
        <w:rPr>
          <w:rFonts w:ascii="Times New Roman" w:eastAsia="Times New Roman" w:hAnsi="Times New Roman" w:cs="Times New Roman"/>
          <w:sz w:val="24"/>
          <w:szCs w:val="24"/>
          <w:lang w:eastAsia="es-MX"/>
        </w:rPr>
        <w:t>ero quiero comentar que esta modificación, este cambio, esta propuesta promueve que todas las personas del hogar se sumen a las tareas domésticas de manera autónoma y compartida.</w:t>
      </w:r>
    </w:p>
    <w:p w:rsidR="006B1BBD" w:rsidRPr="006A4BCA" w:rsidRDefault="00E75FD5" w:rsidP="00C80DF4">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Es verdad que cada ser humano venimos libres, venimos personas</w:t>
      </w:r>
      <w:r w:rsidR="007B7215" w:rsidRPr="006A4BCA">
        <w:rPr>
          <w:rFonts w:ascii="Times New Roman" w:eastAsia="Times New Roman" w:hAnsi="Times New Roman" w:cs="Times New Roman"/>
          <w:sz w:val="24"/>
          <w:szCs w:val="24"/>
          <w:lang w:eastAsia="es-MX"/>
        </w:rPr>
        <w:t>.</w:t>
      </w:r>
      <w:r w:rsidRPr="006A4BCA">
        <w:rPr>
          <w:rFonts w:ascii="Times New Roman" w:eastAsia="Times New Roman" w:hAnsi="Times New Roman" w:cs="Times New Roman"/>
          <w:sz w:val="24"/>
          <w:szCs w:val="24"/>
          <w:lang w:eastAsia="es-MX"/>
        </w:rPr>
        <w:t xml:space="preserve"> ¿</w:t>
      </w:r>
      <w:r w:rsidR="007B7215" w:rsidRPr="006A4BCA">
        <w:rPr>
          <w:rFonts w:ascii="Times New Roman" w:eastAsia="Times New Roman" w:hAnsi="Times New Roman" w:cs="Times New Roman"/>
          <w:sz w:val="24"/>
          <w:szCs w:val="24"/>
          <w:lang w:eastAsia="es-MX"/>
        </w:rPr>
        <w:t xml:space="preserve">Cómo </w:t>
      </w:r>
      <w:r w:rsidRPr="006A4BCA">
        <w:rPr>
          <w:rFonts w:ascii="Times New Roman" w:eastAsia="Times New Roman" w:hAnsi="Times New Roman" w:cs="Times New Roman"/>
          <w:sz w:val="24"/>
          <w:szCs w:val="24"/>
          <w:lang w:eastAsia="es-MX"/>
        </w:rPr>
        <w:t>decirlo? autónomas y que tenemos que responsabilizarnos de lo que nosotros consumimos</w:t>
      </w:r>
      <w:r w:rsidR="00572348" w:rsidRPr="006A4BCA">
        <w:rPr>
          <w:rFonts w:ascii="Times New Roman" w:eastAsia="Times New Roman" w:hAnsi="Times New Roman" w:cs="Times New Roman"/>
          <w:sz w:val="24"/>
          <w:szCs w:val="24"/>
          <w:lang w:eastAsia="es-MX"/>
        </w:rPr>
        <w:t xml:space="preserve">, hacemos, </w:t>
      </w:r>
      <w:r w:rsidR="006B1BBD" w:rsidRPr="006A4BCA">
        <w:rPr>
          <w:rFonts w:ascii="Times New Roman" w:hAnsi="Times New Roman" w:cs="Times New Roman"/>
          <w:sz w:val="24"/>
          <w:szCs w:val="24"/>
        </w:rPr>
        <w:t xml:space="preserve">producimos y compartir esto, no es solamente o va a ser una obligación; sino que va más a la profundidad ¿En qué sentido? Que esto va a </w:t>
      </w:r>
      <w:r w:rsidR="00774948" w:rsidRPr="006A4BCA">
        <w:rPr>
          <w:rFonts w:ascii="Times New Roman" w:hAnsi="Times New Roman" w:cs="Times New Roman"/>
          <w:sz w:val="24"/>
          <w:szCs w:val="24"/>
        </w:rPr>
        <w:t>hacer</w:t>
      </w:r>
      <w:r w:rsidR="006B1BBD" w:rsidRPr="006A4BCA">
        <w:rPr>
          <w:rFonts w:ascii="Times New Roman" w:hAnsi="Times New Roman" w:cs="Times New Roman"/>
          <w:sz w:val="24"/>
          <w:szCs w:val="24"/>
        </w:rPr>
        <w:t xml:space="preserve"> que haya cada vez menos violencia, en las familias, por lo regular, las discusiones familiares van dirigidas a reclamos, hay cumplimiento, hay responsabilidad sin saber lo que la persona responsable del hogar tiene que hacer para cumplir ciertas obligaciones; pero también vamos a promover que las niñas y los niños mexiquenses se conviertan en seres humanos independientes, que sean niñas y niños responsables de su entorno y va más en profundidad con temas de igualdad, porque fortalece el vínculo familiar entre hombres y mujeres y sobre todo, el respeto.</w:t>
      </w:r>
    </w:p>
    <w:p w:rsidR="006B1BBD" w:rsidRPr="006A4BCA" w:rsidRDefault="006B1BBD"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Me parece que daremos un gran paso con esta autorización, esta evaluación a la propuesta de mis compañeros y sobre todo de mejorar la calidad de vida de las mujeres y los hombres en nuestros hogares.</w:t>
      </w:r>
    </w:p>
    <w:p w:rsidR="006B1BBD" w:rsidRPr="006A4BCA" w:rsidRDefault="006B1BBD"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Muchas gracias.</w:t>
      </w:r>
    </w:p>
    <w:p w:rsidR="006B1BBD" w:rsidRPr="006A4BCA" w:rsidRDefault="006B1BBD"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diputada Selina Trujillo Arizmendi.</w:t>
      </w:r>
    </w:p>
    <w:p w:rsidR="006B1BBD" w:rsidRPr="006A4BCA" w:rsidRDefault="006B1BB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indicarlo.</w:t>
      </w:r>
    </w:p>
    <w:p w:rsidR="006B1BBD" w:rsidRPr="006A4BCA" w:rsidRDefault="006B1BB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SECRETARIO DIP. EDMUNDO LUIS VALDEÑA BASTIDA. Ábrase el sistema de votación hasta por 2 minutos.</w:t>
      </w:r>
    </w:p>
    <w:p w:rsidR="006B1BBD" w:rsidRPr="006A4BCA" w:rsidRDefault="006B1BBD" w:rsidP="00C80DF4">
      <w:pPr>
        <w:pStyle w:val="Sinespaciado"/>
        <w:jc w:val="center"/>
        <w:rPr>
          <w:rFonts w:ascii="Times New Roman" w:hAnsi="Times New Roman" w:cs="Times New Roman"/>
          <w:i/>
          <w:sz w:val="24"/>
          <w:szCs w:val="24"/>
        </w:rPr>
      </w:pPr>
      <w:r w:rsidRPr="006A4BCA">
        <w:rPr>
          <w:rFonts w:ascii="Times New Roman" w:hAnsi="Times New Roman" w:cs="Times New Roman"/>
          <w:i/>
          <w:sz w:val="24"/>
          <w:szCs w:val="24"/>
        </w:rPr>
        <w:t>(Votación nominal)</w:t>
      </w:r>
    </w:p>
    <w:p w:rsidR="006B1BBD" w:rsidRPr="006A4BCA" w:rsidRDefault="006B1BBD"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SECRETARIO DIP. EDMUNDO LUIS VALDEÑA BASTIDA. ¿Alguien falta de emitir su voto? </w:t>
      </w:r>
    </w:p>
    <w:p w:rsidR="006B1BBD" w:rsidRPr="006A4BCA" w:rsidRDefault="006B1BBD"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El dictamen y el proyecto de decreto han sido aprobados en lo general por unanimidad de votos.</w:t>
      </w:r>
    </w:p>
    <w:p w:rsidR="006B1BBD" w:rsidRPr="006A4BCA" w:rsidRDefault="006B1BBD"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Secretario.</w:t>
      </w:r>
    </w:p>
    <w:p w:rsidR="006B1BBD" w:rsidRPr="006A4BCA" w:rsidRDefault="006B1BBD"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tiene por aprobados en lo general el dictamen y el proyecto de decreto, se declara también su aprobación en lo particular.</w:t>
      </w:r>
    </w:p>
    <w:p w:rsidR="003A56A2" w:rsidRPr="006A4BCA" w:rsidRDefault="006B1BBD"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Con respecto al número 3, la diputada Sandra Patricia Santos Rodríguez, leerá el dictamen de la iniciativa con proyecto de decreto por el que se reforma el artículo 1 y se adiciona una fracción VIII recorriéndose de manera subsecuente las demás, al artículo 7 ambos de la Ley de Acceso de las Mujeres a una Vida Libre de Violencia del Estado de México, presentada por la Diputada Sandra Patricia Santos Rodríguez, en nombre del Grupo Parlamentario del Partido morena y de la Iniciativa con Proyecto de Decreto por el adicionan y reforman diversas disposiciones de la Ley de Acceso de las Mujeres a una Vida Libre de Violencia del Estado de México, presentada por el Grupo Parlamentario del Partido Verde Ecologista de México; ambas relativas a la violencia digital, formulado por las Comisiones Legislativas de Procuración y Administración de Justicia.</w:t>
      </w:r>
    </w:p>
    <w:p w:rsidR="003A56A2" w:rsidRPr="006A4BCA" w:rsidRDefault="004301A0" w:rsidP="00C80DF4">
      <w:pPr>
        <w:pStyle w:val="Sinespaciado"/>
        <w:jc w:val="both"/>
        <w:rPr>
          <w:rFonts w:ascii="Times New Roman" w:eastAsia="Arial" w:hAnsi="Times New Roman" w:cs="Times New Roman"/>
          <w:sz w:val="24"/>
          <w:szCs w:val="24"/>
        </w:rPr>
      </w:pPr>
      <w:r w:rsidRPr="006A4BCA">
        <w:rPr>
          <w:rFonts w:ascii="Times New Roman" w:hAnsi="Times New Roman" w:cs="Times New Roman"/>
          <w:sz w:val="24"/>
          <w:szCs w:val="24"/>
        </w:rPr>
        <w:t>DIP. SANDRA PATRICIA SANTOS RODRÍGUEZ.</w:t>
      </w:r>
      <w:r w:rsidRPr="006A4BCA">
        <w:rPr>
          <w:rFonts w:ascii="Times New Roman" w:eastAsia="Arial" w:hAnsi="Times New Roman" w:cs="Times New Roman"/>
          <w:sz w:val="24"/>
          <w:szCs w:val="24"/>
        </w:rPr>
        <w:t xml:space="preserve"> </w:t>
      </w:r>
      <w:r w:rsidR="003A56A2" w:rsidRPr="006A4BCA">
        <w:rPr>
          <w:rFonts w:ascii="Times New Roman" w:eastAsia="Arial" w:hAnsi="Times New Roman" w:cs="Times New Roman"/>
          <w:sz w:val="24"/>
          <w:szCs w:val="24"/>
        </w:rPr>
        <w:t>Con su permiso Presidenta</w:t>
      </w:r>
      <w:r w:rsidR="00D2565F" w:rsidRPr="006A4BCA">
        <w:rPr>
          <w:rFonts w:ascii="Times New Roman" w:eastAsia="Arial" w:hAnsi="Times New Roman" w:cs="Times New Roman"/>
          <w:sz w:val="24"/>
          <w:szCs w:val="24"/>
        </w:rPr>
        <w:t>,</w:t>
      </w:r>
      <w:r w:rsidR="003A56A2" w:rsidRPr="006A4BCA">
        <w:rPr>
          <w:rFonts w:ascii="Times New Roman" w:eastAsia="Arial" w:hAnsi="Times New Roman" w:cs="Times New Roman"/>
          <w:sz w:val="24"/>
          <w:szCs w:val="24"/>
        </w:rPr>
        <w:t xml:space="preserve"> </w:t>
      </w:r>
      <w:r w:rsidR="00D2565F" w:rsidRPr="006A4BCA">
        <w:rPr>
          <w:rFonts w:ascii="Times New Roman" w:eastAsia="Arial" w:hAnsi="Times New Roman" w:cs="Times New Roman"/>
          <w:sz w:val="24"/>
          <w:szCs w:val="24"/>
        </w:rPr>
        <w:t xml:space="preserve">saludó </w:t>
      </w:r>
      <w:r w:rsidR="003A56A2" w:rsidRPr="006A4BCA">
        <w:rPr>
          <w:rFonts w:ascii="Times New Roman" w:eastAsia="Arial" w:hAnsi="Times New Roman" w:cs="Times New Roman"/>
          <w:sz w:val="24"/>
          <w:szCs w:val="24"/>
        </w:rPr>
        <w:t xml:space="preserve">a los integrantes de la Mesa Directiva, medios de comunicación y mexiquenses que hoy nos escuchan. </w:t>
      </w:r>
    </w:p>
    <w:p w:rsidR="003A56A2" w:rsidRPr="006A4BCA" w:rsidRDefault="003A56A2" w:rsidP="00C80DF4">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Honorable Asamblea.</w:t>
      </w:r>
    </w:p>
    <w:p w:rsidR="003A56A2" w:rsidRPr="006A4BCA" w:rsidRDefault="00851788" w:rsidP="00C80DF4">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L</w:t>
      </w:r>
      <w:r w:rsidR="003A56A2" w:rsidRPr="006A4BCA">
        <w:rPr>
          <w:rFonts w:ascii="Times New Roman" w:eastAsia="Arial" w:hAnsi="Times New Roman" w:cs="Times New Roman"/>
          <w:sz w:val="24"/>
          <w:szCs w:val="24"/>
        </w:rPr>
        <w:t xml:space="preserve">a Presidencia de la LXII Legislatura remitió a la Comisión Legislativa de Procuración y Administración de Justicia para su estudio y dictamen, la Iniciativa con Proyecto de Decreto por el que se reforma el artículo 1 y se adiciona una fracción VIII, recogiéndose de manera subsecuente las demás al artículo 7, ambos de la Ley de Acceso de las Mujeres a una Vida Libre de Violencia </w:t>
      </w:r>
      <w:r w:rsidR="003A56A2" w:rsidRPr="006A4BCA">
        <w:rPr>
          <w:rFonts w:ascii="Times New Roman" w:eastAsia="Arial" w:hAnsi="Times New Roman" w:cs="Times New Roman"/>
          <w:sz w:val="24"/>
          <w:szCs w:val="24"/>
        </w:rPr>
        <w:lastRenderedPageBreak/>
        <w:t>del Estado de México, presentada por la diputada Sandra Patricia Santos Rodríguez, en nombre del Grupo Parlamentario del Partido morena y la Iniciativa con Proyecto de Decreto por el que se adicionan y reforman diversas disposiciones de la Ley de Acceso de las Mujeres a una Vida Libre de Violencia del Estado de México, presentada por los integrantes del Grupo Parlamentario del Partido Verde Ecologista de México.</w:t>
      </w:r>
    </w:p>
    <w:p w:rsidR="003A56A2" w:rsidRPr="006A4BCA" w:rsidRDefault="003A56A2" w:rsidP="00C80DF4">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Con apego a la técnica legislativa y en acatamiento del principio de economía procesal, habiendo identidad de materia, acordamos realizar el estudio conjunto de las iniciativas e integrar un dictamen y un proyecto de decreto que contienen los aspectos relevantes de las iniciativas y las disposiciones jurídicas correspondientes; desarrollando el estudio de las iniciativas y discutido suficientemente en la Comisión Legislativa nos permitimos con sustento en lo dispuesto en los artículos 68, 70 y 82 de la Ley Orgánica del Poder Legislativo, en relación con lo señalado en los artículos 13 A, 70, 73, 75, 78, 79 y 80 del Reglamento del Poder Legislativo emitir el siguiente.</w:t>
      </w:r>
    </w:p>
    <w:p w:rsidR="003A56A2" w:rsidRPr="006A4BCA" w:rsidRDefault="003A56A2" w:rsidP="00A77704">
      <w:pPr>
        <w:pStyle w:val="Sinespaciado"/>
        <w:jc w:val="center"/>
        <w:rPr>
          <w:rFonts w:ascii="Times New Roman" w:eastAsia="Arial" w:hAnsi="Times New Roman" w:cs="Times New Roman"/>
          <w:sz w:val="24"/>
          <w:szCs w:val="24"/>
        </w:rPr>
      </w:pPr>
      <w:r w:rsidRPr="006A4BCA">
        <w:rPr>
          <w:rFonts w:ascii="Times New Roman" w:eastAsia="Arial" w:hAnsi="Times New Roman" w:cs="Times New Roman"/>
          <w:sz w:val="24"/>
          <w:szCs w:val="24"/>
        </w:rPr>
        <w:t>DICTAMEN</w:t>
      </w:r>
    </w:p>
    <w:p w:rsidR="003A56A2" w:rsidRPr="006A4BCA" w:rsidRDefault="003A1569" w:rsidP="003A1569">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Antecedentes y Conclusión del Estudio</w:t>
      </w:r>
      <w:r w:rsidR="003A56A2" w:rsidRPr="006A4BCA">
        <w:rPr>
          <w:rFonts w:ascii="Times New Roman" w:eastAsia="Arial" w:hAnsi="Times New Roman" w:cs="Times New Roman"/>
          <w:sz w:val="24"/>
          <w:szCs w:val="24"/>
        </w:rPr>
        <w:t>.</w:t>
      </w:r>
    </w:p>
    <w:p w:rsidR="003A56A2" w:rsidRPr="006A4BCA" w:rsidRDefault="003A1569" w:rsidP="00C80DF4">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1</w:t>
      </w:r>
      <w:r w:rsidR="003A56A2" w:rsidRPr="006A4BCA">
        <w:rPr>
          <w:rFonts w:ascii="Times New Roman" w:eastAsia="Arial" w:hAnsi="Times New Roman" w:cs="Times New Roman"/>
          <w:sz w:val="24"/>
          <w:szCs w:val="24"/>
        </w:rPr>
        <w:t>.</w:t>
      </w:r>
      <w:r w:rsidRPr="006A4BCA">
        <w:rPr>
          <w:rFonts w:ascii="Times New Roman" w:eastAsia="Arial" w:hAnsi="Times New Roman" w:cs="Times New Roman"/>
          <w:sz w:val="24"/>
          <w:szCs w:val="24"/>
        </w:rPr>
        <w:t>-</w:t>
      </w:r>
      <w:r w:rsidR="003A56A2" w:rsidRPr="006A4BCA">
        <w:rPr>
          <w:rFonts w:ascii="Times New Roman" w:eastAsia="Arial" w:hAnsi="Times New Roman" w:cs="Times New Roman"/>
          <w:sz w:val="24"/>
          <w:szCs w:val="24"/>
        </w:rPr>
        <w:t xml:space="preserve"> En la sesión de la LXII Legislatura celebrada el día 1 de octubre del 2025, la diputada Sandra Patricia Santos Rodríguez, del Grupo Parlamentario del Partido morena, en ejercicio del derecho de iniciativa legislativa y con base en los artículos 6 y 71 fracción III de la Comisión Política de los Estados Unidos Mexicanos, 51 fracción II, 57 y 61 fracción I de la Constitución Política del Estado Libre y Soberano de México, fracción I, 38 fracción II, 79 y 81 de la Ley Orgánica del Poder Legislativo del Estado Libre y Soberano de México, así como 68 del Reglamento del Poder Legislativo del Estado de México sometió a la consideración de la soberanía popular la Iniciativa con Proyecto de Decreto por el que se reforma el artículo 1 y se adiciona la fracción VIII, recorriéndose de manera subsecuentes las demás al artículo 7 ambos de la Ley de Acceso de las Mujeres a una Vida Libre de Violencia del Estado de México; con sujeción al estudio realizado, advertimos que la iniciativa propone principalmente establecer disposiciones para definir la violencia digital en la ley.</w:t>
      </w:r>
    </w:p>
    <w:p w:rsidR="003A56A2" w:rsidRPr="006A4BCA" w:rsidRDefault="00115C4A" w:rsidP="00C80DF4">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2.-</w:t>
      </w:r>
      <w:r w:rsidR="003A56A2" w:rsidRPr="006A4BCA">
        <w:rPr>
          <w:rFonts w:ascii="Times New Roman" w:eastAsia="Arial" w:hAnsi="Times New Roman" w:cs="Times New Roman"/>
          <w:sz w:val="24"/>
          <w:szCs w:val="24"/>
        </w:rPr>
        <w:t xml:space="preserve"> En la sesión de la LXII Legislatura realizada el día 3 diciembre del 2025, los integrantes del Grupo Parlamentario del Partido Verde Ecologista de México, en uso del derecho de iniciativa legislativa y en atención a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sometieron a la consideración de la soberanía popular la iniciativa con proyecto de decreto por el que se adicionan y reforman diversas disposiciones de la Ley de Acceso de las Mujeres a una Vida Libre de Violencia del Estado de México.</w:t>
      </w:r>
    </w:p>
    <w:p w:rsidR="003A56A2" w:rsidRPr="006A4BCA" w:rsidRDefault="003A56A2" w:rsidP="00C80DF4">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términos del estudio que llevamos a cabo, apreciamos que la iniciativa propone disposiciones en materia de violencia digital.</w:t>
      </w:r>
    </w:p>
    <w:p w:rsidR="00F26FC5" w:rsidRPr="006A4BCA" w:rsidRDefault="00115C4A" w:rsidP="00C80DF4">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3.-</w:t>
      </w:r>
      <w:r w:rsidR="003A56A2" w:rsidRPr="006A4BCA">
        <w:rPr>
          <w:rFonts w:ascii="Times New Roman" w:eastAsia="Arial" w:hAnsi="Times New Roman" w:cs="Times New Roman"/>
          <w:sz w:val="24"/>
          <w:szCs w:val="24"/>
        </w:rPr>
        <w:t xml:space="preserve"> En cumplimiento del proceso legislativo aplicable el día 24 febrero del 2026 la Comisión</w:t>
      </w:r>
      <w:r w:rsidR="00070162" w:rsidRPr="006A4BCA">
        <w:rPr>
          <w:rFonts w:ascii="Times New Roman" w:eastAsia="Arial" w:hAnsi="Times New Roman" w:cs="Times New Roman"/>
          <w:sz w:val="24"/>
          <w:szCs w:val="24"/>
        </w:rPr>
        <w:t xml:space="preserve"> Legislativa de </w:t>
      </w:r>
      <w:r w:rsidR="00F26FC5" w:rsidRPr="006A4BCA">
        <w:rPr>
          <w:rFonts w:ascii="Times New Roman" w:hAnsi="Times New Roman" w:cs="Times New Roman"/>
          <w:sz w:val="24"/>
          <w:szCs w:val="24"/>
        </w:rPr>
        <w:t>Procuración y Administración de Justicia</w:t>
      </w:r>
      <w:r w:rsidR="00390D50" w:rsidRPr="006A4BCA">
        <w:rPr>
          <w:rFonts w:ascii="Times New Roman" w:hAnsi="Times New Roman" w:cs="Times New Roman"/>
          <w:sz w:val="24"/>
          <w:szCs w:val="24"/>
        </w:rPr>
        <w:t>,</w:t>
      </w:r>
      <w:r w:rsidR="00F26FC5" w:rsidRPr="006A4BCA">
        <w:rPr>
          <w:rFonts w:ascii="Times New Roman" w:hAnsi="Times New Roman" w:cs="Times New Roman"/>
          <w:sz w:val="24"/>
          <w:szCs w:val="24"/>
        </w:rPr>
        <w:t xml:space="preserve"> realizó reunión de estudio de la iniciativa de la diputada Sandra Patricia Santos Rodríguez, contando con su presencia y participación, quien en colaboración con la comisión legislativa, fortalecieron los trabajos de estudio aportando mayores elementos de información y el día 5 de marzo del citado año, la comisión legislativa dictaminó las iniciativas. </w:t>
      </w:r>
    </w:p>
    <w:p w:rsidR="00F26FC5" w:rsidRPr="006A4BCA" w:rsidRDefault="00F26FC5" w:rsidP="00115C4A">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4.- Como resultado del estudio realizado y con la participación de integrantes de distintos grupos parlamentarios, elaboramos un proyecto de decreto, en tal sentido, estimamos procedente reforzar el artículo 1, de la fracción IX del artículo 7, y adicionar la fracción X del artículo 7 y el artículo 30 Bis de la Ley de Acceso de las Mujeres a una Vida Libre de Violencia del Estado de México. </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Destacamos en términos del Proyecto de Decreto, la disposición de que la Ley de Acceso de las Mujeres a una vida Libre de Violencia del Estado de México es de orden público, interés social y de observancia general y obligatoria en todo el Estado de México y tiene por objeto establecer la coordinación entre el Gobierno del Estado y los gobiernos municipales para prevenir, atender, sancionar y erradicar las violencias contra las niñas, adolescentes y mujeres, así como establecer las políticas y acciones gubernamentales para garantizar el acceso de las mujeres a una vida libre de violencias que fortalezca su desarrollo y bienestar, conforme a los principios de igualdad y de no discriminación, que garantice el desarrollo integral de las niñas, adolescentes y mujeres.</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Asimismo, en relación con los tipos de violencia, la precisión de que se puntualice que la violencia digital es toda acción dolosa realizada mediante el uso de tecnologías de la información y la comunicación por la que se exponga, distribuya, difunda, exhiba, transmita, comercialice, oferte, intercambie o comparte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w:t>
      </w:r>
      <w:r w:rsidR="000C4BF9" w:rsidRPr="006A4BCA">
        <w:rPr>
          <w:rFonts w:ascii="Times New Roman" w:hAnsi="Times New Roman" w:cs="Times New Roman"/>
          <w:sz w:val="24"/>
          <w:szCs w:val="24"/>
        </w:rPr>
        <w:t>/</w:t>
      </w:r>
      <w:r w:rsidRPr="006A4BCA">
        <w:rPr>
          <w:rFonts w:ascii="Times New Roman" w:hAnsi="Times New Roman" w:cs="Times New Roman"/>
          <w:sz w:val="24"/>
          <w:szCs w:val="24"/>
        </w:rPr>
        <w:t>o dignidad de las mujeres que se cometan por medio de las tecnologías de la información y la comunicación.</w:t>
      </w:r>
    </w:p>
    <w:p w:rsidR="00F26FC5" w:rsidRPr="006A4BCA" w:rsidRDefault="00F26FC5" w:rsidP="00C80DF4">
      <w:pPr>
        <w:pStyle w:val="Sinespaciado"/>
        <w:jc w:val="center"/>
        <w:rPr>
          <w:rFonts w:ascii="Times New Roman" w:hAnsi="Times New Roman" w:cs="Times New Roman"/>
          <w:sz w:val="24"/>
          <w:szCs w:val="24"/>
        </w:rPr>
      </w:pPr>
      <w:r w:rsidRPr="006A4BCA">
        <w:rPr>
          <w:rFonts w:ascii="Times New Roman" w:hAnsi="Times New Roman" w:cs="Times New Roman"/>
          <w:sz w:val="24"/>
          <w:szCs w:val="24"/>
        </w:rPr>
        <w:t>RESOLUTIVOS</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PRIMERO. Son de aprobarse en lo conducente conforme al Proyecto de Decreto que ha sido integrad</w:t>
      </w:r>
      <w:r w:rsidR="006200D7" w:rsidRPr="006A4BCA">
        <w:rPr>
          <w:rFonts w:ascii="Times New Roman" w:hAnsi="Times New Roman" w:cs="Times New Roman"/>
          <w:sz w:val="24"/>
          <w:szCs w:val="24"/>
        </w:rPr>
        <w:t>a</w:t>
      </w:r>
      <w:r w:rsidRPr="006A4BCA">
        <w:rPr>
          <w:rFonts w:ascii="Times New Roman" w:hAnsi="Times New Roman" w:cs="Times New Roman"/>
          <w:sz w:val="24"/>
          <w:szCs w:val="24"/>
        </w:rPr>
        <w:t xml:space="preserve"> la </w:t>
      </w:r>
      <w:r w:rsidR="006200D7" w:rsidRPr="006A4BCA">
        <w:rPr>
          <w:rFonts w:ascii="Times New Roman" w:hAnsi="Times New Roman" w:cs="Times New Roman"/>
          <w:sz w:val="24"/>
          <w:szCs w:val="24"/>
        </w:rPr>
        <w:t xml:space="preserve">Iniciativa </w:t>
      </w:r>
      <w:r w:rsidRPr="006A4BCA">
        <w:rPr>
          <w:rFonts w:ascii="Times New Roman" w:hAnsi="Times New Roman" w:cs="Times New Roman"/>
          <w:sz w:val="24"/>
          <w:szCs w:val="24"/>
        </w:rPr>
        <w:t xml:space="preserve">con Proyecto de Decreto por el que se reforma y adiciona la Ley de Acceso de las Mujeres a una Vida Libre de Violencia del Estado de México, presentada por la diputada Sandra Patricia Santos Rodríguez, en nombre del Grupo Parlamentario del Partido morena y la iniciativa con Proyecto de Decreto por el que se adiciona y reforman diversas disposiciones de la Ley de Acceso de las Mujeres a una Vida Libre de Violencia del Estado de México, presentada por los integrantes del Grupo Parlamentario Partido Verde Ecologista de México. </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SEGUNDO. Se adjunta el Proyecto de Decreto por el que se reforma el artículo 1 y la fracción IX del artículo 7 y se adiciona la fracción X al artículo 7 y el artículo 30 Bis de la Ley de Acceso de las Mujeres a una Vida Libre de Violencia del Estado de México. </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TERCERO. Previa discusión y aprobación por la Legislatura en pleno, remítase a la persona Titular del Ejecutivo Estatal para los efectos correspondientes. </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Dado en el Palacio del Poder Legislativo en la ciudad de Toluca, Lerdo de Lerdo, capital del Estado de México, a los cinco días del mes marzo del dos mil veintiséis.</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Es cuanto.</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Bueno, no me quiero ir sin antes de agradecer a las aportaciones a esta iniciativa a toda la bancada del Partido Verde Ecologista. </w:t>
      </w:r>
    </w:p>
    <w:p w:rsidR="00F26FC5" w:rsidRPr="006A4BCA" w:rsidRDefault="00F26FC5" w:rsidP="00E7623A">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Muchas gracias. </w:t>
      </w:r>
    </w:p>
    <w:p w:rsidR="006243F1" w:rsidRPr="006A4BCA" w:rsidRDefault="006243F1" w:rsidP="00E7623A">
      <w:pPr>
        <w:pStyle w:val="Sinespaciado"/>
        <w:jc w:val="both"/>
        <w:rPr>
          <w:rFonts w:ascii="Times New Roman" w:hAnsi="Times New Roman" w:cs="Times New Roman"/>
          <w:sz w:val="24"/>
          <w:szCs w:val="24"/>
        </w:rPr>
      </w:pPr>
    </w:p>
    <w:p w:rsidR="006243F1" w:rsidRPr="006A4BCA" w:rsidRDefault="006243F1" w:rsidP="00E7623A">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(Se inserta documento)</w:t>
      </w:r>
    </w:p>
    <w:p w:rsidR="006243F1" w:rsidRPr="006A4BCA" w:rsidRDefault="006243F1" w:rsidP="00E7623A">
      <w:pPr>
        <w:spacing w:after="0" w:line="240" w:lineRule="auto"/>
        <w:jc w:val="center"/>
        <w:rPr>
          <w:rFonts w:ascii="Times New Roman"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sz w:val="24"/>
          <w:szCs w:val="24"/>
        </w:rPr>
      </w:pPr>
      <w:r w:rsidRPr="006234C4">
        <w:rPr>
          <w:rFonts w:ascii="Times New Roman" w:eastAsia="Calibri" w:hAnsi="Times New Roman" w:cs="Times New Roman"/>
          <w:b/>
          <w:sz w:val="24"/>
          <w:szCs w:val="24"/>
        </w:rPr>
        <w:t xml:space="preserve">DICTAMEN FORMULADO A LA </w:t>
      </w:r>
      <w:bookmarkStart w:id="6" w:name="_Hlk223349876"/>
      <w:r w:rsidRPr="006234C4">
        <w:rPr>
          <w:rFonts w:ascii="Times New Roman" w:eastAsia="Calibri" w:hAnsi="Times New Roman" w:cs="Times New Roman"/>
          <w:b/>
          <w:sz w:val="24"/>
          <w:szCs w:val="24"/>
        </w:rPr>
        <w:t xml:space="preserve">INICIATIVA CON PROYECTO DE DECRETO POR EL QUE SE REFORMA EL ARTÍCULO 1 Y SE ADICIONA UNA FRACCIÓN VIII RECORRIÉNDOSE DE MANERA SUBSECUENTE LAS DEMÁS, AL ARTÍCULO 7 AMBOS DE LA LEY DE ACCESO DE LAS MUJERES A UNA VIDA LIBRE DE VIOLENCIA DEL ESTADO DE MÉXICO, PRESENTADA POR LA DIPUTADA SANDRA PATRICIA SANTOS RODRÍGUEZ, EN NOMBRE DEL GRUPO PARLAMENTARIO DEL PARTIDO MORENA Y A LA INICIATIVA CON PROYECTO DE DECRETO POR EL QUE SE ADICIONAN Y REFORMAN DIVERSAS DISPOSICIONES DE LA LEY DE ACCESO DE LAS MUJERES A UNA VIDA LIBRE DE </w:t>
      </w:r>
      <w:r w:rsidRPr="006234C4">
        <w:rPr>
          <w:rFonts w:ascii="Times New Roman" w:eastAsia="Calibri" w:hAnsi="Times New Roman" w:cs="Times New Roman"/>
          <w:b/>
          <w:sz w:val="24"/>
          <w:szCs w:val="24"/>
        </w:rPr>
        <w:lastRenderedPageBreak/>
        <w:t>VIOLENCIA DEL ESTADO DE MÉXICO, PRESENTADA POR INTEGRANTES DEL GRUPO PARLAMENTARIO DEL PARTIDO VERDE ECOLOGISTA DE MÉXICO.</w:t>
      </w:r>
    </w:p>
    <w:bookmarkEnd w:id="6"/>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sz w:val="24"/>
          <w:szCs w:val="24"/>
        </w:rPr>
      </w:pPr>
      <w:r w:rsidRPr="006234C4">
        <w:rPr>
          <w:rFonts w:ascii="Times New Roman" w:eastAsia="Calibri" w:hAnsi="Times New Roman" w:cs="Times New Roman"/>
          <w:b/>
          <w:sz w:val="24"/>
          <w:szCs w:val="24"/>
        </w:rPr>
        <w:t>HONORABLE ASAMBLEA:</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r w:rsidRPr="006234C4">
        <w:rPr>
          <w:rFonts w:ascii="Times New Roman" w:eastAsia="Calibri" w:hAnsi="Times New Roman" w:cs="Times New Roman"/>
          <w:sz w:val="24"/>
          <w:szCs w:val="24"/>
        </w:rPr>
        <w:t xml:space="preserve">La Presidencia de la "LXII" Legislatura remitió a la Comisión Legislativa de Procuración y Administración de Justicia, para su estudio y dictamen, la </w:t>
      </w:r>
      <w:bookmarkStart w:id="7" w:name="_Hlk223349414"/>
      <w:r w:rsidRPr="006234C4">
        <w:rPr>
          <w:rFonts w:ascii="Times New Roman" w:eastAsia="Calibri" w:hAnsi="Times New Roman" w:cs="Times New Roman"/>
          <w:sz w:val="24"/>
          <w:szCs w:val="24"/>
        </w:rPr>
        <w:t>Iniciativa con Proyecto de Decreto por el que se reforma el artículo 1 y se adiciona una fracción VIII recorriéndose de manera subsecuente las demás, al artículo 7 ambos de la Ley de Acceso de las Mujeres a una Vida Libre de Violencia del Estado de México, presentada por la Diputada Sandra Patricia Santos Rodríguez, en nombre del Grupo Parlamentario del Partido morena y la Iniciativa con Proyecto de Decreto por el que se adicionan y reforman diversas disposiciones de la Ley de Acceso de las Mujeres a una Vida Libre de Violencia del Estado de México, presentada por integrantes del Grupo Parlamentario del Partido Verde Ecologista de México.</w:t>
      </w:r>
    </w:p>
    <w:bookmarkEnd w:id="7"/>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Con apego a la técnica legislativa y en acatamiento del Principio de Economía Procesal, habiendo identidad de materia, acordamos realizar el estudio conjunto de las iniciativas e integrar un dictamen y un Proyecto de Decreto, que contiene los aspectos relevantes de las iniciativas y las disposiciones jurídicas correspondientes.</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r w:rsidRPr="006234C4">
        <w:rPr>
          <w:rFonts w:ascii="Times New Roman" w:eastAsia="Calibri" w:hAnsi="Times New Roman" w:cs="Times New Roman"/>
          <w:sz w:val="24"/>
          <w:szCs w:val="24"/>
        </w:rPr>
        <w:t>Desarrollado el estudio de las iniciativas y discutido suficientemente en la comisión legislativa, nos permitimos, con sustento en lo dispuesto en los artículos 68, 70 y 82 de la Ley Orgánica del Poder Legislativo, en relación con lo señalado en los artículos 13 A, 70, 73, 75, 78, 79 y 80 del Reglamento del Poder Legislativo, emitir el siguiente:</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DICTAMEN</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sz w:val="24"/>
          <w:szCs w:val="24"/>
        </w:rPr>
      </w:pPr>
      <w:r w:rsidRPr="006234C4">
        <w:rPr>
          <w:rFonts w:ascii="Times New Roman" w:eastAsia="Calibri" w:hAnsi="Times New Roman" w:cs="Times New Roman"/>
          <w:b/>
          <w:sz w:val="24"/>
          <w:szCs w:val="24"/>
        </w:rPr>
        <w:t>ANTECEDENTES Y CONCLUSIÓN DEL ESTUDIO.</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r w:rsidRPr="006234C4">
        <w:rPr>
          <w:rFonts w:ascii="Times New Roman" w:eastAsia="Calibri" w:hAnsi="Times New Roman" w:cs="Times New Roman"/>
          <w:b/>
          <w:sz w:val="24"/>
          <w:szCs w:val="24"/>
        </w:rPr>
        <w:t>1.-</w:t>
      </w:r>
      <w:r w:rsidRPr="006234C4">
        <w:rPr>
          <w:rFonts w:ascii="Times New Roman" w:eastAsia="Calibri" w:hAnsi="Times New Roman" w:cs="Times New Roman"/>
          <w:sz w:val="24"/>
          <w:szCs w:val="24"/>
        </w:rPr>
        <w:t xml:space="preserve"> En sesión de la “LXII” Legislatura celebrada el día primero de octubre de dos mil veinticinco, la Diputada Sandra Patricia Santos Rodríguez del Grupo Parlamentario del Partido morena, en ejercicio del derecho de iniciativa legislativa y con base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sometió a la consideración de la Soberanía Popular la Iniciativa con Proyecto de Decreto por el que se reforma el artículo 1 y se adiciona una fracción VIII recorriéndose de manera subsecuente las demás, al artículo 7 ambos de la Ley de Acceso de las Mujeres a una Vida Libre de Violencia del Estado de México.</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r w:rsidRPr="006234C4">
        <w:rPr>
          <w:rFonts w:ascii="Times New Roman" w:eastAsia="Calibri" w:hAnsi="Times New Roman" w:cs="Times New Roman"/>
          <w:sz w:val="24"/>
          <w:szCs w:val="24"/>
        </w:rPr>
        <w:t>Con sujeción al estudio realizado, advertimos que la iniciativa propone, principalmente, establecer disposiciones para definir la violencia digital en la Ley.</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r w:rsidRPr="006234C4">
        <w:rPr>
          <w:rFonts w:ascii="Times New Roman" w:eastAsia="Calibri" w:hAnsi="Times New Roman" w:cs="Times New Roman"/>
          <w:b/>
          <w:sz w:val="24"/>
          <w:szCs w:val="24"/>
        </w:rPr>
        <w:t>2.-</w:t>
      </w:r>
      <w:r w:rsidRPr="006234C4">
        <w:rPr>
          <w:rFonts w:ascii="Times New Roman" w:eastAsia="Calibri" w:hAnsi="Times New Roman" w:cs="Times New Roman"/>
          <w:sz w:val="24"/>
          <w:szCs w:val="24"/>
        </w:rPr>
        <w:t xml:space="preserve"> En sesión de la “LXII” Legislatura realizada el día tres de diciembre de dos mil veinticinco, los integrantes del Grupo Parlamentario del Partido Verde Ecologista de México, en uso del derecho de iniciativa legislativa y en atención a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sometieron a la consideración de la </w:t>
      </w:r>
      <w:r w:rsidRPr="006234C4">
        <w:rPr>
          <w:rFonts w:ascii="Times New Roman" w:eastAsia="Calibri" w:hAnsi="Times New Roman" w:cs="Times New Roman"/>
          <w:sz w:val="24"/>
          <w:szCs w:val="24"/>
        </w:rPr>
        <w:lastRenderedPageBreak/>
        <w:t>Soberanía Popular; la Iniciativa con Proyecto de Decreto por el que se adicionan y reforman diversas disposiciones de la Ley de Acceso de las Mujeres a una Vida Libre de Violencia del Estado de México.</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r w:rsidRPr="006234C4">
        <w:rPr>
          <w:rFonts w:ascii="Times New Roman" w:eastAsia="Calibri" w:hAnsi="Times New Roman" w:cs="Times New Roman"/>
          <w:sz w:val="24"/>
          <w:szCs w:val="24"/>
        </w:rPr>
        <w:t>En términos del estudio que llevamos a cabo, apreciamos que la iniciativa propone disposiciones en materia de violencia digital.</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
          <w:bCs/>
          <w:sz w:val="24"/>
          <w:szCs w:val="24"/>
        </w:rPr>
        <w:t>3.-</w:t>
      </w:r>
      <w:r w:rsidRPr="006234C4">
        <w:rPr>
          <w:rFonts w:ascii="Times New Roman" w:eastAsia="Calibri" w:hAnsi="Times New Roman" w:cs="Times New Roman"/>
          <w:bCs/>
          <w:sz w:val="24"/>
          <w:szCs w:val="24"/>
        </w:rPr>
        <w:t xml:space="preserve"> En cumplimiento del proceso legislativo aplicable el día veinticuatro de febrero de dos mil veintiséis, la Comisión Legislativa de Procuración y Administración de Justicia, realizó reunión de estudio de la iniciativa de la Diputada Sandra Patricia Santos Rodríguez, contando con su presencia y participación, quien en colaboración con la comisión legislativa fortalecieron los trabajos de estudio, aportando mayores elementos de información y el día cinco de marzo del citado año, la comisión legislativa dictaminó las iniciativas.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
          <w:bCs/>
          <w:sz w:val="24"/>
          <w:szCs w:val="24"/>
        </w:rPr>
        <w:t>4.-</w:t>
      </w:r>
      <w:r w:rsidRPr="006234C4">
        <w:rPr>
          <w:rFonts w:ascii="Times New Roman" w:eastAsia="Calibri" w:hAnsi="Times New Roman" w:cs="Times New Roman"/>
          <w:bCs/>
          <w:sz w:val="24"/>
          <w:szCs w:val="24"/>
        </w:rPr>
        <w:t xml:space="preserve"> Como resultado del estudio realizado y con la participación de integrantes de los distintos Grupos Parlamentarios, elaboramos un Proyecto de Decreto y en tal sentido, estimamos procedente reformar el artículo 1 y la fracción IX del artículo 7; y adicionar la fracción X al artículo 7 y el artículo 30 Bis de la Ley de Acceso de las Mujeres a una Vida Libre de Violencia del Estado de México.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Destacamos, en términos del Proyecto de Decreto, la disposición de que la Ley de Acceso de las Mujeres a una Vida Libre de Violencia del Estado de México</w:t>
      </w:r>
      <w:r w:rsidRPr="006234C4">
        <w:rPr>
          <w:rFonts w:ascii="Times New Roman" w:eastAsia="Calibri" w:hAnsi="Times New Roman" w:cs="Times New Roman"/>
          <w:sz w:val="24"/>
          <w:szCs w:val="24"/>
          <w:lang w:eastAsia="es-MX"/>
        </w:rPr>
        <w:t xml:space="preserve"> </w:t>
      </w:r>
      <w:r w:rsidRPr="006234C4">
        <w:rPr>
          <w:rFonts w:ascii="Times New Roman" w:eastAsia="Calibri" w:hAnsi="Times New Roman" w:cs="Times New Roman"/>
          <w:bCs/>
          <w:sz w:val="24"/>
          <w:szCs w:val="24"/>
        </w:rPr>
        <w:t>es de orden público, interés social y de observancia general y obligatoria en todo el Estado de México y tiene por objeto establecer la coordinación entre el Gobierno del Estado y los gobiernos municipales, para prevenir, atender, sancionar y erradicar las violencias contra las niñas, adolescentes y mujeres así como establecer las políticas y acciones gubernamentales para garantizar el acceso de las mujeres a una vida libre de violencias que favorezca su desarrollo y bienestar conforme a los principios de igualdad y de no discriminación, que garanticen el desarrollo integral de las niñas, adolescentes y mujeres.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Asimismo, en relación con los tipos de violencia la precisión de que se puntualice que la violencia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la comunicación.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sz w:val="24"/>
          <w:szCs w:val="24"/>
        </w:rPr>
      </w:pPr>
      <w:r w:rsidRPr="006234C4">
        <w:rPr>
          <w:rFonts w:ascii="Times New Roman" w:eastAsia="Calibri" w:hAnsi="Times New Roman" w:cs="Times New Roman"/>
          <w:b/>
          <w:sz w:val="24"/>
          <w:szCs w:val="24"/>
        </w:rPr>
        <w:t>CONSIDERACIONES.</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La “LXII” Legislatura es competente para conocer y resolver las iniciativas con Proyecto Decreto, en términos a lo previsto en el artículo 61 fracción I de la Constitución Política del Estado Libre y Soberano de México, que la faculta a</w:t>
      </w:r>
      <w:r w:rsidRPr="006234C4">
        <w:rPr>
          <w:rFonts w:ascii="Times New Roman" w:eastAsia="Times New Roman" w:hAnsi="Times New Roman" w:cs="Times New Roman"/>
          <w:sz w:val="24"/>
          <w:szCs w:val="24"/>
          <w:lang w:eastAsia="es-ES"/>
        </w:rPr>
        <w:t xml:space="preserve"> </w:t>
      </w:r>
      <w:r w:rsidRPr="006234C4">
        <w:rPr>
          <w:rFonts w:ascii="Times New Roman" w:eastAsia="Calibri" w:hAnsi="Times New Roman" w:cs="Times New Roman"/>
          <w:bCs/>
          <w:sz w:val="24"/>
          <w:szCs w:val="24"/>
        </w:rPr>
        <w:t>expedir leyes, decretos o acuerdos para el régimen interior del Estado, en todos los ramos de la administración del gobierno.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
          <w:bCs/>
          <w:sz w:val="24"/>
          <w:szCs w:val="24"/>
        </w:rPr>
        <w:t>ASPECTOS SOBRESALIENTES DE LA PARTE EXPOSITIVA DE LAS INICIATIVAS.</w:t>
      </w:r>
    </w:p>
    <w:p w:rsidR="006234C4" w:rsidRPr="006234C4" w:rsidRDefault="006234C4" w:rsidP="00E7623A">
      <w:pPr>
        <w:spacing w:after="0" w:line="240" w:lineRule="auto"/>
        <w:contextualSpacing/>
        <w:jc w:val="both"/>
        <w:rPr>
          <w:rFonts w:ascii="Times New Roman" w:eastAsia="Calibri" w:hAnsi="Times New Roman" w:cs="Times New Roman"/>
          <w:b/>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
          <w:bCs/>
          <w:sz w:val="24"/>
          <w:szCs w:val="24"/>
        </w:rPr>
        <w:lastRenderedPageBreak/>
        <w:t>Iniciativa con Proyecto de Decreto por el que se reforma el artículo 1 y se adiciona una fracción VIII recorriéndose de manera subsecuente las demás, al artículo 7 ambos de la Ley de Acceso de las Mujeres a una Vida Libre de Violencia del Estado de México, presentada por la Diputada Sandra Patricia Santos Rodríguez, en nombre del Grupo Parlamentario del Partido morena.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Refiere la iniciativa que las violencias contra las mujeres es un problema que ha afectado a millones de mujeres en nuestro país y en nuestra Entidad y que las violencias que sufren las mujeres en nuestro Estado. Es un tema que nos duele, nos indigna y nos compromete a actuar.</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Mencionan las mujeres del Estado de México, enfrentamos diversas formas de violencia, desde la violencia doméstica y el acoso, hasta la violencia sexual y el feminicidio.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Destaca que, de acuerdo al Plan de Desarrollo del Estado de México 2023-2029 ocho de cada diez mujeres mexiquenses han sufrido al menos algún evento de violencia en su vida.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Señala que, es importante que reconozcamos que las violencias contra las mujeres no son un problema privado, sino un problema público que requiere la atención y la acción de todas y de todos.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Afirma que cada día, escuchamos historias desgarradoras sobre mujeres que sufren diferentes tipos de violencia y que como legisladores debemos garantizar que la ley sea un refugio y una herramienta que brinde a cada mujer mexiquense una vida libre de violencia.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Precisa que para lograr lo anterior tenemos que empezar el cambio desde la ley.  Actualmente la Ley de Acceso de las Mujeres a una Vida Libre de Violencia del Estado de México, en su artículo 1 se centra en la violencia en singular, cuando en realidad debemos hablar de las violencias en plural.</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Explica que hablar de las violencias en plural, nos enmarca en la dura realidad que enfrentan muchas mujeres en nuestro entorno y que con esta reforma homologamos lo establecido en la Ley General de Acceso de las mujeres a una Vida Libre de Violencia, que reconoce las violencias en plural.</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Agrega que esto es crucial porque las mujeres no son víctimas de una única forma de violencia. Cada día enfrentan situaciones que van desde la violencia física hasta la violencia psicológica, económica y sexual.</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Aclara que no son solo estas formas de violencia las que debemos considerar. También debemos ampliar nuestro catálogo para incluir modalidades que son cada vez más relevantes en nuestra sociedad contemporánea, como la violencia digital.</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Resalta que la violencia digital se ha convertido en un fenómeno alarmante en el mundo actual. Con el avance de la tecnología y la omnipresencia de las redes sociales, las mujeres se encuentran expuestas a un nuevo tipo de violencia que puede ser igual de devastadora que la violencia física.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Comenta que el acoso en línea, la difusión de imágenes íntimas sin consentimiento y el ciberacoso son solo algunas de las formas en que esta violencia se manifiesta. Muchas mujeres no denuncian </w:t>
      </w:r>
      <w:r w:rsidRPr="006234C4">
        <w:rPr>
          <w:rFonts w:ascii="Times New Roman" w:eastAsia="Calibri" w:hAnsi="Times New Roman" w:cs="Times New Roman"/>
          <w:bCs/>
          <w:sz w:val="24"/>
          <w:szCs w:val="24"/>
        </w:rPr>
        <w:lastRenderedPageBreak/>
        <w:t>estos actos por miedo a las repercusiones o porque no creen que se les tome en serio. Es nuestra responsabilidad como legisladores y ciudadanos crear un marco legal que proteja a las mujeres en el ámbito digital, así como lo hacemos en el mundo físico.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Puntualiza que se trata de un fenómeno que se ha alojado en nuestro presente, que, aunque pareciera pertenecer a la esfera virtual, tiene consecuencias reales y destructoras en la vida cotidiana de las personas. Esta forma insidiosa de violencia, aunque a menudo menos visible que la violencia física, no es un problema del futuro; es una crisis actual que afecta la vida de millones de personas en todo el mundo, especialmente a las mujeres.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Expresa que cada día, millones de mujeres alrededor del mundo se convierten en víctimas de ataques cibernéticos, este tipo de violencia se manifiesta de muchas maneras: acoso en línea, amenazas, difusión no consensuada de imágenes íntimas, hostigamiento y la creación de perfiles falsos con la intención de humillar y deshumanizar.</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Remarca que esta violencia no conoce fronteras, se infiltra en nuestras redes sociales, en nuestras vidas cotidianas, y muchas veces se perpetúa con total impunidad, afectando no solo la salud mental y emocional de sus víctimas, sino también su seguridad física y bienestar general y que las estadísticas son preocupantes, la violencia digital en México, ha ido en aumento, fuentes del INEGI nos revelan que, en el 2023, 20.9 % de la población usuaria de internet (18.4 millones de personas de 12 años y más) vivió alguna situación de ciberacoso, El mismo año, 22.0 % de las mujeres y 19.6 % de los hombres que usaron internet fueron víctimas de ciberacoso.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Reconoce que los datos son alarmantes. Este tipo de violencia no solo irrumpe la privacidad de las personas, sino que también puede llevar a consecuencias trágicas, incluyendo depresión, ansiedad e incluso suicidio y reafirma que este no es un dato aislado; es un grito de alerta sobre cómo la tecnología, pasa de ser una herramienta de comunicación, empoderamiento y avance social, a un arma en manos de quienes buscan controlar, lastimar, desprestigiar, atemorizar y silenciar a las mujeres. La tecnología debería ser un espacio de libertad y empoderamiento, de expresión, no de miedo y opresión.</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Estima que las mujeres mexiquenses deben sentir que tienen el respaldo del Estado cuando enfrentan situaciones de acoso en línea, no solo desde el ámbito privado sino también desde el público, donde los agresores suelen actuar con impunidad.</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Reconoce el trabajo que ha hecho la gobernadora del Estado de México, por las mujeres mexiquenses, y afirma que el primer día de su administración colocó a la mujer en el centro de su administración, y de sus políticas públicas.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
          <w:bCs/>
          <w:sz w:val="24"/>
          <w:szCs w:val="24"/>
        </w:rPr>
        <w:t>Iniciativa con Proyecto de Decreto por el que se adicionan y reforman diversas disposiciones de la Ley de Acceso de las Mujeres a una Vida Libre de Violencia del Estado de México, presentada por integrantes del Grupo Parlamentario del Partido Verde Ecologista de México.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Explica que la violencia de género contra las mujeres y las niñas en las Tecnologías de la información (TIC) cada vez encuentra más formas para silenciar y excluir a las mujeres del espacio digital. Al no contar con un libre acceso al ecosistema digital, se limita la capacidad para lograr la igualdad de género de las mujeres y niñas y se impide el ejercicio de sus derechos esenciales para su pleno desarrollo como el derecho a la libertad de expresión, a la información y a la no </w:t>
      </w:r>
      <w:r w:rsidRPr="006234C4">
        <w:rPr>
          <w:rFonts w:ascii="Times New Roman" w:eastAsia="Calibri" w:hAnsi="Times New Roman" w:cs="Times New Roman"/>
          <w:bCs/>
          <w:sz w:val="24"/>
          <w:szCs w:val="24"/>
        </w:rPr>
        <w:lastRenderedPageBreak/>
        <w:t>discriminación. Internet juega un papel preponderante en la estructuración de las identidades y la organización de las interacciones sociales, con base en las mismas estructuras económicas y de poder que el espacio “fuera de línea.”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Define a la violación digital como aquella que se comete y expande a través de medios digitales como redes sociales, correo electrónico o aplicaciones de mensajería móvil, y que causa daños a la dignidad, la integridad y/o la seguridad de las víctimas. Algunas formas de violencia digital son: monitoreo y acecho, acoso, extorsión, desprestigio, amenazas, suplantación y robo de identidad, así como abuso sexual relacionado con la tecnología, entre otras.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Estima que las formas de violencia digital contra las mujeres y las niñas están asociadas con impactos psicológicos, sociales y de salud reproductiva y, a menudo, con violencia sexual y física fuera del espacio virtual tanto para las víctimas como para las sobrevivientes.  En este sentido, de acuerdo con el Informe “Ciberviolencia y Ciberacoso contra las mujeres y niñas en el marco de la Convención Belém Do Pará”, elaborado en 2021, por ONU Mujeres- Oficina Regional para América Latina y el Caribe, el Mecanismo de Seguimiento de la Convención Belém Do Pará (MESECV), de la Comisión Interamericana de Mujeres. Para el caso mexicano: Odio viral en contra de mujeres con perfil público, quienes se vuelven blanco de ataques masivos en línea como resultado de denunciar la agresión que vivieron en el espacio público; expulsión y derribo de espacios de expresión de mujeres, como por ejemplo ataques organizados a sitios web de activistas, colectivas y medios de comunicación que se asumen públicamente como feministas; campañas de ataques organizados y a través de cuentas falsas creadas únicamente con el fin de violentar a mujeres; extorsión bajo amenaza de difusión de imágenes íntimas; espionaje de Estado a través de software espía en contra de mujeres periodistas y defensoras de derechos humanos; y campañas de desprestigio en contra de mujeres con perfil público mediante fotomontajes.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Precisa que estas 6 tendencias digitales provocan una vulneración al derecho humano a una vida libre de violencia, en su vertiente digital que va tomando fuerza ante la creciente presencia de espacio digitales de todo sector poblacional. A la par causa graves estragos en las mujeres, que van desde: Daños psicológicos y sufrimiento emocional; daños físicos; aislamiento social; daños económicos para las víctimas y sus familias; movilidad limitada en espacios en línea y/o fuera de línea; y autocensura, uso reducido o salida de espacios digitales.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Expresa que el tema de la violencia digital es un asunto que debe ser abordado en su justa dimensión, ya que el panorama internacional no es alentador, ni menos el nacional que desde 2016, bajo las acciones de Olimpia Coral Melo y un conjunto de activistas, se lanzó el primer violentómetro virtual, que presenta algunas formas de violencia digital: Exclusión virtual; insultos electrónicos; violación de datos personales; asecho/ stalking; hostigamiento virtual; suplantación virtual; difamación virtual; ciberpersecución; sextorsión; difusión de contenido íntimo sin consentimiento; y trata virtual de personas.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Precisa que en cuanto a las personas que padecieron violencia digital. El INFORME VIOLENCIA DIGITAL – UN ESTUDIO DE LOS PERFILES DE AGRESORES Y SOBREVIVIENTES DE VIOLENCIA SEXUAL DIGITAL- realizado por las Sociedades Patriarcales Creamos Víctimas y Agresores, informa que los casos registrados por estados entre 2020 y 2021, los datos nos muestran que tan sólo 4 estados concentran el 54% de los registros totales: la Ciudad de México (291), el Estado de México (185), Veracruz (70) y Puebla (65). Este dato guarda correlación con la Encuesta Nacional sobre Dinámica de las Relaciones en los Hogares (ENDIREH) 2016, que mide la violencia contra las mujeres por razón de género, siendo las mismas entidades que ocupan los </w:t>
      </w:r>
      <w:r w:rsidRPr="006234C4">
        <w:rPr>
          <w:rFonts w:ascii="Times New Roman" w:eastAsia="Calibri" w:hAnsi="Times New Roman" w:cs="Times New Roman"/>
          <w:bCs/>
          <w:sz w:val="24"/>
          <w:szCs w:val="24"/>
        </w:rPr>
        <w:lastRenderedPageBreak/>
        <w:t>respectivos lugares.  Igualmente, el Informe expone el sector más vulnerable y su ocupación, y hace referencia a la identificación de un agresor digital, y a su reporte, sobresaliendo: A pesar de que tus mensajes son ignorados insistes hasta llegar al acoso; cuando revisas sus mensajes y no le permites tener privacidad; utilizas las nuevas tecnologías para tener vigilada a tu pareja o atormentarlo en la red; cuando compartes contenidos privados de una persona sin su consentimiento; y cuando convocas a crear grupos de redes sociales con el fin de dañar a una persona.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Menciona que la violencia contra la mujer ha persistido desde hace décadas, por ello, se han creado instrumentos internacionales, nacionales y locales para llevar a su erradicación, la primera vez (1994), que se reconoció el derecho de las mujeres a vivir una vida libre de violencia, fue en la Convención Interamericana para Prevenir, Sancionar y Erradicar la Violencia contra la Mujer, conocida como Convención de Belém do Pará. Dicho instrumento internacional marca un antes y después, por su valor histórico, social, jurídico o en última instancia paradigmático. En virtud, de los derechos conferidos y de las garantías otorgadas para hacer realidad una vida libre de violencia.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Aclara que en nuestra latitud fue hasta 2007, donde el derecho a una vida libre de violencia motivo, la aparición de la Ley General de Acceso de las Mujeres a una Vida Libre de Violencia (LGAMVLV), teniendo como objeto la coordinación de los tres niveles de gobierno para prevenir, sancionar y erradicar las violencias contra las mujeres, adolescentes y niñas.  Agrega que al expedirse este ordenamiento jurídico, se mandato (artículo octavo transitorio) a las Legislaturas de los Estados, a promover las reformas necesarias en un término de 6 meses, contados a partir de la entra en vigor de la ley.  Sujetándose a: ejercer facultades reglamentarias para la aplicación de sus respectivas leyes e impulsar reformas para el cumplimiento de la salvaguarda del derecho humano consagrado y su debida tipificación penal.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Alude a la Ley de Acceso de las Mujeres a una Vida Libre de Violencia del Estado de México (LAMVLVEM), con objetivos de coordinación institucional, transformación de condiciones, protección institucional, acceso a la justicia a las víctimas, políticas integrales del gobierno, pleno goce de los derechos humanos y aseguramiento de recursos e instrumentos para acceder a tales derechos.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Da a conocer la relación que guardan la ley general y la ley estatal en comento, y reconoce que, más allá de la estricta armonización legislativa que impone toda Ley general para con su “Ley Reflejo” en las respectivas Entidades Federativas. Se debe resaltar que el Congreso General de la Unión, obra (leyes generales) de tal manera, cuando advierte que la problemática está presente en toda la extensión territorial de la República Mexicana, siendo oportuno la generación de sinergias de los tres niveles de gobierno, para beneficiar jurídicamente el derecho humano que sea tratado, desarrollo y protegido por un andamiaje jurídico, otorgando así seguridad y certeza jurídica que reclama la intervención del Estado.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Con base en lo expresado y, desde el plano comparativo, advierte que nuestro marco jurídico estatal, se encuentra desfasado o tiene imprevisiones respecto a lo que dispone el marco general en la materia, lo cual trae desventajas legislativas y señala como ejemplo al reconocimiento de la violencia digital, en la LGAMVLV, contenido en su artículo 20 Quáter. Dicha porción normativa, contiene los elementos necesarios de una estructura normativa.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Subraya la falta de reconocimiento o mención legal en la LAMVLVEM, que pone en riesgo a las mujeres mexiquenses. Por no tener un referente directo de la violencia digital.  Se dispone que </w:t>
      </w:r>
      <w:r w:rsidRPr="006234C4">
        <w:rPr>
          <w:rFonts w:ascii="Times New Roman" w:eastAsia="Calibri" w:hAnsi="Times New Roman" w:cs="Times New Roman"/>
          <w:bCs/>
          <w:i/>
          <w:iCs/>
          <w:sz w:val="24"/>
          <w:szCs w:val="24"/>
        </w:rPr>
        <w:lastRenderedPageBreak/>
        <w:t>corresponde al Poder Legislativo del Estado de México: Revisar cada año, la presente ley, con la finalidad de promover las iniciativas y reformas que correspondan, para garantizar el pleno cumplimiento de la ley;”</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Pone de relieve a las entidades federativas que sí reconocen en su normatividad la violencia digital.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Concluye con la observación de que dichos Estados, si cuentan en sus ordenamientos jurídicos con la debida mención legal a la violencia digital. Hecho que debe impulsar a que el Estado de México, no postergue más la correspondiente inserción de la dicha violencia ante ambientes peligrosos para el pleno desarrollo de la mujer. Especialmente cuando el Centro Estatal de Vigilancia Epidemiológica y Control de Enfermedades (CEVECE), determinó: En 2021 un 20.8% de la población del Estado de México, de 12 años o más, fue víctima de ciberacoso a través de situaciones como el contacto mediante identidades falsas, los mensajes ofensivos, las provocaciones, las llamadas ofensivas, el recibir contenido de índole sexual y hasta propuestas o insinuaciones sexuales.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Con ello da cuenta de lo revelado por el Módulo sobre el Ciberacoso 2021 del INEGI, el cual indica que en la entidad mexiquense un 22.2% de las mujeres‟ informaron haber sido víctimas de ciberacoso, contra un 19.3% en el caso de los hombres. De la población que vivió alguna situación de ciberacoso en el Estado de México en el año 2021, el promedio de horas de uso diario de internet fue de 6 horas con 20 minutos.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Reafirma que es imperante, dejar de ser omisos ante la ausencia de regulación de la violencia digital en la Ley de Acceso de las Mujeres a una Vida Libre de Violencia del Estado de México (LAMVLVEM), disposición jurídica que sirve de basamento para que las mujeres que la padecen, sepan distinguir cuando son víctima de ella y puedan acudir a las instancias correspondientes.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Hace énfasis especial en que cualquier tipo o modalidad de violencia, repercute en la dignidad (valor supremo constitucional), de la mujer. Es imposible que una mujer violentada pueda gozar libremente de sus derechos humanos. La violencia, nunca debe ser causa de orgullo por los múltiples estragos que causa, en ese mismo peso argumentativo tampoco debe existir impunidad por parte del Estado o facilidades para que los violentadores llegan a ocupar cargos públicos y expone que en nuestro país, existían candidatos que se postulaban para algún cargo público que tenían acciones legales y judiciales en su contra, pero las reglas de la contienda electoral eran omisas al respecto. Logrando así una impunidad sin precedentes, ya que al verse favorecido por el electorado gozaban en la mayoría de los casos de fuero constitucional. Creando un ambiente de inmunidad para los violentadores de las mujeres.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Declara que, fue a partir de 2024 cuando se impulsó una reforma socialmente conocida como “ley 3 de 3”, con objetivos: de que ninguna persona deudora de pensión alimenticia, agresora sexual o que haya cometido violencia familiar puede tener un cargo de elección popular o un empleo en los tres órdenes de gobierno. Este impedimento legal y acción de justicia, atiende un reclamo de las mujeres violentadas, constituyendo un avance histórico para combatir las cifras de que, en México, 7 de cada 10 mujeres han experimentado situaciones de violencia.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Así, en razón de lo argumentado y con el propósito de combatir la violencia digital, a la par de lograr una armonización normativa pendiente, es que la presente iniciativa busca: Suspensión de derechos o prerrogativas en caso de violencias; la incorporación de la violencia digital; el fortalecimiento de la violencia política bajo la perspectiva digital; medidas de carácter judicial para </w:t>
      </w:r>
      <w:r w:rsidRPr="006234C4">
        <w:rPr>
          <w:rFonts w:ascii="Times New Roman" w:eastAsia="Calibri" w:hAnsi="Times New Roman" w:cs="Times New Roman"/>
          <w:bCs/>
          <w:sz w:val="24"/>
          <w:szCs w:val="24"/>
        </w:rPr>
        <w:lastRenderedPageBreak/>
        <w:t xml:space="preserve">las víctimas de violencia digital; creación del Registro de Personas Sancionadas por Violencia contra las Mujeres del Estado de México; y mayores atribuciones a la Secretaria de Seguridad.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
          <w:bCs/>
          <w:sz w:val="24"/>
          <w:szCs w:val="24"/>
        </w:rPr>
        <w:t>ANÁLISIS Y VALORACIÓN DE LOS ARGUMENTOS.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Estamos de acuerdo en que, al integrar la violencia digital en nuestra legislación, no solo fortalecemos la Ley de Acceso de las Mujeres a una Vida Libre de Violencia del Estado de México, sino que también enviamos un mensaje claro a la sociedad: la violencia en todas sus formas es inaceptable.</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Compartimos el argumento de que esto es más que una cuestión de justicia. Es un acto de responsabilidad ante las mujeres del Estado de México, que confían en nosotras y nosotros para proteger sus derechos y garantizar su seguridad.</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Creemos también que nuestra responsabilidad como legisladores es trabajar para que cada mujer en el Estado de México tenga el derecho a reportar una agresión sin miedo a ser revictimizada.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Señalamos con los promoventes de las iniciativas que la violencia digital es una realidad que no podemos permitir que quede fuera de nuestro marco legal. Al hacerlo, no solo protegemos a las mujeres, sino que también damos un paso hacia una sociedad más justa e igualitaria.</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Por ello, apoyamos las iniciativas para hablar de violencias y de incluir la violencia digital y construyamos un marco legal que refleje la realidad de las mujeres en el Estado de México y apreciamos que juntas y juntos, podemos crear un futuro donde cada mujer tenga el derecho a vivir libre de violencia en todas sus formas.</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sz w:val="24"/>
          <w:szCs w:val="24"/>
        </w:rPr>
      </w:pPr>
      <w:r w:rsidRPr="006234C4">
        <w:rPr>
          <w:rFonts w:ascii="Times New Roman" w:eastAsia="Calibri" w:hAnsi="Times New Roman" w:cs="Times New Roman"/>
          <w:b/>
          <w:sz w:val="24"/>
          <w:szCs w:val="24"/>
        </w:rPr>
        <w:t>ANÁLISIS Y ESTUDIO TÉCNICO DEL TEXTO NORMATIVO.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Con apego al estudio realizado y con las aportaciones de integrantes de los distintos Grupos Parlamentarios conformamos un Proyecto de Decreto y, en consecuencia, es procedente reformar el artículo 1 y la fracción IX del artículo 7; y adicionar la fracción X al artículo 7 y el artículo 30 Bis de la Ley de Acceso de las Mujeres a una Vida Libre de Violencia del Estado de México.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Cs/>
          <w:sz w:val="24"/>
          <w:szCs w:val="24"/>
        </w:rPr>
        <w:t xml:space="preserve">En consecuencia, en el artículo 1 se dispone que </w:t>
      </w:r>
      <w:r w:rsidRPr="006234C4">
        <w:rPr>
          <w:rFonts w:ascii="Times New Roman" w:eastAsia="Calibri" w:hAnsi="Times New Roman" w:cs="Times New Roman"/>
          <w:b/>
          <w:bCs/>
          <w:sz w:val="24"/>
          <w:szCs w:val="24"/>
        </w:rPr>
        <w:t xml:space="preserve">la presente Ley es de orden público, interés social y de observancia general y obligatoria en todo el Estado de México y tiene por objeto establecer la coordinación entre el Gobierno del Estado y los gobiernos municipales, para prevenir, atender, sancionar y erradicar las violencias contra las niñas, adolescentes y mujeres así como establecer las políticas y acciones gubernamentales para garantizar el acceso de las mujeres a una vida libre de violencias que favorezca su desarrollo y bienestar conforme a los principios de igualdad y de no discriminación, que garanticen el desarrollo integral de las niñas, adolescentes y mujeres. </w:t>
      </w: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Cs/>
          <w:sz w:val="24"/>
          <w:szCs w:val="24"/>
        </w:rPr>
        <w:t xml:space="preserve">Por lo que hace a la fracción IX del artículo </w:t>
      </w:r>
      <w:r w:rsidRPr="006234C4">
        <w:rPr>
          <w:rFonts w:ascii="Times New Roman" w:eastAsia="Calibri" w:hAnsi="Times New Roman" w:cs="Times New Roman"/>
          <w:b/>
          <w:bCs/>
          <w:sz w:val="24"/>
          <w:szCs w:val="24"/>
        </w:rPr>
        <w:t xml:space="preserve">7, sobre los tipos de violencia contra las mujeres, es adecuado puntualizar que la Violencia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w:t>
      </w:r>
      <w:r w:rsidRPr="006234C4">
        <w:rPr>
          <w:rFonts w:ascii="Times New Roman" w:eastAsia="Calibri" w:hAnsi="Times New Roman" w:cs="Times New Roman"/>
          <w:b/>
          <w:bCs/>
          <w:sz w:val="24"/>
          <w:szCs w:val="24"/>
        </w:rPr>
        <w:lastRenderedPageBreak/>
        <w:t xml:space="preserve">cualquier ámbito de su vida privada o en su imagen propia. Así como aquellos actos dolosos que causen daño a la intimidad, privacidad y/o dignidad de las mujeres, que se cometan por medio de las tecnologías de la información y la comunicación. </w:t>
      </w: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Cs/>
          <w:sz w:val="24"/>
          <w:szCs w:val="24"/>
        </w:rPr>
        <w:t xml:space="preserve">Asimismo, que </w:t>
      </w:r>
      <w:r w:rsidRPr="006234C4">
        <w:rPr>
          <w:rFonts w:ascii="Times New Roman" w:eastAsia="Calibri" w:hAnsi="Times New Roman" w:cs="Times New Roman"/>
          <w:b/>
          <w:bCs/>
          <w:sz w:val="24"/>
          <w:szCs w:val="24"/>
        </w:rPr>
        <w:t xml:space="preserve">se entiende por Tecnologías de la Información y la Comunicación aquellos recursos, herramientas y programas que se utilizan para procesar, administrar y compartir la información mediante diversos soportes tecnológicos. </w:t>
      </w: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Cs/>
          <w:sz w:val="24"/>
          <w:szCs w:val="24"/>
        </w:rPr>
        <w:t xml:space="preserve">De igual forma, la fracción </w:t>
      </w:r>
      <w:r w:rsidRPr="006234C4">
        <w:rPr>
          <w:rFonts w:ascii="Times New Roman" w:eastAsia="Calibri" w:hAnsi="Times New Roman" w:cs="Times New Roman"/>
          <w:b/>
          <w:bCs/>
          <w:sz w:val="24"/>
          <w:szCs w:val="24"/>
        </w:rPr>
        <w:t>X</w:t>
      </w:r>
      <w:r w:rsidRPr="006234C4">
        <w:rPr>
          <w:rFonts w:ascii="Times New Roman" w:eastAsia="Calibri" w:hAnsi="Times New Roman" w:cs="Times New Roman"/>
          <w:bCs/>
          <w:sz w:val="24"/>
          <w:szCs w:val="24"/>
        </w:rPr>
        <w:t xml:space="preserve"> se recorre y queda el texto, en términos de </w:t>
      </w:r>
      <w:r w:rsidRPr="006234C4">
        <w:rPr>
          <w:rFonts w:ascii="Times New Roman" w:eastAsia="Calibri" w:hAnsi="Times New Roman" w:cs="Times New Roman"/>
          <w:b/>
          <w:bCs/>
          <w:sz w:val="24"/>
          <w:szCs w:val="24"/>
        </w:rPr>
        <w:t xml:space="preserve">cualquier otra forma análoga que lesione o sea susceptible de dañar la dignidad, integridad o libertad de las mujeres. </w:t>
      </w: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Cs/>
          <w:sz w:val="24"/>
          <w:szCs w:val="24"/>
        </w:rPr>
        <w:t xml:space="preserve">En el </w:t>
      </w:r>
      <w:r w:rsidRPr="006234C4">
        <w:rPr>
          <w:rFonts w:ascii="Times New Roman" w:eastAsia="Calibri" w:hAnsi="Times New Roman" w:cs="Times New Roman"/>
          <w:b/>
          <w:bCs/>
          <w:sz w:val="24"/>
          <w:szCs w:val="24"/>
        </w:rPr>
        <w:t xml:space="preserve">artículo 30 Bis </w:t>
      </w:r>
      <w:r w:rsidRPr="006234C4">
        <w:rPr>
          <w:rFonts w:ascii="Times New Roman" w:eastAsia="Calibri" w:hAnsi="Times New Roman" w:cs="Times New Roman"/>
          <w:bCs/>
          <w:sz w:val="24"/>
          <w:szCs w:val="24"/>
        </w:rPr>
        <w:t xml:space="preserve">se dispone que </w:t>
      </w:r>
      <w:r w:rsidRPr="006234C4">
        <w:rPr>
          <w:rFonts w:ascii="Times New Roman" w:eastAsia="Calibri" w:hAnsi="Times New Roman" w:cs="Times New Roman"/>
          <w:b/>
          <w:bCs/>
          <w:sz w:val="24"/>
          <w:szCs w:val="24"/>
        </w:rPr>
        <w:t xml:space="preserve">tratándose de violencia digital para garantizar 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 de cuentas, imágenes, audios o videos relacionados con la investigación previa satisfacción de los requisitos de Ley. </w:t>
      </w: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Cs/>
          <w:sz w:val="24"/>
          <w:szCs w:val="24"/>
        </w:rPr>
        <w:t xml:space="preserve">Se refiere que </w:t>
      </w:r>
      <w:r w:rsidRPr="006234C4">
        <w:rPr>
          <w:rFonts w:ascii="Times New Roman" w:eastAsia="Calibri" w:hAnsi="Times New Roman" w:cs="Times New Roman"/>
          <w:b/>
          <w:bCs/>
          <w:sz w:val="24"/>
          <w:szCs w:val="24"/>
        </w:rPr>
        <w:t xml:space="preserve">en este caso se deberá identificar plenamente al proveedor de servicios en línea a cargo de la administración del sistema informático, sitio o plataforma de Internet en donde se encuentre alojado el contenido y la localización precisa del contenido en Internet, señalando el Localizador Uniforme de Recursos. </w:t>
      </w: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Cs/>
          <w:sz w:val="24"/>
          <w:szCs w:val="24"/>
        </w:rPr>
        <w:t xml:space="preserve">Así como, que </w:t>
      </w:r>
      <w:r w:rsidRPr="006234C4">
        <w:rPr>
          <w:rFonts w:ascii="Times New Roman" w:eastAsia="Calibri" w:hAnsi="Times New Roman" w:cs="Times New Roman"/>
          <w:b/>
          <w:bCs/>
          <w:sz w:val="24"/>
          <w:szCs w:val="24"/>
        </w:rPr>
        <w:t xml:space="preserve">la autoridad que ordene las medidas de protección contempladas en este artículo deberá solicitar el resguardo y conservación lícita e idónea del contenido que se denunció de acuerdo con las características del mismo. </w:t>
      </w: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Cs/>
          <w:sz w:val="24"/>
          <w:szCs w:val="24"/>
        </w:rPr>
        <w:t xml:space="preserve">También que </w:t>
      </w:r>
      <w:r w:rsidRPr="006234C4">
        <w:rPr>
          <w:rFonts w:ascii="Times New Roman" w:eastAsia="Calibri" w:hAnsi="Times New Roman" w:cs="Times New Roman"/>
          <w:b/>
          <w:bCs/>
          <w:sz w:val="24"/>
          <w:szCs w:val="24"/>
        </w:rPr>
        <w:t xml:space="preserve">las plataformas digitales, medios de comunicación, redes sociales o páginas electrónicas darán aviso de forma inmediata al usuario que compartió el contenido, donde se establezca de forma clara y precisa que el contenido será inhabilitado por cumplimiento de una orden judicial. </w:t>
      </w: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bCs/>
          <w:sz w:val="24"/>
          <w:szCs w:val="24"/>
        </w:rPr>
      </w:pPr>
      <w:r w:rsidRPr="006234C4">
        <w:rPr>
          <w:rFonts w:ascii="Times New Roman" w:eastAsia="Calibri" w:hAnsi="Times New Roman" w:cs="Times New Roman"/>
          <w:bCs/>
          <w:sz w:val="24"/>
          <w:szCs w:val="24"/>
        </w:rPr>
        <w:t xml:space="preserve">Disponiéndose que </w:t>
      </w:r>
      <w:r w:rsidRPr="006234C4">
        <w:rPr>
          <w:rFonts w:ascii="Times New Roman" w:eastAsia="Calibri" w:hAnsi="Times New Roman" w:cs="Times New Roman"/>
          <w:b/>
          <w:bCs/>
          <w:sz w:val="24"/>
          <w:szCs w:val="24"/>
        </w:rPr>
        <w:t xml:space="preserve">la violencia digital será sancionada en la forma y términos que establezca la legislación penal vigente. </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r w:rsidRPr="006234C4">
        <w:rPr>
          <w:rFonts w:ascii="Times New Roman" w:eastAsia="Calibri" w:hAnsi="Times New Roman" w:cs="Times New Roman"/>
          <w:sz w:val="24"/>
          <w:szCs w:val="24"/>
        </w:rPr>
        <w:t xml:space="preserve">Por las razones expuestas, </w:t>
      </w:r>
      <w:r w:rsidRPr="006234C4">
        <w:rPr>
          <w:rFonts w:ascii="Times New Roman" w:eastAsia="Arial" w:hAnsi="Times New Roman" w:cs="Times New Roman"/>
          <w:iCs/>
          <w:sz w:val="24"/>
          <w:szCs w:val="24"/>
        </w:rPr>
        <w:t>valorados los argumentos, desarrollado el estudio técnico del Proyecto de Decreto, acreditado el beneficio social de las iniciativas de Decreto, y satisfechos los r</w:t>
      </w:r>
      <w:r w:rsidRPr="006234C4">
        <w:rPr>
          <w:rFonts w:ascii="Times New Roman" w:eastAsia="Calibri" w:hAnsi="Times New Roman" w:cs="Times New Roman"/>
          <w:sz w:val="24"/>
          <w:szCs w:val="24"/>
        </w:rPr>
        <w:t xml:space="preserve">equisitos de fondo y forma, nos permitimos concluir con los siguientes: </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RESOLUTIVOS</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r w:rsidRPr="006234C4">
        <w:rPr>
          <w:rFonts w:ascii="Times New Roman" w:eastAsia="Calibri" w:hAnsi="Times New Roman" w:cs="Times New Roman"/>
          <w:b/>
          <w:sz w:val="24"/>
          <w:szCs w:val="24"/>
        </w:rPr>
        <w:t>PRIMERO.-</w:t>
      </w:r>
      <w:r w:rsidRPr="006234C4">
        <w:rPr>
          <w:rFonts w:ascii="Times New Roman" w:eastAsia="Calibri" w:hAnsi="Times New Roman" w:cs="Times New Roman"/>
          <w:sz w:val="24"/>
          <w:szCs w:val="24"/>
        </w:rPr>
        <w:t xml:space="preserve"> Son de aprobarse, en lo conducente, conforme al Proyecto de Decreto que ha sido integrado, la Iniciativa con Proyecto de Decreto por el que se reforma y adiciona la Ley de Acceso de las Mujeres a una Vida Libre de Violencia del Estado de México, presentada por la Diputada Sandra Santos Rodríguez, en nombre del Grupo Parlamentario del Partido morena y la Iniciativa con Proyecto de Decreto por el que se adicionan y reforman diversas disposiciones de la Ley de </w:t>
      </w:r>
      <w:r w:rsidRPr="006234C4">
        <w:rPr>
          <w:rFonts w:ascii="Times New Roman" w:eastAsia="Calibri" w:hAnsi="Times New Roman" w:cs="Times New Roman"/>
          <w:sz w:val="24"/>
          <w:szCs w:val="24"/>
        </w:rPr>
        <w:lastRenderedPageBreak/>
        <w:t>Acceso de las Mujeres a una Vida Libre de Violencia del Estado de México, presentada por integrantes del Grupo Parlamentario del Partido Verde Ecologista de México.</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
          <w:bCs/>
          <w:sz w:val="24"/>
          <w:szCs w:val="24"/>
        </w:rPr>
        <w:t>SEGUNDO.-</w:t>
      </w:r>
      <w:r w:rsidRPr="006234C4">
        <w:rPr>
          <w:rFonts w:ascii="Times New Roman" w:eastAsia="Calibri" w:hAnsi="Times New Roman" w:cs="Times New Roman"/>
          <w:bCs/>
          <w:sz w:val="24"/>
          <w:szCs w:val="24"/>
        </w:rPr>
        <w:t xml:space="preserve"> </w:t>
      </w:r>
      <w:r w:rsidRPr="006234C4">
        <w:rPr>
          <w:rFonts w:ascii="Times New Roman" w:eastAsia="Calibri" w:hAnsi="Times New Roman" w:cs="Times New Roman"/>
          <w:sz w:val="24"/>
          <w:szCs w:val="24"/>
        </w:rPr>
        <w:t xml:space="preserve">Se adjunta el Proyecto de Decreto por el que se </w:t>
      </w:r>
      <w:r w:rsidRPr="006234C4">
        <w:rPr>
          <w:rFonts w:ascii="Times New Roman" w:eastAsia="Calibri" w:hAnsi="Times New Roman" w:cs="Times New Roman"/>
          <w:bCs/>
          <w:sz w:val="24"/>
          <w:szCs w:val="24"/>
        </w:rPr>
        <w:t>reforma el artículo 1 y la fracción IX del artículo 7; y se adiciona la fracción X al artículo 7 y el artículo 30 Bis de la Ley de Acceso de las Mujeres a una Vida Libre de Violencia del Estado de México.</w:t>
      </w: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Cs/>
          <w:sz w:val="24"/>
          <w:szCs w:val="24"/>
        </w:rPr>
      </w:pPr>
      <w:r w:rsidRPr="006234C4">
        <w:rPr>
          <w:rFonts w:ascii="Times New Roman" w:eastAsia="Calibri" w:hAnsi="Times New Roman" w:cs="Times New Roman"/>
          <w:b/>
          <w:bCs/>
          <w:sz w:val="24"/>
          <w:szCs w:val="24"/>
        </w:rPr>
        <w:t>TERCERO.-</w:t>
      </w:r>
      <w:r w:rsidRPr="006234C4">
        <w:rPr>
          <w:rFonts w:ascii="Times New Roman" w:eastAsia="Calibri" w:hAnsi="Times New Roman" w:cs="Times New Roman"/>
          <w:bCs/>
          <w:sz w:val="24"/>
          <w:szCs w:val="24"/>
        </w:rPr>
        <w:t xml:space="preserve"> Previa discusión y aprobación por la Legislatura en Pleno, remítase a la Persona Titular del Ejecutivo Estatal para los efectos correspondientes.</w:t>
      </w:r>
    </w:p>
    <w:p w:rsidR="006234C4" w:rsidRPr="006234C4" w:rsidRDefault="006234C4" w:rsidP="00E7623A">
      <w:pPr>
        <w:spacing w:after="0" w:line="240" w:lineRule="auto"/>
        <w:contextualSpacing/>
        <w:jc w:val="both"/>
        <w:rPr>
          <w:rFonts w:ascii="Times New Roman" w:eastAsia="Calibri" w:hAnsi="Times New Roman" w:cs="Times New Roman"/>
          <w:sz w:val="24"/>
          <w:szCs w:val="24"/>
        </w:rPr>
      </w:pPr>
    </w:p>
    <w:p w:rsidR="006234C4" w:rsidRPr="006234C4" w:rsidRDefault="006234C4" w:rsidP="00E7623A">
      <w:pPr>
        <w:spacing w:after="0" w:line="240" w:lineRule="auto"/>
        <w:contextualSpacing/>
        <w:jc w:val="both"/>
        <w:rPr>
          <w:rFonts w:ascii="Times New Roman" w:eastAsia="Calibri" w:hAnsi="Times New Roman" w:cs="Times New Roman"/>
          <w:b/>
          <w:sz w:val="24"/>
          <w:szCs w:val="24"/>
        </w:rPr>
      </w:pPr>
      <w:r w:rsidRPr="006234C4">
        <w:rPr>
          <w:rFonts w:ascii="Times New Roman" w:eastAsia="Calibri" w:hAnsi="Times New Roman" w:cs="Times New Roman"/>
          <w:sz w:val="24"/>
          <w:szCs w:val="24"/>
        </w:rPr>
        <w:t>Dado en el Palacio del Poder Legislativo, en la ciudad de Toluca de Lerdo, capital del Estado de México, a los cinco días del mes de marzo de dos mil veintiséis.</w:t>
      </w:r>
    </w:p>
    <w:p w:rsidR="00380292" w:rsidRPr="006A4BCA" w:rsidRDefault="00380292" w:rsidP="00E7623A">
      <w:pPr>
        <w:spacing w:after="0" w:line="240" w:lineRule="auto"/>
        <w:contextualSpacing/>
        <w:jc w:val="center"/>
        <w:rPr>
          <w:rFonts w:ascii="Times New Roman" w:eastAsia="Calibri" w:hAnsi="Times New Roman" w:cs="Times New Roman"/>
          <w:b/>
          <w:sz w:val="24"/>
          <w:szCs w:val="24"/>
        </w:rPr>
      </w:pPr>
    </w:p>
    <w:p w:rsidR="00380292" w:rsidRPr="006A4BCA" w:rsidRDefault="00380292" w:rsidP="00E7623A">
      <w:pPr>
        <w:spacing w:after="0" w:line="240" w:lineRule="auto"/>
        <w:contextualSpacing/>
        <w:jc w:val="center"/>
        <w:rPr>
          <w:rFonts w:ascii="Times New Roman" w:eastAsia="Calibri" w:hAnsi="Times New Roman" w:cs="Times New Roman"/>
          <w:b/>
          <w:sz w:val="24"/>
          <w:szCs w:val="24"/>
        </w:rPr>
      </w:pPr>
    </w:p>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LISTA DE VOTACIÓN</w:t>
      </w:r>
    </w:p>
    <w:p w:rsidR="006234C4" w:rsidRPr="006234C4" w:rsidRDefault="006234C4" w:rsidP="00E7623A">
      <w:pPr>
        <w:spacing w:after="0" w:line="240" w:lineRule="auto"/>
        <w:contextualSpacing/>
        <w:rPr>
          <w:rFonts w:ascii="Times New Roman" w:eastAsia="Calibri" w:hAnsi="Times New Roman" w:cs="Times New Roman"/>
          <w:b/>
          <w:sz w:val="24"/>
          <w:szCs w:val="24"/>
        </w:rPr>
      </w:pPr>
    </w:p>
    <w:p w:rsidR="006234C4" w:rsidRPr="006234C4" w:rsidRDefault="006234C4" w:rsidP="00E7623A">
      <w:pPr>
        <w:spacing w:after="0" w:line="240" w:lineRule="auto"/>
        <w:contextualSpacing/>
        <w:rPr>
          <w:rFonts w:ascii="Times New Roman" w:eastAsia="Calibri" w:hAnsi="Times New Roman" w:cs="Times New Roman"/>
          <w:sz w:val="24"/>
          <w:szCs w:val="24"/>
        </w:rPr>
      </w:pPr>
      <w:r w:rsidRPr="006234C4">
        <w:rPr>
          <w:rFonts w:ascii="Times New Roman" w:eastAsia="Calibri" w:hAnsi="Times New Roman" w:cs="Times New Roman"/>
          <w:b/>
          <w:sz w:val="24"/>
          <w:szCs w:val="24"/>
        </w:rPr>
        <w:t>FECHA:</w:t>
      </w:r>
      <w:r w:rsidRPr="006234C4">
        <w:rPr>
          <w:rFonts w:ascii="Times New Roman" w:eastAsia="Calibri" w:hAnsi="Times New Roman" w:cs="Times New Roman"/>
          <w:sz w:val="24"/>
          <w:szCs w:val="24"/>
        </w:rPr>
        <w:t xml:space="preserve"> 05/MARZO/2026.</w:t>
      </w:r>
    </w:p>
    <w:p w:rsidR="006234C4" w:rsidRPr="006234C4" w:rsidRDefault="006234C4" w:rsidP="00E7623A">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r w:rsidRPr="006234C4">
        <w:rPr>
          <w:rFonts w:ascii="Times New Roman" w:eastAsia="Arial" w:hAnsi="Times New Roman" w:cs="Times New Roman"/>
          <w:b/>
          <w:bCs/>
          <w:sz w:val="24"/>
          <w:szCs w:val="24"/>
        </w:rPr>
        <w:t xml:space="preserve">ASUNTO: </w:t>
      </w:r>
      <w:r w:rsidRPr="006234C4">
        <w:rPr>
          <w:rFonts w:ascii="Times New Roman" w:eastAsia="Arial" w:hAnsi="Times New Roman" w:cs="Times New Roman"/>
          <w:bCs/>
          <w:sz w:val="24"/>
          <w:szCs w:val="24"/>
        </w:rPr>
        <w:t>DICTAMEN FORMULADO A LA INICIATIVA CON PROYECTO DE DECRETO POR EL QUE SE REFORMA EL ARTÍCULO 1 Y SE ADICIONA UNA FRACCIÓN VIII RECORRIÉNDOSE DE MANERA SUBSECUENTE LAS DEMÁS, AL ARTÍCULO 7 AMBOS DE LA LEY DE ACCESO DE LAS MUJERES A UNA VIDA LIBRE DE VIOLENCIA DEL ESTADO DE MÉXICO, PRESENTADA POR LA DIPUTADA SANDRA PATRICIA SANTOS RODRÍGUEZ, EN NOMBRE DEL GRUPO PARLAMENTARIO DEL PARTIDO MORENA Y A LA INICIATIVA CON PROYECTO DE DECRETO POR EL QUE SE ADICIONAN Y REFORMAN DIVERSAS DISPOSICIONES DE LA LEY DE ACCESO DE LAS MUJERES A UNA VIDA LIBRE DE VIOLENCIA DEL ESTADO DE MÉXICO, PRESENTADA POR INTEGRANTES DEL GRUPO PARLAMENTARIO DEL PARTIDO VERDE ECOLOGISTA DE MÉXICO.</w:t>
      </w:r>
    </w:p>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COMISIÓN LEGISLATIVA DE</w:t>
      </w:r>
    </w:p>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 xml:space="preserve">PROCURACIÓN Y ADMINISTRACIÓN DE JUSTICIA </w:t>
      </w:r>
    </w:p>
    <w:p w:rsidR="006234C4" w:rsidRPr="006A4BCA" w:rsidRDefault="006234C4" w:rsidP="00E7623A">
      <w:pPr>
        <w:spacing w:after="0" w:line="240" w:lineRule="auto"/>
        <w:contextualSpacing/>
        <w:jc w:val="center"/>
        <w:rPr>
          <w:rFonts w:ascii="Times New Roman" w:eastAsia="Calibri" w:hAnsi="Times New Roman" w:cs="Times New Roman"/>
          <w:b/>
          <w:sz w:val="24"/>
          <w:szCs w:val="24"/>
        </w:rPr>
      </w:pP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1"/>
        <w:gridCol w:w="2308"/>
        <w:gridCol w:w="2309"/>
        <w:gridCol w:w="2311"/>
      </w:tblGrid>
      <w:tr w:rsidR="00095DD7" w:rsidRPr="006234C4" w:rsidTr="00380292">
        <w:trPr>
          <w:trHeight w:val="20"/>
          <w:tblHeader/>
          <w:jc w:val="center"/>
        </w:trPr>
        <w:tc>
          <w:tcPr>
            <w:tcW w:w="249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6234C4" w:rsidRPr="006234C4" w:rsidRDefault="006234C4" w:rsidP="00E7623A">
            <w:pPr>
              <w:spacing w:after="0" w:line="240" w:lineRule="auto"/>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DIPUTADA(O)</w:t>
            </w:r>
          </w:p>
        </w:tc>
        <w:tc>
          <w:tcPr>
            <w:tcW w:w="6928" w:type="dxa"/>
            <w:gridSpan w:val="3"/>
            <w:tcBorders>
              <w:top w:val="single" w:sz="4" w:space="0" w:color="auto"/>
              <w:left w:val="single" w:sz="4" w:space="0" w:color="auto"/>
              <w:bottom w:val="single" w:sz="4" w:space="0" w:color="auto"/>
              <w:right w:val="single" w:sz="4" w:space="0" w:color="auto"/>
            </w:tcBorders>
            <w:shd w:val="clear" w:color="auto" w:fill="D9D9D9"/>
            <w:hideMark/>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FIRMA</w:t>
            </w:r>
          </w:p>
        </w:tc>
      </w:tr>
      <w:tr w:rsidR="00095DD7" w:rsidRPr="006234C4" w:rsidTr="00380292">
        <w:trPr>
          <w:trHeight w:val="20"/>
          <w:tblHeader/>
          <w:jc w:val="center"/>
        </w:trPr>
        <w:tc>
          <w:tcPr>
            <w:tcW w:w="2491" w:type="dxa"/>
            <w:vMerge/>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rPr>
                <w:rFonts w:ascii="Times New Roman" w:eastAsia="Calibri" w:hAnsi="Times New Roman" w:cs="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D9D9D9"/>
            <w:hideMark/>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A FAVOR</w:t>
            </w:r>
          </w:p>
        </w:tc>
        <w:tc>
          <w:tcPr>
            <w:tcW w:w="2309" w:type="dxa"/>
            <w:tcBorders>
              <w:top w:val="single" w:sz="4" w:space="0" w:color="auto"/>
              <w:left w:val="single" w:sz="4" w:space="0" w:color="auto"/>
              <w:bottom w:val="single" w:sz="4" w:space="0" w:color="auto"/>
              <w:right w:val="single" w:sz="4" w:space="0" w:color="auto"/>
            </w:tcBorders>
            <w:shd w:val="clear" w:color="auto" w:fill="D9D9D9"/>
            <w:hideMark/>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EN CONTRA</w:t>
            </w:r>
          </w:p>
        </w:tc>
        <w:tc>
          <w:tcPr>
            <w:tcW w:w="2311" w:type="dxa"/>
            <w:tcBorders>
              <w:top w:val="single" w:sz="4" w:space="0" w:color="auto"/>
              <w:left w:val="single" w:sz="4" w:space="0" w:color="auto"/>
              <w:bottom w:val="single" w:sz="4" w:space="0" w:color="auto"/>
              <w:right w:val="single" w:sz="4" w:space="0" w:color="auto"/>
            </w:tcBorders>
            <w:shd w:val="clear" w:color="auto" w:fill="D9D9D9"/>
            <w:hideMark/>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ABSTENCIÓN</w:t>
            </w: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b/>
                <w:sz w:val="24"/>
                <w:szCs w:val="24"/>
              </w:rPr>
              <w:t>Presidenta</w:t>
            </w:r>
          </w:p>
          <w:p w:rsidR="006234C4" w:rsidRPr="006234C4" w:rsidRDefault="006234C4" w:rsidP="00E7623A">
            <w:pPr>
              <w:spacing w:after="0" w:line="240" w:lineRule="auto"/>
              <w:jc w:val="center"/>
              <w:rPr>
                <w:rFonts w:ascii="Times New Roman" w:eastAsia="Calibri" w:hAnsi="Times New Roman" w:cs="Times New Roman"/>
                <w:b/>
                <w:sz w:val="24"/>
                <w:szCs w:val="24"/>
              </w:rPr>
            </w:pPr>
            <w:r w:rsidRPr="006234C4">
              <w:rPr>
                <w:rFonts w:ascii="Times New Roman" w:eastAsia="Calibri" w:hAnsi="Times New Roman" w:cs="Times New Roman"/>
                <w:sz w:val="24"/>
                <w:szCs w:val="24"/>
              </w:rPr>
              <w:t>Dip. Emma Laura Alvarez Villavicencio</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b/>
                <w:sz w:val="24"/>
                <w:szCs w:val="24"/>
              </w:rPr>
              <w:t>Secretario</w:t>
            </w:r>
          </w:p>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 xml:space="preserve">Dip. Omar </w:t>
            </w:r>
          </w:p>
          <w:p w:rsidR="006234C4" w:rsidRPr="006234C4" w:rsidRDefault="006234C4" w:rsidP="00E7623A">
            <w:pPr>
              <w:spacing w:after="0" w:line="240" w:lineRule="auto"/>
              <w:jc w:val="center"/>
              <w:rPr>
                <w:rFonts w:ascii="Times New Roman" w:eastAsia="Calibri" w:hAnsi="Times New Roman" w:cs="Times New Roman"/>
                <w:b/>
                <w:sz w:val="24"/>
                <w:szCs w:val="24"/>
              </w:rPr>
            </w:pPr>
            <w:r w:rsidRPr="006234C4">
              <w:rPr>
                <w:rFonts w:ascii="Times New Roman" w:eastAsia="Calibri" w:hAnsi="Times New Roman" w:cs="Times New Roman"/>
                <w:sz w:val="24"/>
                <w:szCs w:val="24"/>
              </w:rPr>
              <w:t>Ortega Álvarez</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lang w:eastAsia="es-MX"/>
              </w:rPr>
            </w:pPr>
            <w:r w:rsidRPr="006234C4">
              <w:rPr>
                <w:rFonts w:ascii="Times New Roman" w:eastAsia="Calibri" w:hAnsi="Times New Roman" w:cs="Times New Roman"/>
                <w:b/>
                <w:sz w:val="24"/>
                <w:szCs w:val="24"/>
              </w:rPr>
              <w:t>Prosecretario</w:t>
            </w:r>
          </w:p>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 xml:space="preserve">Dip. Octavio </w:t>
            </w:r>
          </w:p>
          <w:p w:rsidR="006234C4" w:rsidRPr="006234C4" w:rsidRDefault="006234C4" w:rsidP="00E7623A">
            <w:pPr>
              <w:spacing w:after="0" w:line="240" w:lineRule="auto"/>
              <w:jc w:val="center"/>
              <w:rPr>
                <w:rFonts w:ascii="Times New Roman" w:eastAsia="Calibri" w:hAnsi="Times New Roman" w:cs="Times New Roman"/>
                <w:b/>
                <w:sz w:val="24"/>
                <w:szCs w:val="24"/>
              </w:rPr>
            </w:pPr>
            <w:r w:rsidRPr="006234C4">
              <w:rPr>
                <w:rFonts w:ascii="Times New Roman" w:eastAsia="Calibri" w:hAnsi="Times New Roman" w:cs="Times New Roman"/>
                <w:sz w:val="24"/>
                <w:szCs w:val="24"/>
              </w:rPr>
              <w:t>Martínez Vargas</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b/>
                <w:sz w:val="24"/>
                <w:szCs w:val="24"/>
              </w:rPr>
            </w:pPr>
            <w:r w:rsidRPr="006234C4">
              <w:rPr>
                <w:rFonts w:ascii="Times New Roman" w:eastAsia="Calibri" w:hAnsi="Times New Roman" w:cs="Times New Roman"/>
                <w:sz w:val="24"/>
                <w:szCs w:val="24"/>
              </w:rPr>
              <w:t>Dip. Carlos Antonio Martínez Zurita Trejo</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Dip. Vladimir Hernández Villegas</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lastRenderedPageBreak/>
              <w:t>Dip. Nelly Brígida Rivera Sánchez</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Dip. Yesica Yanet Rojas Hernández</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Dip. Héctor Karim Carvallo Delfín</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 xml:space="preserve">Dip. Selina </w:t>
            </w:r>
          </w:p>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Trujillo Arizmendi</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 xml:space="preserve">Dip. Miriam </w:t>
            </w:r>
          </w:p>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Silva Mata</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 xml:space="preserve">Dip. Ana Yurixi </w:t>
            </w:r>
          </w:p>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Leyva Piñón</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Dip. María Mercedes Colín Guadarrama</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r w:rsidR="00095DD7" w:rsidRPr="006234C4" w:rsidTr="00380292">
        <w:trPr>
          <w:trHeight w:val="20"/>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 xml:space="preserve">Dip. Ruth </w:t>
            </w:r>
          </w:p>
          <w:p w:rsidR="006234C4" w:rsidRPr="006234C4" w:rsidRDefault="006234C4" w:rsidP="00E7623A">
            <w:pPr>
              <w:spacing w:after="0" w:line="240" w:lineRule="auto"/>
              <w:jc w:val="center"/>
              <w:rPr>
                <w:rFonts w:ascii="Times New Roman" w:eastAsia="Calibri" w:hAnsi="Times New Roman" w:cs="Times New Roman"/>
                <w:sz w:val="24"/>
                <w:szCs w:val="24"/>
              </w:rPr>
            </w:pPr>
            <w:r w:rsidRPr="006234C4">
              <w:rPr>
                <w:rFonts w:ascii="Times New Roman" w:eastAsia="Calibri" w:hAnsi="Times New Roman" w:cs="Times New Roman"/>
                <w:sz w:val="24"/>
                <w:szCs w:val="24"/>
              </w:rPr>
              <w:t>Salinas Reyes</w:t>
            </w:r>
          </w:p>
        </w:tc>
        <w:tc>
          <w:tcPr>
            <w:tcW w:w="2308"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r w:rsidRPr="006234C4">
              <w:rPr>
                <w:rFonts w:ascii="Times New Roman" w:eastAsia="Calibri" w:hAnsi="Times New Roman" w:cs="Times New Roman"/>
                <w:b/>
                <w:sz w:val="24"/>
                <w:szCs w:val="24"/>
              </w:rPr>
              <w:t>√</w:t>
            </w:r>
          </w:p>
        </w:tc>
        <w:tc>
          <w:tcPr>
            <w:tcW w:w="2309"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c>
          <w:tcPr>
            <w:tcW w:w="2311" w:type="dxa"/>
            <w:tcBorders>
              <w:top w:val="single" w:sz="4" w:space="0" w:color="auto"/>
              <w:left w:val="single" w:sz="4" w:space="0" w:color="auto"/>
              <w:bottom w:val="single" w:sz="4" w:space="0" w:color="auto"/>
              <w:right w:val="single" w:sz="4" w:space="0" w:color="auto"/>
            </w:tcBorders>
            <w:vAlign w:val="center"/>
          </w:tcPr>
          <w:p w:rsidR="006234C4" w:rsidRPr="006234C4" w:rsidRDefault="006234C4" w:rsidP="00E7623A">
            <w:pPr>
              <w:spacing w:after="0" w:line="240" w:lineRule="auto"/>
              <w:contextualSpacing/>
              <w:jc w:val="center"/>
              <w:rPr>
                <w:rFonts w:ascii="Times New Roman" w:eastAsia="Calibri" w:hAnsi="Times New Roman" w:cs="Times New Roman"/>
                <w:b/>
                <w:sz w:val="24"/>
                <w:szCs w:val="24"/>
              </w:rPr>
            </w:pPr>
          </w:p>
        </w:tc>
      </w:tr>
    </w:tbl>
    <w:p w:rsidR="006243F1" w:rsidRPr="006A4BCA" w:rsidRDefault="006243F1" w:rsidP="00E7623A">
      <w:pPr>
        <w:spacing w:after="0" w:line="240" w:lineRule="auto"/>
        <w:jc w:val="center"/>
        <w:rPr>
          <w:rFonts w:ascii="Times New Roman" w:hAnsi="Times New Roman" w:cs="Times New Roman"/>
          <w:sz w:val="24"/>
          <w:szCs w:val="24"/>
        </w:rPr>
      </w:pPr>
    </w:p>
    <w:p w:rsidR="006234C4" w:rsidRPr="006A4BCA" w:rsidRDefault="006234C4" w:rsidP="00E7623A">
      <w:pPr>
        <w:spacing w:after="0" w:line="240" w:lineRule="auto"/>
        <w:jc w:val="center"/>
        <w:rPr>
          <w:rFonts w:ascii="Times New Roman" w:hAnsi="Times New Roman" w:cs="Times New Roman"/>
          <w:sz w:val="24"/>
          <w:szCs w:val="24"/>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DECRETO NÚMERO</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LA H. “LXII” LEGISLATURA</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DEL ESTADO DE MÉXICO</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DECRETA:</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 xml:space="preserve">ÚNICO.- </w:t>
      </w:r>
      <w:r w:rsidRPr="000C393E">
        <w:rPr>
          <w:rFonts w:ascii="Times New Roman" w:eastAsia="Calibri" w:hAnsi="Times New Roman" w:cs="Times New Roman"/>
          <w:sz w:val="24"/>
          <w:szCs w:val="24"/>
          <w:lang w:eastAsia="es-MX"/>
        </w:rPr>
        <w:t xml:space="preserve">Se </w:t>
      </w:r>
      <w:r w:rsidRPr="000C393E">
        <w:rPr>
          <w:rFonts w:ascii="Times New Roman" w:eastAsia="Calibri" w:hAnsi="Times New Roman" w:cs="Times New Roman"/>
          <w:bCs/>
          <w:sz w:val="24"/>
          <w:szCs w:val="24"/>
          <w:lang w:eastAsia="es-MX"/>
        </w:rPr>
        <w:t>reforma el artículo 1 y la fracción IX del artículo 7; y se adiciona la fracción X al artículo 7 y el artículo 30 Bis de la Ley de Acceso de las Mujeres a una Vida Libre de Violencia del Estado de México</w:t>
      </w:r>
      <w:r w:rsidRPr="000C393E">
        <w:rPr>
          <w:rFonts w:ascii="Times New Roman" w:eastAsia="Calibri" w:hAnsi="Times New Roman" w:cs="Times New Roman"/>
          <w:sz w:val="24"/>
          <w:szCs w:val="24"/>
          <w:lang w:eastAsia="es-MX"/>
        </w:rPr>
        <w:t xml:space="preserve">, para quedar como sigue: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 xml:space="preserve">Artículo 1.- </w:t>
      </w:r>
      <w:r w:rsidRPr="000C393E">
        <w:rPr>
          <w:rFonts w:ascii="Times New Roman" w:eastAsia="Calibri" w:hAnsi="Times New Roman" w:cs="Times New Roman"/>
          <w:sz w:val="24"/>
          <w:szCs w:val="24"/>
          <w:lang w:eastAsia="es-MX"/>
        </w:rPr>
        <w:t xml:space="preserve">La presente Ley es de orden público, interés social y de observancia general y obligatoria en todo el Estado de México y tiene por objeto establecer la coordinación entre el Gobierno del Estado y los gobiernos municipales, para prevenir, atender, sancionar y erradicar </w:t>
      </w:r>
      <w:r w:rsidRPr="000C393E">
        <w:rPr>
          <w:rFonts w:ascii="Times New Roman" w:eastAsia="Calibri" w:hAnsi="Times New Roman" w:cs="Times New Roman"/>
          <w:b/>
          <w:bCs/>
          <w:sz w:val="24"/>
          <w:szCs w:val="24"/>
          <w:lang w:eastAsia="es-MX"/>
        </w:rPr>
        <w:t xml:space="preserve">las violencias </w:t>
      </w:r>
      <w:r w:rsidRPr="000C393E">
        <w:rPr>
          <w:rFonts w:ascii="Times New Roman" w:eastAsia="Calibri" w:hAnsi="Times New Roman" w:cs="Times New Roman"/>
          <w:sz w:val="24"/>
          <w:szCs w:val="24"/>
          <w:lang w:eastAsia="es-MX"/>
        </w:rPr>
        <w:t xml:space="preserve">contra las niñas, adolescentes y mujeres así como establecer las políticas y acciones gubernamentales para garantizar el acceso de las mujeres a una vida libre de </w:t>
      </w:r>
      <w:r w:rsidRPr="000C393E">
        <w:rPr>
          <w:rFonts w:ascii="Times New Roman" w:eastAsia="Calibri" w:hAnsi="Times New Roman" w:cs="Times New Roman"/>
          <w:b/>
          <w:bCs/>
          <w:sz w:val="24"/>
          <w:szCs w:val="24"/>
          <w:lang w:eastAsia="es-MX"/>
        </w:rPr>
        <w:t xml:space="preserve">violencias </w:t>
      </w:r>
      <w:r w:rsidRPr="000C393E">
        <w:rPr>
          <w:rFonts w:ascii="Times New Roman" w:eastAsia="Calibri" w:hAnsi="Times New Roman" w:cs="Times New Roman"/>
          <w:sz w:val="24"/>
          <w:szCs w:val="24"/>
          <w:lang w:eastAsia="es-MX"/>
        </w:rPr>
        <w:t xml:space="preserve">que favorezca su desarrollo y bienestar conforme a los principios de igualdad y de no discriminación, que garanticen el desarrollo integral de las niñas, adolescentes y mujeres.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 xml:space="preserve">Artículo 7.- </w:t>
      </w:r>
      <w:r w:rsidRPr="000C393E">
        <w:rPr>
          <w:rFonts w:ascii="Times New Roman" w:eastAsia="Calibri" w:hAnsi="Times New Roman" w:cs="Times New Roman"/>
          <w:bCs/>
          <w:sz w:val="24"/>
          <w:szCs w:val="24"/>
          <w:lang w:eastAsia="es-MX"/>
        </w:rPr>
        <w:t>…</w:t>
      </w:r>
      <w:r w:rsidRPr="000C393E">
        <w:rPr>
          <w:rFonts w:ascii="Times New Roman" w:eastAsia="Calibri" w:hAnsi="Times New Roman" w:cs="Times New Roman"/>
          <w:b/>
          <w:bCs/>
          <w:sz w:val="24"/>
          <w:szCs w:val="24"/>
          <w:lang w:eastAsia="es-MX"/>
        </w:rPr>
        <w:t xml:space="preserve">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Cs/>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I.</w:t>
      </w:r>
      <w:r w:rsidRPr="000C393E">
        <w:rPr>
          <w:rFonts w:ascii="Times New Roman" w:eastAsia="Calibri" w:hAnsi="Times New Roman" w:cs="Times New Roman"/>
          <w:sz w:val="24"/>
          <w:szCs w:val="24"/>
          <w:lang w:eastAsia="es-MX"/>
        </w:rPr>
        <w:t xml:space="preserve"> a </w:t>
      </w:r>
      <w:r w:rsidRPr="000C393E">
        <w:rPr>
          <w:rFonts w:ascii="Times New Roman" w:eastAsia="Calibri" w:hAnsi="Times New Roman" w:cs="Times New Roman"/>
          <w:b/>
          <w:bCs/>
          <w:sz w:val="24"/>
          <w:szCs w:val="24"/>
          <w:lang w:eastAsia="es-MX"/>
        </w:rPr>
        <w:t>VIII.</w:t>
      </w:r>
      <w:r w:rsidRPr="000C393E">
        <w:rPr>
          <w:rFonts w:ascii="Times New Roman" w:eastAsia="Calibri" w:hAnsi="Times New Roman" w:cs="Times New Roman"/>
          <w:sz w:val="24"/>
          <w:szCs w:val="24"/>
          <w:lang w:eastAsia="es-MX"/>
        </w:rPr>
        <w:t xml:space="preserve"> …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0C393E">
        <w:rPr>
          <w:rFonts w:ascii="Times New Roman" w:eastAsia="Calibri" w:hAnsi="Times New Roman" w:cs="Times New Roman"/>
          <w:b/>
          <w:bCs/>
          <w:sz w:val="24"/>
          <w:szCs w:val="24"/>
          <w:lang w:eastAsia="es-MX"/>
        </w:rPr>
        <w:t xml:space="preserve">IX. Violencia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w:t>
      </w:r>
      <w:r w:rsidRPr="000C393E">
        <w:rPr>
          <w:rFonts w:ascii="Times New Roman" w:eastAsia="Calibri" w:hAnsi="Times New Roman" w:cs="Times New Roman"/>
          <w:b/>
          <w:bCs/>
          <w:sz w:val="24"/>
          <w:szCs w:val="24"/>
          <w:lang w:eastAsia="es-MX"/>
        </w:rPr>
        <w:lastRenderedPageBreak/>
        <w:t xml:space="preserve">intimidad, privacidad y/o dignidad de las mujeres, que se cometan por medio de las tecnologías de la información y la comunicación.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0C393E">
        <w:rPr>
          <w:rFonts w:ascii="Times New Roman" w:eastAsia="Calibri" w:hAnsi="Times New Roman" w:cs="Times New Roman"/>
          <w:b/>
          <w:bCs/>
          <w:sz w:val="24"/>
          <w:szCs w:val="24"/>
          <w:lang w:eastAsia="es-MX"/>
        </w:rPr>
        <w:t>Se entiende por Tecnologías de la Información y la Comunicación aquellos recursos, herramientas y programas que se utilizan para procesar, administrar y compartir la información mediante diversos soportes tecnológicos;</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0C393E">
        <w:rPr>
          <w:rFonts w:ascii="Times New Roman" w:eastAsia="Calibri" w:hAnsi="Times New Roman" w:cs="Times New Roman"/>
          <w:b/>
          <w:bCs/>
          <w:sz w:val="24"/>
          <w:szCs w:val="24"/>
          <w:lang w:eastAsia="es-MX"/>
        </w:rPr>
        <w:t xml:space="preserve">X. Cualquier otra forma análoga que lesione o sea susceptible de dañar la dignidad, integridad o libertad de las mujeres.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0C393E">
        <w:rPr>
          <w:rFonts w:ascii="Times New Roman" w:eastAsia="Calibri" w:hAnsi="Times New Roman" w:cs="Times New Roman"/>
          <w:b/>
          <w:bCs/>
          <w:sz w:val="24"/>
          <w:szCs w:val="24"/>
          <w:lang w:eastAsia="es-MX"/>
        </w:rPr>
        <w:t xml:space="preserve">Artículo 30 Bis.- Tratándose de violencia digital para garantizar 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 de cuentas, imágenes, audios o videos relacionados con la investigación previa satisfacción de los requisitos de Ley.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0C393E">
        <w:rPr>
          <w:rFonts w:ascii="Times New Roman" w:eastAsia="Calibri" w:hAnsi="Times New Roman" w:cs="Times New Roman"/>
          <w:b/>
          <w:bCs/>
          <w:sz w:val="24"/>
          <w:szCs w:val="24"/>
          <w:lang w:eastAsia="es-MX"/>
        </w:rPr>
        <w:t xml:space="preserve">En este caso se deberá identificar plenamente al proveedor de servicios en línea a cargo de la administración del sistema informático, sitio o plataforma de Internet en donde se encuentre alojado el contenido y la localización precisa del contenido en Internet, señalando el Localizador Uniforme de Recursos.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0C393E">
        <w:rPr>
          <w:rFonts w:ascii="Times New Roman" w:eastAsia="Calibri" w:hAnsi="Times New Roman" w:cs="Times New Roman"/>
          <w:b/>
          <w:bCs/>
          <w:sz w:val="24"/>
          <w:szCs w:val="24"/>
          <w:lang w:eastAsia="es-MX"/>
        </w:rPr>
        <w:t xml:space="preserve">La autoridad que ordene las medidas de protección contempladas en este artículo deberá solicitar el resguardo y conservación lícita e idónea del contenido que se denunció de acuerdo con las características del mismo.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0C393E">
        <w:rPr>
          <w:rFonts w:ascii="Times New Roman" w:eastAsia="Calibri" w:hAnsi="Times New Roman" w:cs="Times New Roman"/>
          <w:b/>
          <w:bCs/>
          <w:sz w:val="24"/>
          <w:szCs w:val="24"/>
          <w:lang w:eastAsia="es-MX"/>
        </w:rPr>
        <w:t xml:space="preserve">Las plataformas digitales, medios de comunicación, redes sociales o páginas electrónicas darán aviso de forma inmediata al usuario que compartió el contenido, donde se establezca de forma clara y precisa que el contenido será inhabilitado por cumplimiento de una orden judicial.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 xml:space="preserve">La violencia digital será sancionada en la forma y términos que establezca la legislación penal vigente.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0C393E" w:rsidRPr="000C393E" w:rsidRDefault="000C393E" w:rsidP="00E7623A">
      <w:pPr>
        <w:autoSpaceDE w:val="0"/>
        <w:autoSpaceDN w:val="0"/>
        <w:adjustRightInd w:val="0"/>
        <w:spacing w:after="0" w:line="240" w:lineRule="auto"/>
        <w:jc w:val="center"/>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T R A N S I T O R I O S</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 xml:space="preserve">ARTÍCULO PRIMERO.- </w:t>
      </w:r>
      <w:r w:rsidRPr="000C393E">
        <w:rPr>
          <w:rFonts w:ascii="Times New Roman" w:eastAsia="Calibri" w:hAnsi="Times New Roman" w:cs="Times New Roman"/>
          <w:sz w:val="24"/>
          <w:szCs w:val="24"/>
          <w:lang w:eastAsia="es-MX"/>
        </w:rPr>
        <w:t xml:space="preserve">Publíquese el presente Decreto en el Periódico Oficial “Gaceta del Gobierno”.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b/>
          <w:bCs/>
          <w:sz w:val="24"/>
          <w:szCs w:val="24"/>
          <w:lang w:eastAsia="es-MX"/>
        </w:rPr>
        <w:t xml:space="preserve">ARTÍCULO SEGUNDO.- </w:t>
      </w:r>
      <w:r w:rsidRPr="000C393E">
        <w:rPr>
          <w:rFonts w:ascii="Times New Roman" w:eastAsia="Calibri" w:hAnsi="Times New Roman" w:cs="Times New Roman"/>
          <w:sz w:val="24"/>
          <w:szCs w:val="24"/>
          <w:lang w:eastAsia="es-MX"/>
        </w:rPr>
        <w:t xml:space="preserve">El presente Decreto entrará en vigor el día siguiente al de su publicación en el Periódico Oficial “Gaceta del Gobierno”. </w:t>
      </w: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sz w:val="24"/>
          <w:szCs w:val="24"/>
          <w:lang w:eastAsia="es-MX"/>
        </w:rPr>
        <w:t>Lo tendrá entendido la Gobernadora del Estado, haciendo que se publique y se cumpla.</w:t>
      </w:r>
    </w:p>
    <w:p w:rsidR="000C393E" w:rsidRPr="000C393E" w:rsidRDefault="000C393E" w:rsidP="00E7623A">
      <w:pPr>
        <w:autoSpaceDE w:val="0"/>
        <w:autoSpaceDN w:val="0"/>
        <w:adjustRightInd w:val="0"/>
        <w:spacing w:after="0" w:line="240" w:lineRule="auto"/>
        <w:rPr>
          <w:rFonts w:ascii="Times New Roman" w:eastAsia="Calibri" w:hAnsi="Times New Roman" w:cs="Times New Roman"/>
          <w:sz w:val="24"/>
          <w:szCs w:val="24"/>
          <w:lang w:eastAsia="es-MX"/>
        </w:rPr>
      </w:pPr>
    </w:p>
    <w:p w:rsidR="000C393E" w:rsidRPr="000C393E" w:rsidRDefault="000C393E" w:rsidP="00E7623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C393E">
        <w:rPr>
          <w:rFonts w:ascii="Times New Roman" w:eastAsia="Calibri" w:hAnsi="Times New Roman" w:cs="Times New Roman"/>
          <w:sz w:val="24"/>
          <w:szCs w:val="24"/>
          <w:lang w:eastAsia="es-MX"/>
        </w:rPr>
        <w:t xml:space="preserve">Dado en el Palacio del Poder Legislativo, en la ciudad de Toluca de Lerdo, Capital del Estado de México, a los once días del mes de marzo del dos mil veintiséis. </w:t>
      </w:r>
    </w:p>
    <w:p w:rsidR="000C393E" w:rsidRPr="000C393E" w:rsidRDefault="000C393E" w:rsidP="00E7623A">
      <w:pPr>
        <w:spacing w:after="0" w:line="240" w:lineRule="auto"/>
        <w:jc w:val="center"/>
        <w:rPr>
          <w:rFonts w:ascii="Times New Roman" w:eastAsia="Calibri" w:hAnsi="Times New Roman" w:cs="Times New Roman"/>
          <w:b/>
          <w:sz w:val="24"/>
          <w:szCs w:val="24"/>
        </w:rPr>
      </w:pPr>
    </w:p>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t>PRESIDENTA</w:t>
      </w:r>
    </w:p>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lastRenderedPageBreak/>
        <w:t>DIP. MARTHA AZUCENA CAMACHO REYNOSO</w:t>
      </w:r>
    </w:p>
    <w:p w:rsidR="000C393E" w:rsidRPr="000C393E" w:rsidRDefault="000C393E" w:rsidP="00E7623A">
      <w:pPr>
        <w:spacing w:after="0" w:line="240" w:lineRule="auto"/>
        <w:jc w:val="center"/>
        <w:rPr>
          <w:rFonts w:ascii="Times New Roman" w:eastAsia="Calibri" w:hAnsi="Times New Roman" w:cs="Times New Roman"/>
          <w:b/>
          <w:sz w:val="24"/>
          <w:szCs w:val="24"/>
        </w:rPr>
      </w:pPr>
    </w:p>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t>SECRETARIO</w:t>
      </w:r>
    </w:p>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t>DIP. EDMUNDO LUIS VALDEÑA BASTIDA</w:t>
      </w:r>
    </w:p>
    <w:p w:rsidR="000C393E" w:rsidRPr="000C393E" w:rsidRDefault="000C393E" w:rsidP="00E7623A">
      <w:pPr>
        <w:spacing w:after="0" w:line="240" w:lineRule="auto"/>
        <w:jc w:val="center"/>
        <w:rPr>
          <w:rFonts w:ascii="Times New Roman" w:eastAsia="Calibri" w:hAnsi="Times New Roman" w:cs="Times New Roman"/>
          <w:b/>
          <w:sz w:val="24"/>
          <w:szCs w:val="24"/>
        </w:rPr>
      </w:pPr>
    </w:p>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705"/>
        <w:gridCol w:w="4700"/>
      </w:tblGrid>
      <w:tr w:rsidR="00095DD7" w:rsidRPr="000C393E" w:rsidTr="000C393E">
        <w:tc>
          <w:tcPr>
            <w:tcW w:w="4705" w:type="dxa"/>
            <w:hideMark/>
          </w:tcPr>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t>DIP. KRISHNA KARINA</w:t>
            </w:r>
          </w:p>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t xml:space="preserve"> ROMERO VELÁZQUEZ </w:t>
            </w:r>
          </w:p>
        </w:tc>
        <w:tc>
          <w:tcPr>
            <w:tcW w:w="4700" w:type="dxa"/>
            <w:hideMark/>
          </w:tcPr>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t xml:space="preserve">DIP. MARICELA </w:t>
            </w:r>
          </w:p>
          <w:p w:rsidR="000C393E" w:rsidRPr="000C393E" w:rsidRDefault="000C393E" w:rsidP="00E7623A">
            <w:pPr>
              <w:spacing w:after="0" w:line="240" w:lineRule="auto"/>
              <w:jc w:val="center"/>
              <w:rPr>
                <w:rFonts w:ascii="Times New Roman" w:eastAsia="Calibri" w:hAnsi="Times New Roman" w:cs="Times New Roman"/>
                <w:b/>
                <w:sz w:val="24"/>
                <w:szCs w:val="24"/>
              </w:rPr>
            </w:pPr>
            <w:r w:rsidRPr="000C393E">
              <w:rPr>
                <w:rFonts w:ascii="Times New Roman" w:eastAsia="Calibri" w:hAnsi="Times New Roman" w:cs="Times New Roman"/>
                <w:b/>
                <w:sz w:val="24"/>
                <w:szCs w:val="24"/>
              </w:rPr>
              <w:t xml:space="preserve">BELTRÁN SÁNCHEZ </w:t>
            </w:r>
          </w:p>
        </w:tc>
      </w:tr>
    </w:tbl>
    <w:p w:rsidR="006234C4" w:rsidRPr="006A4BCA" w:rsidRDefault="006234C4" w:rsidP="00E7623A">
      <w:pPr>
        <w:spacing w:after="0" w:line="240" w:lineRule="auto"/>
        <w:jc w:val="center"/>
        <w:rPr>
          <w:rFonts w:ascii="Times New Roman" w:hAnsi="Times New Roman" w:cs="Times New Roman"/>
          <w:sz w:val="24"/>
          <w:szCs w:val="24"/>
        </w:rPr>
      </w:pPr>
    </w:p>
    <w:p w:rsidR="006243F1" w:rsidRPr="006A4BCA" w:rsidRDefault="006243F1" w:rsidP="00E7623A">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(Fin del documento)</w:t>
      </w:r>
    </w:p>
    <w:p w:rsidR="006243F1" w:rsidRPr="006A4BCA" w:rsidRDefault="006243F1" w:rsidP="002C66B3">
      <w:pPr>
        <w:spacing w:after="0" w:line="240" w:lineRule="auto"/>
        <w:jc w:val="center"/>
        <w:rPr>
          <w:rFonts w:ascii="Times New Roman" w:hAnsi="Times New Roman"/>
          <w:sz w:val="24"/>
          <w:szCs w:val="24"/>
        </w:rPr>
      </w:pP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Gracias </w:t>
      </w:r>
      <w:r w:rsidR="000E3F19" w:rsidRPr="006A4BCA">
        <w:rPr>
          <w:rFonts w:ascii="Times New Roman" w:hAnsi="Times New Roman" w:cs="Times New Roman"/>
          <w:sz w:val="24"/>
          <w:szCs w:val="24"/>
        </w:rPr>
        <w:t>d</w:t>
      </w:r>
      <w:r w:rsidRPr="006A4BCA">
        <w:rPr>
          <w:rFonts w:ascii="Times New Roman" w:hAnsi="Times New Roman" w:cs="Times New Roman"/>
          <w:sz w:val="24"/>
          <w:szCs w:val="24"/>
        </w:rPr>
        <w:t xml:space="preserve">iputada Sandra Patricia Santos Rodríguez. </w:t>
      </w:r>
    </w:p>
    <w:p w:rsidR="00F26FC5" w:rsidRPr="006A4BCA" w:rsidRDefault="00F26FC5"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Leído los antecedentes del dictamen, pido a quienes estén por su turno a discusión, se sirva levantar la mano</w:t>
      </w:r>
      <w:r w:rsidR="00003749" w:rsidRPr="006A4BCA">
        <w:rPr>
          <w:rFonts w:ascii="Times New Roman" w:hAnsi="Times New Roman" w:cs="Times New Roman"/>
          <w:sz w:val="24"/>
          <w:szCs w:val="24"/>
        </w:rPr>
        <w:t>.</w:t>
      </w:r>
    </w:p>
    <w:p w:rsidR="00715A93" w:rsidRPr="006A4BCA" w:rsidRDefault="004A68B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SECRETARIO DIP. EDMUNDO LUIS VALDEÑA BASTIDA. </w:t>
      </w:r>
      <w:r w:rsidR="00715A93" w:rsidRPr="006A4BCA">
        <w:rPr>
          <w:rFonts w:ascii="Times New Roman" w:hAnsi="Times New Roman" w:cs="Times New Roman"/>
          <w:sz w:val="24"/>
          <w:szCs w:val="24"/>
        </w:rPr>
        <w:t xml:space="preserve">La propuesta ha sido aprobada por unanimidad de votos. </w:t>
      </w:r>
    </w:p>
    <w:p w:rsidR="00715A93"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Gracias Secretario. </w:t>
      </w:r>
    </w:p>
    <w:p w:rsidR="00715A93"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Abro la discusión a lo general y consulto a las diputadas y a los diputados si desean hacer uso de la palabra. </w:t>
      </w:r>
    </w:p>
    <w:p w:rsidR="00715A93"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Adelante diputada Figueroa. Adelante.</w:t>
      </w:r>
    </w:p>
    <w:p w:rsidR="00003749"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ALEJANDRA FIGUEROA ADAME. Con la venia Presidenta. </w:t>
      </w:r>
    </w:p>
    <w:p w:rsidR="00665E02" w:rsidRPr="006A4BCA" w:rsidRDefault="00715A93" w:rsidP="00003749">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Saludo con mucho gusto a mis compañeras y compañeros de la Mesa Directiva. Muy buenas tardes, diputadas, diputade y diputados. </w:t>
      </w:r>
    </w:p>
    <w:p w:rsidR="00715A93" w:rsidRPr="006A4BCA" w:rsidRDefault="00715A93" w:rsidP="00003749">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Hoy también quiero hacer un reconocimiento a todas aquellas mujeres que han sido víctimas de violencia Digital hoy desde la “Casa del Pueblo” damos un paso histórico para combatir esta violencia. La política feminista busca acabar con la dominación liberarnos para ser quiénes somos. </w:t>
      </w:r>
      <w:r w:rsidRPr="006A4BCA">
        <w:rPr>
          <w:rStyle w:val="nfasis"/>
          <w:rFonts w:ascii="Times New Roman" w:hAnsi="Times New Roman" w:cs="Times New Roman"/>
          <w:sz w:val="24"/>
          <w:szCs w:val="24"/>
        </w:rPr>
        <w:t>"vivir vidas donde amamos la justicia y donde podemos vivir en paz"</w:t>
      </w:r>
      <w:r w:rsidRPr="006A4BCA">
        <w:rPr>
          <w:rFonts w:ascii="Times New Roman" w:hAnsi="Times New Roman" w:cs="Times New Roman"/>
          <w:sz w:val="24"/>
          <w:szCs w:val="24"/>
        </w:rPr>
        <w:t xml:space="preserve">. </w:t>
      </w:r>
      <w:r w:rsidR="00CC3A24" w:rsidRPr="006A4BCA">
        <w:rPr>
          <w:rStyle w:val="Textoennegrita"/>
          <w:rFonts w:ascii="Times New Roman" w:hAnsi="Times New Roman" w:cs="Times New Roman"/>
          <w:b w:val="0"/>
          <w:sz w:val="24"/>
          <w:szCs w:val="24"/>
        </w:rPr>
        <w:t>Bell Hooks</w:t>
      </w:r>
      <w:r w:rsidRPr="006A4BCA">
        <w:rPr>
          <w:rStyle w:val="Textoennegrita"/>
          <w:rFonts w:ascii="Times New Roman" w:hAnsi="Times New Roman" w:cs="Times New Roman"/>
          <w:b w:val="0"/>
          <w:sz w:val="24"/>
          <w:szCs w:val="24"/>
        </w:rPr>
        <w:t>.</w:t>
      </w:r>
    </w:p>
    <w:p w:rsidR="00B605DE"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Durante siglos, muchas formas de violencia contra las mujeres fueron invisibles porque no estaban definidas en la ley. La violencia doméstica, patrimonial, el acoso sexual o la violencia política en género tardaron décadas en ser reconocidas.</w:t>
      </w:r>
    </w:p>
    <w:p w:rsidR="00715A93" w:rsidRPr="006A4BCA" w:rsidRDefault="00715A93" w:rsidP="00B605DE">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Con la masificación de las tecnologías de la información y comunicación que nos acercan a las personas que queremos, también descubrimos su contraparte generan nuevas formas de violencia que el Estado tiene la obligación de reconocer, nombrar y combatir. Hoy discutimos una de esas realidades la violencia digital contra las mujeres. Hablar de violencia digital es hablar de una forma contemporánea de agresión que invade la intimidad, que destruye reputaciones, que hiere la dignidad humana y que puede perseguir a las víctimas las 24 horas del día, sin fronteras físicas y con una capacidad de difusión prácticamente ilimitada.</w:t>
      </w:r>
    </w:p>
    <w:p w:rsidR="00283363"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Por ello, este dictamen que estamos por votar incluye definir claramente qué es la violencia digital en nuestra legislación estatal</w:t>
      </w:r>
      <w:r w:rsidR="00C842C1" w:rsidRPr="006A4BCA">
        <w:rPr>
          <w:rFonts w:ascii="Times New Roman" w:hAnsi="Times New Roman" w:cs="Times New Roman"/>
          <w:sz w:val="24"/>
          <w:szCs w:val="24"/>
        </w:rPr>
        <w:t>;</w:t>
      </w:r>
      <w:r w:rsidRPr="006A4BCA">
        <w:rPr>
          <w:rFonts w:ascii="Times New Roman" w:hAnsi="Times New Roman" w:cs="Times New Roman"/>
          <w:sz w:val="24"/>
          <w:szCs w:val="24"/>
        </w:rPr>
        <w:t xml:space="preserve"> </w:t>
      </w:r>
      <w:r w:rsidR="00C842C1" w:rsidRPr="006A4BCA">
        <w:rPr>
          <w:rFonts w:ascii="Times New Roman" w:hAnsi="Times New Roman" w:cs="Times New Roman"/>
          <w:sz w:val="24"/>
          <w:szCs w:val="24"/>
        </w:rPr>
        <w:t>p</w:t>
      </w:r>
      <w:r w:rsidRPr="006A4BCA">
        <w:rPr>
          <w:rFonts w:ascii="Times New Roman" w:hAnsi="Times New Roman" w:cs="Times New Roman"/>
          <w:sz w:val="24"/>
          <w:szCs w:val="24"/>
        </w:rPr>
        <w:t>ero no se queda nada más en eso</w:t>
      </w:r>
      <w:r w:rsidR="00C842C1" w:rsidRPr="006A4BCA">
        <w:rPr>
          <w:rFonts w:ascii="Times New Roman" w:hAnsi="Times New Roman" w:cs="Times New Roman"/>
          <w:sz w:val="24"/>
          <w:szCs w:val="24"/>
        </w:rPr>
        <w:t>,</w:t>
      </w:r>
      <w:r w:rsidRPr="006A4BCA">
        <w:rPr>
          <w:rFonts w:ascii="Times New Roman" w:hAnsi="Times New Roman" w:cs="Times New Roman"/>
          <w:sz w:val="24"/>
          <w:szCs w:val="24"/>
        </w:rPr>
        <w:t xml:space="preserve"> </w:t>
      </w:r>
      <w:r w:rsidR="00C842C1" w:rsidRPr="006A4BCA">
        <w:rPr>
          <w:rFonts w:ascii="Times New Roman" w:hAnsi="Times New Roman" w:cs="Times New Roman"/>
          <w:sz w:val="24"/>
          <w:szCs w:val="24"/>
        </w:rPr>
        <w:t>t</w:t>
      </w:r>
      <w:r w:rsidRPr="006A4BCA">
        <w:rPr>
          <w:rFonts w:ascii="Times New Roman" w:hAnsi="Times New Roman" w:cs="Times New Roman"/>
          <w:sz w:val="24"/>
          <w:szCs w:val="24"/>
        </w:rPr>
        <w:t>ambién establece mecanismos de protección para las víctimas y garantiza que las autoridades puedan actuar con rapidez frente a estos delitos</w:t>
      </w:r>
      <w:r w:rsidR="00DD39F3" w:rsidRPr="006A4BCA">
        <w:rPr>
          <w:rFonts w:ascii="Times New Roman" w:hAnsi="Times New Roman" w:cs="Times New Roman"/>
          <w:sz w:val="24"/>
          <w:szCs w:val="24"/>
        </w:rPr>
        <w:t>,</w:t>
      </w:r>
      <w:r w:rsidRPr="006A4BCA">
        <w:rPr>
          <w:rFonts w:ascii="Times New Roman" w:hAnsi="Times New Roman" w:cs="Times New Roman"/>
          <w:sz w:val="24"/>
          <w:szCs w:val="24"/>
        </w:rPr>
        <w:t xml:space="preserve"> las estadísticas disponibles son alarmantes el 20.9% de las personas usuarias de Internet de 12 años o más reportaron haber vivido alguna situación de ciberacoso en el país y cerca del 36% de las mujeres víctimas de ciberacoso recibieron insinuaciones o propuestas sexuales no deseadas. </w:t>
      </w:r>
    </w:p>
    <w:p w:rsidR="00F93E51" w:rsidRPr="006A4BCA" w:rsidRDefault="00715A93" w:rsidP="00283363">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Y las mujeres de 20 a 29 años somos las más afectadas por ellas estoy convencida de que definir jurídicamente la violencia digital no es un simple ejercicio legal, es una declaración política y ética. Internet no puede convertirse en un territorio de impunidad donde la violencia de género </w:t>
      </w:r>
      <w:r w:rsidRPr="006A4BCA">
        <w:rPr>
          <w:rFonts w:ascii="Times New Roman" w:hAnsi="Times New Roman" w:cs="Times New Roman"/>
          <w:sz w:val="24"/>
          <w:szCs w:val="24"/>
        </w:rPr>
        <w:lastRenderedPageBreak/>
        <w:t>se reproduzca sin consecuencias</w:t>
      </w:r>
      <w:r w:rsidR="00F93E51" w:rsidRPr="006A4BCA">
        <w:rPr>
          <w:rFonts w:ascii="Times New Roman" w:hAnsi="Times New Roman" w:cs="Times New Roman"/>
          <w:sz w:val="24"/>
          <w:szCs w:val="24"/>
        </w:rPr>
        <w:t>, t</w:t>
      </w:r>
      <w:r w:rsidRPr="006A4BCA">
        <w:rPr>
          <w:rFonts w:ascii="Times New Roman" w:hAnsi="Times New Roman" w:cs="Times New Roman"/>
          <w:sz w:val="24"/>
          <w:szCs w:val="24"/>
        </w:rPr>
        <w:t>ampoco podemos permitir que las víctimas enfrenten solas el daño causado por la difusión de contenido íntimo o por ataques sistemáticos en redes sociales.</w:t>
      </w:r>
    </w:p>
    <w:p w:rsidR="00F93E51" w:rsidRPr="006A4BCA" w:rsidRDefault="00715A93" w:rsidP="00283363">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Sé que cada generación enfrenta nuevas realidades y estoy convencida de que las leyes deben evolucionar junto con la sociedad. Así como hace décadas se reconocieron nuevas formas de violencia, hoy debemos reconocer las que ocurren en entornos digitales. </w:t>
      </w:r>
    </w:p>
    <w:p w:rsidR="00715A93" w:rsidRPr="006A4BCA" w:rsidRDefault="00715A93" w:rsidP="00283363">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Ya lo ha dicho nuestra querida gobernadora, la Maestra Delfina Gómez Álvarez, las mujeres somos la fuerza transformadora del país, pero una sociedad verdaderamente justa y motor de una transformación es aquella que protege a las mujeres, incluso en los espacios digitales</w:t>
      </w:r>
      <w:r w:rsidR="00F93E51" w:rsidRPr="006A4BCA">
        <w:rPr>
          <w:rFonts w:ascii="Times New Roman" w:hAnsi="Times New Roman" w:cs="Times New Roman"/>
          <w:sz w:val="24"/>
          <w:szCs w:val="24"/>
        </w:rPr>
        <w:t>,</w:t>
      </w:r>
      <w:r w:rsidRPr="006A4BCA">
        <w:rPr>
          <w:rFonts w:ascii="Times New Roman" w:hAnsi="Times New Roman" w:cs="Times New Roman"/>
          <w:sz w:val="24"/>
          <w:szCs w:val="24"/>
        </w:rPr>
        <w:t xml:space="preserve"> </w:t>
      </w:r>
      <w:r w:rsidR="00C86D6B" w:rsidRPr="006A4BCA">
        <w:rPr>
          <w:rFonts w:ascii="Times New Roman" w:hAnsi="Times New Roman" w:cs="Times New Roman"/>
          <w:sz w:val="24"/>
          <w:szCs w:val="24"/>
        </w:rPr>
        <w:t>e</w:t>
      </w:r>
      <w:r w:rsidRPr="006A4BCA">
        <w:rPr>
          <w:rFonts w:ascii="Times New Roman" w:hAnsi="Times New Roman" w:cs="Times New Roman"/>
          <w:sz w:val="24"/>
          <w:szCs w:val="24"/>
        </w:rPr>
        <w:t xml:space="preserve">sta reforma fortalece el enfoque integral y reafirma la responsabilidad del Estado de México en la protección de los derechos de las mujeres. </w:t>
      </w:r>
    </w:p>
    <w:p w:rsidR="00715A93"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Es cuanto Presidenta. Muchas gracias.</w:t>
      </w:r>
    </w:p>
    <w:p w:rsidR="00715A93"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Gracias diputada Figueroa.</w:t>
      </w:r>
    </w:p>
    <w:p w:rsidR="00715A93"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Para acabar la votación en general pido a la Secretaría abra el sistema de votación hasta por dos minutos, si alguien desea aceptar algún artículo en lo particular, sírvase comentarlo.</w:t>
      </w:r>
    </w:p>
    <w:p w:rsidR="00715A93" w:rsidRPr="006A4BCA" w:rsidRDefault="00715A93"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SECRETARIO DIP. EDMUNDO LUIS VALDEÑA BASTIDA. Ábrase el sistema de votación hasta por dos minutos</w:t>
      </w:r>
      <w:r w:rsidR="00C86D6B" w:rsidRPr="006A4BCA">
        <w:rPr>
          <w:rFonts w:ascii="Times New Roman" w:hAnsi="Times New Roman" w:cs="Times New Roman"/>
          <w:sz w:val="24"/>
          <w:szCs w:val="24"/>
        </w:rPr>
        <w:t>.</w:t>
      </w:r>
    </w:p>
    <w:p w:rsidR="00715A93" w:rsidRPr="006A4BCA" w:rsidRDefault="00715A93" w:rsidP="00C80DF4">
      <w:pPr>
        <w:pStyle w:val="Sinespaciado"/>
        <w:jc w:val="center"/>
        <w:rPr>
          <w:rFonts w:ascii="Times New Roman" w:hAnsi="Times New Roman" w:cs="Times New Roman"/>
          <w:i/>
          <w:sz w:val="24"/>
          <w:szCs w:val="24"/>
        </w:rPr>
      </w:pPr>
      <w:r w:rsidRPr="006A4BCA">
        <w:rPr>
          <w:rFonts w:ascii="Times New Roman" w:hAnsi="Times New Roman" w:cs="Times New Roman"/>
          <w:i/>
          <w:sz w:val="24"/>
          <w:szCs w:val="24"/>
        </w:rPr>
        <w:t>(Votación nominal)</w:t>
      </w:r>
    </w:p>
    <w:p w:rsidR="004D750B" w:rsidRPr="006A4BCA" w:rsidRDefault="008C56B9" w:rsidP="00C80DF4">
      <w:pPr>
        <w:pStyle w:val="Sinespaciado"/>
        <w:jc w:val="both"/>
        <w:rPr>
          <w:rFonts w:ascii="Times New Roman" w:hAnsi="Times New Roman" w:cs="Times New Roman"/>
          <w:sz w:val="24"/>
        </w:rPr>
      </w:pPr>
      <w:r w:rsidRPr="006A4BCA">
        <w:rPr>
          <w:rFonts w:ascii="Times New Roman" w:hAnsi="Times New Roman" w:cs="Times New Roman"/>
          <w:sz w:val="24"/>
          <w:szCs w:val="24"/>
        </w:rPr>
        <w:t xml:space="preserve">SECRETARIO DIP. EDMUNDO LUIS VALDEÑA BASTIDA. </w:t>
      </w:r>
      <w:r w:rsidR="00B15D7D" w:rsidRPr="006A4BCA">
        <w:rPr>
          <w:rFonts w:ascii="Times New Roman" w:hAnsi="Times New Roman" w:cs="Times New Roman"/>
          <w:sz w:val="24"/>
          <w:szCs w:val="24"/>
        </w:rPr>
        <w:t>¿</w:t>
      </w:r>
      <w:r w:rsidR="004D750B" w:rsidRPr="006A4BCA">
        <w:rPr>
          <w:rFonts w:ascii="Times New Roman" w:hAnsi="Times New Roman" w:cs="Times New Roman"/>
          <w:sz w:val="24"/>
        </w:rPr>
        <w:t xml:space="preserve">Alguien falta </w:t>
      </w:r>
      <w:r w:rsidR="00B15D7D" w:rsidRPr="006A4BCA">
        <w:rPr>
          <w:rFonts w:ascii="Times New Roman" w:hAnsi="Times New Roman" w:cs="Times New Roman"/>
          <w:sz w:val="24"/>
        </w:rPr>
        <w:t xml:space="preserve">de </w:t>
      </w:r>
      <w:r w:rsidR="004D750B" w:rsidRPr="006A4BCA">
        <w:rPr>
          <w:rFonts w:ascii="Times New Roman" w:hAnsi="Times New Roman" w:cs="Times New Roman"/>
          <w:sz w:val="24"/>
        </w:rPr>
        <w:t>emitir su voto?</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El Dictamen y el Proyecto de Decreto ha</w:t>
      </w:r>
      <w:r w:rsidR="00B15D7D" w:rsidRPr="006A4BCA">
        <w:rPr>
          <w:rFonts w:ascii="Times New Roman" w:hAnsi="Times New Roman" w:cs="Times New Roman"/>
          <w:sz w:val="24"/>
        </w:rPr>
        <w:t>n</w:t>
      </w:r>
      <w:r w:rsidRPr="006A4BCA">
        <w:rPr>
          <w:rFonts w:ascii="Times New Roman" w:hAnsi="Times New Roman" w:cs="Times New Roman"/>
          <w:sz w:val="24"/>
        </w:rPr>
        <w:t xml:space="preserve"> sido aprobado</w:t>
      </w:r>
      <w:r w:rsidR="00B15D7D" w:rsidRPr="006A4BCA">
        <w:rPr>
          <w:rFonts w:ascii="Times New Roman" w:hAnsi="Times New Roman" w:cs="Times New Roman"/>
          <w:sz w:val="24"/>
        </w:rPr>
        <w:t>s</w:t>
      </w:r>
      <w:r w:rsidRPr="006A4BCA">
        <w:rPr>
          <w:rFonts w:ascii="Times New Roman" w:hAnsi="Times New Roman" w:cs="Times New Roman"/>
          <w:sz w:val="24"/>
        </w:rPr>
        <w:t xml:space="preserve"> en lo general por unanimidad de votos. </w:t>
      </w:r>
    </w:p>
    <w:p w:rsidR="004D750B" w:rsidRPr="006A4BCA" w:rsidRDefault="004D750B" w:rsidP="00C80DF4">
      <w:pPr>
        <w:pStyle w:val="Sinespaciado"/>
        <w:jc w:val="both"/>
        <w:rPr>
          <w:rFonts w:ascii="Times New Roman" w:hAnsi="Times New Roman" w:cs="Times New Roman"/>
          <w:sz w:val="24"/>
        </w:rPr>
      </w:pPr>
      <w:r w:rsidRPr="006A4BCA">
        <w:rPr>
          <w:rFonts w:ascii="Times New Roman" w:hAnsi="Times New Roman" w:cs="Times New Roman"/>
          <w:sz w:val="24"/>
        </w:rPr>
        <w:t>PRESIDENTA DIP. MARTHA AZUCENA CAMACHO REYNOSO. Gracias Secretario.</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Se tiene por aprobado en lo general el Dictamen y el Proyecto de Decreto, se declara también su aprobación en lo particular.</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En el punto número 4, el diputado Samuel Ríos Moreno leerá el dictamen de la Iniciativa con Proyecto de Decreto por el que se reforma y adicionan diversas disposiciones a la Ley de Gobierno Digital del Estado de México y Municipios y de la Ley para la Mejora Regulatoria del Estado de México y sus Municipios en materia de Inteligencia Artificial en el ámbito estatal, presentada por el diputado Edgar Samuel Ríos Moreno, en nombre del Grupo Parlamentario del Partido morena, formulado por la Comisión Legislativa de Desarrollo Económico, Industrial, Comercial y Minero.</w:t>
      </w:r>
    </w:p>
    <w:p w:rsidR="004D750B" w:rsidRPr="006A4BCA" w:rsidRDefault="004D750B" w:rsidP="00C80DF4">
      <w:pPr>
        <w:pStyle w:val="Sinespaciado"/>
        <w:jc w:val="both"/>
        <w:rPr>
          <w:rFonts w:ascii="Times New Roman" w:hAnsi="Times New Roman" w:cs="Times New Roman"/>
          <w:sz w:val="24"/>
        </w:rPr>
      </w:pPr>
      <w:r w:rsidRPr="006A4BCA">
        <w:rPr>
          <w:rFonts w:ascii="Times New Roman" w:hAnsi="Times New Roman" w:cs="Times New Roman"/>
          <w:sz w:val="24"/>
        </w:rPr>
        <w:t xml:space="preserve">DIP. EDGAR SAMUEL RÍOS MORENO. Con su venia Presidenta, </w:t>
      </w:r>
      <w:r w:rsidR="009875F2" w:rsidRPr="006A4BCA">
        <w:rPr>
          <w:rFonts w:ascii="Times New Roman" w:hAnsi="Times New Roman" w:cs="Times New Roman"/>
          <w:sz w:val="24"/>
        </w:rPr>
        <w:t>Mesa Directiva</w:t>
      </w:r>
      <w:r w:rsidRPr="006A4BCA">
        <w:rPr>
          <w:rFonts w:ascii="Times New Roman" w:hAnsi="Times New Roman" w:cs="Times New Roman"/>
          <w:sz w:val="24"/>
        </w:rPr>
        <w:t>.</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Diputados, diputadas, diputade, me voy a permitir leer el dictamen formulado a la Iniciativa con Proyecto de Decreto por el que se reforman, adicionan diversas disposiciones de la Ley de Gobierno Digital del Estado de México y Municipios y la Ley para la Mejora Regulatoria del Estado de México y sus Municipios, presentada por el diputado Edgar Samuel Ríos Moreno, en nombre del Grupo Parlamentario de morena. </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Honorable Asamblea. </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La Presidencia de la LXII Legislatura encomendó a la Comisión Legislativa de Desarrollo Económico, Industrial, Comercial y Minero el estudio y Dictamen de la Iniciativa con Proyecto de Decreto por el que se reforman, adicionan diversas disposiciones de Ley de Gobierno Digital del Estado de México y Municipios y de la Ley para la Mejora Regulatoria del Estado de México y sus Municipios, presentada por el diputado Edgar Samuel Ríos Moreno en nombre del Grupo Parlamentario de morena.</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Sustanciado el estudio de la iniciativa y ampliamente discutido en la Comisión Legislativa</w:t>
      </w:r>
      <w:r w:rsidR="00900889" w:rsidRPr="006A4BCA">
        <w:rPr>
          <w:rFonts w:ascii="Times New Roman" w:hAnsi="Times New Roman" w:cs="Times New Roman"/>
          <w:sz w:val="24"/>
        </w:rPr>
        <w:t>,</w:t>
      </w:r>
      <w:r w:rsidRPr="006A4BCA">
        <w:rPr>
          <w:rFonts w:ascii="Times New Roman" w:hAnsi="Times New Roman" w:cs="Times New Roman"/>
          <w:sz w:val="24"/>
        </w:rPr>
        <w:t xml:space="preserve"> nos permitimos con fundamento en lo establecido en los artículos 68, 70 y 82 de la Ley Orgánica del Poder Legislativo, en relación con lo señalado en los artículos 13 A, 70, 73, 75, 78, 79 y 80 del Reglamento del Poder Legislativo emitir el siguiente:</w:t>
      </w:r>
    </w:p>
    <w:p w:rsidR="004D750B" w:rsidRPr="006A4BCA" w:rsidRDefault="004D750B" w:rsidP="00C80DF4">
      <w:pPr>
        <w:pStyle w:val="Sinespaciado"/>
        <w:ind w:firstLine="708"/>
        <w:jc w:val="center"/>
        <w:rPr>
          <w:rFonts w:ascii="Times New Roman" w:hAnsi="Times New Roman" w:cs="Times New Roman"/>
          <w:sz w:val="24"/>
        </w:rPr>
      </w:pPr>
      <w:r w:rsidRPr="006A4BCA">
        <w:rPr>
          <w:rFonts w:ascii="Times New Roman" w:hAnsi="Times New Roman" w:cs="Times New Roman"/>
          <w:sz w:val="24"/>
        </w:rPr>
        <w:t>DICTAMEN</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Antecedentes y Conclusión del estudio:</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lastRenderedPageBreak/>
        <w:t xml:space="preserve">1. En la sesión de la LX Legislatura celebrada el día seis de febrero del 2025, el diputado Edgar Samuel Ríos Moreno, en nombre del Grupo Parlamentario de morena, con base en los artículos 51, fracción II y 61 fracción I de la Constitución Política del Estado Libre y Soberano de México, 28 fracción I y 81, fracciones I, II y III de la Ley Orgánica del Poder Legislativo y 68 de su relativo reglamento; sometió a la consideración de la </w:t>
      </w:r>
      <w:r w:rsidR="008A76DC" w:rsidRPr="006A4BCA">
        <w:rPr>
          <w:rFonts w:ascii="Times New Roman" w:hAnsi="Times New Roman" w:cs="Times New Roman"/>
          <w:sz w:val="24"/>
        </w:rPr>
        <w:t xml:space="preserve">soberanía popular </w:t>
      </w:r>
      <w:r w:rsidRPr="006A4BCA">
        <w:rPr>
          <w:rFonts w:ascii="Times New Roman" w:hAnsi="Times New Roman" w:cs="Times New Roman"/>
          <w:sz w:val="24"/>
        </w:rPr>
        <w:t>la Iniciativa con Proyecto de Decreto, por lo que se reforma en adición en las diversas disposiciones de la Ley de Gobierno Digital del Estado de México y Municipios y la Ley de Mejora Regulatoria del Estado de México y sus Municipios.</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Con sujeción al estudio realizado apreciamos que la iniciativa propone disposiciones para regular la Inteligencia Artificial en el ámbito estatal, a través de la Agencia Digital del Estado de México. </w:t>
      </w:r>
    </w:p>
    <w:p w:rsidR="004D750B"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2. E</w:t>
      </w:r>
      <w:r w:rsidR="008A76DC" w:rsidRPr="006A4BCA">
        <w:rPr>
          <w:rFonts w:ascii="Times New Roman" w:hAnsi="Times New Roman" w:cs="Times New Roman"/>
          <w:sz w:val="24"/>
        </w:rPr>
        <w:t>n</w:t>
      </w:r>
      <w:r w:rsidRPr="006A4BCA">
        <w:rPr>
          <w:rFonts w:ascii="Times New Roman" w:hAnsi="Times New Roman" w:cs="Times New Roman"/>
          <w:sz w:val="24"/>
        </w:rPr>
        <w:t xml:space="preserve"> observancia del proceso legislativo ordinario, el día veinticuatro de febrero del 2026, la Comisión Legislativa de Desarrollo Económico, Industrial, Comercial y Minero llevó a cabo el análisis de la iniciativa con la presencia y participación del diputado Edgar Samuel Ríos Moreno, presentante de la iniciativa, quien en apoyo de los trabajos de estudio aportó mayor información que permitió profundizar en los motivos, contenido y alcances. </w:t>
      </w:r>
    </w:p>
    <w:p w:rsidR="00070162" w:rsidRPr="006A4BCA" w:rsidRDefault="004D750B" w:rsidP="00C80DF4">
      <w:pPr>
        <w:pStyle w:val="Sinespaciado"/>
        <w:ind w:firstLine="708"/>
        <w:jc w:val="both"/>
        <w:rPr>
          <w:rFonts w:ascii="Times New Roman" w:hAnsi="Times New Roman" w:cs="Times New Roman"/>
          <w:sz w:val="24"/>
        </w:rPr>
      </w:pPr>
      <w:r w:rsidRPr="006A4BCA">
        <w:rPr>
          <w:rFonts w:ascii="Times New Roman" w:hAnsi="Times New Roman" w:cs="Times New Roman"/>
          <w:sz w:val="24"/>
        </w:rPr>
        <w:t>El día cinco de marzo del 2026, la Comisión Legislativa de Desarrollo Económico, Industrial, Comercial y Minero dictaminó la</w:t>
      </w:r>
      <w:r w:rsidR="00EB035E" w:rsidRPr="006A4BCA">
        <w:rPr>
          <w:rFonts w:ascii="Times New Roman" w:hAnsi="Times New Roman" w:cs="Times New Roman"/>
          <w:sz w:val="24"/>
        </w:rPr>
        <w:t xml:space="preserve"> propuesta </w:t>
      </w:r>
      <w:r w:rsidR="00070162" w:rsidRPr="006A4BCA">
        <w:rPr>
          <w:rFonts w:ascii="Times New Roman" w:hAnsi="Times New Roman" w:cs="Times New Roman"/>
          <w:sz w:val="24"/>
          <w:szCs w:val="24"/>
        </w:rPr>
        <w:t>legislativa.</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3. Con base en el estudio realizado y las aportaciones de integrantes de distintos grupos parlamentarios fortalecimos el Proyecto de Decreto y por lo tanto estimamos proceder reformar la fracción VI del artículo 11 </w:t>
      </w:r>
      <w:r w:rsidR="008D30CE" w:rsidRPr="006A4BCA">
        <w:rPr>
          <w:rFonts w:ascii="Times New Roman" w:hAnsi="Times New Roman" w:cs="Times New Roman"/>
          <w:sz w:val="24"/>
          <w:szCs w:val="24"/>
        </w:rPr>
        <w:t>Quater</w:t>
      </w:r>
      <w:r w:rsidRPr="006A4BCA">
        <w:rPr>
          <w:rFonts w:ascii="Times New Roman" w:hAnsi="Times New Roman" w:cs="Times New Roman"/>
          <w:sz w:val="24"/>
          <w:szCs w:val="24"/>
        </w:rPr>
        <w:t xml:space="preserve"> y adicionar la fracción XIV Bis del artículo 5 de la Ley Orgánica Digital del Estado de México y Municipios, de conformidad con el Proyecto de Decreto es correcto precisar que se entenderá por inteligencia artificial la capacidad de un sistema informático de imitar procesos cognitivos humanos como el aprendizaje, la resolución de problemas y la toma de decisiones.</w:t>
      </w:r>
    </w:p>
    <w:p w:rsidR="00070162" w:rsidRPr="006A4BCA" w:rsidRDefault="00070162" w:rsidP="00C80DF4">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Asimismo, estimamos pertinente fortalecer las atribuciones de la agencia digital </w:t>
      </w:r>
      <w:r w:rsidR="00FE7D3E" w:rsidRPr="006A4BCA">
        <w:rPr>
          <w:rFonts w:ascii="Times New Roman" w:hAnsi="Times New Roman" w:cs="Times New Roman"/>
          <w:sz w:val="24"/>
          <w:szCs w:val="24"/>
        </w:rPr>
        <w:t>estableciéndola</w:t>
      </w:r>
      <w:r w:rsidRPr="006A4BCA">
        <w:rPr>
          <w:rFonts w:ascii="Times New Roman" w:hAnsi="Times New Roman" w:cs="Times New Roman"/>
          <w:sz w:val="24"/>
          <w:szCs w:val="24"/>
        </w:rPr>
        <w:t xml:space="preserve"> de desarrollar, operar e impulsar los sistemas automatizados y la automatización de los procesos del trabajo de administración pública estatal, mediante la aplicación adecuada y estandarizada de las tecnologías de la información, comunicación y en su caso de inteligencia artificial.</w:t>
      </w:r>
    </w:p>
    <w:p w:rsidR="00070162" w:rsidRPr="006A4BCA" w:rsidRDefault="00070162" w:rsidP="00C80DF4">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RESOLUTIVOS</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PRIMERO. Es de aprobarse en lo conducente conforme al Proyecto de Decreto que ha sido integrada la iniciativa con proyecto de decreto por la que se reforman y adicionan diversas disposiciones de la Ley de Gobierno Digital del Estado de México y Municipios, de la Ley para la Mejora Regulatoria del Estado de México y sus Municipios, presentada por el diputado Edgar Samuel Ríos Moreno, en nombre del Grupo Parlamentario de morena.</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SEGUNDO. Se adjunta el Proyecto de Decreto por el que se reforma la fracción VI del artículo 11 </w:t>
      </w:r>
      <w:r w:rsidR="008D30CE" w:rsidRPr="006A4BCA">
        <w:rPr>
          <w:rFonts w:ascii="Times New Roman" w:hAnsi="Times New Roman" w:cs="Times New Roman"/>
          <w:sz w:val="24"/>
          <w:szCs w:val="24"/>
        </w:rPr>
        <w:t>Quater</w:t>
      </w:r>
      <w:r w:rsidRPr="006A4BCA">
        <w:rPr>
          <w:rFonts w:ascii="Times New Roman" w:hAnsi="Times New Roman" w:cs="Times New Roman"/>
          <w:sz w:val="24"/>
          <w:szCs w:val="24"/>
        </w:rPr>
        <w:t xml:space="preserve"> y se adiciona la fracción XIV Bis del artículo 5 de la Ley de Gobierno Digital del Estado de México y Municipios.</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TERCERO. Previa discusión y aprobación por la Legislatura en pleno.</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Remítase a la persona Titular del Ejecutivo, para los efectos necesarios.</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Dado en el Palacio Legislativo, en la ciudad de Toluca de Lerdo, capital, a los cinco días del mes de marzo del dos mil veintiséis.</w:t>
      </w:r>
    </w:p>
    <w:p w:rsidR="00070162" w:rsidRPr="006A4BCA" w:rsidRDefault="00070162" w:rsidP="00FE1BB1">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Es cuanto Presidenta y </w:t>
      </w:r>
      <w:r w:rsidR="008D30CE" w:rsidRPr="006A4BCA">
        <w:rPr>
          <w:rFonts w:ascii="Times New Roman" w:hAnsi="Times New Roman" w:cs="Times New Roman"/>
          <w:sz w:val="24"/>
          <w:szCs w:val="24"/>
        </w:rPr>
        <w:t>agradecerles</w:t>
      </w:r>
      <w:r w:rsidRPr="006A4BCA">
        <w:rPr>
          <w:rFonts w:ascii="Times New Roman" w:hAnsi="Times New Roman" w:cs="Times New Roman"/>
          <w:sz w:val="24"/>
          <w:szCs w:val="24"/>
        </w:rPr>
        <w:t xml:space="preserve"> a los diferentes grupos parlamentarios que apoyaron esta iniciativa, muchas gracias.</w:t>
      </w:r>
    </w:p>
    <w:p w:rsidR="006243F1" w:rsidRPr="006A4BCA" w:rsidRDefault="006243F1" w:rsidP="00FE1BB1">
      <w:pPr>
        <w:pStyle w:val="Sinespaciado"/>
        <w:jc w:val="both"/>
        <w:rPr>
          <w:rFonts w:ascii="Times New Roman" w:hAnsi="Times New Roman" w:cs="Times New Roman"/>
          <w:sz w:val="24"/>
          <w:szCs w:val="24"/>
        </w:rPr>
      </w:pPr>
    </w:p>
    <w:p w:rsidR="006243F1" w:rsidRPr="006A4BCA" w:rsidRDefault="006243F1" w:rsidP="00FE1BB1">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(Se inserta documento)</w:t>
      </w:r>
    </w:p>
    <w:p w:rsidR="006243F1" w:rsidRPr="006A4BCA" w:rsidRDefault="006243F1" w:rsidP="00FE1BB1">
      <w:pPr>
        <w:spacing w:after="0" w:line="240" w:lineRule="auto"/>
        <w:jc w:val="center"/>
        <w:rPr>
          <w:rFonts w:ascii="Times New Roman"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
          <w:sz w:val="24"/>
          <w:szCs w:val="24"/>
          <w:lang w:val="es-ES"/>
        </w:rPr>
      </w:pPr>
      <w:bookmarkStart w:id="8" w:name="_Hlk221976976"/>
      <w:r w:rsidRPr="00E90593">
        <w:rPr>
          <w:rFonts w:ascii="Times New Roman" w:eastAsia="Calibri" w:hAnsi="Times New Roman" w:cs="Times New Roman"/>
          <w:b/>
          <w:sz w:val="24"/>
          <w:szCs w:val="24"/>
        </w:rPr>
        <w:lastRenderedPageBreak/>
        <w:t xml:space="preserve">DICTAMEN FORMULADO A LA </w:t>
      </w:r>
      <w:r w:rsidRPr="00E90593">
        <w:rPr>
          <w:rFonts w:ascii="Times New Roman" w:eastAsia="Calibri" w:hAnsi="Times New Roman" w:cs="Times New Roman"/>
          <w:b/>
          <w:sz w:val="24"/>
          <w:szCs w:val="24"/>
          <w:lang w:val="es-ES"/>
        </w:rPr>
        <w:t>INICIATIVA CON PROYECTO DE DECRETO POR LA QUE SE REFORMAN Y ADICIONAN DIVERSAS DISPOSICIONES DE LA LEY DE GOBIERNO DIGITAL DEL ESTADO DE MÉXICO Y MUNICIPIOS Y DE LA LEY PARA LA MEJORA REGULATORIA DEL ESTADO DE MÉXICO Y SUS MUNICIPIOS, PRESENTADA POR EL DIPUTADO EDGAR SAMUEL RÍOS MORENO, EN NOMBRE DEL GRUPO PARLAMENTARIO DEL PARTIDO MORENA.</w:t>
      </w:r>
    </w:p>
    <w:bookmarkEnd w:id="8"/>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p>
    <w:p w:rsidR="00E90593" w:rsidRPr="00E90593" w:rsidRDefault="00E90593" w:rsidP="00FE1BB1">
      <w:pPr>
        <w:spacing w:after="0" w:line="240" w:lineRule="auto"/>
        <w:contextualSpacing/>
        <w:jc w:val="both"/>
        <w:rPr>
          <w:rFonts w:ascii="Times New Roman" w:eastAsia="Calibri" w:hAnsi="Times New Roman" w:cs="Times New Roman"/>
          <w:b/>
          <w:sz w:val="24"/>
          <w:szCs w:val="24"/>
          <w:lang w:val="es-ES"/>
        </w:rPr>
      </w:pPr>
      <w:r w:rsidRPr="00E90593">
        <w:rPr>
          <w:rFonts w:ascii="Times New Roman" w:eastAsia="Calibri" w:hAnsi="Times New Roman" w:cs="Times New Roman"/>
          <w:b/>
          <w:sz w:val="24"/>
          <w:szCs w:val="24"/>
          <w:lang w:val="es-ES"/>
        </w:rPr>
        <w:t>HONORABLE ASAMBLEA:</w:t>
      </w:r>
    </w:p>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r w:rsidRPr="00E90593">
        <w:rPr>
          <w:rFonts w:ascii="Times New Roman" w:eastAsia="Calibri" w:hAnsi="Times New Roman" w:cs="Times New Roman"/>
          <w:sz w:val="24"/>
          <w:szCs w:val="24"/>
        </w:rPr>
        <w:t>La Presidencia de la "LXII" Legislatura encomendó a la Comisión Legislativa de Desarrollo Económico, Industrial, Comercial y Minero</w:t>
      </w:r>
      <w:r w:rsidRPr="00E90593">
        <w:rPr>
          <w:rFonts w:ascii="Times New Roman" w:eastAsia="Calibri" w:hAnsi="Times New Roman" w:cs="Times New Roman"/>
          <w:sz w:val="24"/>
          <w:szCs w:val="24"/>
          <w:lang w:val="es-ES"/>
        </w:rPr>
        <w:t xml:space="preserve">, el </w:t>
      </w:r>
      <w:r w:rsidRPr="00E90593">
        <w:rPr>
          <w:rFonts w:ascii="Times New Roman" w:eastAsia="Calibri" w:hAnsi="Times New Roman" w:cs="Times New Roman"/>
          <w:sz w:val="24"/>
          <w:szCs w:val="24"/>
        </w:rPr>
        <w:t xml:space="preserve">estudio y dictamen, de la </w:t>
      </w:r>
      <w:r w:rsidRPr="00E90593">
        <w:rPr>
          <w:rFonts w:ascii="Times New Roman" w:eastAsia="Calibri" w:hAnsi="Times New Roman" w:cs="Times New Roman"/>
          <w:sz w:val="24"/>
          <w:szCs w:val="24"/>
          <w:lang w:val="es-ES"/>
        </w:rPr>
        <w:t>Iniciativa con Proyecto de Decreto por la que se reforman y adicionan diversas disposiciones de la Ley de Gobierno Digital del Estado de México y Municipios y de la Ley para la Mejora Regulatoria del Estado de México y sus Municipios, presentada por el Diputado Edgar Samuel Ríos Moreno, en nombre del Grupo Parlamentario del Partido morena.</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Sustanciado el estudio de la iniciativa y ampliamente discutido en la comisión legislativa, nos permitimos, con fundamento en lo establecido en los artículos 68, 70 y 82 de la Ley Orgánica del Poder Legislativo, en relación con lo señalado en los artículos 13 A, 70, 73, 75, 78, 79 y 80 del Reglamento del Poder Legislativo, emitir el siguiente:</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center"/>
        <w:rPr>
          <w:rFonts w:ascii="Times New Roman" w:eastAsia="Calibri" w:hAnsi="Times New Roman" w:cs="Times New Roman"/>
          <w:b/>
          <w:sz w:val="24"/>
          <w:szCs w:val="24"/>
          <w:lang w:val="es-ES"/>
        </w:rPr>
      </w:pPr>
      <w:r w:rsidRPr="00E90593">
        <w:rPr>
          <w:rFonts w:ascii="Times New Roman" w:eastAsia="Calibri" w:hAnsi="Times New Roman" w:cs="Times New Roman"/>
          <w:b/>
          <w:sz w:val="24"/>
          <w:szCs w:val="24"/>
          <w:lang w:val="es-ES"/>
        </w:rPr>
        <w:t>DICTAMEN</w:t>
      </w:r>
    </w:p>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p>
    <w:p w:rsidR="00E90593" w:rsidRPr="00E90593" w:rsidRDefault="00E90593" w:rsidP="00FE1BB1">
      <w:pPr>
        <w:spacing w:after="0" w:line="240" w:lineRule="auto"/>
        <w:contextualSpacing/>
        <w:jc w:val="both"/>
        <w:rPr>
          <w:rFonts w:ascii="Times New Roman" w:eastAsia="Calibri" w:hAnsi="Times New Roman" w:cs="Times New Roman"/>
          <w:b/>
          <w:sz w:val="24"/>
          <w:szCs w:val="24"/>
          <w:lang w:val="es-ES"/>
        </w:rPr>
      </w:pPr>
      <w:r w:rsidRPr="00E90593">
        <w:rPr>
          <w:rFonts w:ascii="Times New Roman" w:eastAsia="Calibri" w:hAnsi="Times New Roman" w:cs="Times New Roman"/>
          <w:b/>
          <w:sz w:val="24"/>
          <w:szCs w:val="24"/>
          <w:lang w:val="es-ES"/>
        </w:rPr>
        <w:t>ANTECEDENTES Y CONCLUSIÓN DEL ESTUDIO.</w:t>
      </w:r>
    </w:p>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sz w:val="24"/>
          <w:szCs w:val="24"/>
        </w:rPr>
        <w:t xml:space="preserve">1.- </w:t>
      </w:r>
      <w:r w:rsidRPr="00E90593">
        <w:rPr>
          <w:rFonts w:ascii="Times New Roman" w:eastAsia="Calibri" w:hAnsi="Times New Roman" w:cs="Times New Roman"/>
          <w:sz w:val="24"/>
          <w:szCs w:val="24"/>
        </w:rPr>
        <w:t xml:space="preserve">En sesión de la “LXII” Legislatura celebrada el día seis de febrero de dos mil veinticinco, </w:t>
      </w:r>
      <w:r w:rsidRPr="00E90593">
        <w:rPr>
          <w:rFonts w:ascii="Times New Roman" w:eastAsia="Calibri" w:hAnsi="Times New Roman" w:cs="Times New Roman"/>
          <w:sz w:val="24"/>
          <w:szCs w:val="24"/>
          <w:lang w:val="es-ES"/>
        </w:rPr>
        <w:t>el Diputado Edgar Samuel Ríos Moreno, en nombre del Grupo Parlamentario del Partido morena</w:t>
      </w:r>
      <w:r w:rsidRPr="00E90593">
        <w:rPr>
          <w:rFonts w:ascii="Times New Roman" w:eastAsia="Calibri" w:hAnsi="Times New Roman" w:cs="Times New Roman"/>
          <w:sz w:val="24"/>
          <w:szCs w:val="24"/>
        </w:rPr>
        <w:t xml:space="preserve">, con base en los artículos: 51 fracción II y 61 fracción I de la Constitución Política del Estado Libre y Soberano de México; 28 fracción I y 81 fracciones I, II y III de la Ley Orgánica del Poder Legislativo; y 68 de su correlativo Reglamento, sometió a la consideración de la Soberanía Popular, la </w:t>
      </w:r>
      <w:r w:rsidRPr="00E90593">
        <w:rPr>
          <w:rFonts w:ascii="Times New Roman" w:eastAsia="Calibri" w:hAnsi="Times New Roman" w:cs="Times New Roman"/>
          <w:sz w:val="24"/>
          <w:szCs w:val="24"/>
          <w:lang w:val="es-ES"/>
        </w:rPr>
        <w:t>Iniciativa con Proyecto de Decreto por la que se reforman y adicionan diversas disposiciones de la Ley de Gobierno Digital del Estado de México y Municipios y de la Ley para la Mejora Regulatoria del Estado de México y sus Municipios</w:t>
      </w:r>
      <w:r w:rsidRPr="00E90593">
        <w:rPr>
          <w:rFonts w:ascii="Times New Roman" w:eastAsia="Calibri" w:hAnsi="Times New Roman" w:cs="Times New Roman"/>
          <w:sz w:val="24"/>
          <w:szCs w:val="24"/>
        </w:rPr>
        <w:t>.</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Con sujeción al estudio realizado apreciamos que la iniciativa propone disposiciones para regular la inteligencia artificial en el ámbito estatal a través de la Agencia Digital del Estado de México.</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sz w:val="24"/>
          <w:szCs w:val="24"/>
        </w:rPr>
        <w:t>2.-</w:t>
      </w:r>
      <w:r w:rsidRPr="00E90593">
        <w:rPr>
          <w:rFonts w:ascii="Times New Roman" w:eastAsia="Calibri" w:hAnsi="Times New Roman" w:cs="Times New Roman"/>
          <w:sz w:val="24"/>
          <w:szCs w:val="24"/>
        </w:rPr>
        <w:t xml:space="preserve"> En observancia del proceso legislativo ordinario, el día veinticuatro de febrero de dos mil veintiséis, la Comisión Legislativa de Desarrollo Económico, Industrial, Comercial y Minero llevó a cabo el análisis de la Iniciativa con la presencia y participación del Diputado Edgar Samuel Ríos Moreno, presentante de la iniciativa quien en apoyo de los trabajos de estudio aportó mayor información que permitió profundizar en los motivos, contenido y alcances. </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El día cinco de marzo de dos mil veintiséis, la Comisión Legislativa de Desarrollo Económico, Industrial, Comercial y Minero, dictaminó la propuesta legislativa. </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sz w:val="24"/>
          <w:szCs w:val="24"/>
        </w:rPr>
        <w:t xml:space="preserve">3.- </w:t>
      </w:r>
      <w:r w:rsidRPr="00E90593">
        <w:rPr>
          <w:rFonts w:ascii="Times New Roman" w:eastAsia="Calibri" w:hAnsi="Times New Roman" w:cs="Times New Roman"/>
          <w:sz w:val="24"/>
          <w:szCs w:val="24"/>
        </w:rPr>
        <w:t xml:space="preserve">Con base en el estudio realizado y con aportaciones de integrantes de los distintos Grupos Parlamentarios fortalecimos el Proyecto de Decreto y, por lo tanto, estimamos procedente reformar </w:t>
      </w:r>
      <w:r w:rsidRPr="00E90593">
        <w:rPr>
          <w:rFonts w:ascii="Times New Roman" w:eastAsia="Calibri" w:hAnsi="Times New Roman" w:cs="Times New Roman"/>
          <w:sz w:val="24"/>
          <w:szCs w:val="24"/>
        </w:rPr>
        <w:lastRenderedPageBreak/>
        <w:t>la fracción VI del artículo 11 Quater y adicionar la fracción XIV Bis al artículo 5 de la Ley de Gobierno Digital del Estado de México y Municipios</w:t>
      </w:r>
      <w:r w:rsidRPr="00E90593">
        <w:rPr>
          <w:rFonts w:ascii="Times New Roman" w:eastAsia="Calibri" w:hAnsi="Times New Roman" w:cs="Times New Roman"/>
          <w:bCs/>
          <w:sz w:val="24"/>
          <w:szCs w:val="24"/>
        </w:rPr>
        <w:t>.</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De conformidad con el Proyecto de Decreto es correcto precisar que se entenderá por </w:t>
      </w:r>
      <w:r w:rsidRPr="00E90593">
        <w:rPr>
          <w:rFonts w:ascii="Times New Roman" w:eastAsia="Calibri" w:hAnsi="Times New Roman" w:cs="Times New Roman"/>
          <w:bCs/>
          <w:sz w:val="24"/>
          <w:szCs w:val="24"/>
        </w:rPr>
        <w:t xml:space="preserve">Inteligencia Artificial: a la capacidad de un sistema informático de imitar procesos cognitivos humanos, como el aprendizaje, la resolución de problemas y la toma de decisiones.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Cs/>
          <w:sz w:val="24"/>
          <w:szCs w:val="24"/>
        </w:rPr>
        <w:t xml:space="preserve">Asimismo, estimamos pertinente fortalecer las atribuciones de la Agencia Digital, estableciendo la de </w:t>
      </w:r>
      <w:r w:rsidRPr="00E90593">
        <w:rPr>
          <w:rFonts w:ascii="Times New Roman" w:eastAsia="Calibri" w:hAnsi="Times New Roman" w:cs="Times New Roman"/>
          <w:sz w:val="24"/>
          <w:szCs w:val="24"/>
        </w:rPr>
        <w:t xml:space="preserve">desarrollar, operar e impulsar los sistemas automatizados y la automatización de los procesos de trabajo de la Administración Pública Estatal, mediante la aplicación adecuada y estandarizada de las tecnologías de la información, comunicación </w:t>
      </w:r>
      <w:r w:rsidRPr="00E90593">
        <w:rPr>
          <w:rFonts w:ascii="Times New Roman" w:eastAsia="Calibri" w:hAnsi="Times New Roman" w:cs="Times New Roman"/>
          <w:bCs/>
          <w:sz w:val="24"/>
          <w:szCs w:val="24"/>
        </w:rPr>
        <w:t>y, en su caso, de inteligencia artificial.</w:t>
      </w:r>
    </w:p>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p>
    <w:p w:rsidR="00E90593" w:rsidRPr="00E90593" w:rsidRDefault="00E90593" w:rsidP="00FE1BB1">
      <w:pPr>
        <w:spacing w:after="0" w:line="240" w:lineRule="auto"/>
        <w:contextualSpacing/>
        <w:jc w:val="both"/>
        <w:rPr>
          <w:rFonts w:ascii="Times New Roman" w:eastAsia="Calibri" w:hAnsi="Times New Roman" w:cs="Times New Roman"/>
          <w:b/>
          <w:sz w:val="24"/>
          <w:szCs w:val="24"/>
          <w:lang w:val="es-ES"/>
        </w:rPr>
      </w:pPr>
      <w:r w:rsidRPr="00E90593">
        <w:rPr>
          <w:rFonts w:ascii="Times New Roman" w:eastAsia="Calibri" w:hAnsi="Times New Roman" w:cs="Times New Roman"/>
          <w:b/>
          <w:sz w:val="24"/>
          <w:szCs w:val="24"/>
          <w:lang w:val="es-ES"/>
        </w:rPr>
        <w:t>CONSIDERACIONES.</w:t>
      </w:r>
    </w:p>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Es competente la “LXII” Legislatura conocer y resolver la iniciativa de Decreto, de conformidad con lo establecido en el artículo 61 fracción I de la Constitución Política del Estado Libre y Soberano de México, que la faculta a</w:t>
      </w:r>
      <w:r w:rsidRPr="00E90593">
        <w:rPr>
          <w:rFonts w:ascii="Times New Roman" w:eastAsia="Times New Roman" w:hAnsi="Times New Roman" w:cs="Times New Roman"/>
          <w:sz w:val="24"/>
          <w:szCs w:val="24"/>
          <w:lang w:val="es-ES" w:eastAsia="es-ES"/>
        </w:rPr>
        <w:t xml:space="preserve"> </w:t>
      </w:r>
      <w:r w:rsidRPr="00E90593">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
          <w:sz w:val="24"/>
          <w:szCs w:val="24"/>
        </w:rPr>
      </w:pPr>
      <w:r w:rsidRPr="00E90593">
        <w:rPr>
          <w:rFonts w:ascii="Times New Roman" w:eastAsia="Calibri" w:hAnsi="Times New Roman" w:cs="Times New Roman"/>
          <w:b/>
          <w:sz w:val="24"/>
          <w:szCs w:val="24"/>
        </w:rPr>
        <w:t>ANÁLISIS Y VALORACIÓN DE LOS ARGUMENTOS.</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 xml:space="preserve">Estamos de acuerdo en que hoy en día, en el mundo, la tecnología hace que la vida en sociedad fluya con mayor rapidez: acerca a las personas, posibilita el teletrabajo desde cualquier parte del orbe, permite el envío de grandes volúmenes de información en fracciones en segundos, contribuye a llevar educación a lugares lejanos, ayuda a realizar pagos electrónicos y a recibir recursos económicos en todo momento, contribuye en temas de seguridad pública, el cuidado de la salud, el transporte, la movilidad, entre otros muchos beneficios, como lo afirma la iniciativa.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 xml:space="preserve">Resaltamos, también que, el internet y la tecnología nos hace la vida en sociedad más sencilla, más rápida, nos permite destinar tiempo que otrora se ocupaba en procesos y gestiones varias, en tiempo familiar, de esparcimiento o de mayor efectividad en el trabajo.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 xml:space="preserve">Advertimos que la iniciativa contiene importantes datos sobre la Disponibilidad y Uso de Tecnologías de la Información en los Hogares (ENDUTIH), elaborada y difundida por el Instituto Nacional de Estadística y Geografía (INEGI).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 xml:space="preserve">Apreciamos que la iniciativa se apega al Plan de Desarrollo del Estado de México que tiene entre otras aspiraciones, la de garantizar que todos los ciudadanos tengan acceso a los servicios y trámites digitales, lo que, en un contexto mundial y nacional ─cada vez más digitalizado─, hace necesario echar a andar modelos y procesos innovadores que permitan el acceso a los trámites y servicios que ofrece el Gobierno del Estado y los Municipios, diversificando su tipo y haciéndolos más eficientes.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 xml:space="preserve">Es correcta la afirmación de que, el Código Administrativo del Estado de México y la Ley para la Mejora Regulatoria del Estado de México y sus Municipios impulsan el desarrollo de servicios digitales en la administración pública, al ser normas que privilegian el uso de tecnologías de la información, para transitar de gobiernos burocratizados, de gestiones presenciales y basadas en formatos físicos, a un gobierno digital que emplee instrumentos digitales como el Expediente para Trámites y Servicios y el Carnet Jurídico, la Clave Única de Trámites y Servicios (CUTS), el </w:t>
      </w:r>
      <w:r w:rsidRPr="00E90593">
        <w:rPr>
          <w:rFonts w:ascii="Times New Roman" w:eastAsia="Calibri" w:hAnsi="Times New Roman" w:cs="Times New Roman"/>
          <w:bCs/>
          <w:sz w:val="24"/>
          <w:szCs w:val="24"/>
        </w:rPr>
        <w:lastRenderedPageBreak/>
        <w:t xml:space="preserve">Registro Único de Personas Acreditadas en el Estado de México (RUPAEMEX) y el Sistema Electrónico de Información, Trámites y Servicios del Estado de México (SEITS).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 xml:space="preserve">De igual forma, lo comentado, en el sentido de que a la par, la recién entrada en vigor de la Agencia Digital del Estado de México, alentó la gestión digital y de datos, ya que, como entidad dependiente directamente de la Titular del Ejecutivo, tiene por objeto diseñar, coordinar, controlar, supervisar y evaluar los programas, procesos y atribuciones relativos a la aplicación de las tecnologías de la información y comunicación, gobernanza tecnológica, digital y de la conectividad en la entidad, observando las políticas, agenda digital, estándares, criterios, lineamientos, normas, procedimientos, instrumentos y plataforma que señale el Consejo Estatal de Gobierno Digital.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 xml:space="preserve">Por ello, es pertinente, para contribuir a que en nuestra entidad federativa tenga verificativo una mayor y más eficiente digitalización de trámites gubernamentales, se propone incluir el concepto de “inteligencia artificial” en el marco jurídico local, a fin de que la Agencia Digital del Estado de México y los sujetos obligados de esta ley, cuenten con una definición que contemple a “la capacidad de un sistema informático de imitar funciones cognitivas humanas, como el aprendizaje y la solución de problemas” y que esta sea regulada por la propia Agencia, previa autorización del referido Consejo, precisando que a nivel internacional existe ya un campo amplio de aplicación de inteligencia artificial el sector de la salud, el empresarial, turismo, servicios financieros, el entretenimiento y la medicina son solo unas de las tantas materias en las que la humanidad emplea estas herramientas.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Cabe destacar, lo expresado en la iniciativa en cuanto que en México no hay, aún, un plan estratégico o un marco jurídico emitido por el Congreso de la Unión o entidad estatal que regule el tema de la inteligencia artificial, aunque, de facto, el sector privado haga uso de él e, incluso, el sector público y que de acuerdo con el Centro de Investigación y Docencia Económicas (CIDE), en su sitio web “Algoritmos CIDE”, que realiza investigación y vinculación sobre el estado del arte de la inteligencia artificial en el sector público mexicano, existe registro de, al menos, las aplicaciones siguientes: “Locatel *0311 clasificación de reportes”, “Retina IA Jalisco” y “</w:t>
      </w:r>
      <w:r w:rsidRPr="00E90593">
        <w:rPr>
          <w:rFonts w:ascii="Times New Roman" w:eastAsia="Calibri" w:hAnsi="Times New Roman" w:cs="Times New Roman"/>
          <w:bCs/>
          <w:i/>
          <w:iCs/>
          <w:sz w:val="24"/>
          <w:szCs w:val="24"/>
        </w:rPr>
        <w:t>Olivia For Her</w:t>
      </w:r>
      <w:r w:rsidRPr="00E90593">
        <w:rPr>
          <w:rFonts w:ascii="Times New Roman" w:eastAsia="Calibri" w:hAnsi="Times New Roman" w:cs="Times New Roman"/>
          <w:bCs/>
          <w:sz w:val="24"/>
          <w:szCs w:val="24"/>
        </w:rPr>
        <w:t>”.</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Compartimos la sugerencia de los expertos, vertidas en diversos documentos sobre la necesidad de establecer una estrategia nacional de inteligencia artificial en México, así como también promover los entornos controlados (</w:t>
      </w:r>
      <w:r w:rsidRPr="00E90593">
        <w:rPr>
          <w:rFonts w:ascii="Times New Roman" w:eastAsia="Calibri" w:hAnsi="Times New Roman" w:cs="Times New Roman"/>
          <w:bCs/>
          <w:i/>
          <w:iCs/>
          <w:sz w:val="24"/>
          <w:szCs w:val="24"/>
        </w:rPr>
        <w:t>Sandbox</w:t>
      </w:r>
      <w:r w:rsidRPr="00E90593">
        <w:rPr>
          <w:rFonts w:ascii="Times New Roman" w:eastAsia="Calibri" w:hAnsi="Times New Roman" w:cs="Times New Roman"/>
          <w:bCs/>
          <w:sz w:val="24"/>
          <w:szCs w:val="24"/>
        </w:rPr>
        <w:t>) y metodologías flexibles en la aplicación de inteligencia artificial a diferentes políticas y sectores como transferencia de datos, identidad y protección de datos personales, telecomunicaciones, competencia económica, entre otros.</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En este contexto, es oportuna la propuesta de la Agencia Digital del Estado de México, desarrollar, operar e impulsar los sistemas automatizados y la automatización de los procesos de trabajo de la Administración Pública Estatal, mediante la aplicación adecuada y estandarizada de las tecnologías de la información, comunicación y, en su caso, de inteligencia artificial.</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Es adecuada la percepción de que de ser aprobada por el Pleno de la “LXII” Legislatura, la propuesta legislativa colocaría a nuestro Estado como pionero en reconocer a la inteligencia artificial en una norma y, también, en regular su uso para la administración pública, sin menoscabo de que, en el corto plazo, el gobierno federal emita una estrategia para atender este tema y de que el Senado de la República formule legislación nacional sobre el rubro, ya que recientemente (septiembre de 2024) creó la Comisión Ordinaria de Análisis, Seguimiento y Evaluación sobre la Aplicación y Desarrollo de la Inteligencia Artificial en México.</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
          <w:sz w:val="24"/>
          <w:szCs w:val="24"/>
        </w:rPr>
      </w:pPr>
      <w:r w:rsidRPr="00E90593">
        <w:rPr>
          <w:rFonts w:ascii="Times New Roman" w:eastAsia="Calibri" w:hAnsi="Times New Roman" w:cs="Times New Roman"/>
          <w:b/>
          <w:sz w:val="24"/>
          <w:szCs w:val="24"/>
        </w:rPr>
        <w:t>ANÁLISIS Y ESTUDIO TÉCNICO DEL TEXTO NORMATIVO.</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En atención al estudio que llevamos a cabo, conformamos, con la participación de integrantes de los distintos Grupos Parlamentarios, un Proyecto de Decreto y, en consecuencia, es procedente reformar la fracción VI del artículo 11 Quater y adicionar la fracción XIV Bis al artículo 5 de la Ley de Gobierno Digital del Estado de México y Municipios.</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En cuanto la fracción XIV Bis del artículo 5 es adecuado que se entienda por </w:t>
      </w:r>
      <w:r w:rsidRPr="00E90593">
        <w:rPr>
          <w:rFonts w:ascii="Times New Roman" w:eastAsia="Calibri" w:hAnsi="Times New Roman" w:cs="Times New Roman"/>
          <w:b/>
          <w:bCs/>
          <w:sz w:val="24"/>
          <w:szCs w:val="24"/>
        </w:rPr>
        <w:t xml:space="preserve">Inteligencia Artificial: a la capacidad de un sistema informático de imitar procesos cognitivos humanos, como el aprendizaje, la resolución de problemas y la toma de decisiones. </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Cs/>
          <w:sz w:val="24"/>
          <w:szCs w:val="24"/>
        </w:rPr>
        <w:t xml:space="preserve">De igual forma, en la fracción VI del artículo 11 Quater, sobre las atribuciones de la Agencia Digital, que se disponga la de </w:t>
      </w:r>
      <w:r w:rsidRPr="00E90593">
        <w:rPr>
          <w:rFonts w:ascii="Times New Roman" w:eastAsia="Calibri" w:hAnsi="Times New Roman" w:cs="Times New Roman"/>
          <w:sz w:val="24"/>
          <w:szCs w:val="24"/>
        </w:rPr>
        <w:t xml:space="preserve">Desarrollar, operar e impulsar los sistemas automatizados y la automatización de los procesos de trabajo de la Administración Pública Estatal, mediante la aplicación adecuada y estandarizada de las tecnologías de la información, comunicación </w:t>
      </w:r>
      <w:r w:rsidRPr="00E90593">
        <w:rPr>
          <w:rFonts w:ascii="Times New Roman" w:eastAsia="Calibri" w:hAnsi="Times New Roman" w:cs="Times New Roman"/>
          <w:b/>
          <w:bCs/>
          <w:sz w:val="24"/>
          <w:szCs w:val="24"/>
        </w:rPr>
        <w:t>y, en su caso, de inteligencia artificial.</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Cs/>
          <w:sz w:val="24"/>
          <w:szCs w:val="24"/>
        </w:rPr>
        <w:t>En atención a lo expuesto</w:t>
      </w:r>
      <w:r w:rsidRPr="00E90593">
        <w:rPr>
          <w:rFonts w:ascii="Times New Roman" w:eastAsia="Calibri" w:hAnsi="Times New Roman" w:cs="Times New Roman"/>
          <w:sz w:val="24"/>
          <w:szCs w:val="24"/>
        </w:rPr>
        <w:t xml:space="preserve">, valorados los argumentos, agotado el estudio técnico del Proyecto de Decreto, acreditado </w:t>
      </w:r>
      <w:r w:rsidRPr="00E90593">
        <w:rPr>
          <w:rFonts w:ascii="Times New Roman" w:eastAsia="Arial" w:hAnsi="Times New Roman" w:cs="Times New Roman"/>
          <w:iCs/>
          <w:sz w:val="24"/>
          <w:szCs w:val="24"/>
        </w:rPr>
        <w:t>el beneficio social de la Iniciativa de Decreto, y satisfechos los r</w:t>
      </w:r>
      <w:r w:rsidRPr="00E90593">
        <w:rPr>
          <w:rFonts w:ascii="Times New Roman" w:eastAsia="Calibri" w:hAnsi="Times New Roman" w:cs="Times New Roman"/>
          <w:sz w:val="24"/>
          <w:szCs w:val="24"/>
        </w:rPr>
        <w:t xml:space="preserve">equisitos de fondo y forma, nos permitimos concluir con los siguientes: </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center"/>
        <w:rPr>
          <w:rFonts w:ascii="Times New Roman" w:eastAsia="Calibri" w:hAnsi="Times New Roman" w:cs="Times New Roman"/>
          <w:b/>
          <w:sz w:val="24"/>
          <w:szCs w:val="24"/>
          <w:lang w:val="es-ES"/>
        </w:rPr>
      </w:pPr>
      <w:r w:rsidRPr="00E90593">
        <w:rPr>
          <w:rFonts w:ascii="Times New Roman" w:eastAsia="Calibri" w:hAnsi="Times New Roman" w:cs="Times New Roman"/>
          <w:b/>
          <w:sz w:val="24"/>
          <w:szCs w:val="24"/>
          <w:lang w:val="es-ES"/>
        </w:rPr>
        <w:t>RESOLUTIVOS</w:t>
      </w:r>
    </w:p>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lang w:val="es-ES"/>
        </w:rPr>
      </w:pPr>
      <w:r w:rsidRPr="00E90593">
        <w:rPr>
          <w:rFonts w:ascii="Times New Roman" w:eastAsia="Calibri" w:hAnsi="Times New Roman" w:cs="Times New Roman"/>
          <w:b/>
          <w:sz w:val="24"/>
          <w:szCs w:val="24"/>
        </w:rPr>
        <w:t>PRIMERO.-</w:t>
      </w:r>
      <w:r w:rsidRPr="00E90593">
        <w:rPr>
          <w:rFonts w:ascii="Times New Roman" w:eastAsia="Calibri" w:hAnsi="Times New Roman" w:cs="Times New Roman"/>
          <w:sz w:val="24"/>
          <w:szCs w:val="24"/>
        </w:rPr>
        <w:t xml:space="preserve"> Es de aprobarse, en lo conducente, conforme al Proyecto de Decreto que ha sido integrado, la </w:t>
      </w:r>
      <w:r w:rsidRPr="00E90593">
        <w:rPr>
          <w:rFonts w:ascii="Times New Roman" w:eastAsia="Calibri" w:hAnsi="Times New Roman" w:cs="Times New Roman"/>
          <w:sz w:val="24"/>
          <w:szCs w:val="24"/>
          <w:lang w:val="es-ES"/>
        </w:rPr>
        <w:t>Iniciativa con Proyecto de Decreto por la que se reforman y adicionan diversas disposiciones de la Ley de Gobierno Digital del Estado de México y Municipios y de la Ley para la Mejora Regulatoria del Estado de México y sus Municipios, presentada por el Diputado Edgar Samuel Ríos Moreno, en nombre del Grupo Parlamentario del Partido morena.</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lang w:val="es-ES"/>
        </w:rPr>
      </w:pPr>
      <w:r w:rsidRPr="00E90593">
        <w:rPr>
          <w:rFonts w:ascii="Times New Roman" w:eastAsia="Calibri" w:hAnsi="Times New Roman" w:cs="Times New Roman"/>
          <w:b/>
          <w:bCs/>
          <w:sz w:val="24"/>
          <w:szCs w:val="24"/>
          <w:lang w:val="es-ES"/>
        </w:rPr>
        <w:t>SEGUNDO.-</w:t>
      </w:r>
      <w:r w:rsidRPr="00E90593">
        <w:rPr>
          <w:rFonts w:ascii="Times New Roman" w:eastAsia="Calibri" w:hAnsi="Times New Roman" w:cs="Times New Roman"/>
          <w:bCs/>
          <w:sz w:val="24"/>
          <w:szCs w:val="24"/>
          <w:lang w:val="es-ES"/>
        </w:rPr>
        <w:t xml:space="preserve"> </w:t>
      </w:r>
      <w:r w:rsidRPr="00E90593">
        <w:rPr>
          <w:rFonts w:ascii="Times New Roman" w:eastAsia="Calibri" w:hAnsi="Times New Roman" w:cs="Times New Roman"/>
          <w:sz w:val="24"/>
          <w:szCs w:val="24"/>
        </w:rPr>
        <w:t>Se adjunta el Proyecto de Decreto por el que se reforma la fracción VI del artículo 11 Quater y se adiciona la fracción XIV Bis al artículo 5 de la Ley de Gobierno Digital del Estado de México y Municipios.</w:t>
      </w:r>
    </w:p>
    <w:p w:rsidR="00E90593" w:rsidRPr="00E90593" w:rsidRDefault="00E90593" w:rsidP="00FE1BB1">
      <w:pPr>
        <w:spacing w:after="0" w:line="240" w:lineRule="auto"/>
        <w:contextualSpacing/>
        <w:jc w:val="both"/>
        <w:rPr>
          <w:rFonts w:ascii="Times New Roman" w:eastAsia="Calibri" w:hAnsi="Times New Roman" w:cs="Times New Roman"/>
          <w:bCs/>
          <w:sz w:val="24"/>
          <w:szCs w:val="24"/>
          <w:lang w:val="es-ES"/>
        </w:rPr>
      </w:pPr>
    </w:p>
    <w:p w:rsidR="00E90593" w:rsidRPr="00E90593" w:rsidRDefault="00E90593" w:rsidP="00FE1BB1">
      <w:pPr>
        <w:spacing w:after="0" w:line="240" w:lineRule="auto"/>
        <w:contextualSpacing/>
        <w:jc w:val="both"/>
        <w:rPr>
          <w:rFonts w:ascii="Times New Roman" w:eastAsia="Calibri" w:hAnsi="Times New Roman" w:cs="Times New Roman"/>
          <w:bCs/>
          <w:sz w:val="24"/>
          <w:szCs w:val="24"/>
          <w:lang w:val="es-ES"/>
        </w:rPr>
      </w:pPr>
      <w:r w:rsidRPr="00E90593">
        <w:rPr>
          <w:rFonts w:ascii="Times New Roman" w:eastAsia="Calibri" w:hAnsi="Times New Roman" w:cs="Times New Roman"/>
          <w:b/>
          <w:bCs/>
          <w:sz w:val="24"/>
          <w:szCs w:val="24"/>
          <w:lang w:val="es-ES"/>
        </w:rPr>
        <w:t>TERCERO.-</w:t>
      </w:r>
      <w:r w:rsidRPr="00E90593">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necesarios.</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Dado en el Palacio del Poder Legislativo, en la ciudad de Toluca de Lerdo, capital del Estado de México, a los cinco días del mes de marzo de dos mil veintiséis.</w:t>
      </w:r>
    </w:p>
    <w:p w:rsidR="00E90593" w:rsidRPr="006A4BCA" w:rsidRDefault="00E90593" w:rsidP="00FE1BB1">
      <w:pPr>
        <w:spacing w:after="0" w:line="240" w:lineRule="auto"/>
        <w:contextualSpacing/>
        <w:jc w:val="center"/>
        <w:rPr>
          <w:rFonts w:ascii="Times New Roman" w:eastAsia="Calibri" w:hAnsi="Times New Roman" w:cs="Times New Roman"/>
          <w:sz w:val="24"/>
          <w:szCs w:val="24"/>
        </w:rPr>
      </w:pPr>
    </w:p>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LISTA DE VOTACIÓN</w:t>
      </w:r>
    </w:p>
    <w:p w:rsidR="00E90593" w:rsidRPr="00E90593" w:rsidRDefault="00E90593" w:rsidP="00FE1BB1">
      <w:pPr>
        <w:spacing w:after="0" w:line="240" w:lineRule="auto"/>
        <w:contextualSpacing/>
        <w:rPr>
          <w:rFonts w:ascii="Times New Roman" w:eastAsia="Calibri" w:hAnsi="Times New Roman" w:cs="Times New Roman"/>
          <w:b/>
          <w:sz w:val="24"/>
          <w:szCs w:val="24"/>
        </w:rPr>
      </w:pPr>
    </w:p>
    <w:p w:rsidR="00E90593" w:rsidRPr="00E90593" w:rsidRDefault="00E90593" w:rsidP="00FE1BB1">
      <w:pPr>
        <w:spacing w:after="0" w:line="240" w:lineRule="auto"/>
        <w:contextualSpacing/>
        <w:rPr>
          <w:rFonts w:ascii="Times New Roman" w:eastAsia="Calibri" w:hAnsi="Times New Roman" w:cs="Times New Roman"/>
          <w:sz w:val="24"/>
          <w:szCs w:val="24"/>
        </w:rPr>
      </w:pPr>
      <w:r w:rsidRPr="00E90593">
        <w:rPr>
          <w:rFonts w:ascii="Times New Roman" w:eastAsia="Calibri" w:hAnsi="Times New Roman" w:cs="Times New Roman"/>
          <w:b/>
          <w:sz w:val="24"/>
          <w:szCs w:val="24"/>
        </w:rPr>
        <w:t>FECHA:</w:t>
      </w:r>
      <w:r w:rsidRPr="00E90593">
        <w:rPr>
          <w:rFonts w:ascii="Times New Roman" w:eastAsia="Calibri" w:hAnsi="Times New Roman" w:cs="Times New Roman"/>
          <w:sz w:val="24"/>
          <w:szCs w:val="24"/>
        </w:rPr>
        <w:t xml:space="preserve"> 05/MARZO/2026.</w:t>
      </w:r>
    </w:p>
    <w:p w:rsidR="00E90593" w:rsidRPr="00E90593" w:rsidRDefault="00E90593" w:rsidP="00FE1BB1">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E90593">
        <w:rPr>
          <w:rFonts w:ascii="Times New Roman" w:eastAsia="Arial" w:hAnsi="Times New Roman" w:cs="Times New Roman"/>
          <w:b/>
          <w:bCs/>
          <w:sz w:val="24"/>
          <w:szCs w:val="24"/>
          <w:lang w:val="es-ES"/>
        </w:rPr>
        <w:t xml:space="preserve">ASUNTO: </w:t>
      </w:r>
      <w:r w:rsidRPr="00E90593">
        <w:rPr>
          <w:rFonts w:ascii="Times New Roman" w:eastAsia="Arial" w:hAnsi="Times New Roman" w:cs="Times New Roman"/>
          <w:bCs/>
          <w:sz w:val="24"/>
          <w:szCs w:val="24"/>
          <w:lang w:val="es-ES"/>
        </w:rPr>
        <w:t>DICTAMEN FORMULADO A LA INICIATIVA CON PROYECTO DE DECRETO POR LA QUE SE REFORMAN Y ADICIONAN DIVERSAS DISPOSICIONES DE LA LEY DE GOBIERNO DIGITAL DEL ESTADO DE MÉXICO Y MUNICIPIOS Y DE LA LEY PARA LA MEJORA REGULATORIA DEL ESTADO DE MÉXICO Y SUS MUNICIPIOS, PRESENTADA POR EL DIPUTADO EDGAR SAMUEL RÍOS MORENO, EN NOMBRE DEL GRUPO PARLAMENTARIO DEL PARTIDO MORENA.</w:t>
      </w:r>
    </w:p>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COMISIÓN LEGISLATIVA DE</w:t>
      </w:r>
    </w:p>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 xml:space="preserve">DESARROLLO ECONÓMICO, INDUSTRIAL, COMERCIAL Y MINERO </w:t>
      </w:r>
    </w:p>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2744"/>
        <w:gridCol w:w="2111"/>
        <w:gridCol w:w="1981"/>
      </w:tblGrid>
      <w:tr w:rsidR="00095DD7" w:rsidRPr="00E90593" w:rsidTr="00FE1BB1">
        <w:trPr>
          <w:trHeight w:val="20"/>
          <w:tblHeader/>
          <w:jc w:val="center"/>
        </w:trPr>
        <w:tc>
          <w:tcPr>
            <w:tcW w:w="2634" w:type="dxa"/>
            <w:vMerge w:val="restart"/>
            <w:shd w:val="clear" w:color="auto" w:fill="D9D9D9"/>
            <w:vAlign w:val="center"/>
          </w:tcPr>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DIPUTADA(O)</w:t>
            </w:r>
          </w:p>
        </w:tc>
        <w:tc>
          <w:tcPr>
            <w:tcW w:w="6836" w:type="dxa"/>
            <w:gridSpan w:val="3"/>
            <w:shd w:val="clear" w:color="auto" w:fill="D9D9D9"/>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FIRMA</w:t>
            </w:r>
          </w:p>
        </w:tc>
      </w:tr>
      <w:tr w:rsidR="00095DD7" w:rsidRPr="00E90593" w:rsidTr="00FE1BB1">
        <w:trPr>
          <w:trHeight w:val="20"/>
          <w:tblHeader/>
          <w:jc w:val="center"/>
        </w:trPr>
        <w:tc>
          <w:tcPr>
            <w:tcW w:w="2634" w:type="dxa"/>
            <w:vMerge/>
            <w:shd w:val="clear" w:color="auto" w:fill="D9D9D9"/>
          </w:tcPr>
          <w:p w:rsidR="00E90593" w:rsidRPr="00E90593" w:rsidRDefault="00E90593" w:rsidP="00FE1BB1">
            <w:pPr>
              <w:spacing w:after="0" w:line="240" w:lineRule="auto"/>
              <w:jc w:val="center"/>
              <w:rPr>
                <w:rFonts w:ascii="Times New Roman" w:eastAsia="Calibri" w:hAnsi="Times New Roman" w:cs="Times New Roman"/>
                <w:b/>
                <w:sz w:val="24"/>
                <w:szCs w:val="24"/>
              </w:rPr>
            </w:pPr>
          </w:p>
        </w:tc>
        <w:tc>
          <w:tcPr>
            <w:tcW w:w="2744" w:type="dxa"/>
            <w:shd w:val="clear" w:color="auto" w:fill="D9D9D9"/>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A FAVOR</w:t>
            </w:r>
          </w:p>
        </w:tc>
        <w:tc>
          <w:tcPr>
            <w:tcW w:w="2111" w:type="dxa"/>
            <w:shd w:val="clear" w:color="auto" w:fill="D9D9D9"/>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EN CONTRA</w:t>
            </w:r>
          </w:p>
        </w:tc>
        <w:tc>
          <w:tcPr>
            <w:tcW w:w="1980" w:type="dxa"/>
            <w:shd w:val="clear" w:color="auto" w:fill="D9D9D9"/>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ABSTENCIÓN</w:t>
            </w: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b/>
                <w:sz w:val="24"/>
                <w:szCs w:val="24"/>
              </w:rPr>
              <w:t>Presidente</w:t>
            </w:r>
          </w:p>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Dip. Alejandro </w:t>
            </w: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sz w:val="24"/>
                <w:szCs w:val="24"/>
              </w:rPr>
              <w:t>Castro Hernández</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b/>
                <w:sz w:val="24"/>
                <w:szCs w:val="24"/>
              </w:rPr>
              <w:t>Secretaria</w:t>
            </w:r>
          </w:p>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Dip. María José </w:t>
            </w: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sz w:val="24"/>
                <w:szCs w:val="24"/>
              </w:rPr>
              <w:t>Pérez Domínguez</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lang w:eastAsia="es-MX"/>
              </w:rPr>
            </w:pPr>
            <w:r w:rsidRPr="00E90593">
              <w:rPr>
                <w:rFonts w:ascii="Times New Roman" w:eastAsia="Calibri" w:hAnsi="Times New Roman" w:cs="Times New Roman"/>
                <w:b/>
                <w:sz w:val="24"/>
                <w:szCs w:val="24"/>
              </w:rPr>
              <w:t>Prosecretaria</w:t>
            </w: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sz w:val="24"/>
                <w:szCs w:val="24"/>
              </w:rPr>
              <w:t>Dip. Sara Alicia Ramírez de la O</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bCs/>
                <w:sz w:val="24"/>
                <w:szCs w:val="24"/>
              </w:rPr>
            </w:pPr>
            <w:r w:rsidRPr="00E90593">
              <w:rPr>
                <w:rFonts w:ascii="Times New Roman" w:eastAsia="Calibri" w:hAnsi="Times New Roman" w:cs="Times New Roman"/>
                <w:bCs/>
                <w:sz w:val="24"/>
                <w:szCs w:val="24"/>
              </w:rPr>
              <w:t xml:space="preserve">Dip. Octavio </w:t>
            </w: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Cs/>
                <w:sz w:val="24"/>
                <w:szCs w:val="24"/>
              </w:rPr>
              <w:t>Martínez Vargas</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Dip. Susana </w:t>
            </w:r>
          </w:p>
          <w:p w:rsidR="00E90593" w:rsidRPr="00E90593" w:rsidRDefault="00E90593" w:rsidP="00FE1BB1">
            <w:pPr>
              <w:spacing w:after="0" w:line="240" w:lineRule="auto"/>
              <w:jc w:val="center"/>
              <w:rPr>
                <w:rFonts w:ascii="Times New Roman" w:eastAsia="Calibri" w:hAnsi="Times New Roman" w:cs="Times New Roman"/>
                <w:sz w:val="24"/>
                <w:szCs w:val="24"/>
                <w:lang w:val="es-ES_tradnl"/>
              </w:rPr>
            </w:pPr>
            <w:r w:rsidRPr="00E90593">
              <w:rPr>
                <w:rFonts w:ascii="Times New Roman" w:eastAsia="Calibri" w:hAnsi="Times New Roman" w:cs="Times New Roman"/>
                <w:sz w:val="24"/>
                <w:szCs w:val="24"/>
              </w:rPr>
              <w:t>Estrada Rojas</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Dip. Selina </w:t>
            </w:r>
          </w:p>
          <w:p w:rsidR="00E90593" w:rsidRPr="00E90593" w:rsidRDefault="00E90593" w:rsidP="00FE1BB1">
            <w:pPr>
              <w:spacing w:after="0" w:line="240" w:lineRule="auto"/>
              <w:jc w:val="center"/>
              <w:rPr>
                <w:rFonts w:ascii="Times New Roman" w:eastAsia="Calibri" w:hAnsi="Times New Roman" w:cs="Times New Roman"/>
                <w:sz w:val="24"/>
                <w:szCs w:val="24"/>
                <w:lang w:val="es-ES_tradnl"/>
              </w:rPr>
            </w:pPr>
            <w:r w:rsidRPr="00E90593">
              <w:rPr>
                <w:rFonts w:ascii="Times New Roman" w:eastAsia="Calibri" w:hAnsi="Times New Roman" w:cs="Times New Roman"/>
                <w:sz w:val="24"/>
                <w:szCs w:val="24"/>
              </w:rPr>
              <w:t>Trujillo Arizmendi</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lang w:val="es-ES_tradnl"/>
              </w:rPr>
            </w:pPr>
            <w:r w:rsidRPr="00E90593">
              <w:rPr>
                <w:rFonts w:ascii="Times New Roman" w:eastAsia="Calibri" w:hAnsi="Times New Roman" w:cs="Times New Roman"/>
                <w:sz w:val="24"/>
                <w:szCs w:val="24"/>
              </w:rPr>
              <w:t>Dip. María del Carmen de la Rosa Mendoza</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Dip. Rigoberto </w:t>
            </w:r>
          </w:p>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Vargas Cervantes</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lang w:val="es-ES_tradnl"/>
              </w:rPr>
            </w:pPr>
            <w:r w:rsidRPr="00E90593">
              <w:rPr>
                <w:rFonts w:ascii="Times New Roman" w:eastAsia="Calibri" w:hAnsi="Times New Roman" w:cs="Times New Roman"/>
                <w:sz w:val="24"/>
                <w:szCs w:val="24"/>
              </w:rPr>
              <w:t xml:space="preserve">Dip. Krishna Karina Romero Velázquez </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Dip. Ruth </w:t>
            </w:r>
          </w:p>
          <w:p w:rsidR="00E90593" w:rsidRPr="00E90593" w:rsidRDefault="00E90593" w:rsidP="00FE1BB1">
            <w:pPr>
              <w:spacing w:after="0" w:line="240" w:lineRule="auto"/>
              <w:jc w:val="center"/>
              <w:rPr>
                <w:rFonts w:ascii="Times New Roman" w:eastAsia="Calibri" w:hAnsi="Times New Roman" w:cs="Times New Roman"/>
                <w:sz w:val="24"/>
                <w:szCs w:val="24"/>
                <w:lang w:val="es-ES_tradnl"/>
              </w:rPr>
            </w:pPr>
            <w:r w:rsidRPr="00E90593">
              <w:rPr>
                <w:rFonts w:ascii="Times New Roman" w:eastAsia="Calibri" w:hAnsi="Times New Roman" w:cs="Times New Roman"/>
                <w:sz w:val="24"/>
                <w:szCs w:val="24"/>
              </w:rPr>
              <w:t>Salinas Reyes</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r w:rsidR="00095DD7" w:rsidRPr="00E90593" w:rsidTr="00FE1BB1">
        <w:trPr>
          <w:trHeight w:val="20"/>
          <w:jc w:val="center"/>
        </w:trPr>
        <w:tc>
          <w:tcPr>
            <w:tcW w:w="2634" w:type="dxa"/>
            <w:shd w:val="clear" w:color="auto" w:fill="auto"/>
            <w:vAlign w:val="center"/>
          </w:tcPr>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Dip. Omar </w:t>
            </w:r>
          </w:p>
          <w:p w:rsidR="00E90593" w:rsidRPr="00E90593" w:rsidRDefault="00E90593" w:rsidP="00FE1BB1">
            <w:pPr>
              <w:spacing w:after="0" w:line="240" w:lineRule="auto"/>
              <w:jc w:val="center"/>
              <w:rPr>
                <w:rFonts w:ascii="Times New Roman" w:eastAsia="Calibri" w:hAnsi="Times New Roman" w:cs="Times New Roman"/>
                <w:sz w:val="24"/>
                <w:szCs w:val="24"/>
              </w:rPr>
            </w:pPr>
            <w:r w:rsidRPr="00E90593">
              <w:rPr>
                <w:rFonts w:ascii="Times New Roman" w:eastAsia="Calibri" w:hAnsi="Times New Roman" w:cs="Times New Roman"/>
                <w:sz w:val="24"/>
                <w:szCs w:val="24"/>
              </w:rPr>
              <w:t>Ortega Álvarez</w:t>
            </w:r>
          </w:p>
        </w:tc>
        <w:tc>
          <w:tcPr>
            <w:tcW w:w="2744"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w:t>
            </w:r>
          </w:p>
        </w:tc>
        <w:tc>
          <w:tcPr>
            <w:tcW w:w="2111"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E90593" w:rsidRPr="00E90593" w:rsidRDefault="00E90593" w:rsidP="00FE1BB1">
            <w:pPr>
              <w:spacing w:after="0" w:line="240" w:lineRule="auto"/>
              <w:contextualSpacing/>
              <w:jc w:val="center"/>
              <w:rPr>
                <w:rFonts w:ascii="Times New Roman" w:eastAsia="Calibri" w:hAnsi="Times New Roman" w:cs="Times New Roman"/>
                <w:b/>
                <w:sz w:val="24"/>
                <w:szCs w:val="24"/>
              </w:rPr>
            </w:pPr>
          </w:p>
        </w:tc>
      </w:tr>
    </w:tbl>
    <w:p w:rsidR="00E90593" w:rsidRPr="006A4BCA" w:rsidRDefault="00E90593" w:rsidP="00FE1BB1">
      <w:pPr>
        <w:spacing w:after="0" w:line="240" w:lineRule="auto"/>
        <w:jc w:val="center"/>
        <w:rPr>
          <w:rFonts w:ascii="Times New Roman" w:hAnsi="Times New Roman" w:cs="Times New Roman"/>
          <w:sz w:val="24"/>
          <w:szCs w:val="24"/>
        </w:rPr>
      </w:pPr>
    </w:p>
    <w:p w:rsidR="00E90593" w:rsidRPr="006A4BCA" w:rsidRDefault="00E90593" w:rsidP="00FE1BB1">
      <w:pPr>
        <w:spacing w:after="0" w:line="240" w:lineRule="auto"/>
        <w:jc w:val="center"/>
        <w:rPr>
          <w:rFonts w:ascii="Times New Roman" w:hAnsi="Times New Roman" w:cs="Times New Roman"/>
          <w:sz w:val="24"/>
          <w:szCs w:val="24"/>
        </w:rPr>
      </w:pPr>
    </w:p>
    <w:p w:rsidR="00E90593" w:rsidRPr="00E90593" w:rsidRDefault="00E90593" w:rsidP="00FE1BB1">
      <w:pPr>
        <w:spacing w:after="0" w:line="240" w:lineRule="auto"/>
        <w:contextualSpacing/>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DECRETO NÚMERO </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LA H. “LXII” LEGISLATURA </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DEL ESTADO DE MÉXICO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r w:rsidRPr="00E90593">
        <w:rPr>
          <w:rFonts w:ascii="Times New Roman" w:eastAsia="Calibri" w:hAnsi="Times New Roman" w:cs="Times New Roman"/>
          <w:b/>
          <w:bCs/>
          <w:sz w:val="24"/>
          <w:szCs w:val="24"/>
        </w:rPr>
        <w:t>DECRETA:</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ÚNICO.- </w:t>
      </w:r>
      <w:r w:rsidRPr="00E90593">
        <w:rPr>
          <w:rFonts w:ascii="Times New Roman" w:eastAsia="Calibri" w:hAnsi="Times New Roman" w:cs="Times New Roman"/>
          <w:sz w:val="24"/>
          <w:szCs w:val="24"/>
        </w:rPr>
        <w:t xml:space="preserve">Se reforma la fracción VI del artículo 11 Quater y se adiciona la fracción XIV Bis al artículo 5 de la Ley de Gobierno Digital del Estado de México y Municipios, para quedar como sigue: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Artículo 5. </w:t>
      </w:r>
      <w:r w:rsidRPr="00E90593">
        <w:rPr>
          <w:rFonts w:ascii="Times New Roman" w:eastAsia="Calibri" w:hAnsi="Times New Roman" w:cs="Times New Roman"/>
          <w:bCs/>
          <w:sz w:val="24"/>
          <w:szCs w:val="24"/>
        </w:rPr>
        <w:t>…</w:t>
      </w:r>
      <w:r w:rsidRPr="00E90593">
        <w:rPr>
          <w:rFonts w:ascii="Times New Roman" w:eastAsia="Calibri" w:hAnsi="Times New Roman" w:cs="Times New Roman"/>
          <w:b/>
          <w:bCs/>
          <w:sz w:val="24"/>
          <w:szCs w:val="24"/>
        </w:rPr>
        <w:t xml:space="preserve">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I. </w:t>
      </w:r>
      <w:r w:rsidRPr="00E90593">
        <w:rPr>
          <w:rFonts w:ascii="Times New Roman" w:eastAsia="Calibri" w:hAnsi="Times New Roman" w:cs="Times New Roman"/>
          <w:bCs/>
          <w:sz w:val="24"/>
          <w:szCs w:val="24"/>
        </w:rPr>
        <w:t>a</w:t>
      </w:r>
      <w:r w:rsidRPr="00E90593">
        <w:rPr>
          <w:rFonts w:ascii="Times New Roman" w:eastAsia="Calibri" w:hAnsi="Times New Roman" w:cs="Times New Roman"/>
          <w:b/>
          <w:bCs/>
          <w:sz w:val="24"/>
          <w:szCs w:val="24"/>
        </w:rPr>
        <w:t xml:space="preserve"> XIV. </w:t>
      </w:r>
      <w:r w:rsidRPr="00E90593">
        <w:rPr>
          <w:rFonts w:ascii="Times New Roman" w:eastAsia="Calibri" w:hAnsi="Times New Roman" w:cs="Times New Roman"/>
          <w:bCs/>
          <w:sz w:val="24"/>
          <w:szCs w:val="24"/>
        </w:rPr>
        <w:t>…</w:t>
      </w:r>
      <w:r w:rsidRPr="00E90593">
        <w:rPr>
          <w:rFonts w:ascii="Times New Roman" w:eastAsia="Calibri" w:hAnsi="Times New Roman" w:cs="Times New Roman"/>
          <w:b/>
          <w:bCs/>
          <w:sz w:val="24"/>
          <w:szCs w:val="24"/>
        </w:rPr>
        <w:t xml:space="preserve">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XIV Bis. Inteligencia Artificial: a la capacidad de un sistema informático de imitar procesos cognitivos humanos, como el aprendizaje, la resolución de problemas y la toma de decisiones.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XV. </w:t>
      </w:r>
      <w:r w:rsidRPr="00E90593">
        <w:rPr>
          <w:rFonts w:ascii="Times New Roman" w:eastAsia="Calibri" w:hAnsi="Times New Roman" w:cs="Times New Roman"/>
          <w:bCs/>
          <w:sz w:val="24"/>
          <w:szCs w:val="24"/>
        </w:rPr>
        <w:t>a</w:t>
      </w:r>
      <w:r w:rsidRPr="00E90593">
        <w:rPr>
          <w:rFonts w:ascii="Times New Roman" w:eastAsia="Calibri" w:hAnsi="Times New Roman" w:cs="Times New Roman"/>
          <w:b/>
          <w:bCs/>
          <w:sz w:val="24"/>
          <w:szCs w:val="24"/>
        </w:rPr>
        <w:t xml:space="preserve"> XXXI. </w:t>
      </w:r>
      <w:r w:rsidRPr="00E90593">
        <w:rPr>
          <w:rFonts w:ascii="Times New Roman" w:eastAsia="Calibri" w:hAnsi="Times New Roman" w:cs="Times New Roman"/>
          <w:bCs/>
          <w:sz w:val="24"/>
          <w:szCs w:val="24"/>
        </w:rPr>
        <w:t>…</w:t>
      </w:r>
      <w:r w:rsidRPr="00E90593">
        <w:rPr>
          <w:rFonts w:ascii="Times New Roman" w:eastAsia="Calibri" w:hAnsi="Times New Roman" w:cs="Times New Roman"/>
          <w:b/>
          <w:bCs/>
          <w:sz w:val="24"/>
          <w:szCs w:val="24"/>
        </w:rPr>
        <w:t xml:space="preserve">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Artículo 11 Quater. </w:t>
      </w:r>
      <w:r w:rsidRPr="00E90593">
        <w:rPr>
          <w:rFonts w:ascii="Times New Roman" w:eastAsia="Calibri" w:hAnsi="Times New Roman" w:cs="Times New Roman"/>
          <w:bCs/>
          <w:sz w:val="24"/>
          <w:szCs w:val="24"/>
        </w:rPr>
        <w:t>…</w:t>
      </w:r>
      <w:r w:rsidRPr="00E90593">
        <w:rPr>
          <w:rFonts w:ascii="Times New Roman" w:eastAsia="Calibri" w:hAnsi="Times New Roman" w:cs="Times New Roman"/>
          <w:b/>
          <w:bCs/>
          <w:sz w:val="24"/>
          <w:szCs w:val="24"/>
        </w:rPr>
        <w:t xml:space="preserve">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I. </w:t>
      </w:r>
      <w:r w:rsidRPr="00E90593">
        <w:rPr>
          <w:rFonts w:ascii="Times New Roman" w:eastAsia="Calibri" w:hAnsi="Times New Roman" w:cs="Times New Roman"/>
          <w:bCs/>
          <w:sz w:val="24"/>
          <w:szCs w:val="24"/>
        </w:rPr>
        <w:t>a</w:t>
      </w:r>
      <w:r w:rsidRPr="00E90593">
        <w:rPr>
          <w:rFonts w:ascii="Times New Roman" w:eastAsia="Calibri" w:hAnsi="Times New Roman" w:cs="Times New Roman"/>
          <w:b/>
          <w:bCs/>
          <w:sz w:val="24"/>
          <w:szCs w:val="24"/>
        </w:rPr>
        <w:t xml:space="preserve"> V. </w:t>
      </w:r>
      <w:r w:rsidRPr="00E90593">
        <w:rPr>
          <w:rFonts w:ascii="Times New Roman" w:eastAsia="Calibri" w:hAnsi="Times New Roman" w:cs="Times New Roman"/>
          <w:bCs/>
          <w:sz w:val="24"/>
          <w:szCs w:val="24"/>
        </w:rPr>
        <w:t xml:space="preserve">…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VI. </w:t>
      </w:r>
      <w:r w:rsidRPr="00E90593">
        <w:rPr>
          <w:rFonts w:ascii="Times New Roman" w:eastAsia="Calibri" w:hAnsi="Times New Roman" w:cs="Times New Roman"/>
          <w:sz w:val="24"/>
          <w:szCs w:val="24"/>
        </w:rPr>
        <w:t xml:space="preserve">Desarrollar, operar e impulsar los sistemas automatizados y la automatización de los procesos de trabajo de la Administración Pública Estatal, mediante la aplicación adecuada y estandarizada de las tecnologías de la información, comunicación </w:t>
      </w:r>
      <w:r w:rsidRPr="00E90593">
        <w:rPr>
          <w:rFonts w:ascii="Times New Roman" w:eastAsia="Calibri" w:hAnsi="Times New Roman" w:cs="Times New Roman"/>
          <w:b/>
          <w:bCs/>
          <w:sz w:val="24"/>
          <w:szCs w:val="24"/>
        </w:rPr>
        <w:t xml:space="preserve">y, en su caso, de inteligencia artificial;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VII. </w:t>
      </w:r>
      <w:r w:rsidRPr="00E90593">
        <w:rPr>
          <w:rFonts w:ascii="Times New Roman" w:eastAsia="Calibri" w:hAnsi="Times New Roman" w:cs="Times New Roman"/>
          <w:bCs/>
          <w:sz w:val="24"/>
          <w:szCs w:val="24"/>
        </w:rPr>
        <w:t>a</w:t>
      </w:r>
      <w:r w:rsidRPr="00E90593">
        <w:rPr>
          <w:rFonts w:ascii="Times New Roman" w:eastAsia="Calibri" w:hAnsi="Times New Roman" w:cs="Times New Roman"/>
          <w:b/>
          <w:bCs/>
          <w:sz w:val="24"/>
          <w:szCs w:val="24"/>
        </w:rPr>
        <w:t xml:space="preserve"> XXXIX. </w:t>
      </w:r>
      <w:r w:rsidRPr="00E90593">
        <w:rPr>
          <w:rFonts w:ascii="Times New Roman" w:eastAsia="Calibri" w:hAnsi="Times New Roman" w:cs="Times New Roman"/>
          <w:bCs/>
          <w:sz w:val="24"/>
          <w:szCs w:val="24"/>
        </w:rPr>
        <w:t>…</w:t>
      </w:r>
      <w:r w:rsidRPr="00E90593">
        <w:rPr>
          <w:rFonts w:ascii="Times New Roman" w:eastAsia="Calibri" w:hAnsi="Times New Roman" w:cs="Times New Roman"/>
          <w:b/>
          <w:bCs/>
          <w:sz w:val="24"/>
          <w:szCs w:val="24"/>
        </w:rPr>
        <w:t xml:space="preserve"> </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center"/>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T R A N S I T O R I O S</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PRIMERO. </w:t>
      </w:r>
      <w:r w:rsidRPr="00E90593">
        <w:rPr>
          <w:rFonts w:ascii="Times New Roman" w:eastAsia="Calibri" w:hAnsi="Times New Roman" w:cs="Times New Roman"/>
          <w:sz w:val="24"/>
          <w:szCs w:val="24"/>
        </w:rPr>
        <w:t xml:space="preserve">Publíquese el presente Decreto en el Periódico Oficial “Gaceta del Gobierno”.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 xml:space="preserve">SEGUNDO. </w:t>
      </w:r>
      <w:r w:rsidRPr="00E90593">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E90593" w:rsidRPr="00E90593" w:rsidRDefault="00E90593" w:rsidP="00FE1BB1">
      <w:pPr>
        <w:spacing w:after="0" w:line="240" w:lineRule="auto"/>
        <w:contextualSpacing/>
        <w:jc w:val="both"/>
        <w:rPr>
          <w:rFonts w:ascii="Times New Roman" w:eastAsia="Calibri" w:hAnsi="Times New Roman" w:cs="Times New Roman"/>
          <w:b/>
          <w:bCs/>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b/>
          <w:bCs/>
          <w:sz w:val="24"/>
          <w:szCs w:val="24"/>
        </w:rPr>
        <w:t>TERCERO</w:t>
      </w:r>
      <w:r w:rsidRPr="00E90593">
        <w:rPr>
          <w:rFonts w:ascii="Times New Roman" w:eastAsia="Calibri" w:hAnsi="Times New Roman" w:cs="Times New Roman"/>
          <w:b/>
          <w:sz w:val="24"/>
          <w:szCs w:val="24"/>
        </w:rPr>
        <w:t>.</w:t>
      </w:r>
      <w:r w:rsidRPr="00E90593">
        <w:rPr>
          <w:rFonts w:ascii="Times New Roman" w:eastAsia="Calibri" w:hAnsi="Times New Roman" w:cs="Times New Roman"/>
          <w:sz w:val="24"/>
          <w:szCs w:val="24"/>
        </w:rPr>
        <w:t xml:space="preserve"> Se derogan las disposiciones jurídicas de igual o menor jerarquía que se opongan a lo previsto en el presente Decreto.</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Lo tendrá entendido la Gobernadora del Estado, haciendo que se publique y se cumpla.</w:t>
      </w: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p>
    <w:p w:rsidR="00E90593" w:rsidRPr="00E90593" w:rsidRDefault="00E90593" w:rsidP="00FE1BB1">
      <w:pPr>
        <w:spacing w:after="0" w:line="240" w:lineRule="auto"/>
        <w:contextualSpacing/>
        <w:jc w:val="both"/>
        <w:rPr>
          <w:rFonts w:ascii="Times New Roman" w:eastAsia="Calibri" w:hAnsi="Times New Roman" w:cs="Times New Roman"/>
          <w:sz w:val="24"/>
          <w:szCs w:val="24"/>
        </w:rPr>
      </w:pPr>
      <w:r w:rsidRPr="00E90593">
        <w:rPr>
          <w:rFonts w:ascii="Times New Roman" w:eastAsia="Calibri" w:hAnsi="Times New Roman" w:cs="Times New Roman"/>
          <w:sz w:val="24"/>
          <w:szCs w:val="24"/>
        </w:rPr>
        <w:t xml:space="preserve">Dado en el Palacio del Poder Legislativo, en la ciudad de Toluca de Lerdo, Capital del Estado de México, a los once días del mes de marzo del dos mil veintiséis. </w:t>
      </w:r>
    </w:p>
    <w:p w:rsidR="00E90593" w:rsidRPr="00E90593" w:rsidRDefault="00E90593" w:rsidP="00FE1BB1">
      <w:pPr>
        <w:spacing w:after="0" w:line="240" w:lineRule="auto"/>
        <w:jc w:val="center"/>
        <w:rPr>
          <w:rFonts w:ascii="Times New Roman" w:eastAsia="Calibri" w:hAnsi="Times New Roman" w:cs="Times New Roman"/>
          <w:b/>
          <w:sz w:val="24"/>
          <w:szCs w:val="24"/>
        </w:rPr>
      </w:pP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PRESIDENTA</w:t>
      </w: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DIP. MARTHA AZUCENA CAMACHO REYNOSO</w:t>
      </w:r>
    </w:p>
    <w:p w:rsidR="00E90593" w:rsidRPr="00E90593" w:rsidRDefault="00E90593" w:rsidP="00FE1BB1">
      <w:pPr>
        <w:spacing w:after="0" w:line="240" w:lineRule="auto"/>
        <w:jc w:val="center"/>
        <w:rPr>
          <w:rFonts w:ascii="Times New Roman" w:eastAsia="Calibri" w:hAnsi="Times New Roman" w:cs="Times New Roman"/>
          <w:b/>
          <w:sz w:val="24"/>
          <w:szCs w:val="24"/>
        </w:rPr>
      </w:pP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SECRETARIO</w:t>
      </w: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DIP. EDMUNDO LUIS VALDEÑA BASTIDA</w:t>
      </w:r>
    </w:p>
    <w:p w:rsidR="00E90593" w:rsidRPr="00E90593" w:rsidRDefault="00E90593" w:rsidP="00FE1BB1">
      <w:pPr>
        <w:spacing w:after="0" w:line="240" w:lineRule="auto"/>
        <w:jc w:val="center"/>
        <w:rPr>
          <w:rFonts w:ascii="Times New Roman" w:eastAsia="Calibri" w:hAnsi="Times New Roman" w:cs="Times New Roman"/>
          <w:b/>
          <w:sz w:val="24"/>
          <w:szCs w:val="24"/>
        </w:rPr>
      </w:pP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996"/>
        <w:gridCol w:w="4409"/>
      </w:tblGrid>
      <w:tr w:rsidR="00095DD7" w:rsidRPr="00E90593" w:rsidTr="00E90593">
        <w:tc>
          <w:tcPr>
            <w:tcW w:w="4996" w:type="dxa"/>
            <w:hideMark/>
          </w:tcPr>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DIP. KRISHNA KARINA</w:t>
            </w: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 xml:space="preserve"> ROMERO VELÁZQUEZ </w:t>
            </w:r>
          </w:p>
        </w:tc>
        <w:tc>
          <w:tcPr>
            <w:tcW w:w="4409" w:type="dxa"/>
            <w:hideMark/>
          </w:tcPr>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 xml:space="preserve">DIP. MARICELA </w:t>
            </w:r>
          </w:p>
          <w:p w:rsidR="00E90593" w:rsidRPr="00E90593" w:rsidRDefault="00E90593" w:rsidP="00FE1BB1">
            <w:pPr>
              <w:spacing w:after="0" w:line="240" w:lineRule="auto"/>
              <w:jc w:val="center"/>
              <w:rPr>
                <w:rFonts w:ascii="Times New Roman" w:eastAsia="Calibri" w:hAnsi="Times New Roman" w:cs="Times New Roman"/>
                <w:b/>
                <w:sz w:val="24"/>
                <w:szCs w:val="24"/>
              </w:rPr>
            </w:pPr>
            <w:r w:rsidRPr="00E90593">
              <w:rPr>
                <w:rFonts w:ascii="Times New Roman" w:eastAsia="Calibri" w:hAnsi="Times New Roman" w:cs="Times New Roman"/>
                <w:b/>
                <w:sz w:val="24"/>
                <w:szCs w:val="24"/>
              </w:rPr>
              <w:t xml:space="preserve">BELTRÁN SÁNCHEZ </w:t>
            </w:r>
          </w:p>
        </w:tc>
      </w:tr>
    </w:tbl>
    <w:p w:rsidR="00E90593" w:rsidRPr="006A4BCA" w:rsidRDefault="00E90593" w:rsidP="00FE1BB1">
      <w:pPr>
        <w:spacing w:after="0" w:line="240" w:lineRule="auto"/>
        <w:jc w:val="center"/>
        <w:rPr>
          <w:rFonts w:ascii="Times New Roman" w:hAnsi="Times New Roman" w:cs="Times New Roman"/>
          <w:sz w:val="24"/>
          <w:szCs w:val="24"/>
        </w:rPr>
      </w:pPr>
    </w:p>
    <w:p w:rsidR="006243F1" w:rsidRPr="006A4BCA" w:rsidRDefault="006243F1" w:rsidP="00FE1BB1">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(Fin del documento)</w:t>
      </w:r>
    </w:p>
    <w:p w:rsidR="006243F1" w:rsidRPr="006A4BCA" w:rsidRDefault="006243F1" w:rsidP="00FE1BB1">
      <w:pPr>
        <w:spacing w:after="0" w:line="240" w:lineRule="auto"/>
        <w:jc w:val="center"/>
        <w:rPr>
          <w:rFonts w:ascii="Times New Roman" w:hAnsi="Times New Roman" w:cs="Times New Roman"/>
          <w:sz w:val="24"/>
          <w:szCs w:val="24"/>
        </w:rPr>
      </w:pPr>
    </w:p>
    <w:p w:rsidR="00070162" w:rsidRPr="006A4BCA" w:rsidRDefault="00070162" w:rsidP="00FE1BB1">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Leído el dictamen con sus antecedentes, pido a quienes estén por su turno a discusión se sirvan levantar la mano.</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SECRETARIA DIP. MARICELA BELTRÁN SÁNCHEZ. La propuesta ha sido aprobada por unanimidad de votos.</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Abro la discusión en lo general y consulto a las diputadas y los diputados si desean hacer uso de la palabra.</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Para recabar la votación en lo general, pido a la Secretaría abra el sistema de votación hasta por dos minutos, si alguien desea separar algún artículo en lo particular sírvase mencionarlo.</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SECRETARIA DIP. MARICELA BELTRÁN SÁNCHEZ. Ábrase el sistema de votación hasta por dos minutos.</w:t>
      </w:r>
    </w:p>
    <w:p w:rsidR="00070162" w:rsidRPr="006A4BCA" w:rsidRDefault="00070162" w:rsidP="00C80DF4">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(Votación nominal)</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SECRETARIA DIP. MARICELA BELTRÁN SÁNCHEZ. ¿Alguien falta de emitir su voto?</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Presidenta el Dictamen y el Proyecto de Decreto ha</w:t>
      </w:r>
      <w:r w:rsidR="00BA5C23" w:rsidRPr="006A4BCA">
        <w:rPr>
          <w:rFonts w:ascii="Times New Roman" w:hAnsi="Times New Roman" w:cs="Times New Roman"/>
          <w:sz w:val="24"/>
          <w:szCs w:val="24"/>
        </w:rPr>
        <w:t>n</w:t>
      </w:r>
      <w:r w:rsidRPr="006A4BCA">
        <w:rPr>
          <w:rFonts w:ascii="Times New Roman" w:hAnsi="Times New Roman" w:cs="Times New Roman"/>
          <w:sz w:val="24"/>
          <w:szCs w:val="24"/>
        </w:rPr>
        <w:t xml:space="preserve"> sido aprobado</w:t>
      </w:r>
      <w:r w:rsidR="00BA5C23" w:rsidRPr="006A4BCA">
        <w:rPr>
          <w:rFonts w:ascii="Times New Roman" w:hAnsi="Times New Roman" w:cs="Times New Roman"/>
          <w:sz w:val="24"/>
          <w:szCs w:val="24"/>
        </w:rPr>
        <w:t>s</w:t>
      </w:r>
      <w:r w:rsidRPr="006A4BCA">
        <w:rPr>
          <w:rFonts w:ascii="Times New Roman" w:hAnsi="Times New Roman" w:cs="Times New Roman"/>
          <w:sz w:val="24"/>
          <w:szCs w:val="24"/>
        </w:rPr>
        <w:t xml:space="preserve"> en lo general, por unanimidad de votos.</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Secretaria.</w:t>
      </w:r>
    </w:p>
    <w:p w:rsidR="00070162"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tiene por aprobado en lo general el Dictamen y el Proyecto de Decreto, se declara también su aprobación en lo particular.</w:t>
      </w:r>
    </w:p>
    <w:p w:rsidR="004757FA" w:rsidRPr="006A4BCA" w:rsidRDefault="00070162"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el punto número 5, la diputada María José Pérez Domínguez, leerá la Iniciativa de Decreto por el que se autoriza al H. Ayuntamiento de Texcoco,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w:t>
      </w:r>
      <w:r w:rsidR="00BA5C23" w:rsidRPr="006A4BCA">
        <w:rPr>
          <w:rFonts w:ascii="Times New Roman" w:hAnsi="Times New Roman" w:cs="Times New Roman"/>
          <w:sz w:val="24"/>
          <w:szCs w:val="24"/>
        </w:rPr>
        <w:t>.</w:t>
      </w:r>
    </w:p>
    <w:p w:rsidR="00A61344" w:rsidRPr="006A4BCA" w:rsidRDefault="00093E8F"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MARÍA JOSÉ PÉREZ DOMÍNGUEZ. </w:t>
      </w:r>
      <w:r w:rsidR="00A61344" w:rsidRPr="006A4BCA">
        <w:rPr>
          <w:rFonts w:ascii="Times New Roman" w:hAnsi="Times New Roman" w:cs="Times New Roman"/>
          <w:sz w:val="24"/>
          <w:szCs w:val="24"/>
        </w:rPr>
        <w:t>Con su venia diputada President</w:t>
      </w:r>
      <w:r w:rsidR="00BA5C23" w:rsidRPr="006A4BCA">
        <w:rPr>
          <w:rFonts w:ascii="Times New Roman" w:hAnsi="Times New Roman" w:cs="Times New Roman"/>
          <w:sz w:val="24"/>
          <w:szCs w:val="24"/>
        </w:rPr>
        <w:t>a</w:t>
      </w:r>
      <w:r w:rsidR="00A61344" w:rsidRPr="006A4BCA">
        <w:rPr>
          <w:rFonts w:ascii="Times New Roman" w:hAnsi="Times New Roman" w:cs="Times New Roman"/>
          <w:sz w:val="24"/>
          <w:szCs w:val="24"/>
        </w:rPr>
        <w:t xml:space="preserve"> de la Mesa Directiva.</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Saludo con gusto a mis compañeras, compañeros diputadas, diputados y diputade y a todos los que nos siguen a través de los medios digitales.</w:t>
      </w:r>
    </w:p>
    <w:p w:rsidR="00A61344" w:rsidRPr="006A4BCA" w:rsidRDefault="00A61344" w:rsidP="003F55FD">
      <w:pPr>
        <w:pStyle w:val="Sinespaciado"/>
        <w:ind w:left="3545"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Toluca de Lerdo, México, a 9 de marzo de 2026. </w:t>
      </w:r>
    </w:p>
    <w:p w:rsidR="004F561B" w:rsidRPr="006A4BCA" w:rsidRDefault="00942260" w:rsidP="003F55FD">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DIPUTADA </w:t>
      </w:r>
    </w:p>
    <w:p w:rsidR="00A61344" w:rsidRPr="006A4BCA" w:rsidRDefault="00942260" w:rsidP="003F55FD">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MARTHA AZUCENA CAMACHO REYNOSO</w:t>
      </w:r>
    </w:p>
    <w:p w:rsidR="004F561B" w:rsidRPr="006A4BCA" w:rsidRDefault="00942260" w:rsidP="003F55FD">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DE LA HONORABLE LXII LEGISLATURA</w:t>
      </w:r>
    </w:p>
    <w:p w:rsidR="00A61344" w:rsidRPr="006A4BCA" w:rsidRDefault="00942260" w:rsidP="003F55FD">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DEL ESTADO DE MÉXICO. </w:t>
      </w:r>
    </w:p>
    <w:p w:rsidR="00A61344" w:rsidRPr="006A4BCA" w:rsidRDefault="00942260" w:rsidP="003F55FD">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PRESENTE.</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Delfina Gómez Álvarez, Gobernadora Constitucional del Estado Libre y Soberano de México, en ejercicio de la facultad que me confiere en los artículos 51, fracción I y 77, fracción V, de la Constitución Política del Estado Libre y Soberano de México, y con fundamento en lo establecido en los numerales 61, fracción XXXVI, de la Constitución Local, así como 33 fracciones I, VI y XXXIV de la Ley Orgánica Municipal del Estado de México, someto a la consideración de esta Honorable Legislatura, por su conducto, la </w:t>
      </w:r>
      <w:r w:rsidR="00A00632" w:rsidRPr="006A4BCA">
        <w:rPr>
          <w:rFonts w:ascii="Times New Roman" w:hAnsi="Times New Roman" w:cs="Times New Roman"/>
          <w:sz w:val="24"/>
          <w:szCs w:val="24"/>
        </w:rPr>
        <w:t xml:space="preserve">Iniciativa </w:t>
      </w:r>
      <w:r w:rsidRPr="006A4BCA">
        <w:rPr>
          <w:rFonts w:ascii="Times New Roman" w:hAnsi="Times New Roman" w:cs="Times New Roman"/>
          <w:sz w:val="24"/>
          <w:szCs w:val="24"/>
        </w:rPr>
        <w:t>de Decreto por el que se autoriza al Honorable Ayuntamiento de Texcoco,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de conformidad con la siguiente:</w:t>
      </w:r>
    </w:p>
    <w:p w:rsidR="00A61344" w:rsidRPr="006A4BCA" w:rsidRDefault="00A61344" w:rsidP="00C80DF4">
      <w:pPr>
        <w:pStyle w:val="Sinespaciado"/>
        <w:ind w:firstLine="708"/>
        <w:jc w:val="center"/>
        <w:rPr>
          <w:rFonts w:ascii="Times New Roman" w:hAnsi="Times New Roman" w:cs="Times New Roman"/>
          <w:sz w:val="24"/>
          <w:szCs w:val="24"/>
        </w:rPr>
      </w:pPr>
      <w:r w:rsidRPr="006A4BCA">
        <w:rPr>
          <w:rFonts w:ascii="Times New Roman" w:hAnsi="Times New Roman" w:cs="Times New Roman"/>
          <w:sz w:val="24"/>
          <w:szCs w:val="24"/>
        </w:rPr>
        <w:t>EXPOSICIÓN DE MOTIVOS,</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El artículo 3</w:t>
      </w:r>
      <w:r w:rsidR="00A00632" w:rsidRPr="006A4BCA">
        <w:rPr>
          <w:rFonts w:ascii="Times New Roman" w:hAnsi="Times New Roman" w:cs="Times New Roman"/>
          <w:sz w:val="24"/>
          <w:szCs w:val="24"/>
        </w:rPr>
        <w:t>°</w:t>
      </w:r>
      <w:r w:rsidRPr="006A4BCA">
        <w:rPr>
          <w:rFonts w:ascii="Times New Roman" w:hAnsi="Times New Roman" w:cs="Times New Roman"/>
          <w:sz w:val="24"/>
          <w:szCs w:val="24"/>
        </w:rPr>
        <w:t xml:space="preserve">, quinto párrafo de la Constitución Política de los Estados Unidos Mexicanos establece que el Estado priorizará el interés superior de niñas y niños en el acceso, permanencia y participación de los servicios educativos. </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Asimismo, el diverso artículo 4º consagra el derecho a la protección a la salud que toda persona tiene y prevé que en todas las decisiones y actuaciones del Estado se velará y cumplirá con el principio del interés superior de la niñez, garantizando de manera plena sus derechos. </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Al respecto, el artículo 43 de la Ley General de los Derechos de Niñas, Niños y Adolescentes determina que las niñas y los niños tienen derecho a vivir en un medio ambiente sano </w:t>
      </w:r>
      <w:r w:rsidRPr="006A4BCA">
        <w:rPr>
          <w:rFonts w:ascii="Times New Roman" w:hAnsi="Times New Roman" w:cs="Times New Roman"/>
          <w:sz w:val="24"/>
          <w:szCs w:val="24"/>
        </w:rPr>
        <w:lastRenderedPageBreak/>
        <w:t xml:space="preserve">y sustentable y en condiciones que permitan su desarrollo, bienestar, crecimiento saludable y armonioso, tanto físico como mental, material, espiritual, ético, cultural y social. </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El artículo 73, primer párrafo de la Ley General de Educación, prevé que en la impartición de educación para menores de 18 años se tomarán medidas que aseguren al educando la protección y el cuidado necesarios para preservar su integridad física, psicológica y social, sobre la base del respeto a su dignidad y derechos.</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En igual sentido, el artículo 9 de la Ley General de Prestación de Servicios para la Atención, Cuidado y Desarrollo Integral Infantil, dispone que las niñas y niños tienen derecho a recibir los servicios para la atención, cuidado y desarrollo integral infantil en condiciones de calidad, calidez, seguridad, protección y respeto a sus derechos, identidad e individualidad, con el fin de garantizar el interés superior de la niñez. </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El artículo 12 de dicha ley indica que para garantizar el cumplimiento de los servicios para la atención, cuidado y desarrollo integral infantil que se presta en los diversos centros de atención, </w:t>
      </w:r>
      <w:r w:rsidR="00E11381" w:rsidRPr="006A4BCA">
        <w:rPr>
          <w:rFonts w:ascii="Times New Roman" w:hAnsi="Times New Roman" w:cs="Times New Roman"/>
          <w:sz w:val="24"/>
          <w:szCs w:val="24"/>
        </w:rPr>
        <w:t>é</w:t>
      </w:r>
      <w:r w:rsidRPr="006A4BCA">
        <w:rPr>
          <w:rFonts w:ascii="Times New Roman" w:hAnsi="Times New Roman" w:cs="Times New Roman"/>
          <w:sz w:val="24"/>
          <w:szCs w:val="24"/>
        </w:rPr>
        <w:t xml:space="preserve">stos contemplarán entre sus actividades protección y seguridad, fomento al cuidado de la salud, alimentación adecuada y suficiente para su nutrición, fomento a la comprensión y ejercicio de los derechos de niñas y niños, descanso, esparcimiento, juego y actividades recreativas propias de su edad, apoyo al desarrollo biológico, cognoscitivo, psicomotriz y socioafectivo, así como enseñanza del lenguaje y comunicación. </w:t>
      </w:r>
    </w:p>
    <w:p w:rsidR="00A61344"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En congruencia con lo anterior, el artículo 5º de la Constitución Política del Estado Libre y Soberano de México, establece </w:t>
      </w:r>
      <w:r w:rsidR="00CA46BF" w:rsidRPr="006A4BCA">
        <w:rPr>
          <w:rFonts w:ascii="Times New Roman" w:hAnsi="Times New Roman" w:cs="Times New Roman"/>
          <w:sz w:val="24"/>
          <w:szCs w:val="24"/>
        </w:rPr>
        <w:t>que,</w:t>
      </w:r>
      <w:r w:rsidRPr="006A4BCA">
        <w:rPr>
          <w:rFonts w:ascii="Times New Roman" w:hAnsi="Times New Roman" w:cs="Times New Roman"/>
          <w:sz w:val="24"/>
          <w:szCs w:val="24"/>
        </w:rPr>
        <w:t xml:space="preserve"> en el Estado de México, la educación inicial es un derecho de la niñez y será responsabilidad del Estado, concientizar sobre su importancia. </w:t>
      </w:r>
    </w:p>
    <w:p w:rsidR="00507395" w:rsidRPr="006A4BCA" w:rsidRDefault="00A61344"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As</w:t>
      </w:r>
      <w:r w:rsidR="00CA46BF" w:rsidRPr="006A4BCA">
        <w:rPr>
          <w:rFonts w:ascii="Times New Roman" w:hAnsi="Times New Roman" w:cs="Times New Roman"/>
          <w:sz w:val="24"/>
          <w:szCs w:val="24"/>
        </w:rPr>
        <w:t>i</w:t>
      </w:r>
      <w:r w:rsidRPr="006A4BCA">
        <w:rPr>
          <w:rFonts w:ascii="Times New Roman" w:hAnsi="Times New Roman" w:cs="Times New Roman"/>
          <w:sz w:val="24"/>
          <w:szCs w:val="24"/>
        </w:rPr>
        <w:t>mismo</w:t>
      </w:r>
      <w:r w:rsidR="00CA46BF" w:rsidRPr="006A4BCA">
        <w:rPr>
          <w:rFonts w:ascii="Times New Roman" w:hAnsi="Times New Roman" w:cs="Times New Roman"/>
          <w:sz w:val="24"/>
          <w:szCs w:val="24"/>
        </w:rPr>
        <w:t>,</w:t>
      </w:r>
      <w:r w:rsidRPr="006A4BCA">
        <w:rPr>
          <w:rFonts w:ascii="Times New Roman" w:hAnsi="Times New Roman" w:cs="Times New Roman"/>
          <w:sz w:val="24"/>
          <w:szCs w:val="24"/>
        </w:rPr>
        <w:t xml:space="preserve"> que se priorizará el interés superior de niñas y niños en el acceso, permanencia y participación </w:t>
      </w:r>
      <w:r w:rsidR="00507395" w:rsidRPr="006A4BCA">
        <w:rPr>
          <w:rFonts w:ascii="Times New Roman" w:hAnsi="Times New Roman" w:cs="Times New Roman"/>
          <w:sz w:val="24"/>
          <w:szCs w:val="24"/>
        </w:rPr>
        <w:t>en los servicios educativos, por lo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507395" w:rsidRPr="006A4BCA" w:rsidRDefault="00507395"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El artículo 4 de la Ley de los Derechos de Niñas, Niños y Adolescentes del Estado de México, señala que el Estado de México y sus Municipios en el diseño y ejecución de políticas públicas, deberán garantizar el máximo bienestar posible de niñas y niños, privilegiando su interés superior a través de medidas estructurales legales, administrativas y presupuestales.</w:t>
      </w:r>
    </w:p>
    <w:p w:rsidR="00507395" w:rsidRPr="006A4BCA" w:rsidRDefault="00507395"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Asimismo, el artículo 25 primer párrafo de la ley en referencia, especifica que las niñas y los niños tienen derecho a vivir en un medio ambiente sano y sustentable y en condiciones adecuadas para que permitan su desarrollo, bienestar, crecimiento saludable y armonioso, tanto físico como mental, materia, espiritual, ético, cultural y social.</w:t>
      </w:r>
    </w:p>
    <w:p w:rsidR="00507395" w:rsidRPr="006A4BCA" w:rsidRDefault="00507395"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El artículo 7 tercer párrafo de la Ley de Educación del Estado de México, estipula que la educación inicial es un derecho de la niñez y que es responsabilidad del Estado concientizar sobre su importancia y garantizarla; asimismo, el diverso artículo 89 primer párrafo de la misma ley, refiere que la impartición de educación para menores de 18 años, las autoridades educativas en su respectivo ámbito de competencia, tomarán las medidas que aseguren al educando la protección y el cuidado necesarios para preservar su integridad física, psicológica y social, sobre la base del respeto a su dignidad y derechos.</w:t>
      </w:r>
    </w:p>
    <w:p w:rsidR="00507395" w:rsidRPr="006A4BCA" w:rsidRDefault="00507395"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El artículo 10 de la ley de prestación de servicios, para la atención, cuidado y desarrollo integral infantil en el Estado de México, determina que, en todo momento prevalecerá el interés superior de las niñas y niños, especialmente al recibir los servicios para la atención, cuidado y desarrollo integral infantil; también el artículo 11 de la citada ley, dispone que para garantizar su interés superior, las niñas y niños tienen derecho a recibir los servicios para su atención, cuidado y </w:t>
      </w:r>
      <w:r w:rsidRPr="006A4BCA">
        <w:rPr>
          <w:rFonts w:ascii="Times New Roman" w:hAnsi="Times New Roman" w:cs="Times New Roman"/>
          <w:sz w:val="24"/>
          <w:szCs w:val="24"/>
        </w:rPr>
        <w:lastRenderedPageBreak/>
        <w:t>desarrollo integral en las condiciones de calidad, calidez, seguridad, protección y respeto a los derechos, su identidad e individualidad.</w:t>
      </w:r>
    </w:p>
    <w:p w:rsidR="00507395" w:rsidRPr="006A4BCA" w:rsidRDefault="00507395"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Igualmente, el artículo 12 de dicha ley, prevé que para garantizar el cumplimiento de los servicios para la atención, cuidado y desarrollo integral infantil que se prestan en los centros de atención, éstos deberán de contemplar entre sus actividades alimentación adecuada y suficiente para su nutrición, apoyo al desarrollo biológico, cognoscitivo, psicomotriz y socioafectivo, descanso, esparcimiento, juego y actividades recreativas propias de la edad, enseñanza del lenguaje y comunicación, incluyendo en su caso, lenguas indígenas, sistema braille o el de señas.</w:t>
      </w:r>
    </w:p>
    <w:p w:rsidR="00507395" w:rsidRPr="006A4BCA" w:rsidRDefault="00507395"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Foment</w:t>
      </w:r>
      <w:r w:rsidR="007663CA" w:rsidRPr="006A4BCA">
        <w:rPr>
          <w:rFonts w:ascii="Times New Roman" w:hAnsi="Times New Roman" w:cs="Times New Roman"/>
          <w:sz w:val="24"/>
          <w:szCs w:val="24"/>
        </w:rPr>
        <w:t xml:space="preserve">o </w:t>
      </w:r>
      <w:r w:rsidRPr="006A4BCA">
        <w:rPr>
          <w:rFonts w:ascii="Times New Roman" w:hAnsi="Times New Roman" w:cs="Times New Roman"/>
          <w:sz w:val="24"/>
          <w:szCs w:val="24"/>
        </w:rPr>
        <w:t>a la comprensión y ejercicio de los derechos de las niñas y los niños, foment</w:t>
      </w:r>
      <w:r w:rsidR="007663CA" w:rsidRPr="006A4BCA">
        <w:rPr>
          <w:rFonts w:ascii="Times New Roman" w:hAnsi="Times New Roman" w:cs="Times New Roman"/>
          <w:sz w:val="24"/>
          <w:szCs w:val="24"/>
        </w:rPr>
        <w:t xml:space="preserve">o </w:t>
      </w:r>
      <w:r w:rsidRPr="006A4BCA">
        <w:rPr>
          <w:rFonts w:ascii="Times New Roman" w:hAnsi="Times New Roman" w:cs="Times New Roman"/>
          <w:sz w:val="24"/>
          <w:szCs w:val="24"/>
        </w:rPr>
        <w:t>al cuidado de la salud; así como supervisión e inspección afectiva en materia de salud y protección civil.</w:t>
      </w:r>
    </w:p>
    <w:p w:rsidR="00507395" w:rsidRPr="006A4BCA" w:rsidRDefault="00507395"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ese contexto, para garantizar la prestación de los servicios de atención, cuidado y desarrollo integral infantil, el Gobierno de México anunció la sustitución de las guarderías del Instituto Mexicano del Seguro Social, por un nuevo modelo pedagógico, denominado Centro de Educación y Cuidado Infantil CECI, el cual, se conforma como un espacio que ofrece atención integral a lactantes maternales y preescolares, mismo que combina la educación temprana con el cuidado diario, para fomentar su desarrollo cognitivo, físico y emocional</w:t>
      </w:r>
      <w:r w:rsidR="00FE292E" w:rsidRPr="006A4BCA">
        <w:rPr>
          <w:rFonts w:ascii="Times New Roman" w:hAnsi="Times New Roman" w:cs="Times New Roman"/>
          <w:sz w:val="24"/>
          <w:szCs w:val="24"/>
        </w:rPr>
        <w:t>, c</w:t>
      </w:r>
      <w:r w:rsidRPr="006A4BCA">
        <w:rPr>
          <w:rFonts w:ascii="Times New Roman" w:hAnsi="Times New Roman" w:cs="Times New Roman"/>
          <w:sz w:val="24"/>
          <w:szCs w:val="24"/>
        </w:rPr>
        <w:t>on lo que se garantiza un entorno seguro, afectuoso y estimulante para las infancias de México.</w:t>
      </w:r>
    </w:p>
    <w:p w:rsidR="0082743D" w:rsidRPr="006A4BCA" w:rsidRDefault="00507395" w:rsidP="00C80DF4">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En seguimiento a los programas y acciones del plan integral de la zona oriente del Estado de México, en lo que respecta al número 1001 00-JSA/0792/2025, la persona titular del Órgano de </w:t>
      </w:r>
      <w:r w:rsidR="000F17AA" w:rsidRPr="006A4BCA">
        <w:rPr>
          <w:rFonts w:ascii="Times New Roman" w:hAnsi="Times New Roman" w:cs="Times New Roman"/>
          <w:sz w:val="24"/>
          <w:szCs w:val="24"/>
        </w:rPr>
        <w:t xml:space="preserve">Operación </w:t>
      </w:r>
      <w:r w:rsidR="0082743D" w:rsidRPr="006A4BCA">
        <w:rPr>
          <w:rFonts w:ascii="Times New Roman" w:hAnsi="Times New Roman" w:cs="Times New Roman"/>
          <w:sz w:val="24"/>
          <w:szCs w:val="24"/>
        </w:rPr>
        <w:t>Administrativa Desconcentrada Regional, Estado de México, Oriente, del Instituto Mexicano del Seguro Social, solicit</w:t>
      </w:r>
      <w:r w:rsidR="0029099F" w:rsidRPr="006A4BCA">
        <w:rPr>
          <w:rFonts w:ascii="Times New Roman" w:hAnsi="Times New Roman" w:cs="Times New Roman"/>
          <w:sz w:val="24"/>
          <w:szCs w:val="24"/>
        </w:rPr>
        <w:t>ó</w:t>
      </w:r>
      <w:r w:rsidR="0082743D" w:rsidRPr="006A4BCA">
        <w:rPr>
          <w:rFonts w:ascii="Times New Roman" w:hAnsi="Times New Roman" w:cs="Times New Roman"/>
          <w:sz w:val="24"/>
          <w:szCs w:val="24"/>
        </w:rPr>
        <w:t xml:space="preserve"> a la Presidencia Municipal de Texcoco la rectificación o ratificación de la ubicación de un inmueble propuesto para donación para la construcción de un Centro de Educación y Cuidado Infantil, (CECI), en respuesta a dicha petición el 4 de septiembre del 2025 a través del oficio PM/136/2025, la Presidencia Municipal de Texcoco informó a la persona Titular del Órgano de Operación Administrativa Desconcentrada Regional, Estado de México Oriente, del Instituto Mexicano del Seguro Social, su interés en contar en el municipio con un Centro de Educación y Cuidado Infantil para apoyar a las madres trabajadoras de la región y ofreció el predio identificado como Lote-2 del terreno denominado Tierra Larga, en el poblado de Huexotla, Municipio de Texcoco, Estado de México; actualmente ubicado en la calle Camino a Tolimpa, antes calle Limones, número 33, esquina cerrada a Francisco Alfonso Larqué Saavedra, Colonia San Mateo Huexotla , Municipio de Texcoco, Estado de México, con una superficie de 2 mil 800 metros, con 98 centímetros.</w:t>
      </w:r>
    </w:p>
    <w:p w:rsidR="0082743D" w:rsidRPr="006A4BCA" w:rsidRDefault="0082743D"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Para tales efectos el H. Ayuntamiento de Texcoco, durante la XXIII Sesión Ordinaria de Cabildo celebrada el 5 de septiembre de 2025, aprobó por acuerdo número 86, autorizar la desincorporación del patrimonio municipal de un inmueble con una superficie de 2 mil 800 metros con 98 centímetros, identificado como Lote-2 del terreno denominado Tierra Larga en el poblado de Huexotla, Municipio de Texcoco, Estado de México, actualmente ubicado en calle Camino a Tolimpa, antes calle Limones número 33, esquina cerrada Francisco Alfonso Larqué Saavedra, Colonia San Mateo Huexotla, Municipio de Texcoco, Estado de México, para que sea donado a título gratuito a favor del Instituto Mexicano del Seguro Social para la construcción de un Centro de Educación y Cuidado Infantil, (CECI), así como que la Presidencia Municipal Constitucional solicite a la Legislatura Local o la Diputación Permanente a través del Ejecutivo del Estado, dicha desincorporación.</w:t>
      </w:r>
    </w:p>
    <w:p w:rsidR="0082743D" w:rsidRPr="006A4BCA" w:rsidRDefault="0082743D"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El municipio de Texcoco, Estado de México, es propietario del Lote-2 resultante de la subdivisión de una fracción de terreno denominado Tierra Larga, en el poblado de Huexotla, Municipio de Texcoco, Estado de México, actualmente ubicado en calle Camino a Tolimpa, antes calle Limones, número 33, esquina cerrada Francisco Alfonso Laqué Saavedra, colonia San Mateo </w:t>
      </w:r>
      <w:r w:rsidRPr="006A4BCA">
        <w:rPr>
          <w:rFonts w:ascii="Times New Roman" w:hAnsi="Times New Roman" w:cs="Times New Roman"/>
          <w:sz w:val="24"/>
          <w:szCs w:val="24"/>
        </w:rPr>
        <w:lastRenderedPageBreak/>
        <w:t>Huexotla, Municipio de Texcoco, Estado de México, con una superficie de 2 mil 800 metros con 98 centímetros, con las siguientes medidas y colindancias.</w:t>
      </w:r>
    </w:p>
    <w:p w:rsidR="0082743D" w:rsidRPr="006A4BCA" w:rsidRDefault="0082743D"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Al Norte 50.98 metros con camino a Tolimpa.</w:t>
      </w:r>
    </w:p>
    <w:p w:rsidR="0082743D" w:rsidRPr="006A4BCA" w:rsidRDefault="0082743D"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Al Oriente 57 metros con 87 centímetros con lote uno resultante de la subdivisión del predio denominado Tierra Larga.</w:t>
      </w:r>
    </w:p>
    <w:p w:rsidR="0082743D" w:rsidRPr="006A4BCA" w:rsidRDefault="0082743D"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Al Sur en 50 metros con 74 centímetros con lote número 1 resultante de la subdivisión del periodo denominado Tierra Larga.</w:t>
      </w:r>
    </w:p>
    <w:p w:rsidR="0082743D" w:rsidRPr="006A4BCA" w:rsidRDefault="0082743D" w:rsidP="00C80DF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Al Poniente en 57 metros con 68 centímetros con Fraccionamiento Villas Tolimpa.</w:t>
      </w:r>
    </w:p>
    <w:p w:rsidR="0082743D" w:rsidRPr="006A4BCA" w:rsidRDefault="0082743D" w:rsidP="00811224">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La propiedad de dicho inmueble se acredita con el acta número 126 mil cero 21 volumen 3 mil 11 folio cero 30 al cero 34 del 9 de febrero del 2026, otorgada ante la Fe del Licenciado José Antonio Reyes Duarte, Titular de la Notaría Pública número 29 del Estado de México y del Patrimonio Inmobiliario Federal, con residencia en el Municipio de Netzahualcóyotl, inscrita en el Instituto de la Función Registral del Estado de México en la Oficina Registral de Texcoco, bajo el Folio real electrónico 00193885 de fecha 12 de febrero de 2026.</w:t>
      </w:r>
    </w:p>
    <w:p w:rsidR="00FF466D" w:rsidRPr="006A4BCA" w:rsidRDefault="0082743D" w:rsidP="00C17160">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El Director del Centro INAH Estado de México, a través de los oficios 401.3S.1-2025/3396 y 401.3S.1-2025/3478 de fechas primero y 6 de octubre de 2025, respectivamente</w:t>
      </w:r>
      <w:r w:rsidR="00FF466D" w:rsidRPr="006A4BCA">
        <w:rPr>
          <w:rFonts w:ascii="Times New Roman" w:hAnsi="Times New Roman" w:cs="Times New Roman"/>
          <w:sz w:val="24"/>
          <w:szCs w:val="24"/>
        </w:rPr>
        <w:t xml:space="preserve"> indicó que el inmueble objeto de donación se ubica en un área que fue ocupada por asentamientos humanos durante diferentes periodos de la época prehispánica, por lo que cualquier obra de construcción deberá contar con el visto bueno de la obra del INAH y dicho inmueble no es ni colinda con algún monumento histórico. </w:t>
      </w:r>
    </w:p>
    <w:p w:rsidR="00FF466D" w:rsidRPr="006A4BCA" w:rsidRDefault="00FF466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Conforme con el oficio número DDUYE/090/2026 del 12 de enero de 2026, emitido por el Titular de la Dirección de Desarrollo Urbano y Ecología del H. Ayuntamiento de Texcoco, se otorgó opinión favorable para el uso de suelo para el Centro de Educación y Cuidado Infantil (CECI).</w:t>
      </w:r>
    </w:p>
    <w:p w:rsidR="00FF466D" w:rsidRPr="006A4BCA" w:rsidRDefault="00FF466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En el predio objeto de donación, el cual se localiza en una zona clasificada como área urbanizable y reúne condiciones físicas y geográficas aptas para ser dotadas de infraestructura, equipamiento y servicios públicos. </w:t>
      </w:r>
    </w:p>
    <w:p w:rsidR="00FF466D" w:rsidRPr="006A4BCA" w:rsidRDefault="00FF466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En términos del Plan de Desarrollo Urbano del </w:t>
      </w:r>
      <w:r w:rsidR="00387D0F" w:rsidRPr="006A4BCA">
        <w:rPr>
          <w:rFonts w:ascii="Times New Roman" w:hAnsi="Times New Roman" w:cs="Times New Roman"/>
          <w:sz w:val="24"/>
          <w:szCs w:val="24"/>
        </w:rPr>
        <w:t xml:space="preserve">Municipio </w:t>
      </w:r>
      <w:r w:rsidRPr="006A4BCA">
        <w:rPr>
          <w:rFonts w:ascii="Times New Roman" w:hAnsi="Times New Roman" w:cs="Times New Roman"/>
          <w:sz w:val="24"/>
          <w:szCs w:val="24"/>
        </w:rPr>
        <w:t xml:space="preserve">de Texcoco, en términos del dictamen de procedencia emitido por la Titular de la Sindicatura Municipal del Ayuntamiento de Texcoco, se consideró jurídicamente viable la donación del inmueble de mérito para que se realice la construcción de un Centro de Educación y Cuidado Infantil, (CECI), pues representa una política pública de alto impacto social que permitirá conciliar la vida laboral y familiar en el </w:t>
      </w:r>
      <w:r w:rsidR="00387D0F" w:rsidRPr="006A4BCA">
        <w:rPr>
          <w:rFonts w:ascii="Times New Roman" w:hAnsi="Times New Roman" w:cs="Times New Roman"/>
          <w:sz w:val="24"/>
          <w:szCs w:val="24"/>
        </w:rPr>
        <w:t xml:space="preserve">Municipio </w:t>
      </w:r>
      <w:r w:rsidRPr="006A4BCA">
        <w:rPr>
          <w:rFonts w:ascii="Times New Roman" w:hAnsi="Times New Roman" w:cs="Times New Roman"/>
          <w:sz w:val="24"/>
          <w:szCs w:val="24"/>
        </w:rPr>
        <w:t>de Texcoco</w:t>
      </w:r>
      <w:r w:rsidR="00387D0F" w:rsidRPr="006A4BCA">
        <w:rPr>
          <w:rFonts w:ascii="Times New Roman" w:hAnsi="Times New Roman" w:cs="Times New Roman"/>
          <w:sz w:val="24"/>
          <w:szCs w:val="24"/>
        </w:rPr>
        <w:t>;</w:t>
      </w:r>
      <w:r w:rsidRPr="006A4BCA">
        <w:rPr>
          <w:rFonts w:ascii="Times New Roman" w:hAnsi="Times New Roman" w:cs="Times New Roman"/>
          <w:sz w:val="24"/>
          <w:szCs w:val="24"/>
        </w:rPr>
        <w:t xml:space="preserve"> ya que en este se brindará la atención integral a niñas y niños desde su nacimiento hasta los cuatro años de edad, a través del modelo educativo que combina el cuidado básico con el desarrollo de habilidades cognitivas, motrices, lingüísticas y de socialización. </w:t>
      </w:r>
    </w:p>
    <w:p w:rsidR="00FF466D" w:rsidRPr="006A4BCA" w:rsidRDefault="00FF466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En este orden de ideas, el 19 de febrero de 2026 mediante oficio PM/015/2026, el Honorable Ayuntamiento de Texcoco, Estado de México, a través de su Presidencia Municipal Constitucional, se dirigió al Poder Ejecutivo del Estado de México a mi cargo para hacer el conducto ante esta Legislatura para presentar la iniciativa de decreto respectiva, en mérito de los argumentos planteados, someto a consideración de esta Legislatura la siguiente Iniciativa con Proyecto de Decreto por el que se autoriza al H. Ayuntamiento de Texcoco, Estado de México, a desincorporar del patrimonio del </w:t>
      </w:r>
      <w:r w:rsidR="00E56956" w:rsidRPr="006A4BCA">
        <w:rPr>
          <w:rFonts w:ascii="Times New Roman" w:hAnsi="Times New Roman" w:cs="Times New Roman"/>
          <w:sz w:val="24"/>
          <w:szCs w:val="24"/>
        </w:rPr>
        <w:t>municipio</w:t>
      </w:r>
      <w:r w:rsidRPr="006A4BCA">
        <w:rPr>
          <w:rFonts w:ascii="Times New Roman" w:hAnsi="Times New Roman" w:cs="Times New Roman"/>
          <w:sz w:val="24"/>
          <w:szCs w:val="24"/>
        </w:rPr>
        <w:t xml:space="preserve">, el lote </w:t>
      </w:r>
      <w:r w:rsidR="00E56956" w:rsidRPr="006A4BCA">
        <w:rPr>
          <w:rFonts w:ascii="Times New Roman" w:hAnsi="Times New Roman" w:cs="Times New Roman"/>
          <w:sz w:val="24"/>
          <w:szCs w:val="24"/>
        </w:rPr>
        <w:t xml:space="preserve">- </w:t>
      </w:r>
      <w:r w:rsidRPr="006A4BCA">
        <w:rPr>
          <w:rFonts w:ascii="Times New Roman" w:hAnsi="Times New Roman" w:cs="Times New Roman"/>
          <w:sz w:val="24"/>
          <w:szCs w:val="24"/>
        </w:rPr>
        <w:t>2, resultante de la subdivisión de una fracción de terreno denominado Tierra Larga, en el poblado de Huexotla, Municipio de Texcoco, Estado de México, actualmente ubicado en calle Camino a Tolimpa, antes calle Limones, número 33, esquina cerrada Francisco Alfonso Larqu</w:t>
      </w:r>
      <w:r w:rsidR="00E56956" w:rsidRPr="006A4BCA">
        <w:rPr>
          <w:rFonts w:ascii="Times New Roman" w:hAnsi="Times New Roman" w:cs="Times New Roman"/>
          <w:sz w:val="24"/>
          <w:szCs w:val="24"/>
        </w:rPr>
        <w:t>é</w:t>
      </w:r>
      <w:r w:rsidRPr="006A4BCA">
        <w:rPr>
          <w:rFonts w:ascii="Times New Roman" w:hAnsi="Times New Roman" w:cs="Times New Roman"/>
          <w:sz w:val="24"/>
          <w:szCs w:val="24"/>
        </w:rPr>
        <w:t xml:space="preserve"> Saavedra, Colonia San Mateo</w:t>
      </w:r>
      <w:r w:rsidR="000207B5" w:rsidRPr="006A4BCA">
        <w:rPr>
          <w:rFonts w:ascii="Times New Roman" w:hAnsi="Times New Roman" w:cs="Times New Roman"/>
          <w:sz w:val="24"/>
          <w:szCs w:val="24"/>
        </w:rPr>
        <w:t xml:space="preserve"> Huexotla, </w:t>
      </w:r>
      <w:r w:rsidRPr="006A4BCA">
        <w:rPr>
          <w:rFonts w:ascii="Times New Roman" w:hAnsi="Times New Roman" w:cs="Times New Roman"/>
          <w:sz w:val="24"/>
          <w:szCs w:val="24"/>
        </w:rPr>
        <w:t>Municipio de Texcoco, Estado de México, con una superficie de 2</w:t>
      </w:r>
      <w:r w:rsidR="00FB24A3" w:rsidRPr="006A4BCA">
        <w:rPr>
          <w:rFonts w:ascii="Times New Roman" w:hAnsi="Times New Roman" w:cs="Times New Roman"/>
          <w:sz w:val="24"/>
          <w:szCs w:val="24"/>
        </w:rPr>
        <w:t xml:space="preserve"> mil </w:t>
      </w:r>
      <w:r w:rsidRPr="006A4BCA">
        <w:rPr>
          <w:rFonts w:ascii="Times New Roman" w:hAnsi="Times New Roman" w:cs="Times New Roman"/>
          <w:sz w:val="24"/>
          <w:szCs w:val="24"/>
        </w:rPr>
        <w:t>800</w:t>
      </w:r>
      <w:r w:rsidR="00FB24A3" w:rsidRPr="006A4BCA">
        <w:rPr>
          <w:rFonts w:ascii="Times New Roman" w:hAnsi="Times New Roman" w:cs="Times New Roman"/>
          <w:sz w:val="24"/>
          <w:szCs w:val="24"/>
        </w:rPr>
        <w:t xml:space="preserve"> </w:t>
      </w:r>
      <w:r w:rsidRPr="006A4BCA">
        <w:rPr>
          <w:rFonts w:ascii="Times New Roman" w:hAnsi="Times New Roman" w:cs="Times New Roman"/>
          <w:sz w:val="24"/>
          <w:szCs w:val="24"/>
        </w:rPr>
        <w:t xml:space="preserve">metros </w:t>
      </w:r>
      <w:r w:rsidR="00FB24A3" w:rsidRPr="006A4BCA">
        <w:rPr>
          <w:rFonts w:ascii="Times New Roman" w:hAnsi="Times New Roman" w:cs="Times New Roman"/>
          <w:sz w:val="24"/>
          <w:szCs w:val="24"/>
        </w:rPr>
        <w:t xml:space="preserve">con 98 </w:t>
      </w:r>
      <w:r w:rsidRPr="006A4BCA">
        <w:rPr>
          <w:rFonts w:ascii="Times New Roman" w:hAnsi="Times New Roman" w:cs="Times New Roman"/>
          <w:sz w:val="24"/>
          <w:szCs w:val="24"/>
        </w:rPr>
        <w:t>centímetros</w:t>
      </w:r>
      <w:r w:rsidR="00FB24A3" w:rsidRPr="006A4BCA">
        <w:rPr>
          <w:rFonts w:ascii="Times New Roman" w:hAnsi="Times New Roman" w:cs="Times New Roman"/>
          <w:sz w:val="24"/>
          <w:szCs w:val="24"/>
        </w:rPr>
        <w:t>,</w:t>
      </w:r>
      <w:r w:rsidRPr="006A4BCA">
        <w:rPr>
          <w:rFonts w:ascii="Times New Roman" w:hAnsi="Times New Roman" w:cs="Times New Roman"/>
          <w:sz w:val="24"/>
          <w:szCs w:val="24"/>
        </w:rPr>
        <w:t xml:space="preserve"> para que sea donado a título gratuito a favor del Instituto Mexicano del Seguro Social, para realizar las acciones necesarias destinadas a la construcción de un Centro de Educación y Cuidado Infantil, (CECI). </w:t>
      </w:r>
    </w:p>
    <w:p w:rsidR="00FF466D" w:rsidRPr="006A4BCA" w:rsidRDefault="005C10F1" w:rsidP="005C10F1">
      <w:pPr>
        <w:pStyle w:val="Sinespaciado"/>
        <w:jc w:val="center"/>
        <w:rPr>
          <w:rFonts w:ascii="Times New Roman" w:hAnsi="Times New Roman" w:cs="Times New Roman"/>
          <w:sz w:val="24"/>
          <w:szCs w:val="24"/>
        </w:rPr>
      </w:pPr>
      <w:r w:rsidRPr="006A4BCA">
        <w:rPr>
          <w:rFonts w:ascii="Times New Roman" w:hAnsi="Times New Roman" w:cs="Times New Roman"/>
          <w:sz w:val="24"/>
          <w:szCs w:val="24"/>
        </w:rPr>
        <w:t>DECRETO NÚMERO.</w:t>
      </w:r>
    </w:p>
    <w:p w:rsidR="00FB24A3" w:rsidRPr="006A4BCA" w:rsidRDefault="005C10F1"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LA HONORABLE LXII LEGISLATURA</w:t>
      </w:r>
    </w:p>
    <w:p w:rsidR="00FF466D" w:rsidRPr="006A4BCA" w:rsidRDefault="005C10F1" w:rsidP="005C10F1">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DEL ESTADO DE MÉXICO. </w:t>
      </w:r>
    </w:p>
    <w:p w:rsidR="00FF466D" w:rsidRPr="006A4BCA" w:rsidRDefault="005C10F1" w:rsidP="005C10F1">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ARTÍCULO PRIMERO.</w:t>
      </w:r>
      <w:r w:rsidR="00FF466D" w:rsidRPr="006A4BCA">
        <w:rPr>
          <w:rFonts w:ascii="Times New Roman" w:hAnsi="Times New Roman" w:cs="Times New Roman"/>
          <w:sz w:val="24"/>
          <w:szCs w:val="24"/>
        </w:rPr>
        <w:t xml:space="preserve"> Se autoriza la desincorporación del patrimonio del Honorable Ayuntamiento de Texcoco, Estado de México del Lote-2, resultante de la subdivisión de una fracción de terreno denominado Tierra Larga</w:t>
      </w:r>
      <w:r w:rsidRPr="006A4BCA">
        <w:rPr>
          <w:rFonts w:ascii="Times New Roman" w:hAnsi="Times New Roman" w:cs="Times New Roman"/>
          <w:sz w:val="24"/>
          <w:szCs w:val="24"/>
        </w:rPr>
        <w:t>,</w:t>
      </w:r>
      <w:r w:rsidR="00FF466D" w:rsidRPr="006A4BCA">
        <w:rPr>
          <w:rFonts w:ascii="Times New Roman" w:hAnsi="Times New Roman" w:cs="Times New Roman"/>
          <w:sz w:val="24"/>
          <w:szCs w:val="24"/>
        </w:rPr>
        <w:t xml:space="preserve"> en el poblado de Huexotla, Municipio de Texcoco, Estado de México; actualmente ubicado en calle Camino a Tolimpa, Antes calle Limones, número 33, esquina cerrada Francisco Alfonso Larqu</w:t>
      </w:r>
      <w:r w:rsidRPr="006A4BCA">
        <w:rPr>
          <w:rFonts w:ascii="Times New Roman" w:hAnsi="Times New Roman" w:cs="Times New Roman"/>
          <w:sz w:val="24"/>
          <w:szCs w:val="24"/>
        </w:rPr>
        <w:t>é</w:t>
      </w:r>
      <w:r w:rsidR="00FF466D" w:rsidRPr="006A4BCA">
        <w:rPr>
          <w:rFonts w:ascii="Times New Roman" w:hAnsi="Times New Roman" w:cs="Times New Roman"/>
          <w:sz w:val="24"/>
          <w:szCs w:val="24"/>
        </w:rPr>
        <w:t xml:space="preserve"> Saavedra, Colonia San Mateo</w:t>
      </w:r>
      <w:r w:rsidR="006D063B" w:rsidRPr="006A4BCA">
        <w:rPr>
          <w:rFonts w:ascii="Times New Roman" w:hAnsi="Times New Roman" w:cs="Times New Roman"/>
          <w:sz w:val="24"/>
          <w:szCs w:val="24"/>
        </w:rPr>
        <w:t xml:space="preserve"> Huexotla</w:t>
      </w:r>
      <w:r w:rsidR="00FF466D" w:rsidRPr="006A4BCA">
        <w:rPr>
          <w:rFonts w:ascii="Times New Roman" w:hAnsi="Times New Roman" w:cs="Times New Roman"/>
          <w:sz w:val="24"/>
          <w:szCs w:val="24"/>
        </w:rPr>
        <w:t xml:space="preserve">, </w:t>
      </w:r>
      <w:r w:rsidR="006D063B" w:rsidRPr="006A4BCA">
        <w:rPr>
          <w:rFonts w:ascii="Times New Roman" w:hAnsi="Times New Roman" w:cs="Times New Roman"/>
          <w:sz w:val="24"/>
          <w:szCs w:val="24"/>
        </w:rPr>
        <w:t xml:space="preserve">Municipio </w:t>
      </w:r>
      <w:r w:rsidR="00FF466D" w:rsidRPr="006A4BCA">
        <w:rPr>
          <w:rFonts w:ascii="Times New Roman" w:hAnsi="Times New Roman" w:cs="Times New Roman"/>
          <w:sz w:val="24"/>
          <w:szCs w:val="24"/>
        </w:rPr>
        <w:t>de Texcoco, Estado de México, con una superficie de 2</w:t>
      </w:r>
      <w:r w:rsidR="006D063B" w:rsidRPr="006A4BCA">
        <w:rPr>
          <w:rFonts w:ascii="Times New Roman" w:hAnsi="Times New Roman" w:cs="Times New Roman"/>
          <w:sz w:val="24"/>
          <w:szCs w:val="24"/>
        </w:rPr>
        <w:t xml:space="preserve"> mil </w:t>
      </w:r>
      <w:r w:rsidR="00FF466D" w:rsidRPr="006A4BCA">
        <w:rPr>
          <w:rFonts w:ascii="Times New Roman" w:hAnsi="Times New Roman" w:cs="Times New Roman"/>
          <w:sz w:val="24"/>
          <w:szCs w:val="24"/>
        </w:rPr>
        <w:t>800 metros con 98 centímetros, con las siguientes medidas y colindancias.</w:t>
      </w:r>
    </w:p>
    <w:p w:rsidR="00FF466D" w:rsidRPr="006A4BCA" w:rsidRDefault="00FF466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Al </w:t>
      </w:r>
      <w:r w:rsidR="006D063B" w:rsidRPr="006A4BCA">
        <w:rPr>
          <w:rFonts w:ascii="Times New Roman" w:hAnsi="Times New Roman" w:cs="Times New Roman"/>
          <w:sz w:val="24"/>
          <w:szCs w:val="24"/>
        </w:rPr>
        <w:t xml:space="preserve">Norte </w:t>
      </w:r>
      <w:r w:rsidRPr="006A4BCA">
        <w:rPr>
          <w:rFonts w:ascii="Times New Roman" w:hAnsi="Times New Roman" w:cs="Times New Roman"/>
          <w:sz w:val="24"/>
          <w:szCs w:val="24"/>
        </w:rPr>
        <w:t xml:space="preserve">en 50.98 metros con camino a Tolimpa, antes calle Limones. </w:t>
      </w:r>
    </w:p>
    <w:p w:rsidR="00FF466D" w:rsidRPr="006A4BCA" w:rsidRDefault="00FF466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Al Oriente en 57.87 centímetros con lote 1, resultante de la subdivisión del predio denominado Tierra Larga</w:t>
      </w:r>
      <w:r w:rsidR="006D063B" w:rsidRPr="006A4BCA">
        <w:rPr>
          <w:rFonts w:ascii="Times New Roman" w:hAnsi="Times New Roman" w:cs="Times New Roman"/>
          <w:sz w:val="24"/>
          <w:szCs w:val="24"/>
        </w:rPr>
        <w:t>.</w:t>
      </w:r>
    </w:p>
    <w:p w:rsidR="00FF466D" w:rsidRPr="006A4BCA" w:rsidRDefault="00FF466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Al Sur en 50.64 metros con lote 1, resultante de la subdivisión del predio denominado “Tierra Larga”.</w:t>
      </w:r>
    </w:p>
    <w:p w:rsidR="00FF466D" w:rsidRPr="006A4BCA" w:rsidRDefault="00FF466D"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Al Poniente en 57.68 metros con Fraccionamiento Villas de Tolimpa. </w:t>
      </w:r>
    </w:p>
    <w:p w:rsidR="00FF466D" w:rsidRPr="006A4BCA" w:rsidRDefault="00FF466D" w:rsidP="00A7574A">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Artículo Segundo. Se autoriza al H. Ayuntamiento de Texcoco, Estado de México, a donar a título gratuito el inmueble a que hace referencia el artículo anterior a favor del Instituto Mexicano del Seguro Social, para realizar las acciones necesarias destinadas a la construcción de un Centro de Educación y Cuidado Infantil (CECI).</w:t>
      </w:r>
    </w:p>
    <w:p w:rsidR="00640C74" w:rsidRPr="006A4BCA" w:rsidRDefault="00FF466D" w:rsidP="00A7574A">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Artículo Tercero. La donación del predio estará condicionada a que no se cambie el uso de suelo</w:t>
      </w:r>
      <w:r w:rsidR="005410F3" w:rsidRPr="006A4BCA">
        <w:rPr>
          <w:rFonts w:ascii="Times New Roman" w:hAnsi="Times New Roman" w:cs="Times New Roman"/>
          <w:sz w:val="24"/>
          <w:szCs w:val="24"/>
        </w:rPr>
        <w:t xml:space="preserve"> y d</w:t>
      </w:r>
      <w:r w:rsidR="00640C74" w:rsidRPr="006A4BCA">
        <w:rPr>
          <w:rFonts w:ascii="Times New Roman" w:hAnsi="Times New Roman" w:cs="Times New Roman"/>
          <w:sz w:val="24"/>
          <w:szCs w:val="24"/>
        </w:rPr>
        <w:t xml:space="preserve">estino que motivó su autorización. En caso contrario revertirá a favor del patrimonio del H. Ayuntamiento de Texcoco. Estado de México. </w:t>
      </w:r>
    </w:p>
    <w:p w:rsidR="00640C74" w:rsidRPr="006A4BCA" w:rsidRDefault="00640C74" w:rsidP="00C80DF4">
      <w:pPr>
        <w:pStyle w:val="Sinespaciado"/>
        <w:jc w:val="center"/>
        <w:rPr>
          <w:rFonts w:ascii="Times New Roman" w:hAnsi="Times New Roman" w:cs="Times New Roman"/>
          <w:sz w:val="24"/>
          <w:szCs w:val="24"/>
        </w:rPr>
      </w:pPr>
      <w:r w:rsidRPr="006A4BCA">
        <w:rPr>
          <w:rFonts w:ascii="Times New Roman" w:hAnsi="Times New Roman" w:cs="Times New Roman"/>
          <w:sz w:val="24"/>
          <w:szCs w:val="24"/>
        </w:rPr>
        <w:t>TRANSITORIOS</w:t>
      </w:r>
    </w:p>
    <w:p w:rsidR="00640C74" w:rsidRPr="006A4BCA" w:rsidRDefault="00640C74"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r>
      <w:r w:rsidR="00D11947" w:rsidRPr="006A4BCA">
        <w:rPr>
          <w:rFonts w:ascii="Times New Roman" w:hAnsi="Times New Roman" w:cs="Times New Roman"/>
          <w:sz w:val="24"/>
          <w:szCs w:val="24"/>
        </w:rPr>
        <w:t>PRIMERO</w:t>
      </w:r>
      <w:r w:rsidRPr="006A4BCA">
        <w:rPr>
          <w:rFonts w:ascii="Times New Roman" w:hAnsi="Times New Roman" w:cs="Times New Roman"/>
          <w:sz w:val="24"/>
          <w:szCs w:val="24"/>
        </w:rPr>
        <w:t xml:space="preserve">. Publíquese el presente decreto en el Periódico Oficial Gaceta de Gobierno. </w:t>
      </w:r>
    </w:p>
    <w:p w:rsidR="00640C74" w:rsidRPr="006A4BCA" w:rsidRDefault="00640C74"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r>
      <w:r w:rsidR="00790DE9" w:rsidRPr="006A4BCA">
        <w:rPr>
          <w:rFonts w:ascii="Times New Roman" w:hAnsi="Times New Roman" w:cs="Times New Roman"/>
          <w:sz w:val="24"/>
          <w:szCs w:val="24"/>
        </w:rPr>
        <w:t>SEGUNDO</w:t>
      </w:r>
      <w:r w:rsidRPr="006A4BCA">
        <w:rPr>
          <w:rFonts w:ascii="Times New Roman" w:hAnsi="Times New Roman" w:cs="Times New Roman"/>
          <w:sz w:val="24"/>
          <w:szCs w:val="24"/>
        </w:rPr>
        <w:t xml:space="preserve">. El presente decreto entrará en vigor al día siguiente de su publicación en el Periódico Oficial </w:t>
      </w:r>
      <w:r w:rsidR="00E229AC" w:rsidRPr="006A4BCA">
        <w:rPr>
          <w:rFonts w:ascii="Times New Roman" w:hAnsi="Times New Roman" w:cs="Times New Roman"/>
          <w:sz w:val="24"/>
          <w:szCs w:val="24"/>
        </w:rPr>
        <w:t>“</w:t>
      </w:r>
      <w:r w:rsidRPr="006A4BCA">
        <w:rPr>
          <w:rFonts w:ascii="Times New Roman" w:hAnsi="Times New Roman" w:cs="Times New Roman"/>
          <w:sz w:val="24"/>
          <w:szCs w:val="24"/>
        </w:rPr>
        <w:t>Gaceta del Gobierno</w:t>
      </w:r>
      <w:r w:rsidR="00E229AC" w:rsidRPr="006A4BCA">
        <w:rPr>
          <w:rFonts w:ascii="Times New Roman" w:hAnsi="Times New Roman" w:cs="Times New Roman"/>
          <w:sz w:val="24"/>
          <w:szCs w:val="24"/>
        </w:rPr>
        <w:t>”</w:t>
      </w:r>
      <w:r w:rsidRPr="006A4BCA">
        <w:rPr>
          <w:rFonts w:ascii="Times New Roman" w:hAnsi="Times New Roman" w:cs="Times New Roman"/>
          <w:sz w:val="24"/>
          <w:szCs w:val="24"/>
        </w:rPr>
        <w:t>.</w:t>
      </w:r>
    </w:p>
    <w:p w:rsidR="00640C74" w:rsidRPr="006A4BCA" w:rsidRDefault="00640C74"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Palacio del Poder Ejecutivo en la ciudad de Toluca, capital del Estado de México, a los nueve días del mes de marzo del año dos mil veintiséis. </w:t>
      </w:r>
    </w:p>
    <w:p w:rsidR="00640C74" w:rsidRPr="006A4BCA" w:rsidRDefault="00640C74" w:rsidP="00C80DF4">
      <w:pPr>
        <w:pStyle w:val="Sinespaciado"/>
        <w:jc w:val="center"/>
        <w:rPr>
          <w:rFonts w:ascii="Times New Roman" w:hAnsi="Times New Roman" w:cs="Times New Roman"/>
          <w:sz w:val="24"/>
          <w:szCs w:val="24"/>
        </w:rPr>
      </w:pPr>
      <w:r w:rsidRPr="006A4BCA">
        <w:rPr>
          <w:rFonts w:ascii="Times New Roman" w:hAnsi="Times New Roman" w:cs="Times New Roman"/>
          <w:sz w:val="24"/>
          <w:szCs w:val="24"/>
        </w:rPr>
        <w:t>LA GOBERNADORA CONSTITUCIONAL DEL ESTADO DE MÉXICO</w:t>
      </w:r>
    </w:p>
    <w:p w:rsidR="00640C74" w:rsidRPr="006A4BCA" w:rsidRDefault="00640C74" w:rsidP="00C80DF4">
      <w:pPr>
        <w:pStyle w:val="Sinespaciado"/>
        <w:jc w:val="center"/>
        <w:rPr>
          <w:rFonts w:ascii="Times New Roman" w:hAnsi="Times New Roman" w:cs="Times New Roman"/>
          <w:sz w:val="24"/>
          <w:szCs w:val="24"/>
        </w:rPr>
      </w:pPr>
      <w:r w:rsidRPr="006A4BCA">
        <w:rPr>
          <w:rFonts w:ascii="Times New Roman" w:hAnsi="Times New Roman" w:cs="Times New Roman"/>
          <w:sz w:val="24"/>
          <w:szCs w:val="24"/>
        </w:rPr>
        <w:t>MAESTRA DELFINA GÓMEZ ÁLVAREZ.</w:t>
      </w:r>
    </w:p>
    <w:p w:rsidR="00640C74" w:rsidRPr="006A4BCA" w:rsidRDefault="00640C74"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Es cuanto </w:t>
      </w:r>
      <w:r w:rsidR="00E229AC" w:rsidRPr="006A4BCA">
        <w:rPr>
          <w:rFonts w:ascii="Times New Roman" w:hAnsi="Times New Roman" w:cs="Times New Roman"/>
          <w:sz w:val="24"/>
          <w:szCs w:val="24"/>
        </w:rPr>
        <w:t>d</w:t>
      </w:r>
      <w:r w:rsidRPr="006A4BCA">
        <w:rPr>
          <w:rFonts w:ascii="Times New Roman" w:hAnsi="Times New Roman" w:cs="Times New Roman"/>
          <w:sz w:val="24"/>
          <w:szCs w:val="24"/>
        </w:rPr>
        <w:t xml:space="preserve">iputada Presidenta. </w:t>
      </w:r>
    </w:p>
    <w:p w:rsidR="002E140E" w:rsidRPr="006A4BCA" w:rsidRDefault="002E140E" w:rsidP="00E00441">
      <w:pPr>
        <w:pStyle w:val="Sinespaciado"/>
        <w:jc w:val="both"/>
        <w:rPr>
          <w:rFonts w:ascii="Times New Roman" w:hAnsi="Times New Roman" w:cs="Times New Roman"/>
          <w:sz w:val="24"/>
          <w:szCs w:val="24"/>
        </w:rPr>
      </w:pPr>
    </w:p>
    <w:p w:rsidR="002E140E" w:rsidRPr="006A4BCA" w:rsidRDefault="002E140E" w:rsidP="00E00441">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(Se inserta documento)</w:t>
      </w:r>
    </w:p>
    <w:p w:rsidR="002E140E" w:rsidRPr="006A4BCA" w:rsidRDefault="002E140E" w:rsidP="00E00441">
      <w:pPr>
        <w:spacing w:after="0" w:line="240" w:lineRule="auto"/>
        <w:jc w:val="center"/>
        <w:rPr>
          <w:rFonts w:ascii="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b/>
          <w:sz w:val="24"/>
          <w:szCs w:val="24"/>
        </w:rPr>
      </w:pPr>
      <w:r w:rsidRPr="006A4BCA">
        <w:rPr>
          <w:rFonts w:ascii="Times New Roman" w:eastAsia="Arial" w:hAnsi="Times New Roman" w:cs="Times New Roman"/>
          <w:b/>
          <w:sz w:val="24"/>
          <w:szCs w:val="24"/>
        </w:rPr>
        <w:t>CONSEJERIA</w:t>
      </w:r>
    </w:p>
    <w:p w:rsidR="00E44DF9" w:rsidRPr="006A4BCA" w:rsidRDefault="00E44DF9" w:rsidP="00E44DF9">
      <w:pPr>
        <w:spacing w:after="0" w:line="240" w:lineRule="auto"/>
        <w:ind w:right="8"/>
        <w:jc w:val="both"/>
        <w:rPr>
          <w:rFonts w:ascii="Times New Roman" w:eastAsia="Arial" w:hAnsi="Times New Roman" w:cs="Times New Roman"/>
          <w:b/>
          <w:sz w:val="24"/>
          <w:szCs w:val="24"/>
        </w:rPr>
      </w:pPr>
      <w:r w:rsidRPr="006A4BCA">
        <w:rPr>
          <w:rFonts w:ascii="Times New Roman" w:eastAsia="Arial" w:hAnsi="Times New Roman" w:cs="Times New Roman"/>
          <w:b/>
          <w:sz w:val="24"/>
          <w:szCs w:val="24"/>
        </w:rPr>
        <w:t>JURÍDICA</w:t>
      </w:r>
    </w:p>
    <w:p w:rsidR="00E44DF9" w:rsidRPr="006A4BCA" w:rsidRDefault="00E44DF9" w:rsidP="00E44DF9">
      <w:pPr>
        <w:spacing w:after="0" w:line="240" w:lineRule="auto"/>
        <w:ind w:right="8"/>
        <w:jc w:val="both"/>
        <w:rPr>
          <w:rFonts w:ascii="Times New Roman" w:eastAsia="Arial" w:hAnsi="Times New Roman" w:cs="Times New Roman"/>
          <w:sz w:val="24"/>
          <w:szCs w:val="24"/>
        </w:rPr>
      </w:pPr>
    </w:p>
    <w:p w:rsidR="00E44DF9" w:rsidRPr="006A4BCA" w:rsidRDefault="00E44DF9" w:rsidP="00E44DF9">
      <w:pPr>
        <w:spacing w:after="0" w:line="240" w:lineRule="auto"/>
        <w:ind w:right="8"/>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"2026. Año del Humanismo Mexicano en el Estado de México"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right"/>
        <w:rPr>
          <w:rFonts w:ascii="Times New Roman" w:eastAsia="Arial" w:hAnsi="Times New Roman" w:cs="Times New Roman"/>
          <w:sz w:val="24"/>
          <w:szCs w:val="24"/>
        </w:rPr>
      </w:pPr>
      <w:r w:rsidRPr="006A4BCA">
        <w:rPr>
          <w:rFonts w:ascii="Times New Roman" w:eastAsia="Arial" w:hAnsi="Times New Roman" w:cs="Times New Roman"/>
          <w:sz w:val="24"/>
          <w:szCs w:val="24"/>
        </w:rPr>
        <w:t>Toluca de Lerdo, Estado de México a 10 de marzo 2026</w:t>
      </w:r>
    </w:p>
    <w:p w:rsidR="00E44DF9" w:rsidRPr="006A4BCA" w:rsidRDefault="00E44DF9" w:rsidP="00E44DF9">
      <w:pPr>
        <w:spacing w:after="0" w:line="240" w:lineRule="auto"/>
        <w:ind w:right="8"/>
        <w:jc w:val="right"/>
        <w:rPr>
          <w:rFonts w:ascii="Times New Roman" w:eastAsia="Arial" w:hAnsi="Times New Roman" w:cs="Times New Roman"/>
          <w:sz w:val="24"/>
          <w:szCs w:val="24"/>
        </w:rPr>
      </w:pPr>
      <w:r w:rsidRPr="006A4BCA">
        <w:rPr>
          <w:rFonts w:ascii="Times New Roman" w:eastAsia="Arial" w:hAnsi="Times New Roman" w:cs="Times New Roman"/>
          <w:b/>
          <w:sz w:val="24"/>
          <w:szCs w:val="24"/>
        </w:rPr>
        <w:t>Oficio número CJ/233A00000000000/454/2026</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Diputada</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Martha Azucena Camacho Reynoso</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Presidenta de la Mesa Directiva</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de la "LXII" Legislatura del Estado de México</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Presente</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lastRenderedPageBreak/>
        <w:t xml:space="preserve">Con fundamento en lo establecido por la fracción XI del artículo 57 de la Ley Orgánica de la Administración Pública del Estado de México, me permito ser el conducto para presentar ante Usted la </w:t>
      </w:r>
      <w:r w:rsidRPr="006A4BCA">
        <w:rPr>
          <w:rFonts w:ascii="Times New Roman" w:eastAsia="Arial" w:hAnsi="Times New Roman" w:cs="Times New Roman"/>
          <w:b/>
          <w:sz w:val="24"/>
          <w:szCs w:val="24"/>
        </w:rPr>
        <w:t>Iniciativa de Decreto por el que se autoriza al H. Ayuntamiento de Texcoco,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Sin otro particular, aprovecho la ocasión para enviarle un cordial saludo.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b/>
          <w:sz w:val="24"/>
          <w:szCs w:val="24"/>
        </w:rPr>
      </w:pPr>
      <w:r w:rsidRPr="006A4BCA">
        <w:rPr>
          <w:rFonts w:ascii="Times New Roman" w:eastAsia="Arial" w:hAnsi="Times New Roman" w:cs="Times New Roman"/>
          <w:b/>
          <w:sz w:val="24"/>
          <w:szCs w:val="24"/>
        </w:rPr>
        <w:t>Atentamente</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Lic. Jesús George Zamora</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Consejero Jurídico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(Rúbrica)</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C.c.p. Mtra. Delfina Gómez Álvarez, Gobernadora Constitucional del Estado de México.</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Mtro. Horacio Duarte Olivares, Secretario General de Gobierno.</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Dip. José Francisco Vázquez Rodríguez, Presidente de la Junta de Coordinación Política de la "LXII" Legislatura del Estado de México.</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Mtro. Javier Domínguez Morales, Secretario de Asuntos Parlamentarios de la "LXII" Legislatura del Estado de México.</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Lic. Javier de Jesús Domínguez González, Encargado de Despacho de la Dirección General de Legislación </w:t>
      </w:r>
      <w:r w:rsidRPr="006A4BCA">
        <w:rPr>
          <w:rFonts w:ascii="Times New Roman" w:eastAsia="Times New Roman" w:hAnsi="Times New Roman" w:cs="Times New Roman"/>
          <w:sz w:val="24"/>
          <w:szCs w:val="24"/>
        </w:rPr>
        <w:t xml:space="preserve">y </w:t>
      </w:r>
      <w:r w:rsidRPr="006A4BCA">
        <w:rPr>
          <w:rFonts w:ascii="Times New Roman" w:eastAsia="Arial" w:hAnsi="Times New Roman" w:cs="Times New Roman"/>
          <w:sz w:val="24"/>
          <w:szCs w:val="24"/>
        </w:rPr>
        <w:t>del Periódico Oficial "Gaceta del Gobierno".</w:t>
      </w:r>
    </w:p>
    <w:p w:rsidR="00E44DF9" w:rsidRPr="006A4BCA" w:rsidRDefault="00E44DF9" w:rsidP="00E44DF9">
      <w:pPr>
        <w:spacing w:after="0" w:line="240" w:lineRule="auto"/>
        <w:ind w:right="8"/>
        <w:jc w:val="both"/>
        <w:rPr>
          <w:rFonts w:ascii="Times New Roman" w:eastAsia="Arial" w:hAnsi="Times New Roman" w:cs="Times New Roman"/>
          <w:b/>
          <w:sz w:val="24"/>
          <w:szCs w:val="24"/>
        </w:rPr>
      </w:pPr>
    </w:p>
    <w:p w:rsidR="00E44DF9" w:rsidRPr="006A4BCA" w:rsidRDefault="00E44DF9" w:rsidP="00E44DF9">
      <w:pPr>
        <w:spacing w:after="0" w:line="240" w:lineRule="auto"/>
        <w:ind w:right="8"/>
        <w:jc w:val="both"/>
        <w:rPr>
          <w:rFonts w:ascii="Times New Roman" w:eastAsia="Arial" w:hAnsi="Times New Roman" w:cs="Times New Roman"/>
          <w:b/>
          <w:sz w:val="24"/>
          <w:szCs w:val="24"/>
        </w:rPr>
      </w:pPr>
    </w:p>
    <w:p w:rsidR="00E44DF9" w:rsidRPr="006A4BCA" w:rsidRDefault="00E44DF9" w:rsidP="00E44DF9">
      <w:pPr>
        <w:spacing w:after="0" w:line="240" w:lineRule="auto"/>
        <w:ind w:right="8"/>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"2026. Año del Humanismo Mexicano en el Estado de México".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right"/>
        <w:rPr>
          <w:rFonts w:ascii="Times New Roman" w:eastAsia="Arial" w:hAnsi="Times New Roman" w:cs="Times New Roman"/>
          <w:sz w:val="24"/>
          <w:szCs w:val="24"/>
        </w:rPr>
      </w:pPr>
      <w:r w:rsidRPr="006A4BCA">
        <w:rPr>
          <w:rFonts w:ascii="Times New Roman" w:eastAsia="Times New Roman" w:hAnsi="Times New Roman" w:cs="Times New Roman"/>
          <w:b/>
          <w:sz w:val="24"/>
          <w:szCs w:val="24"/>
        </w:rPr>
        <w:t xml:space="preserve">Oficina </w:t>
      </w:r>
      <w:r w:rsidRPr="006A4BCA">
        <w:rPr>
          <w:rFonts w:ascii="Times New Roman" w:eastAsia="Arial" w:hAnsi="Times New Roman" w:cs="Times New Roman"/>
          <w:b/>
          <w:sz w:val="24"/>
          <w:szCs w:val="24"/>
        </w:rPr>
        <w:t>de la Gobernadora</w:t>
      </w:r>
    </w:p>
    <w:p w:rsidR="00E44DF9" w:rsidRPr="006A4BCA" w:rsidRDefault="00E44DF9" w:rsidP="00E44DF9">
      <w:pPr>
        <w:spacing w:after="0" w:line="240" w:lineRule="auto"/>
        <w:ind w:right="8"/>
        <w:jc w:val="right"/>
        <w:rPr>
          <w:rFonts w:ascii="Times New Roman" w:eastAsia="Times New Roman" w:hAnsi="Times New Roman" w:cs="Times New Roman"/>
          <w:sz w:val="24"/>
          <w:szCs w:val="24"/>
        </w:rPr>
      </w:pPr>
    </w:p>
    <w:p w:rsidR="00E44DF9" w:rsidRPr="006A4BCA" w:rsidRDefault="00E44DF9" w:rsidP="00E44DF9">
      <w:pPr>
        <w:spacing w:after="0" w:line="240" w:lineRule="auto"/>
        <w:ind w:right="8"/>
        <w:jc w:val="right"/>
        <w:rPr>
          <w:rFonts w:ascii="Times New Roman" w:eastAsia="Arial" w:hAnsi="Times New Roman" w:cs="Times New Roman"/>
          <w:sz w:val="24"/>
          <w:szCs w:val="24"/>
        </w:rPr>
      </w:pPr>
      <w:r w:rsidRPr="006A4BCA">
        <w:rPr>
          <w:rFonts w:ascii="Times New Roman" w:eastAsia="Arial" w:hAnsi="Times New Roman" w:cs="Times New Roman"/>
          <w:sz w:val="24"/>
          <w:szCs w:val="24"/>
        </w:rPr>
        <w:t>Toluca de Lerdo, México</w:t>
      </w:r>
    </w:p>
    <w:p w:rsidR="00E44DF9" w:rsidRPr="006A4BCA" w:rsidRDefault="00E44DF9" w:rsidP="00E44DF9">
      <w:pPr>
        <w:spacing w:after="0" w:line="240" w:lineRule="auto"/>
        <w:ind w:right="8"/>
        <w:jc w:val="right"/>
        <w:rPr>
          <w:rFonts w:ascii="Times New Roman" w:eastAsia="Arial" w:hAnsi="Times New Roman" w:cs="Times New Roman"/>
          <w:sz w:val="24"/>
          <w:szCs w:val="24"/>
        </w:rPr>
      </w:pPr>
      <w:r w:rsidRPr="006A4BCA">
        <w:rPr>
          <w:rFonts w:ascii="Times New Roman" w:eastAsia="Arial" w:hAnsi="Times New Roman" w:cs="Times New Roman"/>
          <w:sz w:val="24"/>
          <w:szCs w:val="24"/>
        </w:rPr>
        <w:t>a 9 de marzo de 2026.</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DIPUTADA</w:t>
      </w:r>
    </w:p>
    <w:p w:rsidR="00E44DF9" w:rsidRPr="006A4BCA" w:rsidRDefault="00E44DF9" w:rsidP="00E44DF9">
      <w:pPr>
        <w:spacing w:after="0" w:line="240" w:lineRule="auto"/>
        <w:ind w:right="8"/>
        <w:jc w:val="both"/>
        <w:rPr>
          <w:rFonts w:ascii="Times New Roman" w:eastAsia="Arial" w:hAnsi="Times New Roman" w:cs="Times New Roman"/>
          <w:b/>
          <w:sz w:val="24"/>
          <w:szCs w:val="24"/>
        </w:rPr>
      </w:pPr>
      <w:r w:rsidRPr="006A4BCA">
        <w:rPr>
          <w:rFonts w:ascii="Times New Roman" w:eastAsia="Arial" w:hAnsi="Times New Roman" w:cs="Times New Roman"/>
          <w:b/>
          <w:sz w:val="24"/>
          <w:szCs w:val="24"/>
        </w:rPr>
        <w:t>MARTHA AZUCENA CAMACHO REYNOSO</w:t>
      </w:r>
    </w:p>
    <w:p w:rsidR="00E44DF9" w:rsidRPr="006A4BCA" w:rsidRDefault="00E44DF9" w:rsidP="00E44DF9">
      <w:pPr>
        <w:spacing w:after="0" w:line="240" w:lineRule="auto"/>
        <w:ind w:right="8"/>
        <w:jc w:val="both"/>
        <w:rPr>
          <w:rFonts w:ascii="Times New Roman" w:eastAsia="Arial" w:hAnsi="Times New Roman" w:cs="Times New Roman"/>
          <w:b/>
          <w:sz w:val="24"/>
          <w:szCs w:val="24"/>
        </w:rPr>
      </w:pPr>
      <w:r w:rsidRPr="006A4BCA">
        <w:rPr>
          <w:rFonts w:ascii="Times New Roman" w:eastAsia="Arial" w:hAnsi="Times New Roman" w:cs="Times New Roman"/>
          <w:b/>
          <w:sz w:val="24"/>
          <w:szCs w:val="24"/>
        </w:rPr>
        <w:t>PRESIDENTA DE LA H. "LXII" LEGISLATURA</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DEL ESTADO DE MÉXICO</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PRESENTE</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DELFINA GÓMEZ ÁLVAREZ, Gobernadora Constitucional del Estado Libre y Soberano de México, </w:t>
      </w:r>
      <w:r w:rsidRPr="006A4BCA">
        <w:rPr>
          <w:rFonts w:ascii="Times New Roman" w:eastAsia="Arial" w:hAnsi="Times New Roman" w:cs="Times New Roman"/>
          <w:sz w:val="24"/>
          <w:szCs w:val="24"/>
        </w:rPr>
        <w:t>en ejercicio de la facultad que me confieren los artículos 51, fracción I</w:t>
      </w:r>
      <w:r w:rsidRPr="006A4BCA">
        <w:rPr>
          <w:rFonts w:ascii="Times New Roman" w:eastAsia="Arial" w:hAnsi="Times New Roman" w:cs="Times New Roman"/>
          <w:b/>
          <w:sz w:val="24"/>
          <w:szCs w:val="24"/>
        </w:rPr>
        <w:t xml:space="preserve">, </w:t>
      </w:r>
      <w:r w:rsidRPr="006A4BCA">
        <w:rPr>
          <w:rFonts w:ascii="Times New Roman" w:eastAsia="Arial" w:hAnsi="Times New Roman" w:cs="Times New Roman"/>
          <w:sz w:val="24"/>
          <w:szCs w:val="24"/>
        </w:rPr>
        <w:t xml:space="preserve">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6A4BCA">
        <w:rPr>
          <w:rFonts w:ascii="Times New Roman" w:eastAsia="Arial" w:hAnsi="Times New Roman" w:cs="Times New Roman"/>
          <w:b/>
          <w:sz w:val="24"/>
          <w:szCs w:val="24"/>
        </w:rPr>
        <w:t xml:space="preserve">Iniciativa de Decreto por el que se autoriza al H. Ayuntamiento de Texcoco,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w:t>
      </w:r>
      <w:r w:rsidRPr="006A4BCA">
        <w:rPr>
          <w:rFonts w:ascii="Times New Roman" w:eastAsia="Arial" w:hAnsi="Times New Roman" w:cs="Times New Roman"/>
          <w:sz w:val="24"/>
          <w:szCs w:val="24"/>
        </w:rPr>
        <w:t>de conformidad con la siguiente:</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EXPOSICIÓN DE MOTIVOS</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artículo 3°, quinto párrafo de la Constitución Política de los Estados Unidos Mexicanos, establece que el Estado priorizará el interés superior de niñas y niños, en el acceso, permanencia y participación en los servicios educativos; asimismo, el diverso artículo 4°, consagra el derecho a la protección a la salud que toda persona tiene y, prevé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Al respecto, el artículo 43 de la Ley General de los Derechos de Niñas, Niños y Adolescentes, determina que las niñas y los niños tienen derecho a vivir en un medio ambiente sano y sustentable y, en condiciones que permitan su desarrollo, bienestar, crecimiento saludable y armonioso, tanto físico como mental, material, espiritual, ético, cultural y social.</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artículo 73, primer párrafo de la Ley General de Educación, prevé que, en la impartición de educación para menores de dieciocho años, se tomarán medidas que aseguren al educando la protección y el cuidado necesarios para preservar su integridad física, psicológica y social sobre la base del respeto a su dignidad y derechos.</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igual sentido, el artículo 9 de la Ley General de Prestación de Servicios para la Atención, Cuidado y Desarrollo Integral Infantil, dispone que, las niñas y niños tienen derecho a recibir los servicios para la atención, cuidado y desarrollo integral infantil en condiciones de calidad, calidez, seguridad, protección y respeto a sus derechos, identidad e individualidad con el fin de garantizar el interés superior de la niñez.</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artículo 12 de dicha Ley, indica que, para garantizar el cumplimiento de los servicios para la atención, cuidado y desarrollo integral infantil, que se prestan en los diversos centros de atención, éstos contemplarán entre sus actividades, protección y seguridad; fomento al cuidado de la salud; alimentación adecuada y suficiente para su nutrición; fomento a la comprensión y ejercicio de los derechos de niñas y niños; descanso, esparcimiento, juego y actividades recreativas propias de su edad; apoyo al desarrollo biológico, cognoscitivo, psicomotriz y socio-afectivo; así como, enseñanza del lenguaje y comunicación.</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congruencia con lo anterior, el artículo 5° de la Constitución Política del Estado Libre y Soberano de México, establece que, en el Estado de México, la educación inicial es un derecho de la niñez y será responsabilidad del Estado concientizar sobre su importancia, asimismo, que se priorizará el interés superior de niñas y niños en el acceso, permanencia y participación en los servicios educativos, por lo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El artículo 4 de la Ley de los Derechos de Niñas, Niños y Adolescentes del Estado de México, señala que el Estado de México y sus municipios, en el diseño y ejecución de políticas públicas, </w:t>
      </w:r>
      <w:r w:rsidRPr="006A4BCA">
        <w:rPr>
          <w:rFonts w:ascii="Times New Roman" w:eastAsia="Arial" w:hAnsi="Times New Roman" w:cs="Times New Roman"/>
          <w:sz w:val="24"/>
          <w:szCs w:val="24"/>
        </w:rPr>
        <w:lastRenderedPageBreak/>
        <w:t>deberán garantizar el máximo bienestar posible de niñas y niños, privilegiando su interés superior, a través de medidas estructurales, legales, administrativas y presupuesta les.</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Asimismo, el artículo 25, primer párrafo de la Ley en referencia, específica que, las niñas y los niños tienen derecho a vivir en un medio ambiente sano y sustentable, y en condiciones adecuadas que permitan su desarrollo, bienestar, crecimiento saludable y armonioso, tanto físico como mental, material, espiritual, ético, cultural y social.</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artículo 7, tercer párrafo de la Ley de Educación del Estado de México, estipula que, la educación inicial es un derecho de la niñez y que, es responsabilidad del Estado concientizar sobre su importancia y garantizarla; asimismo, el diverso artículo 89, primer párrafo, de la misma Ley, refiere que, en la impartición de educación para menores de dieciocho años, las autoridades educativas en su respectivo ámbito de competencia tomarán las medidas que aseguren al educando la protección y el cuidado necesarios para preservar su integridad física, psicológica y social sobre la base del respeto a su dignidad y derechos.</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artículo 1</w:t>
      </w:r>
      <w:r w:rsidRPr="006A4BCA">
        <w:rPr>
          <w:rFonts w:ascii="Times New Roman" w:eastAsia="Times New Roman" w:hAnsi="Times New Roman" w:cs="Times New Roman"/>
          <w:sz w:val="24"/>
          <w:szCs w:val="24"/>
        </w:rPr>
        <w:t xml:space="preserve">0 </w:t>
      </w:r>
      <w:r w:rsidRPr="006A4BCA">
        <w:rPr>
          <w:rFonts w:ascii="Times New Roman" w:eastAsia="Arial" w:hAnsi="Times New Roman" w:cs="Times New Roman"/>
          <w:sz w:val="24"/>
          <w:szCs w:val="24"/>
        </w:rPr>
        <w:t>de la Ley de Prestación de Servicios para la Atención, Cuidado y Desarrollo Integral Infantil en el Estado de México, determina que, en todo momento prevalecerá el interés superior de las niñas y niños, especialmente al recibir los servicios para la atención, cuidado y desarrollo integral infantil. También, el artículo 11, de la citada Ley, dispone que, para garantizar su interés superior, las niñas y niños tienen derecho a recibir los servicios para su atención, cuidado y desarrollo integral en condiciones de calidad, calidez, seguridad, protección y respeto a sus derechos, identidad e individualidad.</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Igualmente, el artículo 1</w:t>
      </w:r>
      <w:r w:rsidRPr="006A4BCA">
        <w:rPr>
          <w:rFonts w:ascii="Times New Roman" w:eastAsia="Times New Roman" w:hAnsi="Times New Roman" w:cs="Times New Roman"/>
          <w:sz w:val="24"/>
          <w:szCs w:val="24"/>
        </w:rPr>
        <w:t xml:space="preserve">2 </w:t>
      </w:r>
      <w:r w:rsidRPr="006A4BCA">
        <w:rPr>
          <w:rFonts w:ascii="Times New Roman" w:eastAsia="Arial" w:hAnsi="Times New Roman" w:cs="Times New Roman"/>
          <w:sz w:val="24"/>
          <w:szCs w:val="24"/>
        </w:rPr>
        <w:t>de dicha Ley, prevé que, para garantizar el cumplimiento de los servicios para la atención, cuidado y desarrollo integral infantil, que se prestan en los centros de atención, éstos deberán de contemplar entre sus actividades: alimentación adecuada y suficiente para su nutrición; apoyo al desarrollo biológico, cognoscitivo, psicomotriz y socio-afectivo; descanso, esparcimiento, juego y actividades recreativas propias de la edad; enseñanza del lenguaje y comunicación incluyendo, en su caso, lenguas indígenas, sistema braille o el de señas; fomento a la comprensión y ejercicio de los derechos de las niñas y los niños; fomento al cuidado de la salud; así como, supervisión e inspección efectiva en materia de salud y protección civil.</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ese contexto, para garantizar la prestación de los servicios de atención, cuidado y desarrollo integral infantil, el Gobierno de México anunció la sustitución de las guarderías del Instituto Mexicano del Seguro Social, por un nuevo modelo pedagógico denominado "Centro de Educación y Cuidado Infantil (CECI)", el cual, se conforma como un espacio que ofrece atención integral a lactantes, maternales y preescolares, mismo que combina la educación temprana con el cuidado diario. para fomentar su desarrollo cognitivo. físico y emocional. con el que se garantiza un entorno seguro. afectuoso y estimulante para las infancias en México.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seguimiento a los programas y acciones del Plan Integral de la Zona Oriente del Estado de México. en lo que respecta al Municipio de Texcoco, el 08 de agosto de 2025, mediante oficio número 15 9001 100100/JSA/0792/2025, la persona Titular del Órgano de Operación Administrativa Desconcentrada Regional Estado de México Oriente del Instituto Mexicano del Seguro Social, solicitó a la Presidencia Municipal de Texcoco, la rectificación o ratificación de la ubicación de un inmueble propuesto para donación para la construcción de un Centro de Educación y Cuidado Infantil (CECI).</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lastRenderedPageBreak/>
        <w:t>En respuesta a dicha petición, el 04 de septiembre de 2025, a través del oficio PM/136/2025, la Presidencia Municipal de Texcoco, informó a la persona Titular del Órgano de Operación Administrativa Desconcentrada Regional Estado de México Oriente del Instituto Mexicano del Seguro Social, su interés en contar en el Municipio con un Centro de Educación y Cuidado Infantil, para apoyar a las madres trabajadoras de la región y, ofreció el predio identificado como lote-z, del terreno denominado "Tierra Larga". en el poblado de Huexotla, Municipio de Texcoco, Estado de México, actualmente ubicado en calle Camino a Tolimpa (antes calle Limones). número 33. esquina Cerrada Francisco Alfonso Larqué Saavedra. Colonia San Mateo Huexotla, Municipio de Texcoco, Estado de México. con una superficie de 2.800.98 m2 (dos mil ochocientos metros con noventa y ocho centímetros).</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Para tales efectos, el H. Ayuntamiento de Texcoco, durante la vigésima tercera sesión ordinaria de Cabildo. celebrada el OS de septiembre de 2025. aprobó. por acuerdo número 86. autorizar la desincorporación del patrimonio municipal de un inmueble con una superficie de 2.800.98 m2 (dos mil ochocientos metros con noventa y ocho centímetros). identificado como lote-z, del terreno denominado "Tierra Larga". en el poblado de Huexotla, Municipio de Texcoco, Estado de México, actualmente ubicado en calle Camino a Tolimpa (antes calle Limones), número 33, esquina Cerrada Francisco Alfonso Larqué Saavedra. Colonia San Mateo Huexotla, Municipio de Texcoco, Estado de México, para que sea donado a título gratuito a favor del Instituto Mexicano del Seguro Social. para la construcción de un Centro de Educación y Cuidado Infantil (CECI}, así como, que la Presidencia Municipal Constitucional solicite a la Legislatura Local o la Diputación Permanente, a través del Ejecutivo del Estado dicha desincorporación.</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Municipio de Texcoco, Estado de México, es propietario del Lote-2, resultante de la subdivisión de una fracción de terreno denominado "Tierra Larga". en el poblado de Huexotla, Municipio de Texcoco, Estado de México, actualmente ubicado en calle Camino a Tolimpa (antes calle Limones), número 33, esquina Cerrada Francisco Alfonso Larqué Saavedra, Colonia San Mateo Huexotla, Municipio de Texcoco, Estado de México. con una superficie de 2,800.98 m2 (dos mil ochocientos metros con noventa y ocho centímetros), con las siguientes medidas y colindancias:</w:t>
      </w:r>
    </w:p>
    <w:p w:rsidR="00E44DF9" w:rsidRPr="006A4BCA" w:rsidRDefault="00E44DF9" w:rsidP="00E44DF9">
      <w:pPr>
        <w:spacing w:after="0" w:line="240" w:lineRule="auto"/>
        <w:ind w:right="8"/>
        <w:jc w:val="both"/>
        <w:rPr>
          <w:rFonts w:ascii="Times New Roman" w:eastAsia="Arial" w:hAnsi="Times New Roman" w:cs="Times New Roman"/>
          <w:sz w:val="24"/>
          <w:szCs w:val="24"/>
        </w:rPr>
      </w:pPr>
    </w:p>
    <w:p w:rsidR="00E44DF9" w:rsidRPr="006A4BCA" w:rsidRDefault="00E44DF9" w:rsidP="00E44DF9">
      <w:pPr>
        <w:spacing w:after="0" w:line="240" w:lineRule="auto"/>
        <w:ind w:left="2126" w:right="8" w:hanging="212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AL NORTE:</w:t>
      </w:r>
      <w:r w:rsidRPr="006A4BCA">
        <w:rPr>
          <w:rFonts w:ascii="Times New Roman" w:eastAsia="Arial" w:hAnsi="Times New Roman" w:cs="Times New Roman"/>
          <w:sz w:val="24"/>
          <w:szCs w:val="24"/>
        </w:rPr>
        <w:t xml:space="preserve"> </w:t>
      </w:r>
      <w:r w:rsidRPr="006A4BCA">
        <w:rPr>
          <w:rFonts w:ascii="Times New Roman" w:eastAsia="Arial" w:hAnsi="Times New Roman" w:cs="Times New Roman"/>
          <w:sz w:val="24"/>
          <w:szCs w:val="24"/>
        </w:rPr>
        <w:tab/>
      </w:r>
      <w:r w:rsidRPr="006A4BCA">
        <w:rPr>
          <w:rFonts w:ascii="Times New Roman" w:eastAsia="Arial" w:hAnsi="Times New Roman" w:cs="Times New Roman"/>
          <w:sz w:val="24"/>
          <w:szCs w:val="24"/>
        </w:rPr>
        <w:tab/>
        <w:t>En 50.98 metros (cincuenta metros con noventa y ocho centímetros) con Camino a Tolimpa, (antes calle Limones).</w:t>
      </w:r>
    </w:p>
    <w:p w:rsidR="00E44DF9" w:rsidRPr="006A4BCA" w:rsidRDefault="00E44DF9" w:rsidP="00E44DF9">
      <w:pPr>
        <w:spacing w:after="0" w:line="240" w:lineRule="auto"/>
        <w:ind w:left="2126" w:right="8" w:hanging="212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AL ORIENTE:</w:t>
      </w:r>
      <w:r w:rsidRPr="006A4BCA">
        <w:rPr>
          <w:rFonts w:ascii="Times New Roman" w:eastAsia="Arial" w:hAnsi="Times New Roman" w:cs="Times New Roman"/>
          <w:sz w:val="24"/>
          <w:szCs w:val="24"/>
        </w:rPr>
        <w:t xml:space="preserve"> </w:t>
      </w:r>
      <w:r w:rsidRPr="006A4BCA">
        <w:rPr>
          <w:rFonts w:ascii="Times New Roman" w:eastAsia="Arial" w:hAnsi="Times New Roman" w:cs="Times New Roman"/>
          <w:sz w:val="24"/>
          <w:szCs w:val="24"/>
        </w:rPr>
        <w:tab/>
        <w:t xml:space="preserve">En 57.87 metros (cincuenta y siete metros con ochenta y siete centímetros) con Lote </w:t>
      </w:r>
      <w:r w:rsidRPr="006A4BCA">
        <w:rPr>
          <w:rFonts w:ascii="Times New Roman" w:eastAsia="Times New Roman" w:hAnsi="Times New Roman" w:cs="Times New Roman"/>
          <w:sz w:val="24"/>
          <w:szCs w:val="24"/>
        </w:rPr>
        <w:t xml:space="preserve">1 </w:t>
      </w:r>
      <w:r w:rsidRPr="006A4BCA">
        <w:rPr>
          <w:rFonts w:ascii="Times New Roman" w:eastAsia="Arial" w:hAnsi="Times New Roman" w:cs="Times New Roman"/>
          <w:sz w:val="24"/>
          <w:szCs w:val="24"/>
        </w:rPr>
        <w:t>(uno). resultante de la subdivisión del predio denominado "Tierra Larga".</w:t>
      </w:r>
    </w:p>
    <w:p w:rsidR="00E44DF9" w:rsidRPr="006A4BCA" w:rsidRDefault="00E44DF9" w:rsidP="00E44DF9">
      <w:pPr>
        <w:spacing w:after="0" w:line="240" w:lineRule="auto"/>
        <w:ind w:left="2126" w:right="8" w:hanging="212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AL SUR:</w:t>
      </w:r>
      <w:r w:rsidRPr="006A4BCA">
        <w:rPr>
          <w:rFonts w:ascii="Times New Roman" w:eastAsia="Arial" w:hAnsi="Times New Roman" w:cs="Times New Roman"/>
          <w:sz w:val="24"/>
          <w:szCs w:val="24"/>
        </w:rPr>
        <w:t xml:space="preserve"> </w:t>
      </w:r>
      <w:r w:rsidRPr="006A4BCA">
        <w:rPr>
          <w:rFonts w:ascii="Times New Roman" w:eastAsia="Arial" w:hAnsi="Times New Roman" w:cs="Times New Roman"/>
          <w:sz w:val="24"/>
          <w:szCs w:val="24"/>
        </w:rPr>
        <w:tab/>
      </w:r>
      <w:r w:rsidRPr="006A4BCA">
        <w:rPr>
          <w:rFonts w:ascii="Times New Roman" w:eastAsia="Arial" w:hAnsi="Times New Roman" w:cs="Times New Roman"/>
          <w:sz w:val="24"/>
          <w:szCs w:val="24"/>
        </w:rPr>
        <w:tab/>
        <w:t xml:space="preserve">En 50.64 metros (cincuenta metros con sesenta y cuatro centímetros) con Lote </w:t>
      </w:r>
      <w:r w:rsidRPr="006A4BCA">
        <w:rPr>
          <w:rFonts w:ascii="Times New Roman" w:eastAsia="Times New Roman" w:hAnsi="Times New Roman" w:cs="Times New Roman"/>
          <w:sz w:val="24"/>
          <w:szCs w:val="24"/>
        </w:rPr>
        <w:t xml:space="preserve">1 </w:t>
      </w:r>
      <w:r w:rsidRPr="006A4BCA">
        <w:rPr>
          <w:rFonts w:ascii="Times New Roman" w:eastAsia="Arial" w:hAnsi="Times New Roman" w:cs="Times New Roman"/>
          <w:sz w:val="24"/>
          <w:szCs w:val="24"/>
        </w:rPr>
        <w:t>(uno), resultante de la subdivisión del predio denominado "Tierra Larga".</w:t>
      </w:r>
    </w:p>
    <w:p w:rsidR="00E44DF9" w:rsidRPr="006A4BCA" w:rsidRDefault="00E44DF9" w:rsidP="00E44DF9">
      <w:pPr>
        <w:spacing w:after="0" w:line="240" w:lineRule="auto"/>
        <w:ind w:left="2126" w:right="8" w:hanging="212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AL PONIENTE:</w:t>
      </w:r>
      <w:r w:rsidRPr="006A4BCA">
        <w:rPr>
          <w:rFonts w:ascii="Times New Roman" w:eastAsia="Arial" w:hAnsi="Times New Roman" w:cs="Times New Roman"/>
          <w:sz w:val="24"/>
          <w:szCs w:val="24"/>
        </w:rPr>
        <w:t xml:space="preserve"> </w:t>
      </w:r>
      <w:r w:rsidRPr="006A4BCA">
        <w:rPr>
          <w:rFonts w:ascii="Times New Roman" w:eastAsia="Arial" w:hAnsi="Times New Roman" w:cs="Times New Roman"/>
          <w:sz w:val="24"/>
          <w:szCs w:val="24"/>
        </w:rPr>
        <w:tab/>
        <w:t>En 57.68 metros (cincuenta y siete metros con sesenta y ocho centímetros) con Fraccionamiento Villas de Tolimpa.</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La propiedad de dicho inmueble, se acredita con el Acta número 126,021, Volumen 3,011, Folios 030 al 034, del 09 de febrero de 2026, otorgada ante la fe del Licenciado José Antonio Reyes Duarte, Titular de la Notaría Pública número 29 del Estado de México y del Patrimonio Inmobiliario Federal, con residencia en el Municipio de Nezahualcóyotl, inscrita en el Instituto de la Función Registra! del Estado de México, en la oficina registral de Texcoco, bajo el folio real electrónico 00193885, de fecha 12 de febrero de 2026.</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lastRenderedPageBreak/>
        <w:t>El Director del Centro INAH Estado de México, a través de los oficios 401.3S.l-2025/3396 y 401.3S.l-2025/3478, de fechas 01 y 06 de octubre de 2025, respectivamente, indicó que, el inmueble objeto de donación, se ubica en un área que fue ocupada por asentamientos humanos durante diferentes periodos de la época prehispánica, por lo que cualquier obra de construcción deberá contar con el visto bueno de obra del INAH y, que dicho inmueble no es ni colinda con algún monumento histórico.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Conforme con el oficio número DDUYE/090/2026 del 12 de enero de 2026, emitido por el Titular de la Dirección de Desarrollo Urbano y Ecología del H. Ayuntamiento de Texcoco, se otorgó opinión favorable para el uso de suelo para el Centro de Educación y Cuidado Infantil (CECI} en el predio objeto de donación, el cual se localiza en una zona clasificada como área urbanizable y reúne condiciones físicas y geográficas aptas para ser dotadas de infraestructura, equipamiento y servicios públicos, en términos del Plan de Desarrollo Urbano del Municipio de Texcoco.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términos del Dictamen de Procedencia, emitido por la Titular de la Sindicatura Municipal del H. Ayuntamiento de Texcoco, se consideró jurídicamente viable la donación del inmueble de mérito, para que se realice la construcción de un Centro de Educación y Cuidado Infantil (CECI}, pues representa una política pública de alto impacto social que permitirá conciliar la vida laboral y familiar en el Municipio de Texcoco, ya que en éste se brindará atención integral a niñas y niños desde su nacimiento hasta los cuatro años de edad, a través de un modelo educativo que combina el cuidado básico con el desarrollo de habilidades cognitivas, motrices, lingüísticas y de socialización.</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este orden de ideas, el 19 de febrero de 2026, mediante oficio PM/015/2026, el H. Ayuntamiento de Texcoco, Estado de México, a través de su Presidencia Municipal Constitucional, se dirigió al Poder Ejecutivo del Estado de México a mi cargo, para ser el conducto ante esa Legislatura, para presentar la Iniciativa de Decreto respectiva.</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mérito de los argumentos planteados, someto a consideración de esa Legislatura, la siguiente Iniciativa con proyecto de Decreto, por el que se autoriza al H. Ayuntamiento de Texcoco, Estado de México, a desincorporar del patrimonio del Municipio, el Lote-2, resultante de la subdivisión de una fracción de terreno denominado "Tierra Larga", en el poblado de Huexotla, Municipio de Texcoco, Estado de México, actualmente ubicado en calle Camino a Tolimpa (antes calle Limones}. número 33, esquina Cerrada Francisco Alfonso Larqué Saavedra, Colonia San Mateo Huexotla, Municipio de Texcoco, Estado de México, con una superficie de 2,800.98 m2 (dos mil ochocientos metros con noventa y ocho centímetros), para que sea donado a título gratuito a favor del Instituto Mexicano del Seguro Social, para realizar las acciones necesarias destinadas a la construcción de un Centro de Educación y Cuidado Infantil (CECI}.</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DECRETO NÚMERO</w:t>
      </w:r>
    </w:p>
    <w:p w:rsidR="00E44DF9" w:rsidRPr="006A4BCA" w:rsidRDefault="00E44DF9" w:rsidP="00E44DF9">
      <w:pPr>
        <w:spacing w:after="0" w:line="240" w:lineRule="auto"/>
        <w:ind w:right="8"/>
        <w:jc w:val="both"/>
        <w:rPr>
          <w:rFonts w:ascii="Times New Roman" w:eastAsia="Arial" w:hAnsi="Times New Roman" w:cs="Times New Roman"/>
          <w:b/>
          <w:sz w:val="24"/>
          <w:szCs w:val="24"/>
        </w:rPr>
      </w:pPr>
      <w:r w:rsidRPr="006A4BCA">
        <w:rPr>
          <w:rFonts w:ascii="Times New Roman" w:eastAsia="Arial" w:hAnsi="Times New Roman" w:cs="Times New Roman"/>
          <w:b/>
          <w:sz w:val="24"/>
          <w:szCs w:val="24"/>
        </w:rPr>
        <w:t>LA H. "LXII" LEGISLATURA DEL ESTADO DE MÉXICO</w:t>
      </w: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DECRETA:</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ARTÍCULO PRIMERO. </w:t>
      </w:r>
      <w:r w:rsidRPr="006A4BCA">
        <w:rPr>
          <w:rFonts w:ascii="Times New Roman" w:eastAsia="Arial" w:hAnsi="Times New Roman" w:cs="Times New Roman"/>
          <w:sz w:val="24"/>
          <w:szCs w:val="24"/>
        </w:rPr>
        <w:t xml:space="preserve">Se autoriza la desincorporación del patrimonio del H. Ayuntamiento de Texcoco, Estado de México, del Lote-2, resultante de la subdivisión de una fracción de terreno denominado "Tierra Larga", en el poblado de Huexotla, Municipio de Texcoco, Estado de México, actualmente ubicado en calle Camino a Tolimpa (antes calle Limones). número 33, esquina Cerrada </w:t>
      </w:r>
      <w:r w:rsidRPr="006A4BCA">
        <w:rPr>
          <w:rFonts w:ascii="Times New Roman" w:eastAsia="Arial" w:hAnsi="Times New Roman" w:cs="Times New Roman"/>
          <w:sz w:val="24"/>
          <w:szCs w:val="24"/>
        </w:rPr>
        <w:lastRenderedPageBreak/>
        <w:t>Francisco Alfonso Larqué Saavedra, Colonia San Mateo Huexotla, Municipio de Texcoco, Estado de México, con una superficie de 2,800.98 m2 (dos mil ochocientos metros con noventa y ocho centímetros), con las siguientes medidas y colindancias:</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left="2126" w:right="8" w:hanging="212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AL NORTE:</w:t>
      </w:r>
      <w:r w:rsidRPr="006A4BCA">
        <w:rPr>
          <w:rFonts w:ascii="Times New Roman" w:eastAsia="Arial" w:hAnsi="Times New Roman" w:cs="Times New Roman"/>
          <w:sz w:val="24"/>
          <w:szCs w:val="24"/>
        </w:rPr>
        <w:t xml:space="preserve"> </w:t>
      </w:r>
      <w:r w:rsidRPr="006A4BCA">
        <w:rPr>
          <w:rFonts w:ascii="Times New Roman" w:eastAsia="Arial" w:hAnsi="Times New Roman" w:cs="Times New Roman"/>
          <w:sz w:val="24"/>
          <w:szCs w:val="24"/>
        </w:rPr>
        <w:tab/>
      </w:r>
      <w:r w:rsidRPr="006A4BCA">
        <w:rPr>
          <w:rFonts w:ascii="Times New Roman" w:eastAsia="Arial" w:hAnsi="Times New Roman" w:cs="Times New Roman"/>
          <w:sz w:val="24"/>
          <w:szCs w:val="24"/>
        </w:rPr>
        <w:tab/>
        <w:t>En 50.98 metros (cincuenta metros con noventa y ocho centímetros) con Camino a Tolimpa, (antes calle Limones).</w:t>
      </w:r>
    </w:p>
    <w:p w:rsidR="00E44DF9" w:rsidRPr="006A4BCA" w:rsidRDefault="00E44DF9" w:rsidP="00E44DF9">
      <w:pPr>
        <w:spacing w:after="0" w:line="240" w:lineRule="auto"/>
        <w:ind w:left="2126" w:right="8" w:hanging="212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AL ORIENTE:</w:t>
      </w:r>
      <w:r w:rsidRPr="006A4BCA">
        <w:rPr>
          <w:rFonts w:ascii="Times New Roman" w:eastAsia="Arial" w:hAnsi="Times New Roman" w:cs="Times New Roman"/>
          <w:sz w:val="24"/>
          <w:szCs w:val="24"/>
        </w:rPr>
        <w:t xml:space="preserve"> </w:t>
      </w:r>
      <w:r w:rsidRPr="006A4BCA">
        <w:rPr>
          <w:rFonts w:ascii="Times New Roman" w:eastAsia="Arial" w:hAnsi="Times New Roman" w:cs="Times New Roman"/>
          <w:sz w:val="24"/>
          <w:szCs w:val="24"/>
        </w:rPr>
        <w:tab/>
        <w:t xml:space="preserve">En 57.87 metros (cincuenta y siete metros con ochenta y siete centímetros) con Lote </w:t>
      </w:r>
      <w:r w:rsidRPr="006A4BCA">
        <w:rPr>
          <w:rFonts w:ascii="Times New Roman" w:eastAsia="Times New Roman" w:hAnsi="Times New Roman" w:cs="Times New Roman"/>
          <w:sz w:val="24"/>
          <w:szCs w:val="24"/>
        </w:rPr>
        <w:t xml:space="preserve">1 </w:t>
      </w:r>
      <w:r w:rsidRPr="006A4BCA">
        <w:rPr>
          <w:rFonts w:ascii="Times New Roman" w:eastAsia="Arial" w:hAnsi="Times New Roman" w:cs="Times New Roman"/>
          <w:sz w:val="24"/>
          <w:szCs w:val="24"/>
        </w:rPr>
        <w:t>(uno). resultante de la subdivisión del predio denominado "Tierra Larga".</w:t>
      </w:r>
    </w:p>
    <w:p w:rsidR="00E44DF9" w:rsidRPr="006A4BCA" w:rsidRDefault="00E44DF9" w:rsidP="00E44DF9">
      <w:pPr>
        <w:spacing w:after="0" w:line="240" w:lineRule="auto"/>
        <w:ind w:left="2126" w:right="8" w:hanging="212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AL SUR:</w:t>
      </w:r>
      <w:r w:rsidRPr="006A4BCA">
        <w:rPr>
          <w:rFonts w:ascii="Times New Roman" w:eastAsia="Arial" w:hAnsi="Times New Roman" w:cs="Times New Roman"/>
          <w:sz w:val="24"/>
          <w:szCs w:val="24"/>
        </w:rPr>
        <w:t xml:space="preserve"> </w:t>
      </w:r>
      <w:r w:rsidRPr="006A4BCA">
        <w:rPr>
          <w:rFonts w:ascii="Times New Roman" w:eastAsia="Arial" w:hAnsi="Times New Roman" w:cs="Times New Roman"/>
          <w:sz w:val="24"/>
          <w:szCs w:val="24"/>
        </w:rPr>
        <w:tab/>
      </w:r>
      <w:r w:rsidRPr="006A4BCA">
        <w:rPr>
          <w:rFonts w:ascii="Times New Roman" w:eastAsia="Arial" w:hAnsi="Times New Roman" w:cs="Times New Roman"/>
          <w:sz w:val="24"/>
          <w:szCs w:val="24"/>
        </w:rPr>
        <w:tab/>
        <w:t xml:space="preserve">En 50.64 metros (cincuenta metros con sesenta y cuatro centímetros) con Lote </w:t>
      </w:r>
      <w:r w:rsidRPr="006A4BCA">
        <w:rPr>
          <w:rFonts w:ascii="Times New Roman" w:eastAsia="Times New Roman" w:hAnsi="Times New Roman" w:cs="Times New Roman"/>
          <w:sz w:val="24"/>
          <w:szCs w:val="24"/>
        </w:rPr>
        <w:t xml:space="preserve">1 </w:t>
      </w:r>
      <w:r w:rsidRPr="006A4BCA">
        <w:rPr>
          <w:rFonts w:ascii="Times New Roman" w:eastAsia="Arial" w:hAnsi="Times New Roman" w:cs="Times New Roman"/>
          <w:sz w:val="24"/>
          <w:szCs w:val="24"/>
        </w:rPr>
        <w:t>(uno), resultante de la subdivisión del predio denominado "Tierra Larga".</w:t>
      </w:r>
    </w:p>
    <w:p w:rsidR="00E44DF9" w:rsidRPr="006A4BCA" w:rsidRDefault="00E44DF9" w:rsidP="00E44DF9">
      <w:pPr>
        <w:spacing w:after="0" w:line="240" w:lineRule="auto"/>
        <w:ind w:left="2126" w:right="8" w:hanging="212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AL PONIENTE:</w:t>
      </w:r>
      <w:r w:rsidRPr="006A4BCA">
        <w:rPr>
          <w:rFonts w:ascii="Times New Roman" w:eastAsia="Arial" w:hAnsi="Times New Roman" w:cs="Times New Roman"/>
          <w:sz w:val="24"/>
          <w:szCs w:val="24"/>
        </w:rPr>
        <w:t xml:space="preserve"> </w:t>
      </w:r>
      <w:r w:rsidRPr="006A4BCA">
        <w:rPr>
          <w:rFonts w:ascii="Times New Roman" w:eastAsia="Arial" w:hAnsi="Times New Roman" w:cs="Times New Roman"/>
          <w:sz w:val="24"/>
          <w:szCs w:val="24"/>
        </w:rPr>
        <w:tab/>
        <w:t>En 57.68 metros (cincuenta y siete metros con sesenta y ocho centímetros) con Fraccionamiento Villas de Tolimpa.</w:t>
      </w:r>
    </w:p>
    <w:p w:rsidR="00E44DF9" w:rsidRPr="006A4BCA" w:rsidRDefault="00E44DF9" w:rsidP="00E44DF9">
      <w:pPr>
        <w:spacing w:after="0" w:line="240" w:lineRule="auto"/>
        <w:ind w:left="2835" w:right="8" w:hanging="2126"/>
        <w:jc w:val="both"/>
        <w:rPr>
          <w:rFonts w:ascii="Times New Roman" w:eastAsia="Arial" w:hAnsi="Times New Roman" w:cs="Times New Roman"/>
          <w:b/>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ARTÍCULO SEGUNDO. </w:t>
      </w:r>
      <w:r w:rsidRPr="006A4BCA">
        <w:rPr>
          <w:rFonts w:ascii="Times New Roman" w:eastAsia="Arial" w:hAnsi="Times New Roman" w:cs="Times New Roman"/>
          <w:sz w:val="24"/>
          <w:szCs w:val="24"/>
        </w:rPr>
        <w:t>Se autoriza al H. Ayuntamiento de Texcoco, Estado de México, a donar a título gratuito el inmueble a que hace referencia el artículo anterior, a favor del Instituto Mexicano del Seguro Social, para realizar las acciones necesarias destinadas a la construcción de un Centro de Educación y Cuidado Infantil (CECI).</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ARTÍCULO TERCERO. </w:t>
      </w:r>
      <w:r w:rsidRPr="006A4BCA">
        <w:rPr>
          <w:rFonts w:ascii="Times New Roman" w:eastAsia="Arial" w:hAnsi="Times New Roman" w:cs="Times New Roman"/>
          <w:sz w:val="24"/>
          <w:szCs w:val="24"/>
        </w:rPr>
        <w:t>La donación del predio estará condicionada a que no se cambie el uso y destino que motivó su autorización. En caso contrario, revertirá a favor del patrimonio del H. Ayuntamiento de Texcoco, Estado de México.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TRANSITORIOS</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PRIMERO. </w:t>
      </w:r>
      <w:r w:rsidRPr="006A4BCA">
        <w:rPr>
          <w:rFonts w:ascii="Times New Roman" w:eastAsia="Arial" w:hAnsi="Times New Roman" w:cs="Times New Roman"/>
          <w:sz w:val="24"/>
          <w:szCs w:val="24"/>
        </w:rPr>
        <w:t>Publíquese el presente Decreto en el Periódico Oficial "Gaceta del Gobierno".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SEGUNDO. </w:t>
      </w:r>
      <w:r w:rsidRPr="006A4BCA">
        <w:rPr>
          <w:rFonts w:ascii="Times New Roman" w:eastAsia="Arial" w:hAnsi="Times New Roman" w:cs="Times New Roman"/>
          <w:sz w:val="24"/>
          <w:szCs w:val="24"/>
        </w:rPr>
        <w:t>El presente Decreto entrará en vigor al día siguiente de su publicación en el "Gaceta del Gobierno".</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left="3545"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HOJA DE FIRMA DE LA INICIATIVA DE DECRETO POR EL QUE SE AUTORIZA AL H. AYUNTAMIENTO DE TEXCOCO, ESTADO DE MÉXICO.A DESINCORPORAR DEL PATRIMONIO DEL MUNICIPIO UN INMUEBLE, PARA QUE SEA DONADO A TÍTULO GRATUITO A FAVOR DEL INSTITUTO MEXICANO DEL SEGURO SOCIAL, PARA REALIZAR LAS ACCIONES NECESARIAS DESTINADAS A LA CONSTRUCCIÓN DE UN CENTRO DE EDUCACIÓN Y CUIDADO INFANTIL (CECI).</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Reitero a usted, la seguridad de mi atenta </w:t>
      </w:r>
      <w:r w:rsidRPr="006A4BCA">
        <w:rPr>
          <w:rFonts w:ascii="Times New Roman" w:eastAsia="Times New Roman" w:hAnsi="Times New Roman" w:cs="Times New Roman"/>
          <w:sz w:val="24"/>
          <w:szCs w:val="24"/>
        </w:rPr>
        <w:t xml:space="preserve">y </w:t>
      </w:r>
      <w:r w:rsidRPr="006A4BCA">
        <w:rPr>
          <w:rFonts w:ascii="Times New Roman" w:eastAsia="Arial" w:hAnsi="Times New Roman" w:cs="Times New Roman"/>
          <w:sz w:val="24"/>
          <w:szCs w:val="24"/>
        </w:rPr>
        <w:t>distinguida consideración.</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Palacio del Poder Ejecutivo, en la Ciudad de Toluca, capital del Estado de México, a los 9 días del mes de marzo del año 2026.</w:t>
      </w:r>
    </w:p>
    <w:p w:rsidR="00E44DF9" w:rsidRPr="006A4BCA" w:rsidRDefault="00E44DF9" w:rsidP="00E44DF9">
      <w:pPr>
        <w:spacing w:after="0" w:line="240" w:lineRule="auto"/>
        <w:ind w:right="8"/>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49"/>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La Gobernadora Constitucional</w:t>
      </w:r>
    </w:p>
    <w:p w:rsidR="00E44DF9" w:rsidRPr="006A4BCA" w:rsidRDefault="00E44DF9" w:rsidP="00E44DF9">
      <w:pPr>
        <w:spacing w:after="0" w:line="240" w:lineRule="auto"/>
        <w:ind w:right="49"/>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del Estado de México</w:t>
      </w:r>
    </w:p>
    <w:p w:rsidR="00E44DF9" w:rsidRPr="006A4BCA" w:rsidRDefault="00E44DF9" w:rsidP="00E44DF9">
      <w:pPr>
        <w:spacing w:after="0" w:line="240" w:lineRule="auto"/>
        <w:ind w:right="49"/>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lastRenderedPageBreak/>
        <w:t>Mtra. Delfina Gómez Álvarez</w:t>
      </w:r>
    </w:p>
    <w:p w:rsidR="00E44DF9" w:rsidRPr="006A4BCA" w:rsidRDefault="00E44DF9" w:rsidP="00E44DF9">
      <w:pPr>
        <w:spacing w:after="0" w:line="240" w:lineRule="auto"/>
        <w:ind w:right="49"/>
        <w:jc w:val="center"/>
        <w:rPr>
          <w:rFonts w:ascii="Times New Roman" w:eastAsia="Times New Roman" w:hAnsi="Times New Roman" w:cs="Times New Roman"/>
          <w:sz w:val="24"/>
          <w:szCs w:val="24"/>
        </w:rPr>
      </w:pPr>
      <w:r w:rsidRPr="006A4BCA">
        <w:rPr>
          <w:rFonts w:ascii="Times New Roman" w:eastAsia="Times New Roman" w:hAnsi="Times New Roman" w:cs="Times New Roman"/>
          <w:b/>
          <w:sz w:val="24"/>
          <w:szCs w:val="24"/>
        </w:rPr>
        <w:t>(</w:t>
      </w:r>
      <w:r w:rsidRPr="006A4BCA">
        <w:rPr>
          <w:rFonts w:ascii="Times New Roman" w:eastAsia="Times New Roman" w:hAnsi="Times New Roman" w:cs="Times New Roman"/>
          <w:sz w:val="24"/>
          <w:szCs w:val="24"/>
        </w:rPr>
        <w:t>Rúbrica)</w:t>
      </w:r>
    </w:p>
    <w:p w:rsidR="00E44DF9" w:rsidRPr="006A4BCA" w:rsidRDefault="00E44DF9" w:rsidP="00E44DF9">
      <w:pPr>
        <w:spacing w:after="0" w:line="240" w:lineRule="auto"/>
        <w:ind w:right="49"/>
        <w:jc w:val="both"/>
        <w:rPr>
          <w:rFonts w:ascii="Times New Roman" w:eastAsia="Times New Roman" w:hAnsi="Times New Roman" w:cs="Times New Roman"/>
          <w:sz w:val="24"/>
          <w:szCs w:val="24"/>
        </w:rPr>
      </w:pPr>
    </w:p>
    <w:p w:rsidR="00E44DF9" w:rsidRPr="006A4BCA" w:rsidRDefault="00E44DF9" w:rsidP="00E44DF9">
      <w:pPr>
        <w:spacing w:after="0" w:line="240" w:lineRule="auto"/>
        <w:ind w:right="49"/>
        <w:jc w:val="both"/>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*JGZ</w:t>
      </w:r>
    </w:p>
    <w:p w:rsidR="00E44DF9" w:rsidRPr="006A4BCA" w:rsidRDefault="00E44DF9" w:rsidP="00E44DF9">
      <w:pPr>
        <w:spacing w:after="0" w:line="240" w:lineRule="auto"/>
        <w:ind w:right="49"/>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Validación jurídica</w:t>
      </w:r>
    </w:p>
    <w:p w:rsidR="00E44DF9" w:rsidRPr="006A4BCA" w:rsidRDefault="00E44DF9" w:rsidP="00E00441">
      <w:pPr>
        <w:spacing w:after="0" w:line="240" w:lineRule="auto"/>
        <w:jc w:val="center"/>
        <w:rPr>
          <w:rFonts w:ascii="Times New Roman" w:hAnsi="Times New Roman" w:cs="Times New Roman"/>
          <w:sz w:val="24"/>
          <w:szCs w:val="24"/>
        </w:rPr>
      </w:pPr>
    </w:p>
    <w:p w:rsidR="00E44DF9" w:rsidRPr="006A4BCA" w:rsidRDefault="00E44DF9" w:rsidP="00E00441">
      <w:pPr>
        <w:spacing w:after="0" w:line="240" w:lineRule="auto"/>
        <w:jc w:val="center"/>
        <w:rPr>
          <w:rFonts w:ascii="Times New Roman" w:hAnsi="Times New Roman" w:cs="Times New Roman"/>
          <w:sz w:val="24"/>
          <w:szCs w:val="24"/>
        </w:rPr>
      </w:pPr>
    </w:p>
    <w:p w:rsidR="00E00441" w:rsidRPr="006A4BCA" w:rsidRDefault="00E00441" w:rsidP="00E00441">
      <w:pPr>
        <w:kinsoku w:val="0"/>
        <w:overflowPunct w:val="0"/>
        <w:spacing w:after="0" w:line="240" w:lineRule="auto"/>
        <w:textAlignment w:val="baseline"/>
        <w:rPr>
          <w:rFonts w:ascii="Times New Roman" w:eastAsia="MS Mincho" w:hAnsi="Times New Roman" w:cs="Times New Roman"/>
          <w:b/>
          <w:bCs/>
          <w:sz w:val="24"/>
          <w:szCs w:val="24"/>
          <w:lang w:val="es-ES" w:eastAsia="es-ES"/>
        </w:rPr>
      </w:pPr>
      <w:r w:rsidRPr="006A4BCA">
        <w:rPr>
          <w:rFonts w:ascii="Times New Roman" w:eastAsia="MS Mincho" w:hAnsi="Times New Roman" w:cs="Times New Roman"/>
          <w:b/>
          <w:bCs/>
          <w:sz w:val="24"/>
          <w:szCs w:val="24"/>
          <w:lang w:val="es-ES" w:eastAsia="es-ES"/>
        </w:rPr>
        <w:t>DECRETO NÚMERO</w:t>
      </w:r>
    </w:p>
    <w:p w:rsidR="00E00441" w:rsidRPr="006A4BCA" w:rsidRDefault="00E00441" w:rsidP="00E00441">
      <w:pPr>
        <w:kinsoku w:val="0"/>
        <w:overflowPunct w:val="0"/>
        <w:spacing w:after="0" w:line="240" w:lineRule="auto"/>
        <w:textAlignment w:val="baseline"/>
        <w:rPr>
          <w:rFonts w:ascii="Times New Roman" w:eastAsia="MS Mincho" w:hAnsi="Times New Roman" w:cs="Times New Roman"/>
          <w:b/>
          <w:bCs/>
          <w:sz w:val="24"/>
          <w:szCs w:val="24"/>
          <w:lang w:val="es-ES" w:eastAsia="es-ES"/>
        </w:rPr>
      </w:pPr>
      <w:r w:rsidRPr="006A4BCA">
        <w:rPr>
          <w:rFonts w:ascii="Times New Roman" w:eastAsia="MS Mincho" w:hAnsi="Times New Roman" w:cs="Times New Roman"/>
          <w:b/>
          <w:bCs/>
          <w:sz w:val="24"/>
          <w:szCs w:val="24"/>
          <w:lang w:val="es-ES" w:eastAsia="es-ES"/>
        </w:rPr>
        <w:t>LA H. "LXII" LEGISLATURA</w:t>
      </w:r>
    </w:p>
    <w:p w:rsidR="00E00441" w:rsidRPr="006A4BCA" w:rsidRDefault="00E00441" w:rsidP="00E00441">
      <w:pPr>
        <w:kinsoku w:val="0"/>
        <w:overflowPunct w:val="0"/>
        <w:spacing w:after="0" w:line="240" w:lineRule="auto"/>
        <w:textAlignment w:val="baseline"/>
        <w:rPr>
          <w:rFonts w:ascii="Times New Roman" w:eastAsia="MS Mincho" w:hAnsi="Times New Roman" w:cs="Times New Roman"/>
          <w:b/>
          <w:bCs/>
          <w:sz w:val="24"/>
          <w:szCs w:val="24"/>
          <w:lang w:val="es-ES" w:eastAsia="es-ES"/>
        </w:rPr>
      </w:pPr>
      <w:r w:rsidRPr="006A4BCA">
        <w:rPr>
          <w:rFonts w:ascii="Times New Roman" w:eastAsia="MS Mincho" w:hAnsi="Times New Roman" w:cs="Times New Roman"/>
          <w:b/>
          <w:bCs/>
          <w:sz w:val="24"/>
          <w:szCs w:val="24"/>
          <w:lang w:val="es-ES" w:eastAsia="es-ES"/>
        </w:rPr>
        <w:t>DEL ESTADO DE MÉXICO</w:t>
      </w:r>
    </w:p>
    <w:p w:rsidR="00E00441" w:rsidRPr="006A4BCA" w:rsidRDefault="00E00441" w:rsidP="00E00441">
      <w:pPr>
        <w:kinsoku w:val="0"/>
        <w:overflowPunct w:val="0"/>
        <w:spacing w:after="0" w:line="240" w:lineRule="auto"/>
        <w:textAlignment w:val="baseline"/>
        <w:rPr>
          <w:rFonts w:ascii="Times New Roman" w:eastAsia="MS Mincho" w:hAnsi="Times New Roman" w:cs="Times New Roman"/>
          <w:b/>
          <w:bCs/>
          <w:sz w:val="24"/>
          <w:szCs w:val="24"/>
          <w:lang w:val="es-ES" w:eastAsia="es-ES"/>
        </w:rPr>
      </w:pPr>
      <w:r w:rsidRPr="006A4BCA">
        <w:rPr>
          <w:rFonts w:ascii="Times New Roman" w:eastAsia="MS Mincho" w:hAnsi="Times New Roman" w:cs="Times New Roman"/>
          <w:b/>
          <w:bCs/>
          <w:sz w:val="24"/>
          <w:szCs w:val="24"/>
          <w:lang w:val="es-ES" w:eastAsia="es-ES"/>
        </w:rPr>
        <w:t>DECRETA:</w:t>
      </w: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b/>
          <w:bCs/>
          <w:sz w:val="24"/>
          <w:szCs w:val="24"/>
          <w:lang w:val="es-ES" w:eastAsia="es-ES"/>
        </w:rPr>
      </w:pP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 xml:space="preserve">ARTÍCULO PRIMERO. </w:t>
      </w:r>
      <w:r w:rsidRPr="006A4BCA">
        <w:rPr>
          <w:rFonts w:ascii="Times New Roman" w:eastAsia="MS Mincho" w:hAnsi="Times New Roman" w:cs="Times New Roman"/>
          <w:sz w:val="24"/>
          <w:szCs w:val="24"/>
          <w:lang w:val="es-ES" w:eastAsia="es-ES"/>
        </w:rPr>
        <w:t>Se autoriza la desincorporación del patrimonio del H. Ayuntamiento de Texcoco, Estado de México, del Lote-2, resultante de la subdivisión de una fracción de terreno denominado "Tierra Larga", en el poblado de Huexotla, Municipio de Texcoco, Estado de México, actualmente ubicado en calle Camino a Tolimpa (antes calle Limones), número 33, esquina Cerrada Francisco Alfonso Larqué Saavedra, Colonia San Mateo Huexotla, Municipio de Texcoco, Estado de México, con una superficie de 2,800.98 m</w:t>
      </w:r>
      <w:r w:rsidRPr="006A4BCA">
        <w:rPr>
          <w:rFonts w:ascii="Times New Roman" w:eastAsia="MS Mincho" w:hAnsi="Times New Roman" w:cs="Times New Roman"/>
          <w:sz w:val="24"/>
          <w:szCs w:val="24"/>
          <w:vertAlign w:val="superscript"/>
          <w:lang w:val="es-ES" w:eastAsia="es-ES"/>
        </w:rPr>
        <w:t>2</w:t>
      </w:r>
      <w:r w:rsidRPr="006A4BCA">
        <w:rPr>
          <w:rFonts w:ascii="Times New Roman" w:eastAsia="MS Mincho" w:hAnsi="Times New Roman" w:cs="Times New Roman"/>
          <w:sz w:val="24"/>
          <w:szCs w:val="24"/>
          <w:lang w:val="es-ES" w:eastAsia="es-ES"/>
        </w:rPr>
        <w:t xml:space="preserve"> (dos mil ochocientos metros con noventa y ocho centímetros), con las siguientes medidas y colindancias:</w:t>
      </w:r>
    </w:p>
    <w:p w:rsidR="00E00441" w:rsidRPr="006A4BCA" w:rsidRDefault="00E00441" w:rsidP="00E00441">
      <w:pPr>
        <w:kinsoku w:val="0"/>
        <w:overflowPunct w:val="0"/>
        <w:spacing w:after="0" w:line="240" w:lineRule="auto"/>
        <w:textAlignment w:val="baseline"/>
        <w:rPr>
          <w:rFonts w:ascii="Times New Roman" w:eastAsia="MS Mincho" w:hAnsi="Times New Roman" w:cs="Times New Roman"/>
          <w:b/>
          <w:bCs/>
          <w:sz w:val="24"/>
          <w:szCs w:val="24"/>
          <w:lang w:val="es-ES" w:eastAsia="es-ES"/>
        </w:rPr>
      </w:pPr>
    </w:p>
    <w:p w:rsidR="00E00441" w:rsidRPr="006A4BCA" w:rsidRDefault="00E00441" w:rsidP="00E00441">
      <w:pPr>
        <w:kinsoku w:val="0"/>
        <w:overflowPunct w:val="0"/>
        <w:spacing w:after="0" w:line="240" w:lineRule="auto"/>
        <w:ind w:left="1843" w:hanging="1843"/>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AL NORTE:</w:t>
      </w:r>
      <w:r w:rsidRPr="006A4BCA">
        <w:rPr>
          <w:rFonts w:ascii="Times New Roman" w:eastAsia="MS Mincho" w:hAnsi="Times New Roman" w:cs="Times New Roman"/>
          <w:b/>
          <w:bCs/>
          <w:sz w:val="24"/>
          <w:szCs w:val="24"/>
          <w:lang w:val="es-ES" w:eastAsia="es-ES"/>
        </w:rPr>
        <w:tab/>
      </w:r>
      <w:r w:rsidRPr="006A4BCA">
        <w:rPr>
          <w:rFonts w:ascii="Times New Roman" w:eastAsia="MS Mincho" w:hAnsi="Times New Roman" w:cs="Times New Roman"/>
          <w:sz w:val="24"/>
          <w:szCs w:val="24"/>
          <w:lang w:val="es-ES" w:eastAsia="es-ES"/>
        </w:rPr>
        <w:t>En 50.98 metros (cincuenta metros con noventa y ocho centímetros) con Camino a Tolimpa, (antes calle Limones).</w:t>
      </w:r>
    </w:p>
    <w:p w:rsidR="00E00441" w:rsidRPr="006A4BCA" w:rsidRDefault="00E00441" w:rsidP="00E00441">
      <w:pPr>
        <w:kinsoku w:val="0"/>
        <w:overflowPunct w:val="0"/>
        <w:spacing w:after="0" w:line="240" w:lineRule="auto"/>
        <w:ind w:left="1843" w:hanging="1843"/>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AL ORIENTE:</w:t>
      </w:r>
      <w:r w:rsidRPr="006A4BCA">
        <w:rPr>
          <w:rFonts w:ascii="Times New Roman" w:eastAsia="MS Mincho" w:hAnsi="Times New Roman" w:cs="Times New Roman"/>
          <w:b/>
          <w:bCs/>
          <w:sz w:val="24"/>
          <w:szCs w:val="24"/>
          <w:lang w:val="es-ES" w:eastAsia="es-ES"/>
        </w:rPr>
        <w:tab/>
      </w:r>
      <w:r w:rsidRPr="006A4BCA">
        <w:rPr>
          <w:rFonts w:ascii="Times New Roman" w:eastAsia="MS Mincho" w:hAnsi="Times New Roman" w:cs="Times New Roman"/>
          <w:sz w:val="24"/>
          <w:szCs w:val="24"/>
          <w:lang w:val="es-ES" w:eastAsia="es-ES"/>
        </w:rPr>
        <w:t>En 57.87 metros (cincuenta y siete metros con ochenta y siete centímetros) con Lote 1 (uno), resultante de la subdivisión del predio denominado "Tierra Larga".</w:t>
      </w:r>
    </w:p>
    <w:p w:rsidR="00E00441" w:rsidRPr="006A4BCA" w:rsidRDefault="00E00441" w:rsidP="00E00441">
      <w:pPr>
        <w:kinsoku w:val="0"/>
        <w:overflowPunct w:val="0"/>
        <w:spacing w:after="0" w:line="240" w:lineRule="auto"/>
        <w:ind w:left="1843" w:hanging="1843"/>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AL SUR:</w:t>
      </w:r>
      <w:r w:rsidRPr="006A4BCA">
        <w:rPr>
          <w:rFonts w:ascii="Times New Roman" w:eastAsia="MS Mincho" w:hAnsi="Times New Roman" w:cs="Times New Roman"/>
          <w:b/>
          <w:bCs/>
          <w:sz w:val="24"/>
          <w:szCs w:val="24"/>
          <w:lang w:val="es-ES" w:eastAsia="es-ES"/>
        </w:rPr>
        <w:tab/>
      </w:r>
      <w:r w:rsidRPr="006A4BCA">
        <w:rPr>
          <w:rFonts w:ascii="Times New Roman" w:eastAsia="MS Mincho" w:hAnsi="Times New Roman" w:cs="Times New Roman"/>
          <w:sz w:val="24"/>
          <w:szCs w:val="24"/>
          <w:lang w:val="es-ES" w:eastAsia="es-ES"/>
        </w:rPr>
        <w:t>En 50.64 metros (cincuenta metros con sesenta y cuatro centímetros) con Lote 1 (uno), resultante de la subdivisión del predio denominado "Tierra Larga".</w:t>
      </w:r>
    </w:p>
    <w:p w:rsidR="00E00441" w:rsidRPr="006A4BCA" w:rsidRDefault="00E00441" w:rsidP="00E00441">
      <w:pPr>
        <w:kinsoku w:val="0"/>
        <w:overflowPunct w:val="0"/>
        <w:spacing w:after="0" w:line="240" w:lineRule="auto"/>
        <w:ind w:left="1843" w:hanging="1843"/>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AL PONIENTE:</w:t>
      </w:r>
      <w:r w:rsidRPr="006A4BCA">
        <w:rPr>
          <w:rFonts w:ascii="Times New Roman" w:eastAsia="MS Mincho" w:hAnsi="Times New Roman" w:cs="Times New Roman"/>
          <w:b/>
          <w:bCs/>
          <w:sz w:val="24"/>
          <w:szCs w:val="24"/>
          <w:lang w:val="es-ES" w:eastAsia="es-ES"/>
        </w:rPr>
        <w:tab/>
      </w:r>
      <w:r w:rsidRPr="006A4BCA">
        <w:rPr>
          <w:rFonts w:ascii="Times New Roman" w:eastAsia="MS Mincho" w:hAnsi="Times New Roman" w:cs="Times New Roman"/>
          <w:sz w:val="24"/>
          <w:szCs w:val="24"/>
          <w:lang w:val="es-ES" w:eastAsia="es-ES"/>
        </w:rPr>
        <w:t>En 57.68 metros (cincuenta y siete metros con sesenta y ocho centímetros) con Fraccionamiento Villas de Tolimpa.</w:t>
      </w: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b/>
          <w:bCs/>
          <w:sz w:val="24"/>
          <w:szCs w:val="24"/>
          <w:lang w:val="es-ES" w:eastAsia="es-ES"/>
        </w:rPr>
      </w:pP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 xml:space="preserve">ARTÍCULO SEGUNDO. </w:t>
      </w:r>
      <w:r w:rsidRPr="006A4BCA">
        <w:rPr>
          <w:rFonts w:ascii="Times New Roman" w:eastAsia="MS Mincho" w:hAnsi="Times New Roman" w:cs="Times New Roman"/>
          <w:sz w:val="24"/>
          <w:szCs w:val="24"/>
          <w:lang w:val="es-ES" w:eastAsia="es-ES"/>
        </w:rPr>
        <w:t>Se autoriza al H. Ayuntamiento de Texcoco, Estado de México, a donar a título gratuito el inmueble a que hace referencia el artículo anterior, a favor del Instituto Mexicano del Seguro Social, para realizar las acciones necesarias destinadas a la construcción de un Centro de Educación y Cuidado Infantil (CECI).</w:t>
      </w: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b/>
          <w:bCs/>
          <w:sz w:val="24"/>
          <w:szCs w:val="24"/>
          <w:lang w:val="es-ES" w:eastAsia="es-ES"/>
        </w:rPr>
      </w:pP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 xml:space="preserve">ARTÍCULO TERCERO. </w:t>
      </w:r>
      <w:r w:rsidRPr="006A4BCA">
        <w:rPr>
          <w:rFonts w:ascii="Times New Roman" w:eastAsia="MS Mincho" w:hAnsi="Times New Roman" w:cs="Times New Roman"/>
          <w:sz w:val="24"/>
          <w:szCs w:val="24"/>
          <w:lang w:val="es-ES" w:eastAsia="es-ES"/>
        </w:rPr>
        <w:t>La donación del predio estará condicionada a que no se cambie el uso y destino que motivó su autorización. En caso contrario, revertirá a favor del patrimonio del H. Ayuntamiento de Texcoco, Estado de México.</w:t>
      </w:r>
    </w:p>
    <w:p w:rsidR="00E00441" w:rsidRPr="006A4BCA" w:rsidRDefault="00E00441" w:rsidP="00E00441">
      <w:pPr>
        <w:kinsoku w:val="0"/>
        <w:overflowPunct w:val="0"/>
        <w:spacing w:after="0" w:line="240" w:lineRule="auto"/>
        <w:jc w:val="center"/>
        <w:textAlignment w:val="baseline"/>
        <w:rPr>
          <w:rFonts w:ascii="Times New Roman" w:eastAsia="MS Mincho" w:hAnsi="Times New Roman" w:cs="Times New Roman"/>
          <w:b/>
          <w:bCs/>
          <w:sz w:val="24"/>
          <w:szCs w:val="24"/>
          <w:lang w:val="es-ES" w:eastAsia="es-ES"/>
        </w:rPr>
      </w:pPr>
    </w:p>
    <w:p w:rsidR="00E00441" w:rsidRPr="006A4BCA" w:rsidRDefault="00E00441" w:rsidP="00E00441">
      <w:pPr>
        <w:kinsoku w:val="0"/>
        <w:overflowPunct w:val="0"/>
        <w:spacing w:after="0" w:line="240" w:lineRule="auto"/>
        <w:jc w:val="center"/>
        <w:textAlignment w:val="baseline"/>
        <w:rPr>
          <w:rFonts w:ascii="Times New Roman" w:eastAsia="MS Mincho" w:hAnsi="Times New Roman" w:cs="Times New Roman"/>
          <w:b/>
          <w:bCs/>
          <w:sz w:val="24"/>
          <w:szCs w:val="24"/>
          <w:lang w:val="es-ES" w:eastAsia="es-ES"/>
        </w:rPr>
      </w:pPr>
      <w:r w:rsidRPr="006A4BCA">
        <w:rPr>
          <w:rFonts w:ascii="Times New Roman" w:eastAsia="MS Mincho" w:hAnsi="Times New Roman" w:cs="Times New Roman"/>
          <w:b/>
          <w:bCs/>
          <w:sz w:val="24"/>
          <w:szCs w:val="24"/>
          <w:lang w:val="es-ES" w:eastAsia="es-ES"/>
        </w:rPr>
        <w:t>T R A N S I T O R I O S</w:t>
      </w:r>
    </w:p>
    <w:p w:rsidR="00E00441" w:rsidRPr="006A4BCA" w:rsidRDefault="00E00441" w:rsidP="00E00441">
      <w:pPr>
        <w:kinsoku w:val="0"/>
        <w:overflowPunct w:val="0"/>
        <w:spacing w:after="0" w:line="240" w:lineRule="auto"/>
        <w:textAlignment w:val="baseline"/>
        <w:rPr>
          <w:rFonts w:ascii="Times New Roman" w:eastAsia="MS Mincho" w:hAnsi="Times New Roman" w:cs="Times New Roman"/>
          <w:b/>
          <w:bCs/>
          <w:sz w:val="24"/>
          <w:szCs w:val="24"/>
          <w:lang w:val="es-ES" w:eastAsia="es-ES"/>
        </w:rPr>
      </w:pP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 xml:space="preserve">PRIMERO. </w:t>
      </w:r>
      <w:r w:rsidRPr="006A4BCA">
        <w:rPr>
          <w:rFonts w:ascii="Times New Roman" w:eastAsia="MS Mincho" w:hAnsi="Times New Roman" w:cs="Times New Roman"/>
          <w:sz w:val="24"/>
          <w:szCs w:val="24"/>
          <w:lang w:val="es-ES" w:eastAsia="es-ES"/>
        </w:rPr>
        <w:t>Publíquese el presente Decreto en el Periódico Oficial "Gaceta del Gobierno".</w:t>
      </w:r>
    </w:p>
    <w:p w:rsidR="00E00441" w:rsidRPr="006A4BCA" w:rsidRDefault="00E00441" w:rsidP="00E00441">
      <w:pPr>
        <w:kinsoku w:val="0"/>
        <w:overflowPunct w:val="0"/>
        <w:spacing w:after="0" w:line="240" w:lineRule="auto"/>
        <w:textAlignment w:val="baseline"/>
        <w:rPr>
          <w:rFonts w:ascii="Times New Roman" w:eastAsia="MS Mincho" w:hAnsi="Times New Roman" w:cs="Times New Roman"/>
          <w:b/>
          <w:bCs/>
          <w:sz w:val="24"/>
          <w:szCs w:val="24"/>
          <w:lang w:val="es-ES" w:eastAsia="es-ES"/>
        </w:rPr>
      </w:pP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sz w:val="24"/>
          <w:szCs w:val="24"/>
          <w:lang w:val="es-ES" w:eastAsia="es-ES"/>
        </w:rPr>
      </w:pPr>
      <w:r w:rsidRPr="006A4BCA">
        <w:rPr>
          <w:rFonts w:ascii="Times New Roman" w:eastAsia="MS Mincho" w:hAnsi="Times New Roman" w:cs="Times New Roman"/>
          <w:b/>
          <w:bCs/>
          <w:sz w:val="24"/>
          <w:szCs w:val="24"/>
          <w:lang w:val="es-ES" w:eastAsia="es-ES"/>
        </w:rPr>
        <w:t xml:space="preserve">SEGUNDO. </w:t>
      </w:r>
      <w:r w:rsidRPr="006A4BCA">
        <w:rPr>
          <w:rFonts w:ascii="Times New Roman" w:eastAsia="MS Mincho" w:hAnsi="Times New Roman" w:cs="Times New Roman"/>
          <w:sz w:val="24"/>
          <w:szCs w:val="24"/>
          <w:lang w:val="es-ES" w:eastAsia="es-ES"/>
        </w:rPr>
        <w:t>El presente Decreto entrará en vigor al día siguiente de su publicación en el Periódico Oficial "Gaceta del Gobierno".</w:t>
      </w:r>
    </w:p>
    <w:p w:rsidR="00E00441" w:rsidRPr="006A4BCA" w:rsidRDefault="00E00441" w:rsidP="00E00441">
      <w:pPr>
        <w:kinsoku w:val="0"/>
        <w:overflowPunct w:val="0"/>
        <w:spacing w:after="0" w:line="240" w:lineRule="auto"/>
        <w:textAlignment w:val="baseline"/>
        <w:rPr>
          <w:rFonts w:ascii="Times New Roman" w:eastAsia="MS Mincho" w:hAnsi="Times New Roman" w:cs="Times New Roman"/>
          <w:b/>
          <w:bCs/>
          <w:sz w:val="24"/>
          <w:szCs w:val="24"/>
          <w:lang w:val="es-ES" w:eastAsia="es-ES"/>
        </w:rPr>
      </w:pP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bCs/>
          <w:sz w:val="24"/>
          <w:szCs w:val="24"/>
          <w:lang w:val="es-ES" w:eastAsia="es-ES"/>
        </w:rPr>
      </w:pPr>
      <w:r w:rsidRPr="006A4BCA">
        <w:rPr>
          <w:rFonts w:ascii="Times New Roman" w:eastAsia="MS Mincho" w:hAnsi="Times New Roman" w:cs="Times New Roman"/>
          <w:bCs/>
          <w:sz w:val="24"/>
          <w:szCs w:val="24"/>
          <w:lang w:val="es-ES" w:eastAsia="es-ES"/>
        </w:rPr>
        <w:t>Lo tendrá entendido la Gobernadora del Estado, haciendo que se publique y se cumpla.</w:t>
      </w: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bCs/>
          <w:sz w:val="24"/>
          <w:szCs w:val="24"/>
          <w:lang w:val="es-ES" w:eastAsia="es-ES"/>
        </w:rPr>
      </w:pPr>
    </w:p>
    <w:p w:rsidR="00E00441" w:rsidRPr="006A4BCA" w:rsidRDefault="00E00441" w:rsidP="00E00441">
      <w:pPr>
        <w:kinsoku w:val="0"/>
        <w:overflowPunct w:val="0"/>
        <w:spacing w:after="0" w:line="240" w:lineRule="auto"/>
        <w:jc w:val="both"/>
        <w:textAlignment w:val="baseline"/>
        <w:rPr>
          <w:rFonts w:ascii="Times New Roman" w:eastAsia="MS Mincho" w:hAnsi="Times New Roman" w:cs="Times New Roman"/>
          <w:bCs/>
          <w:sz w:val="24"/>
          <w:szCs w:val="24"/>
          <w:lang w:val="es-ES" w:eastAsia="es-ES"/>
        </w:rPr>
      </w:pPr>
      <w:r w:rsidRPr="006A4BCA">
        <w:rPr>
          <w:rFonts w:ascii="Times New Roman" w:eastAsia="MS Mincho" w:hAnsi="Times New Roman" w:cs="Times New Roman"/>
          <w:bCs/>
          <w:sz w:val="24"/>
          <w:szCs w:val="24"/>
          <w:lang w:val="es-ES" w:eastAsia="es-ES"/>
        </w:rPr>
        <w:lastRenderedPageBreak/>
        <w:t xml:space="preserve">Dado en el Palacio del Poder Legislativo, en la ciudad de Toluca de Lerdo, Capital del Estado de México, a los once días del mes de marzo del dos mil veintiséis.  </w:t>
      </w: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PRESIDENTA</w:t>
      </w: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DIP. MARTHA AZUCENA CAMACHO REYNOSO</w:t>
      </w: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SECRETARIO</w:t>
      </w: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DIP. EDMUNDO LUIS VALDEÑA BASTIDA</w:t>
      </w: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SECRETARIAS</w:t>
      </w:r>
    </w:p>
    <w:tbl>
      <w:tblPr>
        <w:tblW w:w="0" w:type="auto"/>
        <w:jc w:val="center"/>
        <w:tblLook w:val="04A0" w:firstRow="1" w:lastRow="0" w:firstColumn="1" w:lastColumn="0" w:noHBand="0" w:noVBand="1"/>
      </w:tblPr>
      <w:tblGrid>
        <w:gridCol w:w="4705"/>
        <w:gridCol w:w="4700"/>
      </w:tblGrid>
      <w:tr w:rsidR="00E00441" w:rsidRPr="006A4BCA" w:rsidTr="00E00441">
        <w:trPr>
          <w:jc w:val="center"/>
        </w:trPr>
        <w:tc>
          <w:tcPr>
            <w:tcW w:w="4705" w:type="dxa"/>
            <w:shd w:val="clear" w:color="auto" w:fill="auto"/>
          </w:tcPr>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DIP. KRISHNA KARINA</w:t>
            </w: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 xml:space="preserve"> ROMERO VELÁZQUEZ </w:t>
            </w:r>
          </w:p>
        </w:tc>
        <w:tc>
          <w:tcPr>
            <w:tcW w:w="4700" w:type="dxa"/>
            <w:shd w:val="clear" w:color="auto" w:fill="auto"/>
          </w:tcPr>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 xml:space="preserve">DIP. MARICELA </w:t>
            </w:r>
          </w:p>
          <w:p w:rsidR="00E00441" w:rsidRPr="006A4BCA" w:rsidRDefault="00E00441" w:rsidP="00E00441">
            <w:pPr>
              <w:spacing w:after="0" w:line="240" w:lineRule="auto"/>
              <w:jc w:val="center"/>
              <w:rPr>
                <w:rFonts w:ascii="Times New Roman" w:eastAsia="MS Mincho" w:hAnsi="Times New Roman" w:cs="Times New Roman"/>
                <w:b/>
                <w:sz w:val="24"/>
                <w:szCs w:val="24"/>
                <w:lang w:val="es-ES_tradnl"/>
              </w:rPr>
            </w:pPr>
            <w:r w:rsidRPr="006A4BCA">
              <w:rPr>
                <w:rFonts w:ascii="Times New Roman" w:eastAsia="MS Mincho" w:hAnsi="Times New Roman" w:cs="Times New Roman"/>
                <w:b/>
                <w:sz w:val="24"/>
                <w:szCs w:val="24"/>
                <w:lang w:val="es-ES_tradnl"/>
              </w:rPr>
              <w:t xml:space="preserve">BELTRÁN SÁNCHEZ </w:t>
            </w:r>
          </w:p>
        </w:tc>
      </w:tr>
    </w:tbl>
    <w:p w:rsidR="002E140E" w:rsidRPr="006A4BCA" w:rsidRDefault="002E140E" w:rsidP="00E00441">
      <w:pPr>
        <w:spacing w:after="0" w:line="240" w:lineRule="auto"/>
        <w:jc w:val="center"/>
        <w:rPr>
          <w:rFonts w:ascii="Times New Roman" w:hAnsi="Times New Roman" w:cs="Times New Roman"/>
          <w:sz w:val="24"/>
          <w:szCs w:val="24"/>
        </w:rPr>
      </w:pPr>
    </w:p>
    <w:p w:rsidR="002E140E" w:rsidRPr="006A4BCA" w:rsidRDefault="002E140E" w:rsidP="00E00441">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(Fin del documento)</w:t>
      </w:r>
    </w:p>
    <w:p w:rsidR="002E140E" w:rsidRPr="006A4BCA" w:rsidRDefault="002E140E" w:rsidP="00E00441">
      <w:pPr>
        <w:spacing w:after="0" w:line="240" w:lineRule="auto"/>
        <w:jc w:val="center"/>
        <w:rPr>
          <w:rFonts w:ascii="Times New Roman" w:hAnsi="Times New Roman" w:cs="Times New Roman"/>
          <w:sz w:val="24"/>
          <w:szCs w:val="24"/>
        </w:rPr>
      </w:pPr>
    </w:p>
    <w:p w:rsidR="00640C74" w:rsidRPr="006A4BCA" w:rsidRDefault="00640C74" w:rsidP="00E00441">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Gracias </w:t>
      </w:r>
      <w:r w:rsidR="005319DA" w:rsidRPr="006A4BCA">
        <w:rPr>
          <w:rFonts w:ascii="Times New Roman" w:hAnsi="Times New Roman" w:cs="Times New Roman"/>
          <w:sz w:val="24"/>
          <w:szCs w:val="24"/>
        </w:rPr>
        <w:t>d</w:t>
      </w:r>
      <w:r w:rsidRPr="006A4BCA">
        <w:rPr>
          <w:rFonts w:ascii="Times New Roman" w:hAnsi="Times New Roman" w:cs="Times New Roman"/>
          <w:sz w:val="24"/>
          <w:szCs w:val="24"/>
        </w:rPr>
        <w:t>iputada María José Pérez Domínguez.</w:t>
      </w:r>
    </w:p>
    <w:p w:rsidR="00640C74" w:rsidRPr="006A4BCA" w:rsidRDefault="00640C74" w:rsidP="00E00441">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Con apego al artículo 55 de la Constitución Política del Estado Libre y Soberano de México, Someto a la aprobación de la Legislatura la propuesta para dispensar el trámite de dictamen de la iniciativa y abro la discusión de la propuesta de dispensa del trámite de dictamen y consulto si alguien desea hacer uso de la palabra. </w:t>
      </w:r>
    </w:p>
    <w:p w:rsidR="00640C74" w:rsidRPr="006A4BCA" w:rsidRDefault="00640C74"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Pido a quienes estén por la probatoria de la dispensa del trámite de dictamen, se sirva levantar la mano ¿En contra? ¿En abstención? </w:t>
      </w:r>
    </w:p>
    <w:p w:rsidR="00640C74" w:rsidRPr="006A4BCA" w:rsidRDefault="00640C74" w:rsidP="00C80DF4">
      <w:pPr>
        <w:pStyle w:val="Sinespaciado"/>
        <w:jc w:val="both"/>
        <w:rPr>
          <w:rFonts w:ascii="Times New Roman" w:hAnsi="Times New Roman" w:cs="Times New Roman"/>
          <w:sz w:val="24"/>
          <w:szCs w:val="24"/>
        </w:rPr>
      </w:pPr>
      <w:r w:rsidRPr="006A4BCA">
        <w:rPr>
          <w:rFonts w:ascii="Times New Roman" w:hAnsi="Times New Roman" w:cs="Times New Roman"/>
          <w:kern w:val="2"/>
          <w:sz w:val="24"/>
          <w:szCs w:val="24"/>
          <w:lang w:eastAsia="es-MX"/>
        </w:rPr>
        <w:t>SECRETARIA DIP. MARICELA BELTRÁN SÁNCHEZ</w:t>
      </w:r>
      <w:r w:rsidRPr="006A4BCA">
        <w:rPr>
          <w:rFonts w:ascii="Times New Roman" w:hAnsi="Times New Roman" w:cs="Times New Roman"/>
          <w:sz w:val="24"/>
          <w:szCs w:val="24"/>
        </w:rPr>
        <w:t>. Presidenta ha sido aprobada por unanimidad de votos.</w:t>
      </w:r>
    </w:p>
    <w:p w:rsidR="00640C74" w:rsidRPr="006A4BCA" w:rsidRDefault="00640C74" w:rsidP="00C80DF4">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Gracias, Secretaria.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Abro la discusión en general de la iniciativa de decreto y consulto si alguien desea hacer uso de la palabra, en votación nominal, consulto si es de aprobarse lo general, la iniciativa de decreto y pido a la Secretaría abra el sistema de votación hasta por dos minutos, si alguien desea separar algún artículo para su discusión particular, sírvase referirlo.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kern w:val="2"/>
          <w:sz w:val="24"/>
          <w:szCs w:val="24"/>
          <w:lang w:eastAsia="es-MX"/>
        </w:rPr>
        <w:t>SECRETARIA DIP. MARICELA BELTRÁN SÁNCHEZ</w:t>
      </w:r>
      <w:r w:rsidRPr="006A4BCA">
        <w:rPr>
          <w:rFonts w:ascii="Times New Roman" w:hAnsi="Times New Roman" w:cs="Times New Roman"/>
          <w:sz w:val="24"/>
          <w:szCs w:val="24"/>
        </w:rPr>
        <w:t xml:space="preserve">. Ábrase el sistema de votación hasta por 2 minutos. </w:t>
      </w:r>
    </w:p>
    <w:p w:rsidR="004A7076" w:rsidRPr="006A4BCA" w:rsidRDefault="004A7076" w:rsidP="004A7076">
      <w:pPr>
        <w:pStyle w:val="Sinespaciado"/>
        <w:jc w:val="center"/>
        <w:rPr>
          <w:rFonts w:ascii="Times New Roman" w:hAnsi="Times New Roman" w:cs="Times New Roman"/>
          <w:i/>
          <w:sz w:val="24"/>
          <w:szCs w:val="24"/>
        </w:rPr>
      </w:pPr>
      <w:r w:rsidRPr="006A4BCA">
        <w:rPr>
          <w:rFonts w:ascii="Times New Roman" w:hAnsi="Times New Roman" w:cs="Times New Roman"/>
          <w:i/>
          <w:sz w:val="24"/>
          <w:szCs w:val="24"/>
        </w:rPr>
        <w:t>(Votación nominal)</w:t>
      </w:r>
    </w:p>
    <w:p w:rsidR="004A7076" w:rsidRPr="006A4BCA" w:rsidRDefault="004A7076" w:rsidP="004A7076">
      <w:pPr>
        <w:pStyle w:val="Sinespaciado"/>
        <w:jc w:val="both"/>
        <w:rPr>
          <w:rFonts w:ascii="Times New Roman" w:hAnsi="Times New Roman" w:cs="Times New Roman"/>
          <w:i/>
          <w:sz w:val="24"/>
          <w:szCs w:val="24"/>
        </w:rPr>
      </w:pPr>
      <w:r w:rsidRPr="006A4BCA">
        <w:rPr>
          <w:rFonts w:ascii="Times New Roman" w:hAnsi="Times New Roman" w:cs="Times New Roman"/>
          <w:kern w:val="2"/>
          <w:sz w:val="24"/>
          <w:szCs w:val="24"/>
          <w:lang w:eastAsia="es-MX"/>
        </w:rPr>
        <w:t>SECRETARIA DIP. MARICELA BELTRÁN SÁNCHEZ</w:t>
      </w:r>
      <w:r w:rsidRPr="006A4BCA">
        <w:rPr>
          <w:rFonts w:ascii="Times New Roman" w:hAnsi="Times New Roman" w:cs="Times New Roman"/>
          <w:sz w:val="24"/>
          <w:szCs w:val="24"/>
        </w:rPr>
        <w:t>.</w:t>
      </w:r>
      <w:r w:rsidRPr="006A4BCA">
        <w:rPr>
          <w:rFonts w:ascii="Times New Roman" w:hAnsi="Times New Roman" w:cs="Times New Roman"/>
          <w:i/>
          <w:sz w:val="24"/>
          <w:szCs w:val="24"/>
        </w:rPr>
        <w:t xml:space="preserve"> ¿</w:t>
      </w:r>
      <w:r w:rsidRPr="006A4BCA">
        <w:rPr>
          <w:rFonts w:ascii="Times New Roman" w:hAnsi="Times New Roman" w:cs="Times New Roman"/>
          <w:sz w:val="24"/>
          <w:szCs w:val="24"/>
        </w:rPr>
        <w:t>Alguien falta emitir su voto? La iniciativa de decreto ha sido aprobada en lo general por unanimidad de votos.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Gracias Secretaria.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 Se tiene por aprobado en lo general la iniciativa de decreto, estimando que no se pagarán artículos para su discusión particular, se declara su aprobatoria en lo particular.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¿Con qué objeto, diputada? Sonido a la curul de la diputada Pérez Domínguez.</w:t>
      </w:r>
    </w:p>
    <w:p w:rsidR="004A7076" w:rsidRPr="006A4BCA" w:rsidRDefault="002E140E" w:rsidP="004A7076">
      <w:pPr>
        <w:pStyle w:val="Sinespaciado"/>
        <w:jc w:val="both"/>
        <w:rPr>
          <w:rFonts w:ascii="Times New Roman" w:hAnsi="Times New Roman" w:cs="Times New Roman"/>
          <w:sz w:val="24"/>
          <w:szCs w:val="24"/>
        </w:rPr>
      </w:pPr>
      <w:r w:rsidRPr="006A4BCA">
        <w:rPr>
          <w:rFonts w:ascii="Times New Roman" w:hAnsi="Times New Roman" w:cs="Times New Roman"/>
          <w:kern w:val="2"/>
          <w:sz w:val="24"/>
          <w:szCs w:val="24"/>
          <w:lang w:eastAsia="es-MX"/>
        </w:rPr>
        <w:t>DIP. MARÍA JOSÉ PÉREZ DOMÍNGUEZ (Desde su curul).</w:t>
      </w:r>
      <w:r w:rsidR="004A7076" w:rsidRPr="006A4BCA">
        <w:rPr>
          <w:rFonts w:ascii="Times New Roman" w:hAnsi="Times New Roman" w:cs="Times New Roman"/>
          <w:sz w:val="24"/>
          <w:szCs w:val="24"/>
        </w:rPr>
        <w:t xml:space="preserve"> Diputada Presidenta. Para hacer nada más un pequeño agradecimiento a nombre de mi distrito. Si me concede la palabra.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Adelante.</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kern w:val="2"/>
          <w:sz w:val="24"/>
          <w:szCs w:val="24"/>
          <w:lang w:eastAsia="es-MX"/>
        </w:rPr>
        <w:t>DIP. MARÍA JOSÉ PÉREZ DOMÍNGUEZ (Desde su curul).</w:t>
      </w:r>
      <w:r w:rsidRPr="006A4BCA">
        <w:rPr>
          <w:rFonts w:ascii="Times New Roman" w:hAnsi="Times New Roman" w:cs="Times New Roman"/>
          <w:sz w:val="24"/>
          <w:szCs w:val="24"/>
        </w:rPr>
        <w:t xml:space="preserve"> Desde aquí, de verdad, agradecerles a todos los compañeros que votaron a favor de esta iniciativa, va a beneficiar mucho a nuestro querido Distrito XXIII, dice en apoyo a las infancias y a todas las madres trabajadoras que no tienen en donde dejar a sus bebés como tienen que estar trabajando. Entonces un agradecimiento muy grande, va a ser de mucho provecho para el distrito, para Texcoco.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Nada más eso. Muchas gracias. Es cuanto.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PRESIDENTA DIP. MARTHA AZUCENA CAMACHO. Gracias Diputada María José Pérez Domínguez</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En el punto 6, la diputada Arleth Stephanie Grimaldo Osorio, presenta el nombre del Grupo </w:t>
      </w:r>
      <w:r w:rsidR="00B76E6C" w:rsidRPr="006A4BCA">
        <w:rPr>
          <w:rFonts w:ascii="Times New Roman" w:hAnsi="Times New Roman" w:cs="Times New Roman"/>
          <w:sz w:val="24"/>
        </w:rPr>
        <w:t xml:space="preserve">Parlamentario </w:t>
      </w:r>
      <w:r w:rsidRPr="006A4BCA">
        <w:rPr>
          <w:rFonts w:ascii="Times New Roman" w:hAnsi="Times New Roman" w:cs="Times New Roman"/>
          <w:sz w:val="24"/>
        </w:rPr>
        <w:t>Partido morena, Iniciativa con Proyecto de Decreto por el que se adicionan las fracciones VIII y VIII Bis del artículo 27 de la Ley de Movilidad y Seguridad Vial del Estado de México y sus Municipios, y se adicionan las fracciones XVII, XVII Ter, XVII Quarter del artículo 2.8 del Código para la Biodiversidad del Estado de México, para la instalación de máquinas recicladoras en instalaciones del transporte público, presentada por la diputada Arleth Stephanie Grimaldo Osorio, en nombre del Grupo Parlamentario del Partido morena.</w:t>
      </w: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 xml:space="preserve">DIP. ARLETH STEPHANIE GRIMALDO OSORIO. Gracias.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Con su venia diputada Martha Azucena Camacho Reynoso, Presidenta de la Mesa Directiva de esta Honorable Legislatura del Estado Libre y Soberano de México.</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Saludo a mis compañeras y compañeros diputados, al público presente, a medios de comunicación y a las y los ciudadanos que nos ven en las diferentes plataformas digitales y de manera fraterna y admirable a nuestra Gobernadora, la Maestra Delfina Gómez Álvarez, principal promotora del bienestar del medio ambiente.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El Estado de México, enfrenta uno de los grandes retos ambientales, la creciente acumulación de residuos plásticos para particularmente envases de PET que con frecuencia terminan contaminando calles, barrancas, ríos y espacios públicos.</w:t>
      </w:r>
    </w:p>
    <w:p w:rsidR="004A7076" w:rsidRPr="006A4BCA" w:rsidRDefault="004A7076" w:rsidP="004A7076">
      <w:pPr>
        <w:pStyle w:val="Sinespaciado"/>
        <w:ind w:firstLine="709"/>
        <w:jc w:val="both"/>
        <w:rPr>
          <w:rFonts w:ascii="Times New Roman" w:hAnsi="Times New Roman" w:cs="Times New Roman"/>
          <w:sz w:val="24"/>
        </w:rPr>
      </w:pPr>
      <w:r w:rsidRPr="006A4BCA">
        <w:rPr>
          <w:rFonts w:ascii="Times New Roman" w:hAnsi="Times New Roman" w:cs="Times New Roman"/>
          <w:sz w:val="24"/>
        </w:rPr>
        <w:t xml:space="preserve">Por ello, la iniciativa que les presento, propone la instalación de máquinas naturales en las estaciones de los sistemas de transporte público masivo supera el Estado de México, mediante las cuales las y los ciudadanos podrán depositar envases de plástico, vidrio y aluminio a cambio de puntos o incentivos que pueden ser canjeados en el transporte público </w:t>
      </w:r>
    </w:p>
    <w:p w:rsidR="004A7076" w:rsidRPr="006A4BCA" w:rsidRDefault="004A7076" w:rsidP="004A7076">
      <w:pPr>
        <w:pStyle w:val="Sinespaciado"/>
        <w:ind w:firstLine="709"/>
        <w:jc w:val="both"/>
        <w:rPr>
          <w:rFonts w:ascii="Times New Roman" w:hAnsi="Times New Roman" w:cs="Times New Roman"/>
          <w:sz w:val="24"/>
        </w:rPr>
      </w:pPr>
      <w:r w:rsidRPr="006A4BCA">
        <w:rPr>
          <w:rFonts w:ascii="Times New Roman" w:hAnsi="Times New Roman" w:cs="Times New Roman"/>
          <w:sz w:val="24"/>
        </w:rPr>
        <w:t xml:space="preserve">En este sentido presento ante esta Asamblea con fundamento en lo dispuesto en el artículo </w:t>
      </w:r>
      <w:r w:rsidRPr="006A4BCA">
        <w:rPr>
          <w:rFonts w:ascii="Times New Roman" w:hAnsi="Times New Roman" w:cs="Times New Roman"/>
          <w:sz w:val="24"/>
          <w:szCs w:val="24"/>
        </w:rPr>
        <w:t>51 fracción II; 57 y 61 fracción I de la Constitución Política del Estado Libre y Soberano de México; 28 fracción I; perdón</w:t>
      </w:r>
      <w:r w:rsidRPr="006A4BCA">
        <w:rPr>
          <w:rFonts w:ascii="Times New Roman" w:hAnsi="Times New Roman" w:cs="Times New Roman"/>
          <w:sz w:val="24"/>
        </w:rPr>
        <w:t>, voy a interrumpir tantito, si nos pueden ayudar más a bajarle el sonido al video, por favor, gracias.</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En este sentido, presento ante esta Asamblea con fundamento lo dispuesto en el </w:t>
      </w:r>
      <w:r w:rsidRPr="006A4BCA">
        <w:rPr>
          <w:rFonts w:ascii="Times New Roman" w:hAnsi="Times New Roman" w:cs="Times New Roman"/>
          <w:sz w:val="24"/>
          <w:szCs w:val="24"/>
        </w:rPr>
        <w:t>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Iniciativa con Proyecto de Decreto por el que se adicionan las fracciones VIII y VIII Bis del artículo 27 de la Ley de Movilidad y Seguridad Vial del Estado de México y sus Municipios y se adicionan las fracciones XVII Bis , XVII Ter , XVII Quarter del artículo 2.8 del Código Para la Biodiversidad del Estado Libre y Soberano de México,</w:t>
      </w:r>
      <w:r w:rsidRPr="006A4BCA">
        <w:rPr>
          <w:rFonts w:ascii="Times New Roman" w:hAnsi="Times New Roman" w:cs="Times New Roman"/>
          <w:sz w:val="24"/>
        </w:rPr>
        <w:t xml:space="preserve"> con objeto de regular la instalación, operación y funcionamiento de máquinas recicladoras en las estaciones de transporte público masivo que opera el Estado de México; así como establecer un sistema de incentivos canjeables por beneficios con el fin de fomentar el reciclaje, la reducción de residuos y la movilidad sustentable.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Con sustento en lo siguiente:</w:t>
      </w:r>
    </w:p>
    <w:p w:rsidR="004A7076" w:rsidRPr="006A4BCA" w:rsidRDefault="004A7076" w:rsidP="004A7076">
      <w:pPr>
        <w:pStyle w:val="Sinespaciado"/>
        <w:ind w:firstLine="708"/>
        <w:jc w:val="center"/>
        <w:rPr>
          <w:rFonts w:ascii="Times New Roman" w:hAnsi="Times New Roman" w:cs="Times New Roman"/>
          <w:sz w:val="24"/>
        </w:rPr>
      </w:pPr>
      <w:r w:rsidRPr="006A4BCA">
        <w:rPr>
          <w:rFonts w:ascii="Times New Roman" w:hAnsi="Times New Roman" w:cs="Times New Roman"/>
          <w:sz w:val="24"/>
        </w:rPr>
        <w:t>EXPOSICIÓN DE MOTIVOS</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El manejo de residuos sólidos urbanos (RSU) en el Estado de México representa un desafío ambiental y social de gran magnitud.</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De acuerdo con datos del Diagnóstico Básico para la Gestión Integral de Residuos Sólidos de la Secretaría de Medio Ambiente y Recursos Naturales (SEMARNAT), en nuestra Entidad genera aproximadamente 16 mil 139 toneladas de basura diariamente, cantidad que equivale a cerca del 14% total de residuos que se generan en México, situándonos como la Entidad que más residuos produce en el país.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lastRenderedPageBreak/>
        <w:t xml:space="preserve">Estos residuos están compuestos en gran medida por materiales que pueden ser aprovechados o reciclados, como (PET, vidrio, papel y latas) sin embargo, según el mismo diagnóstico, más del 11% de estos materiales son reciclables, no son reciclados, tratados o </w:t>
      </w:r>
      <w:r w:rsidRPr="006A4BCA">
        <w:rPr>
          <w:rFonts w:ascii="Times New Roman" w:hAnsi="Times New Roman" w:cs="Times New Roman"/>
          <w:sz w:val="24"/>
          <w:szCs w:val="24"/>
        </w:rPr>
        <w:t>acopiados adecuadamente, lo que evidencia una fuerte brecha entre generación y aprovechamiento efectivo de los residuos sólidos.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Ante este panorama, la creación de mecanismos de incentivos ciudadanos por reciclaje se presenta como una herramienta innovadora que puede transformar hábitos cotidianos en acciones ambientales de alto impacto, alineados con los principios de la economía circular y la sustentabilidad urbana.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El transporte público masivo en el Estado de México Mexibús y Mexicable movilizan diariamente millones de personas, estos espacios representan puntos estratégicos para promover hábitos de reciclaje, al concentrar grandes flujos de usuarios y tener o contar con infraestructura pública permanente.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Diversas experiencias a nivel internacional, han demostrado que el canje con incentivos tangibles y vinculados a servicios públicos como el transporte público mejora significativamente la participación ciudadana.</w:t>
      </w:r>
    </w:p>
    <w:p w:rsidR="004A7076" w:rsidRPr="006A4BCA" w:rsidRDefault="004A7076" w:rsidP="004A7076">
      <w:pPr>
        <w:spacing w:after="0" w:line="240" w:lineRule="auto"/>
        <w:ind w:firstLine="709"/>
        <w:jc w:val="both"/>
        <w:rPr>
          <w:rFonts w:ascii="Times New Roman" w:hAnsi="Times New Roman" w:cs="Times New Roman"/>
          <w:sz w:val="24"/>
          <w:szCs w:val="24"/>
        </w:rPr>
      </w:pPr>
      <w:r w:rsidRPr="006A4BCA">
        <w:rPr>
          <w:rFonts w:ascii="Times New Roman" w:hAnsi="Times New Roman" w:cs="Times New Roman"/>
          <w:sz w:val="24"/>
          <w:szCs w:val="24"/>
        </w:rPr>
        <w:t>En la identidad de Medellín, Colombia, el sistema de transporte masivo implementó la iniciativa recarga verde mediante la cual los usuarios pueden intercambiar PET, vidrio o aluminio por recarga al saldo de su tarjeta de transporte.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Esta iniciativa no sólo representó un incentivo concreto para fomentar el reciclaje; sino que también fue reconocida como una de las iniciativas sociales más innovadoras de Iberoamérica, subrayando su impacto positivo en educación ambiental y movilidad sustentable.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Considerando la evidencia internacional de que la implementación de mecanismos de incentivos aumenta la participación ciudadana en prácticas sustentables, se propone que el Estado de México adopte de manera obligatoria la instalación de máquinas recicladoras automatizadas en estaciones de transporte público masivo, vinculadas al sistema de recargas de las tarjetas de transporte como Mexibús y Mexicable.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Esta iniciativa compañeras y compañeros diputados, busca principalmente: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1. Reducir la cantidad de residuos que llegan a vertederos sanitarios, bosques, barrancas y ríos, por mencionar algunos.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2. Integrar la gestión de residuos en la política de movilidad sustentable.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3. Establecer la obligación legal de instalar máquinas recicladoras automatizadas en estaciones de transporte público masivo del Estado de México, y</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5. Garantizar la permanencia del Programa Más Allá de Cualquier Período Gubernamental.</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Por lo anterior, propongo:</w:t>
      </w:r>
    </w:p>
    <w:p w:rsidR="004A7076" w:rsidRPr="006A4BCA" w:rsidRDefault="004A7076" w:rsidP="004A7076">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PROYECTO DE DECRETO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ARTÍCULO PRIMERO. Se adiciona la fracción VIII y VIII Bis del artículo 27 de la Ley de Movilidad de Seguridad Vial del Estado de México y sus Municipios, para quedar como la siguiente propuesta.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Artículo 27. …</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VIII. La Secretaría de Movilidad deberá coordinarse con la Secretaría de Medio Ambienta para implementar sistemas de reciclaje en estaciones del transporte público masivo que opera el Estado de México.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VIII Bis. Los incentivos obtenidos por el reciclaje deberán reflejarse en puntos, saldo o beneficios aplicables en la tarjeta de transporte público MOVIMEX, autorizada por el Gobierno del Estado de México.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ARTÍCULO SEGUNDO. Se adiciona la fracción XVII Bis, XVII Ter, XVII Quater del artículo 2.8 del Código para la Biodiversidad del Estado de México, para quedar como la siguiente propuesta.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Artículo 2.8. …</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XVII Bis. Promover y garantizar el aprovechamiento de residuos sólidos urbanos mediante mecanismos de reciclaje, priorizando materiales como plástico, vidrio y aluminio.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XVII Ter. Será obligatorio la instalación de máquinas recicladoras automatizadas en las estaciones de los sistemas de transporte público masivo que opera el Gobierno del Estado de México.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XVII Quater. Las máquinas recicladoras deberán permitir el acopio de materiales reciclables y la asignación de incentivos en coordinación con las autoridades ambientales y de movilidad.</w:t>
      </w:r>
    </w:p>
    <w:p w:rsidR="004A7076" w:rsidRPr="006A4BCA" w:rsidRDefault="004A7076" w:rsidP="004A7076">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TRANSITORIOS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PRIMERO. Publíquese el presente decreto en el Periódico Oficial Gaceta de Gobierno.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SEGUNDO. El presente Decreto entrará en vigor al día siguiente de su publicación.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Muchas gracias a todas y a todos.</w:t>
      </w:r>
    </w:p>
    <w:p w:rsidR="00B76E6C" w:rsidRPr="006A4BCA" w:rsidRDefault="00B76E6C" w:rsidP="00B76E6C">
      <w:pPr>
        <w:pStyle w:val="Sinespaciado"/>
        <w:jc w:val="both"/>
        <w:rPr>
          <w:rFonts w:ascii="Times New Roman" w:hAnsi="Times New Roman" w:cs="Times New Roman"/>
          <w:sz w:val="24"/>
          <w:szCs w:val="24"/>
        </w:rPr>
      </w:pPr>
    </w:p>
    <w:p w:rsidR="00B76E6C" w:rsidRPr="006A4BCA" w:rsidRDefault="00B76E6C" w:rsidP="00B76E6C">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(Se inserta documento)</w:t>
      </w:r>
    </w:p>
    <w:p w:rsidR="00B76E6C" w:rsidRPr="006A4BCA" w:rsidRDefault="00B76E6C" w:rsidP="00B76E6C">
      <w:pPr>
        <w:spacing w:after="0" w:line="240" w:lineRule="auto"/>
        <w:jc w:val="center"/>
        <w:rPr>
          <w:rFonts w:ascii="Times New Roman" w:hAnsi="Times New Roman" w:cs="Times New Roman"/>
          <w:sz w:val="24"/>
          <w:szCs w:val="24"/>
        </w:rPr>
      </w:pPr>
    </w:p>
    <w:p w:rsidR="00B76E6C" w:rsidRPr="006A4BCA" w:rsidRDefault="00B76E6C" w:rsidP="00B76E6C">
      <w:pPr>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DIP. ARLETH STEPHANIE GRIMALDO OSORIO.</w:t>
      </w:r>
    </w:p>
    <w:p w:rsidR="00B76E6C" w:rsidRPr="006A4BCA" w:rsidRDefault="00B76E6C" w:rsidP="00B76E6C">
      <w:pPr>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DIPUTADA LOCAL DISTRITO XXXVII</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center"/>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“2026. Año del Humanismo Mexicano en el Estado de México”.</w:t>
      </w:r>
    </w:p>
    <w:p w:rsidR="00B76E6C" w:rsidRPr="006A4BCA" w:rsidRDefault="00B76E6C" w:rsidP="00B76E6C">
      <w:pPr>
        <w:spacing w:after="0" w:line="240" w:lineRule="auto"/>
        <w:jc w:val="center"/>
        <w:rPr>
          <w:rFonts w:ascii="Times New Roman" w:eastAsia="Times New Roman" w:hAnsi="Times New Roman" w:cs="Times New Roman"/>
          <w:sz w:val="24"/>
          <w:szCs w:val="24"/>
        </w:rPr>
      </w:pPr>
    </w:p>
    <w:p w:rsidR="00B76E6C" w:rsidRPr="006A4BCA" w:rsidRDefault="00B76E6C" w:rsidP="00B76E6C">
      <w:pPr>
        <w:spacing w:after="0" w:line="240" w:lineRule="auto"/>
        <w:jc w:val="right"/>
        <w:rPr>
          <w:rFonts w:ascii="Times New Roman" w:eastAsia="Arial" w:hAnsi="Times New Roman" w:cs="Times New Roman"/>
          <w:sz w:val="24"/>
          <w:szCs w:val="24"/>
        </w:rPr>
      </w:pPr>
      <w:r w:rsidRPr="006A4BCA">
        <w:rPr>
          <w:rFonts w:ascii="Times New Roman" w:eastAsia="Arial" w:hAnsi="Times New Roman" w:cs="Times New Roman"/>
          <w:sz w:val="24"/>
          <w:szCs w:val="24"/>
        </w:rPr>
        <w:t>Toluca de Lerdo, Estado de México, a _ de enero de 2026</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b/>
          <w:sz w:val="24"/>
          <w:szCs w:val="24"/>
        </w:rPr>
      </w:pPr>
      <w:r w:rsidRPr="006A4BCA">
        <w:rPr>
          <w:rFonts w:ascii="Times New Roman" w:eastAsia="Arial" w:hAnsi="Times New Roman" w:cs="Times New Roman"/>
          <w:b/>
          <w:sz w:val="24"/>
          <w:szCs w:val="24"/>
        </w:rPr>
        <w:t>DIPUTADA MARTHA AZUCENA CAMACHO REYNOSO</w:t>
      </w:r>
    </w:p>
    <w:p w:rsidR="00B76E6C" w:rsidRPr="006A4BCA" w:rsidRDefault="00B76E6C" w:rsidP="00B76E6C">
      <w:pPr>
        <w:spacing w:after="0" w:line="240" w:lineRule="auto"/>
        <w:rPr>
          <w:rFonts w:ascii="Times New Roman" w:eastAsia="Arial" w:hAnsi="Times New Roman" w:cs="Times New Roman"/>
          <w:b/>
          <w:sz w:val="24"/>
          <w:szCs w:val="24"/>
        </w:rPr>
      </w:pPr>
      <w:r w:rsidRPr="006A4BCA">
        <w:rPr>
          <w:rFonts w:ascii="Times New Roman" w:eastAsia="Arial" w:hAnsi="Times New Roman" w:cs="Times New Roman"/>
          <w:b/>
          <w:sz w:val="24"/>
          <w:szCs w:val="24"/>
        </w:rPr>
        <w:t>PRESIDENTA DE LA MESA DIRECTIVA</w:t>
      </w:r>
    </w:p>
    <w:p w:rsidR="00B76E6C" w:rsidRPr="006A4BCA" w:rsidRDefault="00B76E6C" w:rsidP="00B76E6C">
      <w:pPr>
        <w:spacing w:after="0" w:line="240" w:lineRule="auto"/>
        <w:rPr>
          <w:rFonts w:ascii="Times New Roman" w:eastAsia="Arial" w:hAnsi="Times New Roman" w:cs="Times New Roman"/>
          <w:b/>
          <w:sz w:val="24"/>
          <w:szCs w:val="24"/>
        </w:rPr>
      </w:pPr>
      <w:r w:rsidRPr="006A4BCA">
        <w:rPr>
          <w:rFonts w:ascii="Times New Roman" w:eastAsia="Arial" w:hAnsi="Times New Roman" w:cs="Times New Roman"/>
          <w:b/>
          <w:sz w:val="24"/>
          <w:szCs w:val="24"/>
        </w:rPr>
        <w:t>DE LA H. LXII LEGISLATURA</w:t>
      </w: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b/>
          <w:sz w:val="24"/>
          <w:szCs w:val="24"/>
        </w:rPr>
        <w:t>DEL ESTADO LIBRE Y SOBERANO DE MÉXICO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P R E S E N T E</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b/>
          <w:sz w:val="24"/>
          <w:szCs w:val="24"/>
        </w:rPr>
      </w:pPr>
      <w:r w:rsidRPr="006A4BCA">
        <w:rPr>
          <w:rFonts w:ascii="Times New Roman" w:eastAsia="Arial" w:hAnsi="Times New Roman" w:cs="Times New Roman"/>
          <w:sz w:val="24"/>
          <w:szCs w:val="24"/>
        </w:rPr>
        <w:t xml:space="preserve">Diputada </w:t>
      </w:r>
      <w:r w:rsidRPr="006A4BCA">
        <w:rPr>
          <w:rFonts w:ascii="Times New Roman" w:eastAsia="Arial" w:hAnsi="Times New Roman" w:cs="Times New Roman"/>
          <w:b/>
          <w:sz w:val="24"/>
          <w:szCs w:val="24"/>
        </w:rPr>
        <w:t xml:space="preserve">Arleth Stephanie Grimaldo Osorio </w:t>
      </w:r>
      <w:r w:rsidRPr="006A4BCA">
        <w:rPr>
          <w:rFonts w:ascii="Times New Roman" w:eastAsia="Arial" w:hAnsi="Times New Roman" w:cs="Times New Roman"/>
          <w:sz w:val="24"/>
          <w:szCs w:val="24"/>
        </w:rPr>
        <w:t xml:space="preserve">, 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presente </w:t>
      </w:r>
      <w:r w:rsidRPr="006A4BCA">
        <w:rPr>
          <w:rFonts w:ascii="Times New Roman" w:eastAsia="Arial" w:hAnsi="Times New Roman" w:cs="Times New Roman"/>
          <w:b/>
          <w:sz w:val="24"/>
          <w:szCs w:val="24"/>
        </w:rPr>
        <w:t>Iniciativa con Proyecto de Decreto POR EL QUE SE ADICIONAN LAS FRACCIONES VIII. Y VIII BIS. DEL ARTÍCULO 27 DE LA LEY DE MOVILIDAD Y SEGURIDAD VIAL DEL ESTADO DE MÉXICO Y SUS MUNICIPIOS, Y SE ADICIONAN LAS FRACCIONES XVII BIS, XVII TER, XVII QUARTER. DEL ARTÍCULO 2.8 DEL CÓDIGO PARA LA BIODIVERSIDAD DEL ESTADO DE MÉXICO.</w:t>
      </w:r>
    </w:p>
    <w:p w:rsidR="00B76E6C" w:rsidRPr="006A4BCA" w:rsidRDefault="00B76E6C" w:rsidP="00B76E6C">
      <w:pPr>
        <w:spacing w:after="0" w:line="240" w:lineRule="auto"/>
        <w:jc w:val="both"/>
        <w:rPr>
          <w:rFonts w:ascii="Times New Roman" w:eastAsia="Arial" w:hAnsi="Times New Roman" w:cs="Times New Roman"/>
          <w:b/>
          <w:sz w:val="24"/>
          <w:szCs w:val="24"/>
        </w:rPr>
      </w:pPr>
    </w:p>
    <w:p w:rsidR="00B76E6C" w:rsidRPr="006A4BCA" w:rsidRDefault="00B76E6C" w:rsidP="00B76E6C">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EXPOSICIÓN DE MOTIVOS</w:t>
      </w:r>
    </w:p>
    <w:p w:rsidR="00B76E6C" w:rsidRPr="006A4BCA" w:rsidRDefault="00B76E6C" w:rsidP="00B76E6C">
      <w:pPr>
        <w:spacing w:after="0" w:line="240" w:lineRule="auto"/>
        <w:jc w:val="both"/>
        <w:rPr>
          <w:rFonts w:ascii="Times New Roman" w:eastAsia="Arial"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El manejo de residuos sólidos urbanos (RSU) en el Estado de México representa un desafío ambiental y social de gran magnitud. De acuerdo con datos del Diagnóstico Básico para la Gestión Integral de Residuos Sólidos de la Secretaría de Medio Ambiente y Recursos Naturales (SEMARNAT), esta entidad genera aproximadamente 16 139 toneladas de basura diariamente, </w:t>
      </w:r>
      <w:r w:rsidRPr="006A4BCA">
        <w:rPr>
          <w:rFonts w:ascii="Times New Roman" w:eastAsia="Arial" w:hAnsi="Times New Roman" w:cs="Times New Roman"/>
          <w:sz w:val="24"/>
          <w:szCs w:val="24"/>
        </w:rPr>
        <w:lastRenderedPageBreak/>
        <w:t>cantidad que equivale a cerca del 14 % del total de residuos generados en México, situándose como una de las entidades que más residuos produce en el país.</w:t>
      </w:r>
    </w:p>
    <w:p w:rsidR="00B76E6C" w:rsidRPr="006A4BCA" w:rsidRDefault="00B76E6C" w:rsidP="00B76E6C">
      <w:pPr>
        <w:spacing w:after="0" w:line="240" w:lineRule="auto"/>
        <w:jc w:val="both"/>
        <w:rPr>
          <w:rFonts w:ascii="Times New Roman" w:eastAsia="Arial"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095DD7" w:rsidRPr="006A4BCA" w:rsidTr="00A26CEE">
        <w:trPr>
          <w:trHeight w:val="6915"/>
          <w:jc w:val="center"/>
        </w:trPr>
        <w:tc>
          <w:tcPr>
            <w:tcW w:w="8787" w:type="dxa"/>
          </w:tcPr>
          <w:p w:rsidR="00B76E6C" w:rsidRPr="006A4BCA" w:rsidRDefault="00B76E6C" w:rsidP="00B76E6C">
            <w:pPr>
              <w:spacing w:line="240" w:lineRule="auto"/>
              <w:jc w:val="both"/>
              <w:rPr>
                <w:rFonts w:ascii="Times New Roman" w:eastAsia="Arial" w:hAnsi="Times New Roman" w:cs="Times New Roman"/>
                <w:sz w:val="24"/>
                <w:szCs w:val="24"/>
              </w:rPr>
            </w:pPr>
            <w:r w:rsidRPr="006A4BCA">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0E45A69">
                  <wp:simplePos x="0" y="0"/>
                  <wp:positionH relativeFrom="column">
                    <wp:posOffset>234950</wp:posOffset>
                  </wp:positionH>
                  <wp:positionV relativeFrom="paragraph">
                    <wp:posOffset>282575</wp:posOffset>
                  </wp:positionV>
                  <wp:extent cx="4956810" cy="3862070"/>
                  <wp:effectExtent l="0" t="0" r="0" b="508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6810" cy="38620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6E6C" w:rsidRPr="006A4BCA" w:rsidRDefault="00B76E6C" w:rsidP="00B76E6C">
            <w:pPr>
              <w:spacing w:line="240" w:lineRule="auto"/>
              <w:jc w:val="both"/>
              <w:rPr>
                <w:rFonts w:ascii="Times New Roman" w:eastAsia="Arial" w:hAnsi="Times New Roman" w:cs="Times New Roman"/>
                <w:sz w:val="24"/>
                <w:szCs w:val="24"/>
              </w:rPr>
            </w:pPr>
          </w:p>
        </w:tc>
      </w:tr>
    </w:tbl>
    <w:p w:rsidR="00B76E6C" w:rsidRPr="006A4BCA" w:rsidRDefault="00B76E6C" w:rsidP="00B76E6C">
      <w:pPr>
        <w:spacing w:after="0" w:line="240" w:lineRule="auto"/>
        <w:jc w:val="both"/>
        <w:rPr>
          <w:rFonts w:ascii="Times New Roman" w:eastAsia="Arial"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Fuente: Diagnóstico Básico para la Gestión Integral de Residuos Sólidos de la Secretaría de Medio Ambiente y Recursos Naturales (SEMARNAT)</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Times New Roman" w:hAnsi="Times New Roman" w:cs="Times New Roman"/>
          <w:sz w:val="24"/>
          <w:szCs w:val="24"/>
        </w:rPr>
      </w:pPr>
      <w:r w:rsidRPr="006A4BCA">
        <w:rPr>
          <w:rFonts w:ascii="Times New Roman" w:eastAsia="Arial" w:hAnsi="Times New Roman" w:cs="Times New Roman"/>
          <w:sz w:val="24"/>
          <w:szCs w:val="24"/>
        </w:rPr>
        <w:t>Estos residuos están compuestos en gran medida por materiales que pueden ser aprovechados o reciclados (pet, vidrio, papel y lata) sin embargo, según el mismo diagnóstico, menos del 11 % de estos materiales son reciclados, tratados o acopiados adecuadamente, lo que evidencia una fuerte brecha entre generación y aprovechamiento efectivo de residuos.</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Según la Secretaría de Medio Ambiente y Recursos Naturales (SEMARNAT), la generación de residuos sólidos urbanos representa uno de los principales desafíos ambientales y sanitarios a nivel mundial y nacional, dado que cada año se producen miles de millones de toneladas de estos desechos y una parte significativa termina en rellenos sanitarios o vertederos sin un manejo adecuado, lo que dificulta la reutilización, el reciclaje y aumenta la contaminación ambiental. Además, estudios académicos han documentado que la disposición inadecuada de residuos sólidos urbanos contribuye a la contaminación del aire, agua y suelo, así como a la proliferación de vectores de enfermedades y riesgos para la salud pública. Por su parte, la UNAM ha señalado que la elevada producción y dispersión de contaminantes generados por actividades humanas y la ineficiente gestión de residuos “afectan la salud pública y el ambiente”, subrayando la necesidad de enfoques integrales de manejo y mitigación.</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lastRenderedPageBreak/>
        <w:t>Ante este panorama, es urgente implementar acciones que promuevan la separación en origen y el reciclaje efectivo, así como incentivar la participación ciudadana en estas prácticas. No basta con contar con sistemas de recolección y disposición final; es indispensable fomentar comportamientos sostenibles que reduzcan la generación de residuos y aumenten su aprovechamiento.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este sentido, la promoción de mecanismos de incentivo ciudadano por reciclaje se presenta como una herramienta innovadora que puede transformar hábitos cotidianos en acciones ambientales de alto impacto, alineadas con los principios de la economía circular y la sustentabilidad urbana.</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Times New Roman" w:hAnsi="Times New Roman" w:cs="Times New Roman"/>
          <w:sz w:val="24"/>
          <w:szCs w:val="24"/>
        </w:rPr>
      </w:pPr>
      <w:r w:rsidRPr="006A4BCA">
        <w:rPr>
          <w:rFonts w:ascii="Times New Roman" w:eastAsia="Arial" w:hAnsi="Times New Roman" w:cs="Times New Roman"/>
          <w:sz w:val="24"/>
          <w:szCs w:val="24"/>
        </w:rPr>
        <w:t>El transporte público masivo del Estado de México como el Mexibús, el Mexicable y otros sistemas integrados moviliza diariamente a millones de personas. Estos espacios representan puntos estratégicos para promover hábitos de reciclaje, al concentrar grandes flujos de usuarios y contar con infraestructura pública permanente.</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Vincular el reciclaje con incentivos en la tarjeta de transporte genera un doble beneficio: por un lado, se fomenta la reducción y aprovechamiento de residuos; por otro, se apoya la economía de las personas usuarias del transporte público, fortaleciendo el derecho a la movilidad.</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Diversas experiencias a nivel internacional han demostrado que el reciclaje con incentivos tangibles y vinculados a servicios públicos como el transporte puede mejorar significativamente la participación ciudadana.</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la ciudad de Medellín, el sistema de transporte masivo implementó la iniciativa Recarga Verde, mediante la cual los usuarios pueden intercambiar envases reciclables como PET, vidrio o aluminio por recargas de saldo en su tarjeta de transporte (Tarjeta Cívica). Esta iniciativa no solo representó un incentivo concreto para fomentar el reciclaje, sino que además fue reconocida como una de las iniciativas sociales más innovadoras de Iberoamérica, subrayando su impacto positivo en educación ambiental y movilidad sostenible , ya que de acuerdo con datos publicados en la página Metro Medellín, en el primer año que se implementó este programa, la recarga verde ha propiciado el reciclaje de más de 1 millón de envases de plástico que han evitado la emisión de 75,3 toneladas de CO2 a la atmósfera lo que es equivalentes a sacar de circulación 760 vehículos particulares al año.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Oto ejemplo claro es el de Australia, particularmente en Sydney y otras zonas del estado de Nueva Gales del Sur, se ha implementado la iniciativa denominada Envirobank, un programa de reciclaje basado  en  máquinas  automáticas de  devolución  de  envases  que  permiten  a  las  personas depositar botellas de plástico, latas de aluminio y envases de vidrio a cambio de un incentivo económico o créditos intercambiables que pueden utilizarse, por ejemplo, para abonar servicios como el transporte público u obtener recompensas similares (Envirobank, s. f.; El País, 2019). Esta iniciativa opera bajo el Container Deposit Scheme, que busca reducir la generación de residuos y promover una mayor tasa de reciclaje de materiales reutilizables y reciclables, además de fomentar la participación ciudadana en prácticas ambientales sostenibles mediante un sistema de recompensas accesible distribuido en cientos de puntos de reciclaje en todo el estado.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Dadas las cifras de generación y manejo inadecuado de residuos sólidos en el Estado de México, y considerando la evidencia internacional de que la implementación de mecanismos de incentivo aumenta la participación ciudadana en prácticas sustentables, se propone que el Estado de México adopte de manera obligatoria la instalación de máquinas recicladoras automatizadas en estaciones </w:t>
      </w:r>
      <w:r w:rsidRPr="006A4BCA">
        <w:rPr>
          <w:rFonts w:ascii="Times New Roman" w:eastAsia="Arial" w:hAnsi="Times New Roman" w:cs="Times New Roman"/>
          <w:sz w:val="24"/>
          <w:szCs w:val="24"/>
        </w:rPr>
        <w:lastRenderedPageBreak/>
        <w:t>del transporte público masivo, vinculadas al sistema de recarga de las tarjetas de transporte como Mexibús, Mexicable y otros sistemas que se integren.</w:t>
      </w: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Esta medida busca:</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1. Promover la separación en origen y el reciclaje efectivo de materiales valorizables.</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2. Reducir la cantidad de residuos que llegan a rellenos sanitarios o al medio ambiente.</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3. Integrar la gestión de residuos con la política de movilidad sustentable.</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4. Establecer la obligación legal de instalar máquinas recicladoras automatizadas en estaciones del transporte público masivo del Estado de México.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5. Incentivar el reciclaje mediante la asignación de puntos o saldo a la tarjeta de transporte.</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6. Integrar la política ambiental con la política de movilidad.</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Times New Roman" w:hAnsi="Times New Roman" w:cs="Times New Roman"/>
          <w:sz w:val="24"/>
          <w:szCs w:val="24"/>
        </w:rPr>
      </w:pPr>
      <w:r w:rsidRPr="006A4BCA">
        <w:rPr>
          <w:rFonts w:ascii="Times New Roman" w:eastAsia="Arial" w:hAnsi="Times New Roman" w:cs="Times New Roman"/>
          <w:sz w:val="24"/>
          <w:szCs w:val="24"/>
        </w:rPr>
        <w:t>7. Garantizar la permanencia del programa más allá de periodos gubernamentales.</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Código para la Biodiversidad del Estado de México establece la obligación del Estado de prevenir y controlar la contaminación, así como de promover el aprovechamiento sustentable de los residuos. Por su parte, la Ley de Movilidad del Estado de México reconoce la movilidad como un derecho y faculta a la Secretaría de Movilidad para coordinar acciones que mejoren la calidad, sostenibilidad y eficiencia del transporte.</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La presente iniciativa propone armonizar ambos ordenamientos, estableciendo de manera expresa la obligación de instalar máquinas recicladoras en estaciones de transporte público masivo y de vincular estos sistemas con incentivos en la tarjeta de transporte, bajo la coordinación de la Secretaría de Movilidad y las autoridades ambientales competentes.</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Times New Roman" w:hAnsi="Times New Roman" w:cs="Times New Roman"/>
          <w:sz w:val="24"/>
          <w:szCs w:val="24"/>
        </w:rPr>
      </w:pPr>
      <w:r w:rsidRPr="006A4BCA">
        <w:rPr>
          <w:rFonts w:ascii="Times New Roman" w:eastAsia="Arial" w:hAnsi="Times New Roman" w:cs="Times New Roman"/>
          <w:sz w:val="24"/>
          <w:szCs w:val="24"/>
        </w:rPr>
        <w:t>Por lo anterior propongo:</w:t>
      </w:r>
    </w:p>
    <w:p w:rsidR="00B76E6C" w:rsidRPr="006A4BCA" w:rsidRDefault="00B76E6C" w:rsidP="00B76E6C">
      <w:pPr>
        <w:spacing w:after="0" w:line="240" w:lineRule="auto"/>
        <w:rPr>
          <w:rFonts w:ascii="Times New Roman" w:eastAsia="Times New Roman" w:hAnsi="Times New Roman" w:cs="Times New Roman"/>
          <w:sz w:val="24"/>
          <w:szCs w:val="24"/>
        </w:rPr>
      </w:pPr>
    </w:p>
    <w:tbl>
      <w:tblPr>
        <w:tblW w:w="9498" w:type="dxa"/>
        <w:jc w:val="center"/>
        <w:tblLayout w:type="fixed"/>
        <w:tblCellMar>
          <w:left w:w="0" w:type="dxa"/>
          <w:right w:w="0" w:type="dxa"/>
        </w:tblCellMar>
        <w:tblLook w:val="01E0" w:firstRow="1" w:lastRow="1" w:firstColumn="1" w:lastColumn="1" w:noHBand="0" w:noVBand="0"/>
      </w:tblPr>
      <w:tblGrid>
        <w:gridCol w:w="4678"/>
        <w:gridCol w:w="4820"/>
      </w:tblGrid>
      <w:tr w:rsidR="00B76E6C" w:rsidRPr="006A4BCA" w:rsidTr="007F42A7">
        <w:trPr>
          <w:trHeight w:val="20"/>
          <w:jc w:val="center"/>
        </w:trPr>
        <w:tc>
          <w:tcPr>
            <w:tcW w:w="9498" w:type="dxa"/>
            <w:gridSpan w:val="2"/>
            <w:tcBorders>
              <w:top w:val="single" w:sz="5" w:space="0" w:color="000000"/>
              <w:left w:val="single" w:sz="5" w:space="0" w:color="000000"/>
              <w:bottom w:val="single" w:sz="5" w:space="0" w:color="000000"/>
              <w:right w:val="single" w:sz="5" w:space="0" w:color="000000"/>
            </w:tcBorders>
          </w:tcPr>
          <w:p w:rsidR="00B76E6C" w:rsidRPr="006A4BCA" w:rsidRDefault="00B76E6C" w:rsidP="007F42A7">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LEY DE MOVILIDAD Y SEGURIDAD VIAL DEL ESTADO DE MÉXICO Y SUS MUNICIPIOS</w:t>
            </w:r>
          </w:p>
        </w:tc>
      </w:tr>
      <w:tr w:rsidR="00B76E6C" w:rsidRPr="006A4BCA" w:rsidTr="007F42A7">
        <w:trPr>
          <w:trHeight w:val="20"/>
          <w:jc w:val="center"/>
        </w:trPr>
        <w:tc>
          <w:tcPr>
            <w:tcW w:w="4678" w:type="dxa"/>
            <w:tcBorders>
              <w:top w:val="single" w:sz="5" w:space="0" w:color="000000"/>
              <w:left w:val="single" w:sz="5" w:space="0" w:color="000000"/>
              <w:bottom w:val="single" w:sz="5" w:space="0" w:color="000000"/>
              <w:right w:val="single" w:sz="5" w:space="0" w:color="000000"/>
            </w:tcBorders>
          </w:tcPr>
          <w:p w:rsidR="00B76E6C" w:rsidRPr="006A4BCA" w:rsidRDefault="00B76E6C" w:rsidP="007F42A7">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sz w:val="24"/>
                <w:szCs w:val="24"/>
              </w:rPr>
              <w:t>TEXTO ACTUAL</w:t>
            </w:r>
          </w:p>
        </w:tc>
        <w:tc>
          <w:tcPr>
            <w:tcW w:w="4820" w:type="dxa"/>
            <w:tcBorders>
              <w:top w:val="single" w:sz="5" w:space="0" w:color="000000"/>
              <w:left w:val="single" w:sz="5" w:space="0" w:color="000000"/>
              <w:bottom w:val="single" w:sz="5" w:space="0" w:color="000000"/>
              <w:right w:val="single" w:sz="5" w:space="0" w:color="000000"/>
            </w:tcBorders>
          </w:tcPr>
          <w:p w:rsidR="00B76E6C" w:rsidRPr="006A4BCA" w:rsidRDefault="00B76E6C" w:rsidP="007F42A7">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sz w:val="24"/>
                <w:szCs w:val="24"/>
              </w:rPr>
              <w:t>PROPUESTA</w:t>
            </w:r>
          </w:p>
        </w:tc>
      </w:tr>
      <w:tr w:rsidR="00B76E6C" w:rsidRPr="006A4BCA" w:rsidTr="007F42A7">
        <w:trPr>
          <w:trHeight w:val="20"/>
          <w:jc w:val="center"/>
        </w:trPr>
        <w:tc>
          <w:tcPr>
            <w:tcW w:w="4678" w:type="dxa"/>
            <w:tcBorders>
              <w:top w:val="single" w:sz="5" w:space="0" w:color="000000"/>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Artículo 27. …</w:t>
            </w:r>
          </w:p>
        </w:tc>
        <w:tc>
          <w:tcPr>
            <w:tcW w:w="4820" w:type="dxa"/>
            <w:tcBorders>
              <w:top w:val="single" w:sz="5" w:space="0" w:color="000000"/>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Artículo 27. …</w:t>
            </w:r>
          </w:p>
        </w:tc>
      </w:tr>
      <w:tr w:rsidR="00B76E6C" w:rsidRPr="006A4BCA" w:rsidTr="007F42A7">
        <w:trPr>
          <w:trHeight w:val="20"/>
          <w:jc w:val="center"/>
        </w:trPr>
        <w:tc>
          <w:tcPr>
            <w:tcW w:w="4678" w:type="dxa"/>
            <w:tcBorders>
              <w:top w:val="nil"/>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I. </w:t>
            </w:r>
            <w:r w:rsidRPr="006A4BCA">
              <w:rPr>
                <w:rFonts w:ascii="Times New Roman" w:eastAsia="Arial" w:hAnsi="Times New Roman" w:cs="Times New Roman"/>
                <w:sz w:val="24"/>
                <w:szCs w:val="24"/>
              </w:rPr>
              <w:t xml:space="preserve">A </w:t>
            </w:r>
            <w:r w:rsidRPr="006A4BCA">
              <w:rPr>
                <w:rFonts w:ascii="Times New Roman" w:eastAsia="Arial" w:hAnsi="Times New Roman" w:cs="Times New Roman"/>
                <w:b/>
                <w:sz w:val="24"/>
                <w:szCs w:val="24"/>
              </w:rPr>
              <w:t>VII. …</w:t>
            </w:r>
          </w:p>
        </w:tc>
        <w:tc>
          <w:tcPr>
            <w:tcW w:w="4820" w:type="dxa"/>
            <w:tcBorders>
              <w:top w:val="nil"/>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I. </w:t>
            </w:r>
            <w:r w:rsidRPr="006A4BCA">
              <w:rPr>
                <w:rFonts w:ascii="Times New Roman" w:eastAsia="Arial" w:hAnsi="Times New Roman" w:cs="Times New Roman"/>
                <w:sz w:val="24"/>
                <w:szCs w:val="24"/>
              </w:rPr>
              <w:t xml:space="preserve">A </w:t>
            </w:r>
            <w:r w:rsidRPr="006A4BCA">
              <w:rPr>
                <w:rFonts w:ascii="Times New Roman" w:eastAsia="Arial" w:hAnsi="Times New Roman" w:cs="Times New Roman"/>
                <w:b/>
                <w:sz w:val="24"/>
                <w:szCs w:val="24"/>
              </w:rPr>
              <w:t>VII. …</w:t>
            </w:r>
          </w:p>
        </w:tc>
      </w:tr>
      <w:tr w:rsidR="00B76E6C" w:rsidRPr="006A4BCA" w:rsidTr="007F42A7">
        <w:trPr>
          <w:trHeight w:val="20"/>
          <w:jc w:val="center"/>
        </w:trPr>
        <w:tc>
          <w:tcPr>
            <w:tcW w:w="4678" w:type="dxa"/>
            <w:tcBorders>
              <w:top w:val="nil"/>
              <w:left w:val="single" w:sz="5" w:space="0" w:color="000000"/>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b/>
                <w:sz w:val="24"/>
                <w:szCs w:val="24"/>
              </w:rPr>
              <w:t>SIN CORRELATIVO</w:t>
            </w:r>
          </w:p>
        </w:tc>
        <w:tc>
          <w:tcPr>
            <w:tcW w:w="4820" w:type="dxa"/>
            <w:tcBorders>
              <w:top w:val="nil"/>
              <w:left w:val="single" w:sz="5" w:space="0" w:color="000000"/>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VIII. La Secretaría de Movilidad deberá coordinarse con la Secretaría del Medio Ambiente para implementar sistemas de reciclaje   incentivado en estaciones del transporte público masivo.</w:t>
            </w:r>
          </w:p>
        </w:tc>
      </w:tr>
      <w:tr w:rsidR="00B76E6C" w:rsidRPr="006A4BCA" w:rsidTr="007F42A7">
        <w:trPr>
          <w:trHeight w:val="20"/>
          <w:jc w:val="center"/>
        </w:trPr>
        <w:tc>
          <w:tcPr>
            <w:tcW w:w="4678" w:type="dxa"/>
            <w:tcBorders>
              <w:top w:val="nil"/>
              <w:left w:val="single" w:sz="5" w:space="0" w:color="000000"/>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b/>
                <w:sz w:val="24"/>
                <w:szCs w:val="24"/>
              </w:rPr>
              <w:t>SIN CORRELATIVO</w:t>
            </w:r>
          </w:p>
        </w:tc>
        <w:tc>
          <w:tcPr>
            <w:tcW w:w="4820" w:type="dxa"/>
            <w:tcBorders>
              <w:top w:val="nil"/>
              <w:left w:val="single" w:sz="5" w:space="0" w:color="000000"/>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VIII Bis. Los incentivos obtenidos por el reciclaje deberán reflejarse en puntos, saldo o beneficios aplicables a la tarjeta de transporte público autorizada en el Estado de México.</w:t>
            </w:r>
          </w:p>
        </w:tc>
      </w:tr>
    </w:tbl>
    <w:p w:rsidR="00B76E6C" w:rsidRPr="006A4BCA" w:rsidRDefault="00B76E6C" w:rsidP="00B76E6C">
      <w:pPr>
        <w:spacing w:after="0" w:line="240" w:lineRule="auto"/>
        <w:rPr>
          <w:rFonts w:ascii="Times New Roman" w:eastAsia="Times New Roman" w:hAnsi="Times New Roman" w:cs="Times New Roman"/>
          <w:sz w:val="24"/>
          <w:szCs w:val="24"/>
        </w:rPr>
      </w:pPr>
    </w:p>
    <w:tbl>
      <w:tblPr>
        <w:tblW w:w="9498" w:type="dxa"/>
        <w:jc w:val="center"/>
        <w:tblLayout w:type="fixed"/>
        <w:tblCellMar>
          <w:left w:w="0" w:type="dxa"/>
          <w:right w:w="0" w:type="dxa"/>
        </w:tblCellMar>
        <w:tblLook w:val="01E0" w:firstRow="1" w:lastRow="1" w:firstColumn="1" w:lastColumn="1" w:noHBand="0" w:noVBand="0"/>
      </w:tblPr>
      <w:tblGrid>
        <w:gridCol w:w="4678"/>
        <w:gridCol w:w="4820"/>
      </w:tblGrid>
      <w:tr w:rsidR="00B76E6C" w:rsidRPr="006A4BCA" w:rsidTr="007F42A7">
        <w:trPr>
          <w:trHeight w:val="20"/>
          <w:jc w:val="center"/>
        </w:trPr>
        <w:tc>
          <w:tcPr>
            <w:tcW w:w="9498" w:type="dxa"/>
            <w:gridSpan w:val="2"/>
            <w:tcBorders>
              <w:top w:val="single" w:sz="5" w:space="0" w:color="000000"/>
              <w:left w:val="single" w:sz="5" w:space="0" w:color="000000"/>
              <w:bottom w:val="single" w:sz="5" w:space="0" w:color="000000"/>
              <w:right w:val="single" w:sz="5" w:space="0" w:color="000000"/>
            </w:tcBorders>
          </w:tcPr>
          <w:p w:rsidR="00B76E6C" w:rsidRPr="006A4BCA" w:rsidRDefault="00B76E6C" w:rsidP="007F42A7">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CÓDIGO PARA LA BIODIVERSIDAD DEL ESTADO DE MÉXICO</w:t>
            </w:r>
          </w:p>
        </w:tc>
      </w:tr>
      <w:tr w:rsidR="00B76E6C" w:rsidRPr="006A4BCA" w:rsidTr="007F42A7">
        <w:trPr>
          <w:trHeight w:val="20"/>
          <w:jc w:val="center"/>
        </w:trPr>
        <w:tc>
          <w:tcPr>
            <w:tcW w:w="4678" w:type="dxa"/>
            <w:tcBorders>
              <w:top w:val="single" w:sz="5" w:space="0" w:color="000000"/>
              <w:left w:val="single" w:sz="5" w:space="0" w:color="000000"/>
              <w:bottom w:val="single" w:sz="5" w:space="0" w:color="000000"/>
              <w:right w:val="single" w:sz="5" w:space="0" w:color="000000"/>
            </w:tcBorders>
          </w:tcPr>
          <w:p w:rsidR="00B76E6C" w:rsidRPr="006A4BCA" w:rsidRDefault="00B76E6C" w:rsidP="007F42A7">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sz w:val="24"/>
                <w:szCs w:val="24"/>
              </w:rPr>
              <w:t>TEXTO ACTUAL</w:t>
            </w:r>
          </w:p>
        </w:tc>
        <w:tc>
          <w:tcPr>
            <w:tcW w:w="4820" w:type="dxa"/>
            <w:tcBorders>
              <w:top w:val="single" w:sz="5" w:space="0" w:color="000000"/>
              <w:left w:val="single" w:sz="5" w:space="0" w:color="000000"/>
              <w:bottom w:val="single" w:sz="5" w:space="0" w:color="000000"/>
              <w:right w:val="single" w:sz="5" w:space="0" w:color="000000"/>
            </w:tcBorders>
          </w:tcPr>
          <w:p w:rsidR="00B76E6C" w:rsidRPr="006A4BCA" w:rsidRDefault="00B76E6C" w:rsidP="007F42A7">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sz w:val="24"/>
                <w:szCs w:val="24"/>
              </w:rPr>
              <w:t>PROPUESTA</w:t>
            </w:r>
          </w:p>
        </w:tc>
      </w:tr>
      <w:tr w:rsidR="00B76E6C" w:rsidRPr="006A4BCA" w:rsidTr="007F42A7">
        <w:trPr>
          <w:trHeight w:val="20"/>
          <w:jc w:val="center"/>
        </w:trPr>
        <w:tc>
          <w:tcPr>
            <w:tcW w:w="4678" w:type="dxa"/>
            <w:tcBorders>
              <w:top w:val="single" w:sz="5" w:space="0" w:color="000000"/>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Artículo 2.8   …</w:t>
            </w:r>
          </w:p>
        </w:tc>
        <w:tc>
          <w:tcPr>
            <w:tcW w:w="4820" w:type="dxa"/>
            <w:tcBorders>
              <w:top w:val="single" w:sz="5" w:space="0" w:color="000000"/>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sz w:val="24"/>
                <w:szCs w:val="24"/>
              </w:rPr>
              <w:t>Artículo 2.8. …</w:t>
            </w:r>
          </w:p>
        </w:tc>
      </w:tr>
      <w:tr w:rsidR="00B76E6C" w:rsidRPr="006A4BCA" w:rsidTr="007F42A7">
        <w:trPr>
          <w:trHeight w:val="20"/>
          <w:jc w:val="center"/>
        </w:trPr>
        <w:tc>
          <w:tcPr>
            <w:tcW w:w="4678" w:type="dxa"/>
            <w:tcBorders>
              <w:top w:val="nil"/>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b/>
                <w:sz w:val="24"/>
                <w:szCs w:val="24"/>
              </w:rPr>
              <w:t>I. A XVII.  …</w:t>
            </w:r>
          </w:p>
        </w:tc>
        <w:tc>
          <w:tcPr>
            <w:tcW w:w="4820" w:type="dxa"/>
            <w:tcBorders>
              <w:top w:val="nil"/>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Arial" w:hAnsi="Times New Roman" w:cs="Times New Roman"/>
                <w:sz w:val="24"/>
                <w:szCs w:val="24"/>
              </w:rPr>
            </w:pPr>
            <w:r w:rsidRPr="006A4BCA">
              <w:rPr>
                <w:rFonts w:ascii="Times New Roman" w:eastAsia="Arial" w:hAnsi="Times New Roman" w:cs="Times New Roman"/>
                <w:b/>
                <w:sz w:val="24"/>
                <w:szCs w:val="24"/>
              </w:rPr>
              <w:t>I. A XVII.  …</w:t>
            </w:r>
          </w:p>
        </w:tc>
      </w:tr>
      <w:tr w:rsidR="00B76E6C" w:rsidRPr="006A4BCA" w:rsidTr="007F42A7">
        <w:trPr>
          <w:trHeight w:val="20"/>
          <w:jc w:val="center"/>
        </w:trPr>
        <w:tc>
          <w:tcPr>
            <w:tcW w:w="4678" w:type="dxa"/>
            <w:tcBorders>
              <w:top w:val="nil"/>
              <w:left w:val="single" w:sz="5" w:space="0" w:color="000000"/>
              <w:right w:val="single" w:sz="5" w:space="0" w:color="000000"/>
            </w:tcBorders>
          </w:tcPr>
          <w:p w:rsidR="00B76E6C" w:rsidRPr="006A4BCA" w:rsidRDefault="00B76E6C" w:rsidP="00B76E6C">
            <w:pPr>
              <w:spacing w:after="0" w:line="240" w:lineRule="auto"/>
              <w:rPr>
                <w:rFonts w:ascii="Times New Roman" w:eastAsia="Arial" w:hAnsi="Times New Roman" w:cs="Times New Roman"/>
                <w:b/>
                <w:sz w:val="24"/>
                <w:szCs w:val="24"/>
              </w:rPr>
            </w:pPr>
          </w:p>
          <w:p w:rsidR="00B76E6C" w:rsidRPr="006A4BCA" w:rsidRDefault="00B76E6C" w:rsidP="00B76E6C">
            <w:pPr>
              <w:spacing w:after="0" w:line="240" w:lineRule="auto"/>
              <w:rPr>
                <w:rFonts w:ascii="Times New Roman" w:eastAsia="Arial" w:hAnsi="Times New Roman" w:cs="Times New Roman"/>
                <w:b/>
                <w:sz w:val="24"/>
                <w:szCs w:val="24"/>
              </w:rPr>
            </w:pPr>
          </w:p>
          <w:p w:rsidR="00B76E6C" w:rsidRPr="006A4BCA" w:rsidRDefault="00B76E6C" w:rsidP="00B76E6C">
            <w:pPr>
              <w:spacing w:after="0" w:line="240" w:lineRule="auto"/>
              <w:rPr>
                <w:rFonts w:ascii="Times New Roman" w:eastAsia="Times New Roman" w:hAnsi="Times New Roman" w:cs="Times New Roman"/>
                <w:sz w:val="24"/>
                <w:szCs w:val="24"/>
              </w:rPr>
            </w:pPr>
            <w:r w:rsidRPr="006A4BCA">
              <w:rPr>
                <w:rFonts w:ascii="Times New Roman" w:eastAsia="Arial" w:hAnsi="Times New Roman" w:cs="Times New Roman"/>
                <w:b/>
                <w:sz w:val="24"/>
                <w:szCs w:val="24"/>
              </w:rPr>
              <w:t>SIN CORRELATIVO</w:t>
            </w:r>
          </w:p>
        </w:tc>
        <w:tc>
          <w:tcPr>
            <w:tcW w:w="4820" w:type="dxa"/>
            <w:tcBorders>
              <w:top w:val="nil"/>
              <w:left w:val="single" w:sz="5" w:space="0" w:color="000000"/>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XVII BIS. Promover y garantizar el aprovechamiento de residuos sólidos urbanos mediante mecanismos de reciclaje incentivado, priorizando materiales como plástico, vidrio, aluminio y otros reciclables.</w:t>
            </w:r>
          </w:p>
        </w:tc>
      </w:tr>
      <w:tr w:rsidR="00B76E6C" w:rsidRPr="006A4BCA" w:rsidTr="007F42A7">
        <w:trPr>
          <w:trHeight w:val="20"/>
          <w:jc w:val="center"/>
        </w:trPr>
        <w:tc>
          <w:tcPr>
            <w:tcW w:w="4678" w:type="dxa"/>
            <w:tcBorders>
              <w:top w:val="nil"/>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tc>
        <w:tc>
          <w:tcPr>
            <w:tcW w:w="4820" w:type="dxa"/>
            <w:tcBorders>
              <w:top w:val="nil"/>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XVII TER. Será obligatoria la instalación de máquinas recicladoras automatizadas en las estaciones de los sistemas de transporte público masivo que operen en el Estado de México.</w:t>
            </w:r>
          </w:p>
        </w:tc>
      </w:tr>
      <w:tr w:rsidR="00B76E6C" w:rsidRPr="006A4BCA" w:rsidTr="007F42A7">
        <w:trPr>
          <w:trHeight w:val="20"/>
          <w:jc w:val="center"/>
        </w:trPr>
        <w:tc>
          <w:tcPr>
            <w:tcW w:w="4678" w:type="dxa"/>
            <w:tcBorders>
              <w:top w:val="nil"/>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tc>
        <w:tc>
          <w:tcPr>
            <w:tcW w:w="4820" w:type="dxa"/>
            <w:vMerge w:val="restart"/>
            <w:tcBorders>
              <w:top w:val="nil"/>
              <w:left w:val="single" w:sz="5" w:space="0" w:color="000000"/>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XVII QUARTER. Las máquinas recicladoras deberán permitir el acopio de materiales reciclables y la asignación de incentivos, en coordinación con las autoridades ambientales y de movilidad.</w:t>
            </w:r>
          </w:p>
        </w:tc>
      </w:tr>
      <w:tr w:rsidR="00B76E6C" w:rsidRPr="006A4BCA" w:rsidTr="007F42A7">
        <w:trPr>
          <w:trHeight w:val="20"/>
          <w:jc w:val="center"/>
        </w:trPr>
        <w:tc>
          <w:tcPr>
            <w:tcW w:w="4678" w:type="dxa"/>
            <w:tcBorders>
              <w:top w:val="nil"/>
              <w:left w:val="single" w:sz="5" w:space="0" w:color="000000"/>
              <w:bottom w:val="nil"/>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tc>
        <w:tc>
          <w:tcPr>
            <w:tcW w:w="4820" w:type="dxa"/>
            <w:vMerge/>
            <w:tcBorders>
              <w:left w:val="single" w:sz="5" w:space="0" w:color="000000"/>
              <w:right w:val="single" w:sz="5" w:space="0" w:color="000000"/>
            </w:tcBorders>
          </w:tcPr>
          <w:p w:rsidR="00B76E6C" w:rsidRPr="006A4BCA" w:rsidRDefault="00B76E6C" w:rsidP="00B76E6C">
            <w:pPr>
              <w:spacing w:after="0" w:line="240" w:lineRule="auto"/>
              <w:rPr>
                <w:rFonts w:ascii="Times New Roman" w:eastAsia="Arial" w:hAnsi="Times New Roman" w:cs="Times New Roman"/>
                <w:sz w:val="24"/>
                <w:szCs w:val="24"/>
              </w:rPr>
            </w:pPr>
          </w:p>
        </w:tc>
      </w:tr>
      <w:tr w:rsidR="00B76E6C" w:rsidRPr="006A4BCA" w:rsidTr="007F42A7">
        <w:trPr>
          <w:trHeight w:val="20"/>
          <w:jc w:val="center"/>
        </w:trPr>
        <w:tc>
          <w:tcPr>
            <w:tcW w:w="4678" w:type="dxa"/>
            <w:tcBorders>
              <w:top w:val="nil"/>
              <w:left w:val="single" w:sz="5" w:space="0" w:color="000000"/>
              <w:bottom w:val="single" w:sz="5" w:space="0" w:color="000000"/>
              <w:right w:val="single" w:sz="5" w:space="0" w:color="000000"/>
            </w:tcBorders>
          </w:tcPr>
          <w:p w:rsidR="00B76E6C" w:rsidRPr="006A4BCA" w:rsidRDefault="00B76E6C" w:rsidP="00B76E6C">
            <w:pPr>
              <w:spacing w:after="0" w:line="240" w:lineRule="auto"/>
              <w:rPr>
                <w:rFonts w:ascii="Times New Roman" w:eastAsia="Times New Roman" w:hAnsi="Times New Roman" w:cs="Times New Roman"/>
                <w:sz w:val="24"/>
                <w:szCs w:val="24"/>
              </w:rPr>
            </w:pPr>
          </w:p>
        </w:tc>
        <w:tc>
          <w:tcPr>
            <w:tcW w:w="4820" w:type="dxa"/>
            <w:vMerge/>
            <w:tcBorders>
              <w:left w:val="single" w:sz="5" w:space="0" w:color="000000"/>
              <w:bottom w:val="single" w:sz="5" w:space="0" w:color="000000"/>
              <w:right w:val="single" w:sz="5" w:space="0" w:color="000000"/>
            </w:tcBorders>
          </w:tcPr>
          <w:p w:rsidR="00B76E6C" w:rsidRPr="006A4BCA" w:rsidRDefault="00B76E6C" w:rsidP="00B76E6C">
            <w:pPr>
              <w:spacing w:after="0" w:line="240" w:lineRule="auto"/>
              <w:rPr>
                <w:rFonts w:ascii="Times New Roman" w:eastAsia="Arial" w:hAnsi="Times New Roman" w:cs="Times New Roman"/>
                <w:sz w:val="24"/>
                <w:szCs w:val="24"/>
              </w:rPr>
            </w:pPr>
          </w:p>
        </w:tc>
      </w:tr>
    </w:tbl>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PROYECTO DE DECRETO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DECRETO NÚMERO </w:t>
      </w:r>
      <w:r w:rsidRPr="006A4BCA">
        <w:rPr>
          <w:rFonts w:ascii="Times New Roman" w:eastAsia="Arial" w:hAnsi="Times New Roman" w:cs="Times New Roman"/>
          <w:b/>
          <w:sz w:val="24"/>
          <w:szCs w:val="24"/>
          <w:u w:val="thick" w:color="000000"/>
        </w:rPr>
        <w:t xml:space="preserve"> </w:t>
      </w:r>
      <w:r w:rsidRPr="006A4BCA">
        <w:rPr>
          <w:rFonts w:ascii="Times New Roman" w:eastAsia="Arial" w:hAnsi="Times New Roman" w:cs="Times New Roman"/>
          <w:b/>
          <w:sz w:val="24"/>
          <w:szCs w:val="24"/>
          <w:u w:val="thick" w:color="000000"/>
        </w:rPr>
        <w:tab/>
      </w: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LA H. “LXII” LEGISLATURA DEL ESTADO DE MÉXICO</w:t>
      </w: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DECRETA:</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ARTÍCULO PRIMERO. – </w:t>
      </w:r>
      <w:r w:rsidRPr="006A4BCA">
        <w:rPr>
          <w:rFonts w:ascii="Times New Roman" w:eastAsia="Arial" w:hAnsi="Times New Roman" w:cs="Times New Roman"/>
          <w:sz w:val="24"/>
          <w:szCs w:val="24"/>
        </w:rPr>
        <w:t>Se adicionan las FRACCIONES VIII. Y VIII BIS. DEL ARTÍCULO 27 de la LEY DE MOVILIDAD Y SEGURIDAD VIAL DEL ESTADO DE MÉXICO Y SUS MUNICIPIOS, para quedar como sigue:</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Artículo 27. …</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I. </w:t>
      </w:r>
      <w:r w:rsidRPr="006A4BCA">
        <w:rPr>
          <w:rFonts w:ascii="Times New Roman" w:eastAsia="Arial" w:hAnsi="Times New Roman" w:cs="Times New Roman"/>
          <w:sz w:val="24"/>
          <w:szCs w:val="24"/>
        </w:rPr>
        <w:t xml:space="preserve">A </w:t>
      </w:r>
      <w:r w:rsidRPr="006A4BCA">
        <w:rPr>
          <w:rFonts w:ascii="Times New Roman" w:eastAsia="Arial" w:hAnsi="Times New Roman" w:cs="Times New Roman"/>
          <w:b/>
          <w:sz w:val="24"/>
          <w:szCs w:val="24"/>
        </w:rPr>
        <w:t>VII. …</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VIII. La Secretaría de Movilidad deberá coordinarse con la Secretaría del Medio Ambiente para implementar sistemas de reciclaje incentivado en estaciones del transporte público masivo.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VIII Bis. Los incentivos obtenidos por el reciclaje deberán reflejarse en puntos, saldo o beneficios aplicables a la tarjeta de transporte público autorizada en el Estado de México.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Times New Roman" w:hAnsi="Times New Roman" w:cs="Times New Roman"/>
          <w:sz w:val="24"/>
          <w:szCs w:val="24"/>
        </w:rPr>
      </w:pPr>
      <w:r w:rsidRPr="006A4BCA">
        <w:rPr>
          <w:rFonts w:ascii="Times New Roman" w:eastAsia="Arial" w:hAnsi="Times New Roman" w:cs="Times New Roman"/>
          <w:b/>
          <w:sz w:val="24"/>
          <w:szCs w:val="24"/>
        </w:rPr>
        <w:t xml:space="preserve">ARTÍCULO SEGUNDO. - </w:t>
      </w:r>
      <w:r w:rsidRPr="006A4BCA">
        <w:rPr>
          <w:rFonts w:ascii="Times New Roman" w:eastAsia="Arial" w:hAnsi="Times New Roman" w:cs="Times New Roman"/>
          <w:sz w:val="24"/>
          <w:szCs w:val="24"/>
        </w:rPr>
        <w:t>Se adicionan las FRACCIONES XVII BIS., XVII TER., XVII QUARTER. DEL ARTÍCULO 2.8 DEL CÓDIGO PARA LA BIODIVERSIDAD DEL ESTADO DE MÉXICO, para quedar como sigue:</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Artículo 2.8. …</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I. A XVII.  …</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XVII BIS. Promover y garantizar el aprovechamiento de residuos sólidos urbanos mediante mecanismos de reciclaje incentivado, priorizando materiales como plástico, vidrio, aluminio y otros reciclables.</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XVII TER. Será obligatoria la instalación de máquinas recicladoras automatizadas en las estaciones de los sistemas de transporte público masivo que operen en el Estado de México.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XVII QUARTER. Las máquinas recicladoras deberán permitir el acopio de materiales reciclables y la asignación de incentivos, en coordinación con las autoridades ambientales y de movilidad.</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TRANSITORIOS</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PRIMERO. - Publíquese el presente Decreto en el periódico oficial “Gaceta del Gobierno”.</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SEGUNDO. - El presente Decreto entrará en vigor al día siguiente de su publicación.</w:t>
      </w:r>
    </w:p>
    <w:p w:rsidR="00B76E6C" w:rsidRPr="006A4BCA" w:rsidRDefault="00B76E6C" w:rsidP="00B76E6C">
      <w:pPr>
        <w:spacing w:after="0" w:line="240" w:lineRule="auto"/>
        <w:rPr>
          <w:rFonts w:ascii="Times New Roman" w:eastAsia="Times New Roman" w:hAnsi="Times New Roman" w:cs="Times New Roman"/>
          <w:sz w:val="24"/>
          <w:szCs w:val="24"/>
        </w:rPr>
      </w:pPr>
    </w:p>
    <w:p w:rsidR="00B76E6C" w:rsidRPr="006A4BCA" w:rsidRDefault="00B76E6C" w:rsidP="00B76E6C">
      <w:pPr>
        <w:spacing w:after="0" w:line="240" w:lineRule="auto"/>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Dado en el Palacio del Poder Legislativo, en la ciudad de Toluca de Lerdo, a los </w:t>
      </w:r>
      <w:r w:rsidRPr="006A4BCA">
        <w:rPr>
          <w:rFonts w:ascii="Times New Roman" w:eastAsia="Arial" w:hAnsi="Times New Roman" w:cs="Times New Roman"/>
          <w:b/>
          <w:sz w:val="24"/>
          <w:szCs w:val="24"/>
          <w:u w:val="thick" w:color="000000"/>
        </w:rPr>
        <w:t xml:space="preserve">          </w:t>
      </w:r>
      <w:r w:rsidRPr="006A4BCA">
        <w:rPr>
          <w:rFonts w:ascii="Times New Roman" w:eastAsia="Arial" w:hAnsi="Times New Roman" w:cs="Times New Roman"/>
          <w:b/>
          <w:sz w:val="24"/>
          <w:szCs w:val="24"/>
        </w:rPr>
        <w:t xml:space="preserve"> días del mes de </w:t>
      </w:r>
      <w:r w:rsidRPr="006A4BCA">
        <w:rPr>
          <w:rFonts w:ascii="Times New Roman" w:eastAsia="Arial" w:hAnsi="Times New Roman" w:cs="Times New Roman"/>
          <w:b/>
          <w:sz w:val="24"/>
          <w:szCs w:val="24"/>
          <w:u w:val="thick" w:color="000000"/>
        </w:rPr>
        <w:t xml:space="preserve">                                  </w:t>
      </w:r>
      <w:r w:rsidRPr="006A4BCA">
        <w:rPr>
          <w:rFonts w:ascii="Times New Roman" w:eastAsia="Arial" w:hAnsi="Times New Roman" w:cs="Times New Roman"/>
          <w:b/>
          <w:sz w:val="24"/>
          <w:szCs w:val="24"/>
        </w:rPr>
        <w:t xml:space="preserve"> del año dos mil veintiséis.</w:t>
      </w:r>
    </w:p>
    <w:p w:rsidR="00B76E6C" w:rsidRPr="006A4BCA" w:rsidRDefault="00B76E6C" w:rsidP="00B76E6C">
      <w:pPr>
        <w:spacing w:after="0" w:line="240" w:lineRule="auto"/>
        <w:jc w:val="center"/>
        <w:rPr>
          <w:rFonts w:ascii="Times New Roman" w:hAnsi="Times New Roman" w:cs="Times New Roman"/>
          <w:sz w:val="24"/>
          <w:szCs w:val="24"/>
        </w:rPr>
      </w:pPr>
    </w:p>
    <w:p w:rsidR="00B76E6C" w:rsidRPr="006A4BCA" w:rsidRDefault="00B76E6C" w:rsidP="002C66B3">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B76E6C" w:rsidRPr="006A4BCA" w:rsidRDefault="00B76E6C" w:rsidP="002C66B3">
      <w:pPr>
        <w:spacing w:after="0" w:line="240" w:lineRule="auto"/>
        <w:jc w:val="center"/>
        <w:rPr>
          <w:rFonts w:ascii="Times New Roman" w:hAnsi="Times New Roman"/>
          <w:sz w:val="24"/>
          <w:szCs w:val="24"/>
        </w:rPr>
      </w:pP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diputada Arleth Stephanie Grimaldo Osorio.</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eastAsia="Times New Roman" w:hAnsi="Times New Roman" w:cs="Times New Roman"/>
          <w:sz w:val="24"/>
          <w:szCs w:val="24"/>
          <w:lang w:eastAsia="es-MX"/>
        </w:rPr>
        <w:t xml:space="preserve">Se registra la iniciativa y se remite a las Comisiones Legislativas de Comunicaciones y Transporte y de Protección Ambiental y Cambio Climático para su estudio y dictamen.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En el siguiente punto, el diputado Israel Espíndola López presenta, en nombre del Grupo Parlamentario del Partido morena, iniciativa de decreto por el que se declara al mezcal producido en Almoloya de </w:t>
      </w:r>
      <w:r w:rsidR="00D62469" w:rsidRPr="006A4BCA">
        <w:rPr>
          <w:rFonts w:ascii="Times New Roman" w:eastAsia="Times New Roman" w:hAnsi="Times New Roman" w:cs="Times New Roman"/>
          <w:sz w:val="24"/>
          <w:szCs w:val="24"/>
          <w:lang w:eastAsia="es-MX"/>
        </w:rPr>
        <w:t>Alquisiras</w:t>
      </w:r>
      <w:r w:rsidRPr="006A4BCA">
        <w:rPr>
          <w:rFonts w:ascii="Times New Roman" w:eastAsia="Times New Roman" w:hAnsi="Times New Roman" w:cs="Times New Roman"/>
          <w:sz w:val="24"/>
          <w:szCs w:val="24"/>
          <w:lang w:eastAsia="es-MX"/>
        </w:rPr>
        <w:t xml:space="preserve">, Amatepec, Coatepec de Harinas, Ixtapa de la Sal, Luvianos, Malinalco, Ocuilan, Sultepec, Tejupilco, Tenancingo, Tlatlaya, Tonatico, Villa Guerrero, Zacualpan y Zumpahuacán, como Patrimonio Cultural Inmaterial del Estado de México. </w:t>
      </w:r>
    </w:p>
    <w:p w:rsidR="004A7076" w:rsidRPr="006A4BCA" w:rsidRDefault="004A7076" w:rsidP="004A7076">
      <w:pPr>
        <w:pStyle w:val="Sinespaciado"/>
        <w:jc w:val="both"/>
        <w:rPr>
          <w:rFonts w:ascii="Times New Roman" w:eastAsia="Times New Roman" w:hAnsi="Times New Roman" w:cs="Times New Roman"/>
          <w:sz w:val="24"/>
          <w:szCs w:val="24"/>
          <w:lang w:eastAsia="es-MX"/>
        </w:rPr>
      </w:pPr>
      <w:r w:rsidRPr="006A4BCA">
        <w:rPr>
          <w:rFonts w:ascii="Times New Roman" w:hAnsi="Times New Roman" w:cs="Times New Roman"/>
          <w:sz w:val="24"/>
          <w:szCs w:val="24"/>
        </w:rPr>
        <w:t xml:space="preserve">DIP. ISRAEL ESPÍNDOLA LÓPEZ. </w:t>
      </w:r>
      <w:r w:rsidRPr="006A4BCA">
        <w:rPr>
          <w:rFonts w:ascii="Times New Roman" w:eastAsia="Times New Roman" w:hAnsi="Times New Roman" w:cs="Times New Roman"/>
          <w:sz w:val="24"/>
          <w:szCs w:val="24"/>
          <w:lang w:eastAsia="es-MX"/>
        </w:rPr>
        <w:t>Con su venia Presidenta.</w:t>
      </w:r>
    </w:p>
    <w:p w:rsidR="004A7076" w:rsidRPr="006A4BCA" w:rsidRDefault="004A7076" w:rsidP="004A7076">
      <w:pPr>
        <w:pStyle w:val="Sinespaciado"/>
        <w:jc w:val="both"/>
        <w:rPr>
          <w:rFonts w:ascii="Times New Roman" w:hAnsi="Times New Roman" w:cs="Times New Roman"/>
          <w:sz w:val="24"/>
          <w:szCs w:val="24"/>
          <w:lang w:eastAsia="es-MX"/>
        </w:rPr>
      </w:pPr>
      <w:r w:rsidRPr="006A4BCA">
        <w:rPr>
          <w:rFonts w:ascii="Times New Roman" w:hAnsi="Times New Roman" w:cs="Times New Roman"/>
          <w:sz w:val="24"/>
          <w:szCs w:val="24"/>
          <w:lang w:eastAsia="es-MX"/>
        </w:rPr>
        <w:t xml:space="preserve"> </w:t>
      </w:r>
      <w:r w:rsidRPr="006A4BCA">
        <w:rPr>
          <w:rFonts w:ascii="Times New Roman" w:hAnsi="Times New Roman" w:cs="Times New Roman"/>
          <w:sz w:val="24"/>
          <w:szCs w:val="24"/>
          <w:lang w:eastAsia="es-MX"/>
        </w:rPr>
        <w:tab/>
        <w:t xml:space="preserve">Compañeras, compañere y compañeros legisladores, hay cosas que un pueblo puede perder sin darse cuenta, puede perder la memoria, puede perder sus raíces, puede perder los saberes que durante siglos dieron sentido a la vida comunitaria. </w:t>
      </w:r>
    </w:p>
    <w:p w:rsidR="004A7076" w:rsidRPr="006A4BCA" w:rsidRDefault="004A7076" w:rsidP="004A7076">
      <w:pPr>
        <w:pStyle w:val="Sinespaciado"/>
        <w:ind w:firstLine="708"/>
        <w:jc w:val="both"/>
        <w:rPr>
          <w:rFonts w:ascii="Times New Roman" w:hAnsi="Times New Roman" w:cs="Times New Roman"/>
          <w:sz w:val="24"/>
          <w:szCs w:val="24"/>
          <w:lang w:eastAsia="es-MX"/>
        </w:rPr>
      </w:pPr>
      <w:r w:rsidRPr="006A4BCA">
        <w:rPr>
          <w:rFonts w:ascii="Times New Roman" w:hAnsi="Times New Roman" w:cs="Times New Roman"/>
          <w:sz w:val="24"/>
          <w:szCs w:val="24"/>
          <w:lang w:eastAsia="es-MX"/>
        </w:rPr>
        <w:t xml:space="preserve">Y cuando eso ocurre, no sólo desaparece una tradición, se pierde una parte del alma de los pueblos, por eso, hoy no venimos a hablar solamente de una bebida, hoy venimos a hablar de historia, de identidad, de resiliencia y, sobre todo, de dignidad.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Porque el mezcal que nace en nuestra tierra no es solamente un destilado de agave, es memoria líquida, es la historia de generaciones que aprendieron a escuchar la tierra, a respetar sus tiempos, a transformar el fuego en cultura.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En los cerros y valles del sur mexiquense, en Almoloya de Alquisiras, Amatepec, Coatepec Harinas, Ixtapan de la Sal, Luvianos, Malinalco, Ocuilan, Sultepec, Tejupilco, Tenancingo. </w:t>
      </w:r>
      <w:r w:rsidRPr="006A4BCA">
        <w:rPr>
          <w:rFonts w:ascii="Times New Roman" w:eastAsia="Times New Roman" w:hAnsi="Times New Roman" w:cs="Times New Roman"/>
          <w:sz w:val="24"/>
          <w:szCs w:val="24"/>
          <w:lang w:eastAsia="es-MX"/>
        </w:rPr>
        <w:lastRenderedPageBreak/>
        <w:t xml:space="preserve">Tlatlaya, Tonatico, Villa Guerrero, Zacualpan y Zumpahuacán, el agave crece lentamente, crece con paciencia, como si guardara dentro de sí, la sabiduría de los pueblos; quien ha visto nacer el mezcal sabe que no es solamente una técnica, es un ritual, es la siembra del agave que tardará años en madurar, es el horno de tierra donde el corazón del agave se transforma con el fuego, es la molienda que conserva el eco de los antiguos oficios, es la fermentación que respeta el ritmo de la naturaleza, cada gota de mezcal guarda algo más que sabor, guarda el trabajo de las manos campesinas, guarda el conocimiento de las abuelas y abuelos, guarda la resistencia de comunidades que nunca dejaron morir la tradición, incluso cuando durante muchos años nadie los veía, durante mucho tiempo la cultura rural fue invisibilizada.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Los saberes de nuestras comunidades campesinas e indígenas quedaron relegados a los márgenes de la historia oficial; pero hoy México vive un momento distinto, un momento en el que la transformación también significa reconocer la dignidad de los pueblos, porque la cultura no vive solamente en los museos, la cultura vive en la tierra que se cultiva, en el maíz que se siembra, en el barro que se moldea y también vive en el mezcal mexiquense que se destila con paciencia y sabiduría.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El reconocimiento de la denominación de origen del mezcal mexiquense en noviembre del 2025, fue un paso histórico; pero hay que decirlo con claridad, la tradición no nació con ese reconocimiento, la tradición ya estaba ahí, estaba en las comunidades que durante generaciones cuidaron el agave, en los maestros mezcal que resguardaron el conocimiento, en las familias que hicieron del mezcal un símbolo de identidad y de orgullo.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Hoy esta Legislatura tiene la oportunidad de dar un paso más, no solamente reconocer un producto, reconocer una cultura viva, porque el mezcal no representa sólo una actividad económica, representa todo un sistema cultural, la relación respetuosa con la naturaleza, la organización comunitaria, el conocimiento ancestral, la identidad profunda de un territorio.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Por eso, declarar el mezcal mexiquense </w:t>
      </w:r>
      <w:r w:rsidRPr="006A4BCA">
        <w:rPr>
          <w:rFonts w:ascii="Times New Roman" w:hAnsi="Times New Roman" w:cs="Times New Roman"/>
          <w:sz w:val="24"/>
          <w:szCs w:val="24"/>
        </w:rPr>
        <w:t>Patrimonio Cultural Inmaterial del Estado de México, es antes que nada un acto de justicia, justicia para las comunidades que lo han mantenido vivo, justicia para los maestros mezcaleros que cuidan el fuego de la tradición, justicia para los pueblos del sur mexiquense que durante mucho tiempo, sostuvieron su cultura en silencio; pero también es un acto de responsabilidad con el futuro, porque proteger el mezcal, significa proteger los ecosistemas donde nace el agave, significa fortalecer la economía de los pequeños productores, significa impulsar un agroturismo cultural responsable y significa asegurar que las nuevas generaciones puedan no sólo heredar una técnica; sino un profundo sentido de pertenencia.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La transformación, también se construye desde la cultura, desde el reconocimiento a los saberes ancestrales de nuestro pueblo y hoy, bajo el liderazgo de nuestra Gobernadora, la Maestra Delfina Gómez Álvarez, el Estado de México avanza hacía una visión más humana, más justa, donde reconocer a los pueblos; también es una forma de hacer justicia.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Por eso, esta iniciativa no es sólo un simple trámite legislativo, es reconocimiento, es un homenaje y es compromiso, un compromiso con la memoria de nuestras comunidades, porque cuando un pueblo protege su cultura, protege también su dignidad y cuando el Estado reconoce esa cultura, no sólo honra el pasado, abre un camino de identidad y de esperanza para el futuro, que el fuego de los hornos sigua encendido, que el agave siga creciendo en nuestros cerros y que el mezcal siga siendo por siempre el espíritu vivo del sur del Estado de México.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Por lo anteriormente expuesto, se propone el siguiente:</w:t>
      </w:r>
    </w:p>
    <w:p w:rsidR="004A7076" w:rsidRPr="006A4BCA" w:rsidRDefault="004A7076" w:rsidP="00BD0319">
      <w:pPr>
        <w:pStyle w:val="Sinespaciado"/>
        <w:jc w:val="center"/>
        <w:rPr>
          <w:rFonts w:ascii="Times New Roman" w:hAnsi="Times New Roman" w:cs="Times New Roman"/>
          <w:sz w:val="24"/>
          <w:szCs w:val="24"/>
        </w:rPr>
      </w:pPr>
      <w:r w:rsidRPr="006A4BCA">
        <w:rPr>
          <w:rFonts w:ascii="Times New Roman" w:hAnsi="Times New Roman" w:cs="Times New Roman"/>
          <w:sz w:val="24"/>
          <w:szCs w:val="24"/>
        </w:rPr>
        <w:t>PROYECTO DE DECRETO</w:t>
      </w:r>
    </w:p>
    <w:p w:rsidR="004A7076" w:rsidRPr="006A4BCA" w:rsidRDefault="004A7076" w:rsidP="00BD0319">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LA “LXII” LEGISLATURA </w:t>
      </w:r>
    </w:p>
    <w:p w:rsidR="004A7076" w:rsidRPr="006A4BCA" w:rsidRDefault="004A7076" w:rsidP="00BD0319">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DEL ESTADO DE MÉXICO</w:t>
      </w:r>
    </w:p>
    <w:p w:rsidR="004A7076" w:rsidRPr="006A4BCA" w:rsidRDefault="004A7076" w:rsidP="00BD0319">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DECRETA:</w:t>
      </w:r>
    </w:p>
    <w:p w:rsidR="004A7076" w:rsidRPr="006A4BCA" w:rsidRDefault="004A7076" w:rsidP="00BD0319">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ARTÍCULO PRIMERO. Se declara al mezcal producido en los Municipios de Almoloya de Alquisiras, Amatepec, Coatepec Harinas, Ixtapan de la Sal, Luvianos, Malinalco, Ocuilan, </w:t>
      </w:r>
      <w:r w:rsidRPr="006A4BCA">
        <w:rPr>
          <w:rFonts w:ascii="Times New Roman" w:hAnsi="Times New Roman" w:cs="Times New Roman"/>
          <w:sz w:val="24"/>
          <w:szCs w:val="24"/>
        </w:rPr>
        <w:lastRenderedPageBreak/>
        <w:t>Sultepec, Tejupilco, Tenancingo, Tlatlaya, Tonatico, Villa Guerrero, Zacualpan y Zumpahuacán Patrimonio Cultural Inmaterial del Estado de México.</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ARTÍCULO SEGUNDO. Se declara de orden público y de interés social el reconocimiento, fortalecimiento, protección, conservación, promoción, patrocinio y salvaguarda de la tradición mezcalera mexiquense, como manifestación viva del Patrimonio Cultural Inmaterial del Estado de México.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Presidenta solicito amablemente que la presente iniciativa; así como mi intervención, sea agregada de forma íntegra en la Gaceta Parlamentaria y en el Diario de los Debates.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Es cuanto, muchas gracias.</w:t>
      </w:r>
    </w:p>
    <w:p w:rsidR="00BD0319" w:rsidRPr="006A4BCA" w:rsidRDefault="00BD0319" w:rsidP="002C66B3">
      <w:pPr>
        <w:pStyle w:val="Sinespaciado"/>
        <w:jc w:val="both"/>
        <w:rPr>
          <w:rFonts w:ascii="Times New Roman" w:hAnsi="Times New Roman" w:cs="Times New Roman"/>
          <w:sz w:val="24"/>
          <w:szCs w:val="24"/>
        </w:rPr>
      </w:pPr>
    </w:p>
    <w:p w:rsidR="00BD0319" w:rsidRPr="006A4BCA" w:rsidRDefault="00BD0319" w:rsidP="002C66B3">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BD0319" w:rsidRPr="006A4BCA" w:rsidRDefault="00BD0319" w:rsidP="002C66B3">
      <w:pPr>
        <w:spacing w:after="0" w:line="240" w:lineRule="auto"/>
        <w:jc w:val="center"/>
        <w:rPr>
          <w:rFonts w:ascii="Times New Roman" w:hAnsi="Times New Roman"/>
          <w:sz w:val="24"/>
          <w:szCs w:val="24"/>
        </w:rPr>
      </w:pPr>
    </w:p>
    <w:p w:rsidR="007853A6" w:rsidRPr="006A4BCA" w:rsidRDefault="007853A6" w:rsidP="007853A6">
      <w:pPr>
        <w:spacing w:after="0" w:line="240" w:lineRule="auto"/>
        <w:ind w:right="49"/>
        <w:jc w:val="right"/>
        <w:rPr>
          <w:rFonts w:ascii="Times New Roman" w:eastAsia="Arial" w:hAnsi="Times New Roman" w:cs="Times New Roman"/>
          <w:sz w:val="24"/>
          <w:szCs w:val="24"/>
        </w:rPr>
      </w:pPr>
      <w:r w:rsidRPr="006A4BCA">
        <w:rPr>
          <w:rFonts w:ascii="Times New Roman" w:eastAsia="Arial" w:hAnsi="Times New Roman" w:cs="Times New Roman"/>
          <w:b/>
          <w:sz w:val="24"/>
          <w:szCs w:val="24"/>
        </w:rPr>
        <w:t>Toluca de Lerdo, Capital del Estado de México, enero del 2026.</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78"/>
        <w:rPr>
          <w:rFonts w:ascii="Times New Roman" w:eastAsia="Arial" w:hAnsi="Times New Roman" w:cs="Times New Roman"/>
          <w:b/>
          <w:sz w:val="24"/>
          <w:szCs w:val="24"/>
        </w:rPr>
      </w:pPr>
      <w:r w:rsidRPr="006A4BCA">
        <w:rPr>
          <w:rFonts w:ascii="Times New Roman" w:eastAsia="Arial" w:hAnsi="Times New Roman" w:cs="Times New Roman"/>
          <w:b/>
          <w:sz w:val="24"/>
          <w:szCs w:val="24"/>
        </w:rPr>
        <w:t>DIPUTADA MARTHA AZUCENA CAMACHO REYNOSO</w:t>
      </w:r>
    </w:p>
    <w:p w:rsidR="007853A6" w:rsidRPr="006A4BCA" w:rsidRDefault="007853A6" w:rsidP="007853A6">
      <w:pPr>
        <w:spacing w:after="0" w:line="240" w:lineRule="auto"/>
        <w:ind w:right="678"/>
        <w:rPr>
          <w:rFonts w:ascii="Times New Roman" w:eastAsia="Arial" w:hAnsi="Times New Roman" w:cs="Times New Roman"/>
          <w:sz w:val="24"/>
          <w:szCs w:val="24"/>
        </w:rPr>
      </w:pPr>
      <w:r w:rsidRPr="006A4BCA">
        <w:rPr>
          <w:rFonts w:ascii="Times New Roman" w:eastAsia="Arial" w:hAnsi="Times New Roman" w:cs="Times New Roman"/>
          <w:b/>
          <w:sz w:val="24"/>
          <w:szCs w:val="24"/>
        </w:rPr>
        <w:t>PRESIDENTA DE LA MESA DIRECTIVA DE LA</w:t>
      </w:r>
    </w:p>
    <w:p w:rsidR="007853A6" w:rsidRPr="006A4BCA" w:rsidRDefault="007853A6" w:rsidP="007853A6">
      <w:pPr>
        <w:spacing w:after="0" w:line="240" w:lineRule="auto"/>
        <w:ind w:right="2455"/>
        <w:rPr>
          <w:rFonts w:ascii="Times New Roman" w:eastAsia="Arial" w:hAnsi="Times New Roman" w:cs="Times New Roman"/>
          <w:b/>
          <w:sz w:val="24"/>
          <w:szCs w:val="24"/>
        </w:rPr>
      </w:pPr>
      <w:r w:rsidRPr="006A4BCA">
        <w:rPr>
          <w:rFonts w:ascii="Times New Roman" w:eastAsia="Arial" w:hAnsi="Times New Roman" w:cs="Times New Roman"/>
          <w:b/>
          <w:sz w:val="24"/>
          <w:szCs w:val="24"/>
        </w:rPr>
        <w:t>LXII LEGISLATURA DEL ESTADO LIBRE Y</w:t>
      </w:r>
    </w:p>
    <w:p w:rsidR="007853A6" w:rsidRPr="006A4BCA" w:rsidRDefault="007853A6" w:rsidP="007853A6">
      <w:pPr>
        <w:spacing w:after="0" w:line="240" w:lineRule="auto"/>
        <w:ind w:right="2455"/>
        <w:rPr>
          <w:rFonts w:ascii="Times New Roman" w:eastAsia="Arial" w:hAnsi="Times New Roman" w:cs="Times New Roman"/>
          <w:sz w:val="24"/>
          <w:szCs w:val="24"/>
        </w:rPr>
      </w:pPr>
      <w:r w:rsidRPr="006A4BCA">
        <w:rPr>
          <w:rFonts w:ascii="Times New Roman" w:eastAsia="Arial" w:hAnsi="Times New Roman" w:cs="Times New Roman"/>
          <w:b/>
          <w:sz w:val="24"/>
          <w:szCs w:val="24"/>
        </w:rPr>
        <w:t>SOBERANO DE MÉXICO</w:t>
      </w:r>
    </w:p>
    <w:p w:rsidR="007853A6" w:rsidRPr="006A4BCA" w:rsidRDefault="007853A6" w:rsidP="007853A6">
      <w:pPr>
        <w:spacing w:after="0" w:line="240" w:lineRule="auto"/>
        <w:ind w:right="6477"/>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P R E S E N T E.</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7"/>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Quien suscribe, Diputado </w:t>
      </w:r>
      <w:r w:rsidRPr="006A4BCA">
        <w:rPr>
          <w:rFonts w:ascii="Times New Roman" w:eastAsia="Arial" w:hAnsi="Times New Roman" w:cs="Times New Roman"/>
          <w:b/>
          <w:sz w:val="24"/>
          <w:szCs w:val="24"/>
        </w:rPr>
        <w:t>ISRAEL ESPÍNDOLA LÓPEZ</w:t>
      </w:r>
      <w:r w:rsidRPr="006A4BCA">
        <w:rPr>
          <w:rFonts w:ascii="Times New Roman" w:eastAsia="Arial" w:hAnsi="Times New Roman" w:cs="Times New Roman"/>
          <w:sz w:val="24"/>
          <w:szCs w:val="24"/>
        </w:rPr>
        <w:t xml:space="preserve">, a nombre del Grupo Parlamentario del Partido morena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6A4BCA">
        <w:rPr>
          <w:rFonts w:ascii="Times New Roman" w:eastAsia="Arial" w:hAnsi="Times New Roman" w:cs="Times New Roman"/>
          <w:b/>
          <w:sz w:val="24"/>
          <w:szCs w:val="24"/>
        </w:rPr>
        <w:t>Iniciativa de Decreto por la que se declara al mezcal producido en Almoloya de Alquisiras, Amatepec, Coatepec Harinas, Ixtapan de la Sal, Luvianos, Malinalco, Ocuilan, Sultepec, Tejupilco, Tenancingo, Tlatlaya, Tonatico, Villa Guerrero, Zacualpan y Zumpahuacán como Patrimonio Cultural Inmaterial del Estado de México</w:t>
      </w:r>
      <w:r w:rsidRPr="006A4BCA">
        <w:rPr>
          <w:rFonts w:ascii="Times New Roman" w:eastAsia="Arial" w:hAnsi="Times New Roman" w:cs="Times New Roman"/>
          <w:sz w:val="24"/>
          <w:szCs w:val="24"/>
        </w:rPr>
        <w:t>, de conformidad con la siguiente:</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DD1607">
      <w:pPr>
        <w:spacing w:after="0" w:line="240" w:lineRule="auto"/>
        <w:ind w:right="49"/>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EXPOSICIÓN DE MOTIVOS</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6"/>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Dicen los pueblos sabios que la memoria no se escribe únicamente en libros ni se conserva en muros antiguos. La memoria verdadera vive en la tierra que se cultiva, en el fuego que transforma, en las manos que trabajan y en la palabra que se transmite de generación en generación. Ahí habita el patrimonio cultural inmaterial: en las prácticas vivas, en los saberes heredados, en los rituales cotidianos que dan sentido, identidad y pertenencia a una comunidad.</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6"/>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  El patrimonio cultural inmaterial es el latido profundo de los pueblos. Es aquello que no se puede encerrar en vitrinas ni medir con cifras, porque se siente, se honra y se comparte. Por ello, su protección no es un acto simbólico, sino una responsabilidad histórica del Estado frente a sus comunidades.</w:t>
      </w:r>
    </w:p>
    <w:p w:rsidR="007853A6" w:rsidRPr="006A4BCA" w:rsidRDefault="007853A6" w:rsidP="007853A6">
      <w:pPr>
        <w:spacing w:after="0" w:line="240" w:lineRule="auto"/>
        <w:ind w:right="66"/>
        <w:jc w:val="both"/>
        <w:rPr>
          <w:rFonts w:ascii="Times New Roman" w:eastAsia="Arial" w:hAnsi="Times New Roman" w:cs="Times New Roman"/>
          <w:sz w:val="24"/>
          <w:szCs w:val="24"/>
        </w:rPr>
      </w:pPr>
    </w:p>
    <w:p w:rsidR="007853A6" w:rsidRPr="006A4BCA" w:rsidRDefault="007853A6" w:rsidP="007853A6">
      <w:pPr>
        <w:spacing w:after="0" w:line="240" w:lineRule="auto"/>
        <w:ind w:right="66"/>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La Convención para la Salvaguardia del Patrimonio Cultural Inmaterial, adoptada en 2003 por la Organización de las Naciones Unidas para la Educación, la Ciencia y la Cultura (UNESCO), marcó un antes y un después al reconocer que las tradiciones vivas son tan valiosas como los </w:t>
      </w:r>
      <w:r w:rsidRPr="006A4BCA">
        <w:rPr>
          <w:rFonts w:ascii="Times New Roman" w:eastAsia="Arial" w:hAnsi="Times New Roman" w:cs="Times New Roman"/>
          <w:sz w:val="24"/>
          <w:szCs w:val="24"/>
        </w:rPr>
        <w:lastRenderedPageBreak/>
        <w:t>monumentos. Esta Convención estableció que la salvaguardia solo es posible cuando las propias comunidades son protagonistas, guardianas y transmisoras de su herencia cultural.</w:t>
      </w:r>
    </w:p>
    <w:p w:rsidR="007853A6" w:rsidRPr="006A4BCA" w:rsidRDefault="007853A6" w:rsidP="007853A6">
      <w:pPr>
        <w:spacing w:after="0" w:line="240" w:lineRule="auto"/>
        <w:ind w:right="49"/>
        <w:jc w:val="both"/>
        <w:rPr>
          <w:rFonts w:ascii="Times New Roman" w:eastAsia="Times New Roman" w:hAnsi="Times New Roman" w:cs="Times New Roman"/>
          <w:sz w:val="24"/>
          <w:szCs w:val="24"/>
        </w:rPr>
      </w:pPr>
    </w:p>
    <w:p w:rsidR="007853A6" w:rsidRPr="006A4BCA" w:rsidRDefault="007853A6" w:rsidP="007853A6">
      <w:pPr>
        <w:spacing w:after="0" w:line="240" w:lineRule="auto"/>
        <w:ind w:right="49"/>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México asumió este compromiso de manera soberana al publicar, el 28 de marzo de 2006, el Decreto Promulgatorio de dicha Convención en el Diario Oficial de la Federación. Desde entonces, el Estado mexicano reconoció que proteger la cultura viva es proteger la dignidad de los pueblos. Así lo confirma la Constitución Política de los Estados Unidos Mexicanos, que reconoce la composición pluricultural de la Nación y garantiza, en su artículo 4°, el derecho de toda persona al acceso, disfrute y ejercicio pleno de los derechos culturales.</w:t>
      </w:r>
    </w:p>
    <w:p w:rsidR="007853A6" w:rsidRPr="006A4BCA" w:rsidRDefault="007853A6" w:rsidP="007853A6">
      <w:pPr>
        <w:spacing w:after="0" w:line="240" w:lineRule="auto"/>
        <w:ind w:right="49"/>
        <w:jc w:val="both"/>
        <w:rPr>
          <w:rFonts w:ascii="Times New Roman" w:eastAsia="Times New Roman" w:hAnsi="Times New Roman" w:cs="Times New Roman"/>
          <w:sz w:val="24"/>
          <w:szCs w:val="24"/>
        </w:rPr>
      </w:pPr>
    </w:p>
    <w:p w:rsidR="007853A6" w:rsidRPr="006A4BCA" w:rsidRDefault="007853A6" w:rsidP="007853A6">
      <w:pPr>
        <w:spacing w:after="0" w:line="240" w:lineRule="auto"/>
        <w:ind w:right="49"/>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Este mandato se desarrolla en la Ley General de Cultura y Derechos Culturales, que consagra el derecho al conocimiento y disfrute del patrimonio cultural material e inmaterial del país, e impone a las autoridades la obligación de preservarlo, promoverlo y transmitirlo.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9"/>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el ámbito local, la Constitución Política del Estado Libre y Soberano de México reconoce, en su artículo 5, el derecho humano a la cultura y ordena al Estado promover los medios necesarios para su difusión, desarrollo y preservación, atendiendo a la diversidad cultural que da identidad a nuestra entidad.</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7"/>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Bajo la visión humanista y de justicia social impulsada por nuestra Gobernadora del Estado de México, Maestra Delfina Gómez Álvarez, la cultura ocupa un lugar central en el Plan de Desarrollo del Estado de México 2023–2028. Dicho instrumento reconoce que el patrimonio cultural tangible e intangible da vida a la entidad mexiquense, pero también advierte que, durante décadas, las expresiones culturales de comunidades rurales, campesinas e indígenas fueron relegadas, invisibilizadas y desvalorizadas, debilitando la identidad colectiva y profundizando la desigualdad.</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Es en ese contexto donde el mezcal mexiquense emerge no solo como bebida, sino como símbolo profundo de resistencia, memoria e identidad. En el sur del Estado de México, donde la tierra es volcánica, los cerros custodian los valles y el sol madura lentamente al agave, las comunidades aprendieron a dialogar con la naturaleza. Ahí, el agave no es un cultivo más: es un maestro de paciencia, un ser vivo que enseña respeto por los ciclos de la vida.</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5"/>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La elaboración del mezcal, desde la siembra cuidadosa del agave, su cocción en hornos de tierra y piedra, la molienda tradicional, la fermentación natural y la destilación en alambiques artesanales, constituye un ritual colectivo que integra conocimiento técnico, espiritualidad, identidad y comunidad. Cada etapa es una herencia viva transmitida de abuelas y abuelos a madres, padres, hijas e hijos.</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7"/>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mezcal mexiquense no es una moda ni una invención reciente. Es memoria líquida. Es historia destilada. Es el testimonio de comunidades que, pese al abandono y la marginación, mantuvieron viva una tradición que hoy da nombre y orgullo a su territorio.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4"/>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Este arraigo histórico fue reconocido jurídicamente en noviembre de 2025, cuando el Instituto Mexicano de la Propiedad Industrial modificó la Declaración General de Protección de la Denominación de Origen “Mezcal”, incorporando a los municipios de Almoloya de Alquisiras, Amatepec, Coatepec Harinas, Ixtapan de la Sal, Luvianos, Malinalco, Ocuilan, Sultepec, Tejupilco, Tenancingo, Tlatlaya, Tonatico, Villa Guerrero, Zacualpan y Zumpahuacán. Este acto no otorgó identidad: la reconoció. No creó tradición: la confirmó.</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5"/>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lastRenderedPageBreak/>
        <w:t>Estos municipios comparten condiciones naturales excepcionales, pero, sobre todo, comparten un patrimonio humano invaluable: maestras y maestros mezcaleros que resguardan el fuego, la técnica y el sentido comunitario del mezcal. Los reconocimientos nacionales e internacionales obtenidos por los productores mexiquenses son prueba de una calidad que nace del respeto a la tierra y a la tradición.</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50"/>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Sin embargo, el mezcal es frágil. Depende de ecosistemas vulnerables, de ciclos largos y generosos del agave y de comunidades que hoy enfrentan los riesgos de la sobreexplotación, la industrialización desmedida y la apropiación indebida de su saber colectivo.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51"/>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Por ello, reconocer al mezcal mexiquense como Patrimonio Cultural Inmaterial del Estado de México es un acto de justicia cultural. Es proteger no solo una bebida, sino un sistema cultural completo: el agave como ser sagrado, la tierra como memoria viva, el maestro mezcalero como guardián del conocimiento y la comunidad como corazón de la tradición.</w:t>
      </w:r>
    </w:p>
    <w:p w:rsidR="007853A6" w:rsidRPr="006A4BCA" w:rsidRDefault="007853A6" w:rsidP="007853A6">
      <w:pPr>
        <w:spacing w:after="0" w:line="240" w:lineRule="auto"/>
        <w:ind w:right="51"/>
        <w:jc w:val="both"/>
        <w:rPr>
          <w:rFonts w:ascii="Times New Roman" w:eastAsia="Arial" w:hAnsi="Times New Roman" w:cs="Times New Roman"/>
          <w:sz w:val="24"/>
          <w:szCs w:val="24"/>
        </w:rPr>
      </w:pPr>
    </w:p>
    <w:p w:rsidR="007853A6" w:rsidRPr="006A4BCA" w:rsidRDefault="007853A6" w:rsidP="007853A6">
      <w:pPr>
        <w:spacing w:after="0" w:line="240" w:lineRule="auto"/>
        <w:ind w:right="51"/>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Esta declaratoria implica reconocer al mezcal como elemento de identidad y cohesión social; fortalecer la economía de los pequeños productores; impulsar un turismo cultural y sostenible; garantizar la transmisión del conocimiento ancestral y evitar que esta tradición sea despojada de su esencia.</w:t>
      </w:r>
    </w:p>
    <w:p w:rsidR="007853A6" w:rsidRPr="006A4BCA" w:rsidRDefault="007853A6" w:rsidP="007853A6">
      <w:pPr>
        <w:spacing w:after="0" w:line="240" w:lineRule="auto"/>
        <w:ind w:right="68"/>
        <w:jc w:val="both"/>
        <w:rPr>
          <w:rFonts w:ascii="Times New Roman" w:eastAsia="Times New Roman" w:hAnsi="Times New Roman" w:cs="Times New Roman"/>
          <w:sz w:val="24"/>
          <w:szCs w:val="24"/>
        </w:rPr>
      </w:pPr>
    </w:p>
    <w:p w:rsidR="007853A6" w:rsidRPr="006A4BCA" w:rsidRDefault="007853A6" w:rsidP="007853A6">
      <w:pPr>
        <w:spacing w:after="0" w:line="240" w:lineRule="auto"/>
        <w:ind w:right="6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Desde el Grupo Parlamentario de morena sostenemos que las expresiones culturales que representan el espíritu del pueblo mexiquense deben ser protegidas con decisión y sensibilidad. Esta iniciativa no es un trámite legislativo: es un compromiso moral con nuestras comunidades, una deuda histórica que hoy comienza a saldarse.</w:t>
      </w:r>
    </w:p>
    <w:p w:rsidR="007853A6" w:rsidRPr="006A4BCA" w:rsidRDefault="007853A6" w:rsidP="007853A6">
      <w:pPr>
        <w:spacing w:after="0" w:line="240" w:lineRule="auto"/>
        <w:ind w:right="69"/>
        <w:jc w:val="both"/>
        <w:rPr>
          <w:rFonts w:ascii="Times New Roman" w:eastAsia="Times New Roman" w:hAnsi="Times New Roman" w:cs="Times New Roman"/>
          <w:sz w:val="24"/>
          <w:szCs w:val="24"/>
        </w:rPr>
      </w:pPr>
    </w:p>
    <w:p w:rsidR="007853A6" w:rsidRPr="006A4BCA" w:rsidRDefault="007853A6" w:rsidP="007853A6">
      <w:pPr>
        <w:spacing w:after="0" w:line="240" w:lineRule="auto"/>
        <w:ind w:right="69"/>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Por todo lo anterior, se propone que la Sexagésima Segunda Legislatura del Estado de México declare al mezcal producido en los quince municipios reconocidos dentro de la Denominación de Origen como Patrimonio Cultural Inmaterial del Estado de México, así como de interés público y social su fomento, conservación, promoción, patrocinio y salvaguarda, para que esta tradición viva siga floreciendo, con dignidad y justicia, en beneficio de las generaciones presentes y futuras.</w:t>
      </w:r>
    </w:p>
    <w:p w:rsidR="007853A6" w:rsidRPr="006A4BCA" w:rsidRDefault="007853A6" w:rsidP="007853A6">
      <w:pPr>
        <w:spacing w:after="0" w:line="240" w:lineRule="auto"/>
        <w:ind w:right="69"/>
        <w:jc w:val="both"/>
        <w:rPr>
          <w:rFonts w:ascii="Times New Roman" w:eastAsia="Arial" w:hAnsi="Times New Roman" w:cs="Times New Roman"/>
          <w:sz w:val="24"/>
          <w:szCs w:val="24"/>
        </w:rPr>
      </w:pPr>
    </w:p>
    <w:p w:rsidR="007853A6" w:rsidRPr="006A4BCA" w:rsidRDefault="007853A6" w:rsidP="007853A6">
      <w:pPr>
        <w:spacing w:after="0" w:line="240" w:lineRule="auto"/>
        <w:ind w:right="69"/>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patrimonio cultural no se limita a los monumentos de piedra ni a los vestigios del pasado. Vive, respira y se transforma en las prácticas, saberes, expresiones y tradiciones que los pueblos transmiten de generación en generación. Es ahí, en lo cotidiano y en lo ritual, donde se construye la identidad colectiva y la cohesión social. Por ello, el patrimonio cultural inmaterial merece una protección especial, pues constituye el alma viva de las comunidades.</w:t>
      </w:r>
    </w:p>
    <w:p w:rsidR="007853A6" w:rsidRPr="006A4BCA" w:rsidRDefault="007853A6" w:rsidP="007853A6">
      <w:pPr>
        <w:spacing w:after="0" w:line="240" w:lineRule="auto"/>
        <w:ind w:right="63"/>
        <w:jc w:val="both"/>
        <w:rPr>
          <w:rFonts w:ascii="Times New Roman" w:eastAsia="Times New Roman" w:hAnsi="Times New Roman" w:cs="Times New Roman"/>
          <w:sz w:val="24"/>
          <w:szCs w:val="24"/>
        </w:rPr>
      </w:pPr>
    </w:p>
    <w:p w:rsidR="007853A6" w:rsidRPr="006A4BCA" w:rsidRDefault="007853A6" w:rsidP="007853A6">
      <w:pPr>
        <w:spacing w:after="0" w:line="240" w:lineRule="auto"/>
        <w:ind w:right="63"/>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La Convención para la Salvaguardia del Patrimonio Cultural Inmaterial, aprobada en 2003 en el marco de la Organización de las Naciones Unidas para la Educación, la Ciencia y la Cultura (UNESCO), significó un parteaguas en el reconocimiento internacional de estas prácticas vivas. Dicha Convención subraya que la salvaguardia del patrimonio cultural inmaterial solo puede lograrse con la participación plena, activa y consciente de las propias comunidades que lo crean, lo preservan y lo transmiten.</w:t>
      </w:r>
    </w:p>
    <w:p w:rsidR="007853A6" w:rsidRPr="006A4BCA" w:rsidRDefault="007853A6" w:rsidP="007853A6">
      <w:pPr>
        <w:spacing w:after="0" w:line="240" w:lineRule="auto"/>
        <w:ind w:right="78"/>
        <w:jc w:val="both"/>
        <w:rPr>
          <w:rFonts w:ascii="Times New Roman" w:eastAsia="Times New Roman" w:hAnsi="Times New Roman" w:cs="Times New Roman"/>
          <w:sz w:val="24"/>
          <w:szCs w:val="24"/>
        </w:rPr>
      </w:pPr>
    </w:p>
    <w:p w:rsidR="007853A6" w:rsidRPr="006A4BCA" w:rsidRDefault="007853A6" w:rsidP="007853A6">
      <w:pPr>
        <w:spacing w:after="0" w:line="240" w:lineRule="auto"/>
        <w:ind w:right="7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El Estado Mexicano refrendó este compromiso al publicar, el 28 de marzo de 2006, en el Diario Oficial de la Federación, el Decreto Promulgatorio de la Convención para la Salvaguardia del Patrimonio Cultural Inmaterial, integrando así sus principios al orden jurídico nacional. En consonancia, la Constitución Política de los Estados Unidos Mexicanos reconoce la composición pluricultural de la Nación, sustentada originalmente en sus pueblos indígenas, garantizando la </w:t>
      </w:r>
      <w:r w:rsidRPr="006A4BCA">
        <w:rPr>
          <w:rFonts w:ascii="Times New Roman" w:eastAsia="Arial" w:hAnsi="Times New Roman" w:cs="Times New Roman"/>
          <w:sz w:val="24"/>
          <w:szCs w:val="24"/>
        </w:rPr>
        <w:lastRenderedPageBreak/>
        <w:t>preservación de sus conocimientos, tradiciones y expresiones culturales. El artículo 4º constitucional consagra el derecho de toda persona al acceso y disfrute de la cultura, así como al ejercicio de sus derechos culturales.</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A su vez, la Ley General de Cultura y Derechos Culturales establece que todas las personas tienen derecho al libre acceso al conocimiento y disfrute del patrimonio cultural material e inmaterial desarrollado en el territorio nacional. Este mandato obliga a las entidades federativas a proteger y promover aquellas manifestaciones que dan identidad y sentido de pertenencia a sus comunidades.</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el ámbito local, la Constitución Política del Estado Libre y Soberano de México reconoce, en su artículo 5, el derecho de acceso a la cultura y al ejercicio pleno de los derechos culturales, imponiendo al Estado la obligación de promover los medios para la difusión, desarrollo y preservación de la cultura, atendiendo a su diversidad y respetando la libertad creativa.</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52"/>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Bajo la visión de humanismo y justicia social que impulsa la Gobernadora del Estado de México, Maestra Delfina Gómez Álvarez, la cultura ocupa un lugar central en el Plan de Desarrollo del Estado de México 2023–2028, donde se reconoce que el acervo cultural tangible e intangible da vida a la entidad mexiquense y constituye un motor de identidad, cohesión social y desarrollo comunitario. Dicho Plan advierte, además, que históricamente la cultura ha sido relegada y que ello ha generado la exclusión y desvalorización de comunidades rurales, campesinas e indígenas, debilitando la identidad mexiquense.</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6"/>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este contexto, el Estado de México posee una riqueza cultural profunda y diversa que se expresa no solo en sus zonas arqueológicas, museos y obras artísticas, sino también en sus saberes ancestrales, celebraciones, oficios y prácticas productivas tradicionales. Dentro de esta riqueza viva se encuentra el mezcal mexiquense, una manifestación cultural, agrícola y espiritual que hunde sus raíces en tiempos prehispánicos y que ha sobrevivido gracias al arraigo, la resistencia y la transmisión intergeneracional del conocimiento.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70"/>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los territorios del sur del Estado de México, donde la tierra volcánica, el clima, la altitud y los suelos agrestes dialogan con el esfuerzo humano, el agave ha sido cultivado y respetado como un ser vivo que enseña paciencia y equilibrio. El proceso de elaboración del mezcal, desde la siembra y cuidado del agave, su cocción en hornos tradicionales, la molienda, la fermentación natural y la destilación en alambiques artesanales, constituye un conjunto de saberes técnicos, rituales y simbólicos que conforman un patrimonio cultural inmaterial plenamente vigente.</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7"/>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No se trata de una producción reciente ni de una moda circunstancial. El mezcal mexiquense es tradición, memoria y comunidad. Es el resultado de conocimientos transmitidos de abuelos a padres y de padres a hijas e hijos; es el reflejo de una relación respetuosa con la naturaleza y de una economía campesina que ha resistido al olvido y a la marginación.</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6"/>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Este reconocimiento histórico se consolidó jurídicamente en noviembre de 2025, cuando el Instituto Mexicano de la Propiedad Industrial (IMPI) modificó la Declaración General de Protección de la Denominación de Origen “Mezcal”, incorporando formalmente a quince municipios del Estado de México: Almoloya de Alquisiras, Amatepec, Coatepec Harinas, Ixtapan de la Sal, Luvianos, Malinalco, Ocuilan, Sultepec, Tejupilco, Tenancingo, Tlatlaya, Tonatico, Villa Guerrero, Zacualpan y Zumpahuacán. Este hecho constituyó la constancia jurídica que reconoce la autenticidad y legitimidad del mezcal producido en estas regiones.</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6"/>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lastRenderedPageBreak/>
        <w:t>Dichos municipios comparten no solo condiciones naturales excepcionales para el cultivo del agave, sino también factores históricos y humanos que acreditan una tradición mezcalera viva. A ello se suman los reconocimientos nacionales e internacionales obtenidos por productores mexiquenses, que han demostrado la calidad, autenticidad y valor cultural de sus mezcales.</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El mezcal es una manifestación cultural frágil, dependiente de ecosistemas vulnerables, de ciclos largos de producción y de comunidades que requieren protección frente a la explotación, la industrialización desmedida y la apropiación indebida de su saber colectivo.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50"/>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Por ello, resulta indispensable que el mezcal producido en los quince municipios del Estado de México sea reconocido como Patrimonio Cultural Inmaterial del Estado, a fin de garantizar su salvaguarda integral. Esta declaratoria no solo protege un producto, sino que honra un sistema cultural completo: el agave como ser sagrado, el maestro mezcalero como guardián del fuego y del conocimiento, la tierra como memoria viva y la comunidad como corazón de la tradición.</w:t>
      </w:r>
    </w:p>
    <w:p w:rsidR="007853A6" w:rsidRPr="006A4BCA" w:rsidRDefault="007853A6" w:rsidP="007853A6">
      <w:pPr>
        <w:spacing w:after="0" w:line="240" w:lineRule="auto"/>
        <w:ind w:right="50"/>
        <w:jc w:val="both"/>
        <w:rPr>
          <w:rFonts w:ascii="Times New Roman" w:eastAsia="Arial" w:hAnsi="Times New Roman" w:cs="Times New Roman"/>
          <w:sz w:val="24"/>
          <w:szCs w:val="24"/>
        </w:rPr>
      </w:pPr>
    </w:p>
    <w:p w:rsidR="007853A6" w:rsidRPr="006A4BCA" w:rsidRDefault="007853A6" w:rsidP="007853A6">
      <w:pPr>
        <w:spacing w:after="0" w:line="240" w:lineRule="auto"/>
        <w:ind w:right="50"/>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Declarar al mezcal mexiquense como Patrimonio Cultural Inmaterial implica reconocerlo como elemento de identidad, orgullo y cohesión social; promover su conservación y transmisión; fortalecer la economía local de pequeños productores; impulsar un turismo cultural y sostenible; y evitar la pérdida o distorsión de una tradición que da sentido y dignidad a nuestras comunidades.</w:t>
      </w:r>
    </w:p>
    <w:p w:rsidR="007853A6" w:rsidRPr="006A4BCA" w:rsidRDefault="007853A6" w:rsidP="007853A6">
      <w:pPr>
        <w:spacing w:after="0" w:line="240" w:lineRule="auto"/>
        <w:ind w:right="62"/>
        <w:jc w:val="both"/>
        <w:rPr>
          <w:rFonts w:ascii="Times New Roman" w:eastAsia="Times New Roman" w:hAnsi="Times New Roman" w:cs="Times New Roman"/>
          <w:sz w:val="24"/>
          <w:szCs w:val="24"/>
        </w:rPr>
      </w:pPr>
    </w:p>
    <w:p w:rsidR="007853A6" w:rsidRPr="006A4BCA" w:rsidRDefault="007853A6" w:rsidP="007853A6">
      <w:pPr>
        <w:spacing w:after="0" w:line="240" w:lineRule="auto"/>
        <w:ind w:right="62"/>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el Grupo Parlamentario de morena consideramos que las expresiones culturales que representan la esencia del pueblo mexiquense deben ser protegidas, conservadas y difundidas por su profundo valor histórico, social y humano. Esta iniciativa no es un trámite legislativo más: es un acto de justicia cultural, un compromiso con la memoria de nuestros pueblos y una apuesta por un futuro con raíces.</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3"/>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Por todo lo anterior, se propone que la Sexagésima Segunda Legislatura del Estado de México declare al mezcal producido en los quince municipios reconocidos dentro de la Denominación de Origen como Patrimonio Cultural Inmaterial del Estado de México, así como de interés público y social su fomento, conservación, promoción, patrocinio y salvaguarda, para que esta tradición viva continúe floreciendo en beneficio de las presentes y futuras generaciones.</w:t>
      </w:r>
    </w:p>
    <w:p w:rsidR="007853A6" w:rsidRPr="006A4BCA" w:rsidRDefault="007853A6" w:rsidP="007853A6">
      <w:pPr>
        <w:spacing w:after="0" w:line="240" w:lineRule="auto"/>
        <w:ind w:right="63"/>
        <w:jc w:val="both"/>
        <w:rPr>
          <w:rFonts w:ascii="Times New Roman" w:eastAsia="Arial" w:hAnsi="Times New Roman" w:cs="Times New Roman"/>
          <w:b/>
          <w:sz w:val="24"/>
          <w:szCs w:val="24"/>
        </w:rPr>
      </w:pPr>
    </w:p>
    <w:p w:rsidR="007853A6" w:rsidRPr="006A4BCA" w:rsidRDefault="007853A6" w:rsidP="007853A6">
      <w:pPr>
        <w:spacing w:after="0" w:line="240" w:lineRule="auto"/>
        <w:ind w:right="63"/>
        <w:jc w:val="both"/>
        <w:rPr>
          <w:rFonts w:ascii="Times New Roman" w:eastAsia="Arial" w:hAnsi="Times New Roman" w:cs="Times New Roman"/>
          <w:b/>
          <w:sz w:val="24"/>
          <w:szCs w:val="24"/>
        </w:rPr>
      </w:pPr>
    </w:p>
    <w:p w:rsidR="007853A6" w:rsidRPr="006A4BCA" w:rsidRDefault="007853A6" w:rsidP="007853A6">
      <w:pPr>
        <w:spacing w:after="0" w:line="240" w:lineRule="auto"/>
        <w:ind w:right="63"/>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DECRETO NÚMERO</w:t>
      </w:r>
    </w:p>
    <w:p w:rsidR="007853A6" w:rsidRPr="006A4BCA" w:rsidRDefault="007853A6" w:rsidP="007853A6">
      <w:pPr>
        <w:spacing w:after="0" w:line="240" w:lineRule="auto"/>
        <w:ind w:right="2067"/>
        <w:rPr>
          <w:rFonts w:ascii="Times New Roman" w:eastAsia="Arial" w:hAnsi="Times New Roman" w:cs="Times New Roman"/>
          <w:sz w:val="24"/>
          <w:szCs w:val="24"/>
        </w:rPr>
      </w:pPr>
      <w:r w:rsidRPr="006A4BCA">
        <w:rPr>
          <w:rFonts w:ascii="Times New Roman" w:eastAsia="Arial" w:hAnsi="Times New Roman" w:cs="Times New Roman"/>
          <w:b/>
          <w:sz w:val="24"/>
          <w:szCs w:val="24"/>
        </w:rPr>
        <w:t>LA H LXII LEGISLATURA DEL ESTADO DE MÉXICO DECRETA:</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6"/>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ARTÍCULO PRIMERO. Se declara al mezcal producido en Almoloya de Alquisiras, Amatepec, Coatepec Harinas, Ixtapan de la Sal, Luvianos, Malinalco, Ocuilan, Sultepec, Tejupilco, Tenancingo, Tlatlaya, Tonatico, Villa Guerrero, Zacualpan y Zumpahuacán como Patrimonio Cultural Inmaterial del Estado de México</w:t>
      </w:r>
      <w:r w:rsidRPr="006A4BCA">
        <w:rPr>
          <w:rFonts w:ascii="Times New Roman" w:eastAsia="Arial" w:hAnsi="Times New Roman" w:cs="Times New Roman"/>
          <w:sz w:val="24"/>
          <w:szCs w:val="24"/>
        </w:rPr>
        <w:t>.</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4"/>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ARTÍCULO SEGUNDO. </w:t>
      </w:r>
      <w:r w:rsidRPr="006A4BCA">
        <w:rPr>
          <w:rFonts w:ascii="Times New Roman" w:eastAsia="Arial" w:hAnsi="Times New Roman" w:cs="Times New Roman"/>
          <w:sz w:val="24"/>
          <w:szCs w:val="24"/>
        </w:rPr>
        <w:t>Se declara de orden público y de interés social el reconocimiento, fortalecimiento, protección, conservación, promoción, patrocinio y salvaguarda de la tradición mezcalera mexiquense, como manifestación viva del Patrimonio Cultural Inmaterial del Estado de México.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left="3267" w:right="3290"/>
        <w:jc w:val="center"/>
        <w:rPr>
          <w:rFonts w:ascii="Times New Roman" w:eastAsia="Arial" w:hAnsi="Times New Roman" w:cs="Times New Roman"/>
          <w:sz w:val="24"/>
          <w:szCs w:val="24"/>
        </w:rPr>
      </w:pPr>
      <w:r w:rsidRPr="006A4BCA">
        <w:rPr>
          <w:rFonts w:ascii="Times New Roman" w:eastAsia="Arial" w:hAnsi="Times New Roman" w:cs="Times New Roman"/>
          <w:b/>
          <w:sz w:val="24"/>
          <w:szCs w:val="24"/>
        </w:rPr>
        <w:t>TRANSITORIOS</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71"/>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lastRenderedPageBreak/>
        <w:t xml:space="preserve">ARTÍCULO PRIMERO. </w:t>
      </w:r>
      <w:r w:rsidRPr="006A4BCA">
        <w:rPr>
          <w:rFonts w:ascii="Times New Roman" w:eastAsia="Arial" w:hAnsi="Times New Roman" w:cs="Times New Roman"/>
          <w:sz w:val="24"/>
          <w:szCs w:val="24"/>
        </w:rPr>
        <w:t>Publíquese el presente Decreto en el Periódico Oficial “Gaceta del Gobierno” del Estado de México.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8"/>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ARTÍCULO SEGUNDO. </w:t>
      </w:r>
      <w:r w:rsidRPr="006A4BCA">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67"/>
        <w:jc w:val="both"/>
        <w:rPr>
          <w:rFonts w:ascii="Times New Roman" w:eastAsia="Arial" w:hAnsi="Times New Roman" w:cs="Times New Roman"/>
          <w:sz w:val="24"/>
          <w:szCs w:val="24"/>
        </w:rPr>
      </w:pPr>
      <w:r w:rsidRPr="006A4BCA">
        <w:rPr>
          <w:rFonts w:ascii="Times New Roman" w:eastAsia="Arial" w:hAnsi="Times New Roman" w:cs="Times New Roman"/>
          <w:b/>
          <w:sz w:val="24"/>
          <w:szCs w:val="24"/>
        </w:rPr>
        <w:t xml:space="preserve">ARTÍCULO TERCERO. </w:t>
      </w:r>
      <w:r w:rsidRPr="006A4BCA">
        <w:rPr>
          <w:rFonts w:ascii="Times New Roman" w:eastAsia="Arial" w:hAnsi="Times New Roman" w:cs="Times New Roman"/>
          <w:sz w:val="24"/>
          <w:szCs w:val="24"/>
        </w:rPr>
        <w:t>El Ejecutivo del Estado, por conducto de la Secretaría del Campo y la Secretaría de Cultura y Turismo, en el ámbito de sus respectivas atribuciones, deberá instrumentar las acciones, políticas públicas y mecanismos necesarios que garanticen la protección, conservación, fortalecimiento, transmisión intergeneracional y difusión del Patrimonio Cultural Inmaterial del mezcal producido en los municipios de Almoloya de Alquisiras, Amatepec, Coatepec Harinas, Ixtapan de la Sal, Luvianos, Malinalco, Ocuilan, Sultepec, Tejupilco, Tenancingo, Tlatlaya, Tonatico, Villa Guerrero, Zacualpan y Zumpahuacán, promoviendo la participación activa de las comunidades productoras y la coordinación con organizaciones de la sociedad civil, conforme a la disponibilidad presupuestal correspondiente.</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4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Notifíquese a la Gobernadora Constitucional del Estado de México para su promulgación, publicación y debido cumplimiento.</w:t>
      </w:r>
    </w:p>
    <w:p w:rsidR="007853A6" w:rsidRPr="006A4BCA" w:rsidRDefault="007853A6" w:rsidP="007853A6">
      <w:pPr>
        <w:spacing w:after="0" w:line="240" w:lineRule="auto"/>
        <w:rPr>
          <w:rFonts w:ascii="Times New Roman" w:eastAsia="Times New Roman" w:hAnsi="Times New Roman" w:cs="Times New Roman"/>
          <w:sz w:val="24"/>
          <w:szCs w:val="24"/>
        </w:rPr>
      </w:pPr>
    </w:p>
    <w:p w:rsidR="007853A6" w:rsidRPr="006A4BCA" w:rsidRDefault="007853A6" w:rsidP="007853A6">
      <w:pPr>
        <w:spacing w:after="0" w:line="240" w:lineRule="auto"/>
        <w:ind w:right="53"/>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Dado en el Palacio del Poder Legislativo, en la Ciudad de Toluca de Lerdo, Capital del Estado de México, a los días del mes de </w:t>
      </w:r>
      <w:r w:rsidRPr="006A4BCA">
        <w:rPr>
          <w:rFonts w:ascii="Times New Roman" w:eastAsia="Arial" w:hAnsi="Times New Roman" w:cs="Times New Roman"/>
          <w:sz w:val="24"/>
          <w:szCs w:val="24"/>
        </w:rPr>
        <w:tab/>
        <w:t xml:space="preserve">de </w:t>
      </w:r>
      <w:r w:rsidRPr="006A4BCA">
        <w:rPr>
          <w:rFonts w:ascii="Times New Roman" w:eastAsia="Arial" w:hAnsi="Times New Roman" w:cs="Times New Roman"/>
          <w:sz w:val="24"/>
          <w:szCs w:val="24"/>
        </w:rPr>
        <w:tab/>
        <w:t>dos mil veintiséis.</w:t>
      </w:r>
    </w:p>
    <w:p w:rsidR="00BD0319" w:rsidRPr="006A4BCA" w:rsidRDefault="00BD0319" w:rsidP="002C66B3">
      <w:pPr>
        <w:spacing w:after="0" w:line="240" w:lineRule="auto"/>
        <w:jc w:val="center"/>
        <w:rPr>
          <w:rFonts w:ascii="Times New Roman" w:hAnsi="Times New Roman"/>
          <w:sz w:val="24"/>
          <w:szCs w:val="24"/>
        </w:rPr>
      </w:pPr>
    </w:p>
    <w:p w:rsidR="00BD0319" w:rsidRPr="006A4BCA" w:rsidRDefault="00BD0319" w:rsidP="002C66B3">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BD0319" w:rsidRPr="006A4BCA" w:rsidRDefault="00BD0319" w:rsidP="002C66B3">
      <w:pPr>
        <w:spacing w:after="0" w:line="240" w:lineRule="auto"/>
        <w:jc w:val="center"/>
        <w:rPr>
          <w:rFonts w:ascii="Times New Roman" w:hAnsi="Times New Roman"/>
          <w:sz w:val="24"/>
          <w:szCs w:val="24"/>
        </w:rPr>
      </w:pP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diputado Israel Espíndola López.</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registra la iniciativa y se remite a las Comisiones Legislativas de Gobernación y Puntos Constitucionales y de Desarrollo Agropecuario y Forestal para su estudio y dictamen.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observancia en el punto número 8, el diputado Edmundo Luis Valdeña Bastida, presenta en nombre del Grupo Parlamentario del Partido morena, Iniciativa de Decreto por el que se adiciona una fracción al artículo 5 de la Ley del Adulto Mayor del Estado de México, en materia de atención preferente de Adultos Mayores.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 EDMUNDO LUIS VALDEÑA BASTIDA. Con el permiso de la Presidenta Martha Azucena Camacho Reynoso y los miembros de la Mesa Directiva, saludo a los medios de comunicación, a las, los y les mexiquenses que nos siguen por las distintas redes sociales.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El envejecimiento de la población en el Estado de México representa uno de los principales desafíos sociales y administrativos de la actualidad. Las personas adultas mayores enfrentan, de manera cotidiana, obstáculos estructurales para el ejercicio efectivo de sus derechos, particularmente en el acceso a trámites, servicios y procedimientos ante autoridades estatales y municipales.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De acuerdo con datos del Instituto Nacional de Estadística y Geografía (INEGI), una proporción significativa de personas adultas mayores presenta limitaciones de movilidad, condiciones </w:t>
      </w:r>
      <w:r w:rsidRPr="006A4BCA">
        <w:rPr>
          <w:rFonts w:ascii="Times New Roman" w:eastAsia="Arial" w:hAnsi="Times New Roman" w:cs="Times New Roman"/>
          <w:sz w:val="24"/>
          <w:szCs w:val="24"/>
        </w:rPr>
        <w:t>de salud crónicas o dependencia parcial, lo que vuelve especialmente gravosos los tiempos prolongados de espera, la falta de orientación clara y la ausencia de mecanismos diferenciados de atención en oficinas públicas.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Asimismo, con datos y en base a datos de la Encuesta Nacional de Ingresos y Gastos de los Hogares (2022), en el Estado de México hay un total de 2 millones 390 mil 564 mexiquenses adultos mayores que requieren la atención y apoyo directo del gobierno, principalmente en los rubros alimentario, económico y de salud.</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lastRenderedPageBreak/>
        <w:t>Si bien la Ley del Adulto Mayor del Estado de México reconoce un amplio catálogo de derechos y contempla supuestos específicos de atención preferente en ciertos servicios, no establece de manera expresa un derecho general y transversal de atención preferente en los trámites y procedimientos administrativos, lo que genera vacíos normativos, discrecionalidad en su aplicación y trato desigual entre instituciones.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La atención preferente no constituye un programa social ni una política pública,</w:t>
      </w:r>
    </w:p>
    <w:p w:rsidR="004A7076" w:rsidRPr="006A4BCA" w:rsidRDefault="004A7076" w:rsidP="004A7076">
      <w:pPr>
        <w:pStyle w:val="Sinespaciad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sino un derecho administrativo de carácter subjetivo, orientado a garantizar un trato digno, accesible y expedito, en condiciones de igualdad sustantiva. Su reconocimiento expreso fortalece la exigibilidad del derecho, evita interpretaciones restrictivas y brinda certeza tanto a las personas adultas mayores como a las autoridades responsables.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La presente iniciativa no crea padrones, no establece programas nuevos, no genera cargas presupuestales adicionales, ni invade competencias. Únicamente impone una obligación administrativa mínima para que las autoridades adopten mecanismos visibles y accesibles, conforme a sus atribuciones, para hacer efectivo el derecho de los adultos mayores.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Ubicar esta disposición dentro del Artículo 5, que concentra el catálogo de derechos, evita dispersión normativa, armoniza el ordenamiento jurídico y fortalece el enfoque de derechos humanos, alineado con las políticas de bienestar impulsadas a nivel estatal por nuestra Gobernadora, la Maestra Delfina Gómez Álvarez y el Nacional, impulsado por la Doctora Claudia Sheinbaum Pardo, Presidenta del País para la protección integral de las personas adultas mayores.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Con esta reforma, el Estado de México avanza hacia una administración pública más humana, incluyente y respetuosa de la dignidad de quienes han contribuido al desarrollo social, económico y comunitario de nuestra Entidad.</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Es cuanto, solicito a la presente, que esta iniciativa quede de manera íntegra en la Gaceta Parlamentaria y en el Diario de los Debates.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eastAsia="Arial" w:hAnsi="Times New Roman" w:cs="Times New Roman"/>
          <w:sz w:val="24"/>
          <w:szCs w:val="24"/>
        </w:rPr>
        <w:t>Es cuanto, muchas gracias.</w:t>
      </w:r>
    </w:p>
    <w:p w:rsidR="00ED7D84" w:rsidRPr="006A4BCA" w:rsidRDefault="00ED7D84" w:rsidP="002C66B3">
      <w:pPr>
        <w:pStyle w:val="Sinespaciado"/>
        <w:jc w:val="both"/>
        <w:rPr>
          <w:rFonts w:ascii="Times New Roman" w:hAnsi="Times New Roman" w:cs="Times New Roman"/>
          <w:sz w:val="24"/>
          <w:szCs w:val="24"/>
        </w:rPr>
      </w:pPr>
    </w:p>
    <w:p w:rsidR="00ED7D84" w:rsidRPr="006A4BCA" w:rsidRDefault="00ED7D84" w:rsidP="002C66B3">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ED7D84" w:rsidRPr="006A4BCA" w:rsidRDefault="00ED7D84" w:rsidP="002C66B3">
      <w:pPr>
        <w:spacing w:after="0" w:line="240" w:lineRule="auto"/>
        <w:jc w:val="center"/>
        <w:rPr>
          <w:rFonts w:ascii="Times New Roman" w:hAnsi="Times New Roman"/>
          <w:sz w:val="24"/>
          <w:szCs w:val="24"/>
        </w:rPr>
      </w:pPr>
    </w:p>
    <w:p w:rsidR="00ED7D84" w:rsidRPr="006A4BCA" w:rsidRDefault="00ED7D84" w:rsidP="00ED7D84">
      <w:pPr>
        <w:widowControl w:val="0"/>
        <w:autoSpaceDE w:val="0"/>
        <w:autoSpaceDN w:val="0"/>
        <w:spacing w:after="0" w:line="240" w:lineRule="auto"/>
        <w:ind w:left="228" w:right="-11"/>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EDMUNDO LUIS VALDEÑA BASTIDA</w:t>
      </w:r>
    </w:p>
    <w:p w:rsidR="00ED7D84" w:rsidRPr="006A4BCA" w:rsidRDefault="00ED7D84" w:rsidP="00ED7D84">
      <w:pPr>
        <w:widowControl w:val="0"/>
        <w:autoSpaceDE w:val="0"/>
        <w:autoSpaceDN w:val="0"/>
        <w:spacing w:after="0" w:line="240" w:lineRule="auto"/>
        <w:ind w:left="228" w:right="-11"/>
        <w:jc w:val="center"/>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228" w:right="-11"/>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“2026. Año de Humanismo Mexicano en el Estado de México”.</w:t>
      </w:r>
    </w:p>
    <w:p w:rsidR="00ED7D84" w:rsidRPr="006A4BCA" w:rsidRDefault="00ED7D84" w:rsidP="00ED7D84">
      <w:pPr>
        <w:widowControl w:val="0"/>
        <w:autoSpaceDE w:val="0"/>
        <w:autoSpaceDN w:val="0"/>
        <w:spacing w:after="0" w:line="240" w:lineRule="auto"/>
        <w:ind w:left="229" w:right="-11"/>
        <w:jc w:val="center"/>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229" w:right="-11"/>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Grupo Parlamentario morena</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DIP. MARTHA AZUCENA CAMACHO REYNOSO</w:t>
      </w:r>
    </w:p>
    <w:p w:rsidR="00ED7D84" w:rsidRPr="006A4BCA" w:rsidRDefault="00ED7D84" w:rsidP="00ED7D84">
      <w:pPr>
        <w:widowControl w:val="0"/>
        <w:autoSpaceDE w:val="0"/>
        <w:autoSpaceDN w:val="0"/>
        <w:spacing w:after="0" w:line="240" w:lineRule="auto"/>
        <w:ind w:left="1" w:right="-11"/>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PRESIDENTA DE LA DIRECTIVA DE LA “LXII”</w:t>
      </w:r>
    </w:p>
    <w:p w:rsidR="00ED7D84" w:rsidRPr="006A4BCA" w:rsidRDefault="00ED7D84" w:rsidP="00ED7D84">
      <w:pPr>
        <w:widowControl w:val="0"/>
        <w:autoSpaceDE w:val="0"/>
        <w:autoSpaceDN w:val="0"/>
        <w:spacing w:after="0" w:line="240" w:lineRule="auto"/>
        <w:ind w:left="1" w:right="-11"/>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LEGISLATURA DEL ESTADO DE MÉXICO.</w:t>
      </w:r>
    </w:p>
    <w:p w:rsidR="00ED7D84" w:rsidRPr="006A4BCA" w:rsidRDefault="00ED7D84" w:rsidP="00ED7D84">
      <w:pPr>
        <w:widowControl w:val="0"/>
        <w:autoSpaceDE w:val="0"/>
        <w:autoSpaceDN w:val="0"/>
        <w:spacing w:after="0" w:line="240" w:lineRule="auto"/>
        <w:ind w:left="1" w:right="-11"/>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PRESENTE.</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b/>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Edmundo Luis Valdeña Bastida, integrante del Grupo Parlamentario de morena me permito someter a la consideración de esta Honorable Legislatura la presente </w:t>
      </w:r>
      <w:r w:rsidRPr="006A4BCA">
        <w:rPr>
          <w:rFonts w:ascii="Times New Roman" w:eastAsia="Arial MT" w:hAnsi="Times New Roman" w:cs="Times New Roman"/>
          <w:b/>
          <w:sz w:val="24"/>
          <w:szCs w:val="24"/>
        </w:rPr>
        <w:t xml:space="preserve">Iniciativa de Decreto </w:t>
      </w:r>
      <w:r w:rsidRPr="006A4BCA">
        <w:rPr>
          <w:rFonts w:ascii="Times New Roman" w:eastAsia="Arial MT" w:hAnsi="Times New Roman" w:cs="Times New Roman"/>
          <w:sz w:val="24"/>
          <w:szCs w:val="24"/>
        </w:rPr>
        <w:t>por el que se adiciona una fracción al artículo 5 de la ley del Adulto Mayor del Estado de México, en materia de atención preferente, de conformidad con la siguiente:</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94" w:right="-11"/>
        <w:jc w:val="center"/>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EXPOSICIÓN DE MOTIVOS</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b/>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lastRenderedPageBreak/>
        <w:t>El envejecimiento de la población en el Estado de México representa uno de los principales desafíos sociales y administrativos de la actualidad. Las personas adultas mayores enfrentan, de manera cotidiana, obstáculos estructurales para el ejercicio efectivo de sus derechos, particularmente en el acceso a trámites, servicios y procedimientos ante autoridades estatales y municipales.</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acuerdo con datos del Instituto Nacional de Estadística y Geografía (INEGI), una proporción significativa de personas adultas mayores presenta limitaciones de movilidad, condiciones de salud crónicas o dependencia parcial, lo que vuelve especialmente gravosos los tiempos prolongados de espera, la falta de orientación clara y la ausencia de mecanismos diferenciados de atención en oficinas públicas.</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Así mismo, Con base en datos de la ENIGH (2022), en el Estado de México hay un total de 2,390,564 mexiquenses adultos mayores que requieren la atención y apoyo directo del gobierno, principalmente en los rubros alimentario, económico y de salud.</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 bien la Ley del Adulto Mayor del Estado de México reconoce un amplio catálogo de derechos y contempla supuestos específicos de atención preferente en ciertos servicios, no establece de manera expresa un derecho general y transversal de atención preferente en los trámites y procedimientos administrativos, lo que genera vacíos normativos, discrecionalidad en su aplicación y trato desigual entre instituciones.</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atención preferente no constituye un programa social ni una política pública, sino un derecho administrativo de carácter subjetivo, orientado a garantizar un trato digno, accesible y expedito, en condiciones de igualdad sustantiva. Su reconocimiento expreso fortalece la exigibilidad del derecho, evita interpretaciones restrictivas y brinda certeza tanto a las personas adultas mayores como a las autoridades responsables.</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presente iniciativa no crea padrones, no establece programas nuevos, no genera cargas presupuestales adicionales, ni invade competencias. Únicamente impone una obligación administrativa mínima: que las autoridades adopten mecanismos visibles y accesibles, conforme a sus atribuciones, para hacer efectivo el derecho.</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Ubicar esta disposición dentro del Artículo 5, que concentra el catálogo de derechos, evita dispersión normativa, armoniza el ordenamiento jurídico y fortalece el enfoque de derechos humanos, alineado con las políticas de bienestar impulsadas a nivel estatal y nacional para la protección integral de las personas adultas mayores.</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Con esta reforma, el Estado de México avanza hacia una administración pública más humana, incluyente y respetuosa de la dignidad de quienes han contribuido al desarrollo social, económico y comunitario de nuestra entidad.</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todo lo expuesto, y honrando la memoria, la creatividad y la fuerza de las y los artesanos de Rayón, someto respetuosamente a consideración de esta Honorable Asamblea la presente Iniciativa con Proyecto de Decreto, para que, de estimarla procedente, se apruebe en sus términos.</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DECRETO NÚMERO</w:t>
      </w:r>
    </w:p>
    <w:p w:rsidR="00ED7D84" w:rsidRPr="006A4BCA" w:rsidRDefault="00ED7D84" w:rsidP="00ED7D84">
      <w:pPr>
        <w:widowControl w:val="0"/>
        <w:autoSpaceDE w:val="0"/>
        <w:autoSpaceDN w:val="0"/>
        <w:spacing w:after="0" w:line="240" w:lineRule="auto"/>
        <w:ind w:left="1" w:right="-11"/>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H. “LXII” LEGISLATURA DEL ESTADO DE MÉXICO</w:t>
      </w:r>
    </w:p>
    <w:p w:rsidR="00ED7D84" w:rsidRPr="006A4BCA" w:rsidRDefault="00ED7D84" w:rsidP="00ED7D84">
      <w:pPr>
        <w:widowControl w:val="0"/>
        <w:autoSpaceDE w:val="0"/>
        <w:autoSpaceDN w:val="0"/>
        <w:spacing w:after="0" w:line="240" w:lineRule="auto"/>
        <w:ind w:left="1" w:right="-11"/>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DECRETA:</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b/>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ARTÍCULO ÚNICO</w:t>
      </w:r>
      <w:r w:rsidRPr="006A4BCA">
        <w:rPr>
          <w:rFonts w:ascii="Times New Roman" w:eastAsia="Arial MT" w:hAnsi="Times New Roman" w:cs="Times New Roman"/>
          <w:sz w:val="24"/>
          <w:szCs w:val="24"/>
        </w:rPr>
        <w:t>. Se adiciona una fracción IX al artículo 5 de la Ley del Adulto Mayor del Estado de México, para quedar como sigue:</w:t>
      </w:r>
    </w:p>
    <w:p w:rsidR="00ED7D84" w:rsidRPr="006A4BCA" w:rsidRDefault="00ED7D84" w:rsidP="00ED7D84">
      <w:pPr>
        <w:widowControl w:val="0"/>
        <w:autoSpaceDE w:val="0"/>
        <w:autoSpaceDN w:val="0"/>
        <w:spacing w:after="0" w:line="240" w:lineRule="auto"/>
        <w:ind w:left="81" w:right="-11" w:hanging="80"/>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81" w:right="-11" w:hanging="80"/>
        <w:rPr>
          <w:rFonts w:ascii="Times New Roman" w:eastAsia="Arial MT" w:hAnsi="Times New Roman" w:cs="Times New Roman"/>
          <w:sz w:val="24"/>
          <w:szCs w:val="24"/>
        </w:rPr>
      </w:pPr>
      <w:r w:rsidRPr="006A4BCA">
        <w:rPr>
          <w:rFonts w:ascii="Times New Roman" w:eastAsia="Arial MT" w:hAnsi="Times New Roman" w:cs="Times New Roman"/>
          <w:sz w:val="24"/>
          <w:szCs w:val="24"/>
        </w:rPr>
        <w:t>Artículo 5.- … (…)</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IX. A recibir atención preferente, digna y expedita en todos los trámites, servicios y procedimientos que presten las dependencias y entidades de la administración pública estatal, los ayuntamientos y sus organismos auxiliares.</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autoridades deberán establecer mecanismos visibles y accesibles que garanticen el ejercicio efectivo de este derecho, conforme a sus atribuciones, sin que ello implique erogaciones adicionales al presupuesto autorizado.</w:t>
      </w:r>
    </w:p>
    <w:p w:rsidR="00ED7D84" w:rsidRPr="006A4BCA" w:rsidRDefault="00ED7D84" w:rsidP="00ED7D84">
      <w:pPr>
        <w:widowControl w:val="0"/>
        <w:autoSpaceDE w:val="0"/>
        <w:autoSpaceDN w:val="0"/>
        <w:spacing w:after="0" w:line="240" w:lineRule="auto"/>
        <w:ind w:left="94" w:right="-11"/>
        <w:jc w:val="center"/>
        <w:outlineLvl w:val="0"/>
        <w:rPr>
          <w:rFonts w:ascii="Times New Roman" w:eastAsia="Arial" w:hAnsi="Times New Roman" w:cs="Times New Roman"/>
          <w:b/>
          <w:bCs/>
          <w:sz w:val="24"/>
          <w:szCs w:val="24"/>
        </w:rPr>
      </w:pPr>
    </w:p>
    <w:p w:rsidR="00ED7D84" w:rsidRPr="006A4BCA" w:rsidRDefault="00ED7D84" w:rsidP="00ED7D84">
      <w:pPr>
        <w:widowControl w:val="0"/>
        <w:autoSpaceDE w:val="0"/>
        <w:autoSpaceDN w:val="0"/>
        <w:spacing w:after="0" w:line="240" w:lineRule="auto"/>
        <w:ind w:left="94" w:right="-11"/>
        <w:jc w:val="center"/>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TRANSITORIOS</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b/>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PRIMERO</w:t>
      </w:r>
      <w:r w:rsidRPr="006A4BCA">
        <w:rPr>
          <w:rFonts w:ascii="Times New Roman" w:eastAsia="Arial MT" w:hAnsi="Times New Roman" w:cs="Times New Roman"/>
          <w:sz w:val="24"/>
          <w:szCs w:val="24"/>
        </w:rPr>
        <w:t>. El presente Decreto entrará en vigor al día siguiente de su publicación en el Periódico Oficial “Gaceta del Gobierno”.</w:t>
      </w: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b/>
          <w:sz w:val="24"/>
          <w:szCs w:val="24"/>
        </w:rPr>
      </w:pPr>
    </w:p>
    <w:p w:rsidR="00ED7D84" w:rsidRPr="006A4BCA" w:rsidRDefault="00ED7D84" w:rsidP="00ED7D84">
      <w:pPr>
        <w:widowControl w:val="0"/>
        <w:autoSpaceDE w:val="0"/>
        <w:autoSpaceDN w:val="0"/>
        <w:spacing w:after="0" w:line="240" w:lineRule="auto"/>
        <w:ind w:left="1" w:right="-11"/>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SEGUNDO</w:t>
      </w:r>
      <w:r w:rsidRPr="006A4BCA">
        <w:rPr>
          <w:rFonts w:ascii="Times New Roman" w:eastAsia="Arial MT" w:hAnsi="Times New Roman" w:cs="Times New Roman"/>
          <w:sz w:val="24"/>
          <w:szCs w:val="24"/>
        </w:rPr>
        <w:t>. Las autoridades competentes realizarán las adecuaciones administrativas necesarias para el cumplimiento del presente Decreto, sin generar impacto presupuestal adicional.</w:t>
      </w:r>
    </w:p>
    <w:p w:rsidR="00ED7D84" w:rsidRPr="006A4BCA" w:rsidRDefault="00ED7D84" w:rsidP="00ED7D84">
      <w:pPr>
        <w:widowControl w:val="0"/>
        <w:autoSpaceDE w:val="0"/>
        <w:autoSpaceDN w:val="0"/>
        <w:spacing w:after="0" w:line="240" w:lineRule="auto"/>
        <w:ind w:right="-11"/>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rPr>
          <w:rFonts w:ascii="Times New Roman" w:eastAsia="Arial MT" w:hAnsi="Times New Roman" w:cs="Times New Roman"/>
          <w:sz w:val="24"/>
          <w:szCs w:val="24"/>
        </w:rPr>
      </w:pPr>
      <w:r w:rsidRPr="006A4BCA">
        <w:rPr>
          <w:rFonts w:ascii="Times New Roman" w:eastAsia="Arial MT" w:hAnsi="Times New Roman" w:cs="Times New Roman"/>
          <w:sz w:val="24"/>
          <w:szCs w:val="24"/>
        </w:rPr>
        <w:t>La titular del Poder Ejecutivo lo tendrá por entendido, haciendo que se publique y se cumpla.</w:t>
      </w:r>
    </w:p>
    <w:p w:rsidR="00ED7D84" w:rsidRPr="006A4BCA" w:rsidRDefault="00ED7D84" w:rsidP="00ED7D84">
      <w:pPr>
        <w:widowControl w:val="0"/>
        <w:autoSpaceDE w:val="0"/>
        <w:autoSpaceDN w:val="0"/>
        <w:spacing w:after="0" w:line="240" w:lineRule="auto"/>
        <w:ind w:left="1" w:right="-11"/>
        <w:rPr>
          <w:rFonts w:ascii="Times New Roman" w:eastAsia="Arial MT" w:hAnsi="Times New Roman" w:cs="Times New Roman"/>
          <w:sz w:val="24"/>
          <w:szCs w:val="24"/>
        </w:rPr>
      </w:pPr>
    </w:p>
    <w:p w:rsidR="00ED7D84" w:rsidRPr="006A4BCA" w:rsidRDefault="00ED7D84" w:rsidP="00ED7D84">
      <w:pPr>
        <w:widowControl w:val="0"/>
        <w:autoSpaceDE w:val="0"/>
        <w:autoSpaceDN w:val="0"/>
        <w:spacing w:after="0" w:line="240" w:lineRule="auto"/>
        <w:ind w:left="1" w:right="-11"/>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Dado en el Palacio del Poder Legislativo en la Ciudad de Toluca, Capital del Estado de México, a los días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del mes de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de dos mil veintiséis</w:t>
      </w:r>
    </w:p>
    <w:p w:rsidR="00ED7D84" w:rsidRPr="006A4BCA" w:rsidRDefault="00ED7D84" w:rsidP="002C66B3">
      <w:pPr>
        <w:spacing w:after="0" w:line="240" w:lineRule="auto"/>
        <w:jc w:val="center"/>
        <w:rPr>
          <w:rFonts w:ascii="Times New Roman" w:hAnsi="Times New Roman"/>
          <w:sz w:val="24"/>
          <w:szCs w:val="24"/>
        </w:rPr>
      </w:pPr>
    </w:p>
    <w:p w:rsidR="00ED7D84" w:rsidRPr="006A4BCA" w:rsidRDefault="00ED7D84" w:rsidP="002C66B3">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ED7D84" w:rsidRPr="006A4BCA" w:rsidRDefault="00ED7D84" w:rsidP="002C66B3">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PRESIDENTA DIP. MARTHA AZUCENA CAMACHO REYNOSO. Gracias diputado Edmundo Luis Valdeña Bastida.</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Se registra la iniciativa y se remite a las comisiones legislativas Para la Atención de Grupos Vulnerables y de Desarrollo y Bienestar Social para su estudio y dictamen.</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eastAsia="Arial" w:hAnsi="Times New Roman" w:cs="Times New Roman"/>
          <w:sz w:val="24"/>
          <w:szCs w:val="24"/>
        </w:rPr>
        <w:t>En el siguiente punto número 9, el diputado Edgar Samuel Ríos Moreno, presenta en nombre del Grupo Parlamentario del Partido morena, iniciativa con proyecto de decreto por el que se declara el 10 de marzo de cada año como “El Día de la Comparsa Mexiquense”, como Patrimonio Cultural y Inmaterial del Estado de México.</w:t>
      </w:r>
    </w:p>
    <w:p w:rsidR="004A7076" w:rsidRPr="006A4BCA" w:rsidRDefault="004A7076" w:rsidP="004A7076">
      <w:pPr>
        <w:pStyle w:val="Sinespaciado"/>
        <w:jc w:val="both"/>
        <w:rPr>
          <w:rFonts w:ascii="Times New Roman" w:eastAsia="Arial" w:hAnsi="Times New Roman" w:cs="Times New Roman"/>
          <w:sz w:val="24"/>
          <w:szCs w:val="24"/>
        </w:rPr>
      </w:pPr>
      <w:r w:rsidRPr="006A4BCA">
        <w:rPr>
          <w:rFonts w:ascii="Times New Roman" w:hAnsi="Times New Roman" w:cs="Times New Roman"/>
          <w:sz w:val="24"/>
          <w:szCs w:val="24"/>
        </w:rPr>
        <w:t xml:space="preserve">DIP. EDGAR SAMUEL RÍOS MORENO. </w:t>
      </w:r>
      <w:r w:rsidRPr="006A4BCA">
        <w:rPr>
          <w:rFonts w:ascii="Times New Roman" w:eastAsia="Arial" w:hAnsi="Times New Roman" w:cs="Times New Roman"/>
          <w:sz w:val="24"/>
          <w:szCs w:val="24"/>
        </w:rPr>
        <w:t>Muchas gracias.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Con el permiso de la Presidenta y Mesa Directiva de esta Soberanía Popular; agradezco a los medios de comunicación, a la gente que nos mira y escucha a distancia a través de las redes sociales del Poder Legislativo, gracias por su atención; a todas, a todos y a todes les saludo con respeto, en especial saludo a las y los compañeros de Chimalhuacán que hoy nos acompañan, gracias por estar aquí, gracias por acompañarnos en este día; esta es “La Casa del Pueblo” y proponemos reconocer el arte y la cultura que ustedes aportan a nuestra Entidad.</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eastAsia="Arial" w:hAnsi="Times New Roman" w:cs="Times New Roman"/>
          <w:sz w:val="24"/>
          <w:szCs w:val="24"/>
        </w:rPr>
        <w:t xml:space="preserve">Con fundamento en las facultades que me otorga la Constitución Política del Estado Libre y Soberano y la Ley Orgánica del Poder Legislativo y su correlativo Reglamento, </w:t>
      </w:r>
      <w:r w:rsidRPr="006A4BCA">
        <w:rPr>
          <w:rFonts w:ascii="Times New Roman" w:hAnsi="Times New Roman" w:cs="Times New Roman"/>
          <w:sz w:val="24"/>
          <w:szCs w:val="24"/>
        </w:rPr>
        <w:t xml:space="preserve">me permito presentar a la aprobación de la LXII Legislativa, la Iniciativa con Proyecto de Decreto por el que se declara el 10 de marzo de cada año como el “Día de la Comparsa Mexiquense” como Patrimonio Cultural Inmaterial del Estado de México, conforme a lo siguiente.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 xml:space="preserve">Compañeras, compañeros y compañere, la iniciativa que hoy presento ante este Honorable Pleno Legislativo la expongo con la convicción de que la voz de los barrios y las comunidades debe resonar con fuerza en este recinto.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La identidad del Estado de México no es una estructura estática, es un patrimonio vivo que se manifiesta en el movimiento, la festividad y la música y la organización comunitaria de nuestro pueblo; en la región Oriente, la comparsa es más que un baile, es el alma de nuestras comunidades, es un ritual sagrado que une las generaciones en torno de trajes bordados a mano, ritmos que retumban desde hace más de 126 años.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Esta práctica es la columna vertebral de la vida pública en municipios como Chimalhuacán, donde sus festividades son reconocidas como en las más largas del mundo, extendiéndose hasta 120 días, o sea, 4 meses.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Legislar a favor de esta tradición es reconocer que la seguridad pública y el bienestar social se construyen fortaleciendo el tejido comunitario y el orgullo de nuestras raíces.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Esta tradición de las comparsas nace de un profundo sentido de rebeldía popular frente a la exclusión, sus raíces se hunden en el sincretismo de danzas o huehuenches, que son rituales originarios para pedir fertilidad a la tierra y sátira política del siglo 19 contra la aristocracia europea del segundo imperio de Maximiliano.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Al vestirse de charros con máscaras de cera que parodian el viejo, risueño, blanco y barbón, el pueblo mexiquense transformó la danza en un acto de protesta para visibilizar los atropellos de la clase alta. La comparsa es, por tanto, una manifestación de dignidad que permitió a las comunidades indígenas y mestizas, conservar su autonomía cultural ante los intentos de asimilación.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Es también un vehículo de identidad y cohesión social que se transmite de generación en generación, recreándose constantemente por las familias que le dan vida. En la región Oriente, las festividades se entienden como un acto colectivo, se estima que sólo en Chimalhuacán participan activamente más de 160 comparsas y 40 andanzas, involucrando los barrios enteros como San Agustín, Atlapulco, San Lorenzo, Xochiaca, San Pedro, Xochitenco, San Juan, San Pablo, San Pedro y Santa María Nativitas.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Un aspecto revolucionario de esta práctica es la ruptura de roles tradicionales, hoy más de 3 mil mujeres lideran los bailes ocupando espacios públicos y transformando dinámicas que antes les eran ajenas. Asimismo, los niños debutan como abanderados, asegurando que la memoria histórica no muera. Mientras las familias dedican meses de esfuerzo al diseño y confección de atuendos, esta organización, naturalmente, socialmente, funciona como una red de apoyo que fomenta una cultura de paz y previene la violencia, en nuestras comunidades.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El impacto económico de la comparsa es vital para el sustento de miles de familias mexiquenses. Esta festividad es una industria cultural que brinda trabajo a artesanos especializados, sastres de trajes de charro, bordadores de canutillo de oro y plata, mascareros de cera, utileros y músicos de orquesta de viento.</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Si gustan pasar algunos compañeros de las comparsas para que nos acompañen al Pleno, por favor.</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Por citar un ejemplo, un sólo traje puede representar el trabajo de meses de familias enteras, constituyendo una técnica artesanal invaluable, protegida por sus instituciones estatales; además, el atractivo turístico de estas fiestas, atrae acerca de medio millón de visitantes, generando una derrama económica de beneficencia a comerciantes locales, transportistas y prestadores de servicios en toda la región Oriente.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Resalta el hecho de que cada comparsa posee su propio tema musical, por lo que el arte de la música también forma parte de este patrimonio cultural y deberá ser conservado y difundido.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En morena, sabemos que la verdadera patria se baila en las calles, se cosen los talleres familiares y viven la organización colectiva que ninguna modernidad apaga.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Por ello proponemos el 10 de marzo como el “Día de la Comparsa Mexiquense”, porque marca el corazón pulsante de las fiestas de la zona Oriente, cuando las comparsas de Chimalhuacán alcanzan su apego de esplendor dancístico, desbordando las calles en el clímax de los días de fiesta continua que definen nuestra tradición.</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Elevar este día al calendario oficial. Es un acto de justicia social para las y los compañeros que han sostenido esta riqueza con sus propios recursos, movidos por el puro amor de su tierra.</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Se trata de materializar lo expuesto en el artículo 4 de la Constitución Política de los Estados Unidos Mexicanos y los artículos 1 y 2 de la fracción III y XV de la Ley General de Cultura y Derechos Culturales, relativo a conocer el derecho de la cultura, promover la continuidad de las manifestaciones populares y proteger el patrimonio cultural inmaterial mediante la investigación, el fomento y la discusión.</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 Por ello, la institucionalización de esta fecha trasciende el simple acto administrativo para convertirse en una declaración de Soberanía Cultural. Al reconocer a la comparsa validamos la historia de resistencia de quienes han mantenido brillo del canutillo y el estruendo de la orquesta como símbolos de libertad frente a la modernidad y el olvido.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Bienvenidos, compañeros, bienvenidos. </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Por ello, la institucionalización de esta fecha, trasciende el simple acto administrativo para convertirse en una declaración de Soberanía Cultural al reconocer a la comparsa validamos la historia de resistencia de quienes han mantenido el brillo del canutillo y el estruendo de la orquesta como símbolos de libertad frente a la modernidad y el olvido. Pero esta iniciativa, ahora presentamos; además, reconocer que la comparsa es un ícono de la identidad de municipios como Chimalhuacán, Texcoco, Chicoloapan, La Paz, Ixtapaluca, Chalco, Valle de Chalco, Acolman, Chiconcuac, Atenco, Ozumba, Amecameca, </w:t>
      </w:r>
      <w:r w:rsidRPr="006A4BCA">
        <w:rPr>
          <w:rFonts w:ascii="Times New Roman" w:hAnsi="Times New Roman" w:cs="Times New Roman"/>
          <w:sz w:val="24"/>
          <w:szCs w:val="24"/>
          <w:shd w:val="clear" w:color="auto" w:fill="FFFFFF"/>
        </w:rPr>
        <w:t>Tepetlixpa</w:t>
      </w:r>
      <w:r w:rsidRPr="006A4BCA">
        <w:rPr>
          <w:rFonts w:ascii="Times New Roman" w:hAnsi="Times New Roman" w:cs="Times New Roman"/>
          <w:sz w:val="24"/>
          <w:szCs w:val="24"/>
        </w:rPr>
        <w:t xml:space="preserve"> y Ecatzingo.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En la virtud, el espíritu de esta iniciativa es expansivo, dejando la puerta abierta para que otras regiones como el Valle de Toluca, el Norte y del Sur de nuestra Entidad, que conserven tradiciones similares y encuentren respaldo institucional.</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Bajo este espíritu de reconocimiento y dignidad, buscamos erradicar la visión de que las tradiciones populares son eventos de segunda categoría, quienes se han dedicado al arte de la comparsa se han convertido como guardianes de la memoria y hoy, ante la Legislatura, tienen la oportunidad histórica de actuar como el aliado que proteja su legado para las generaciones venideras.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Quiero aprovechar para saludar la presencia, de </w:t>
      </w:r>
      <w:r w:rsidRPr="006A4BCA">
        <w:rPr>
          <w:rStyle w:val="nfasis"/>
          <w:rFonts w:ascii="Times New Roman" w:hAnsi="Times New Roman" w:cs="Times New Roman"/>
          <w:bCs/>
          <w:i w:val="0"/>
          <w:sz w:val="24"/>
          <w:szCs w:val="24"/>
          <w:shd w:val="clear" w:color="auto" w:fill="FFFFFF"/>
        </w:rPr>
        <w:t>Adalberto</w:t>
      </w:r>
      <w:r w:rsidRPr="006A4BCA">
        <w:rPr>
          <w:rFonts w:ascii="Times New Roman" w:hAnsi="Times New Roman" w:cs="Times New Roman"/>
          <w:sz w:val="24"/>
          <w:szCs w:val="24"/>
        </w:rPr>
        <w:t xml:space="preserve"> Valverde Valverde, muchas gracias; Jesús Valverde Valverde, Antonio Beltrán Jiménez, Teódulo Buendía Martínez, Victoriano Alejandro Valencia, Elena Martínez Velázquez, Luis Mequís, grandes precursores y compañeros que llevan muchísimos años, contribuyendo con el tema de las comparsas en nuestra región.</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Es cuanto, diputado Presidente.</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Finalmente, solicito que el texto íntegro de esta iniciativa se inserte a </w:t>
      </w:r>
      <w:r w:rsidR="00B706E7" w:rsidRPr="006A4BCA">
        <w:rPr>
          <w:rFonts w:ascii="Times New Roman" w:hAnsi="Times New Roman" w:cs="Times New Roman"/>
          <w:sz w:val="24"/>
          <w:szCs w:val="24"/>
        </w:rPr>
        <w:t xml:space="preserve">Diario </w:t>
      </w:r>
      <w:r w:rsidRPr="006A4BCA">
        <w:rPr>
          <w:rFonts w:ascii="Times New Roman" w:hAnsi="Times New Roman" w:cs="Times New Roman"/>
          <w:sz w:val="24"/>
          <w:szCs w:val="24"/>
        </w:rPr>
        <w:t xml:space="preserve">de los </w:t>
      </w:r>
      <w:r w:rsidR="00B706E7" w:rsidRPr="006A4BCA">
        <w:rPr>
          <w:rFonts w:ascii="Times New Roman" w:hAnsi="Times New Roman" w:cs="Times New Roman"/>
          <w:sz w:val="24"/>
          <w:szCs w:val="24"/>
        </w:rPr>
        <w:t xml:space="preserve">Debates </w:t>
      </w:r>
      <w:r w:rsidRPr="006A4BCA">
        <w:rPr>
          <w:rFonts w:ascii="Times New Roman" w:hAnsi="Times New Roman" w:cs="Times New Roman"/>
          <w:sz w:val="24"/>
          <w:szCs w:val="24"/>
        </w:rPr>
        <w:t>y la Gaceta Parlamentaria. Asimismo, solicito el permiso de la Mesa para poder proyectar un video sobre las comparsas, mismo que dura unos minutos pero que muestra el colorido y el arte que despliegan, muchas gracias.</w:t>
      </w:r>
    </w:p>
    <w:p w:rsidR="00B706E7" w:rsidRPr="006A4BCA" w:rsidRDefault="00B706E7" w:rsidP="002C66B3">
      <w:pPr>
        <w:pStyle w:val="Sinespaciado"/>
        <w:jc w:val="both"/>
        <w:rPr>
          <w:rFonts w:ascii="Times New Roman" w:hAnsi="Times New Roman" w:cs="Times New Roman"/>
          <w:sz w:val="24"/>
          <w:szCs w:val="24"/>
        </w:rPr>
      </w:pPr>
    </w:p>
    <w:p w:rsidR="00B706E7" w:rsidRPr="006A4BCA" w:rsidRDefault="00B706E7" w:rsidP="002C66B3">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B706E7" w:rsidRPr="006A4BCA" w:rsidRDefault="00B706E7" w:rsidP="002C66B3">
      <w:pPr>
        <w:spacing w:after="0" w:line="240" w:lineRule="auto"/>
        <w:jc w:val="center"/>
        <w:rPr>
          <w:rFonts w:ascii="Times New Roman" w:hAnsi="Times New Roman"/>
          <w:sz w:val="24"/>
          <w:szCs w:val="24"/>
        </w:rPr>
      </w:pPr>
    </w:p>
    <w:p w:rsidR="002C66B3" w:rsidRPr="006A4BCA" w:rsidRDefault="002C66B3" w:rsidP="002C66B3">
      <w:pPr>
        <w:widowControl w:val="0"/>
        <w:autoSpaceDE w:val="0"/>
        <w:autoSpaceDN w:val="0"/>
        <w:spacing w:after="0" w:line="240" w:lineRule="auto"/>
        <w:ind w:right="18"/>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Diputado Edgar Samuel Ríos Moreno</w:t>
      </w:r>
    </w:p>
    <w:p w:rsidR="002C66B3" w:rsidRPr="006A4BCA" w:rsidRDefault="002C66B3" w:rsidP="002C66B3">
      <w:pPr>
        <w:widowControl w:val="0"/>
        <w:autoSpaceDE w:val="0"/>
        <w:autoSpaceDN w:val="0"/>
        <w:spacing w:after="0" w:line="240" w:lineRule="auto"/>
        <w:ind w:right="18"/>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Presidente de la Comisión de Electoral y de Desarrollo Democrático</w:t>
      </w:r>
    </w:p>
    <w:p w:rsidR="002C66B3" w:rsidRPr="006A4BCA" w:rsidRDefault="002C66B3" w:rsidP="002C66B3">
      <w:pPr>
        <w:widowControl w:val="0"/>
        <w:autoSpaceDE w:val="0"/>
        <w:autoSpaceDN w:val="0"/>
        <w:spacing w:after="0" w:line="240" w:lineRule="auto"/>
        <w:ind w:left="20"/>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ind w:left="20"/>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“2026. Año del Humanismo Mexicano en el Estado de México”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right"/>
        <w:rPr>
          <w:rFonts w:ascii="Times New Roman" w:eastAsia="Arial MT" w:hAnsi="Times New Roman" w:cs="Times New Roman"/>
          <w:i/>
          <w:sz w:val="24"/>
          <w:szCs w:val="24"/>
        </w:rPr>
      </w:pPr>
      <w:r w:rsidRPr="006A4BCA">
        <w:rPr>
          <w:rFonts w:ascii="Times New Roman" w:eastAsia="Arial MT" w:hAnsi="Times New Roman" w:cs="Times New Roman"/>
          <w:i/>
          <w:sz w:val="24"/>
          <w:szCs w:val="24"/>
        </w:rPr>
        <w:lastRenderedPageBreak/>
        <w:t>Toluca de Lerdo, Estado de México, a 17 de febrero de 2026.</w:t>
      </w:r>
    </w:p>
    <w:p w:rsidR="002C66B3" w:rsidRPr="006A4BCA" w:rsidRDefault="002C66B3" w:rsidP="002C66B3">
      <w:pPr>
        <w:widowControl w:val="0"/>
        <w:autoSpaceDE w:val="0"/>
        <w:autoSpaceDN w:val="0"/>
        <w:spacing w:after="0" w:line="240" w:lineRule="auto"/>
        <w:rPr>
          <w:rFonts w:ascii="Times New Roman" w:eastAsia="Arial MT" w:hAnsi="Times New Roman" w:cs="Times New Roman"/>
          <w:i/>
          <w:sz w:val="24"/>
          <w:szCs w:val="24"/>
        </w:rPr>
      </w:pP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MARTHA AZUCENA CAMACHO REYNOSO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PRESIDENTA DE LA DIRECTIVA DE LA H. “LXII” LEGISLATURA</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ESTADO LIBRE Y SOBERANO DE MÉXICO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PRESENTE</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Con fundamento en los artículos: 51 fracción II y 61 fracción I de la Constitución Política del Estado Libre y Soberano de México; 28 fracción I y 81 fracciones I, II y III de la Ley Orgánica del Poder Legislativo; y 68 de su correlativo Reglamento, quien suscribe, Diputado Edgar Samuel Ríos Moreno, perteneciente al Grupo Parlamentario de </w:t>
      </w:r>
      <w:r w:rsidRPr="006A4BCA">
        <w:rPr>
          <w:rFonts w:ascii="Times New Roman" w:eastAsia="Arial MT" w:hAnsi="Times New Roman" w:cs="Times New Roman"/>
          <w:b/>
          <w:sz w:val="24"/>
          <w:szCs w:val="24"/>
        </w:rPr>
        <w:t>morena</w:t>
      </w:r>
      <w:r w:rsidRPr="006A4BCA">
        <w:rPr>
          <w:rFonts w:ascii="Times New Roman" w:eastAsia="Arial MT" w:hAnsi="Times New Roman" w:cs="Times New Roman"/>
          <w:sz w:val="24"/>
          <w:szCs w:val="24"/>
        </w:rPr>
        <w:t xml:space="preserve">, me permito presentar a la aprobación de la “LXII” Legislatura, Iniciativa con Proyecto de Decreto </w:t>
      </w:r>
      <w:r w:rsidRPr="006A4BCA">
        <w:rPr>
          <w:rFonts w:ascii="Times New Roman" w:eastAsia="Arial MT" w:hAnsi="Times New Roman" w:cs="Times New Roman"/>
          <w:b/>
          <w:sz w:val="24"/>
          <w:szCs w:val="24"/>
        </w:rPr>
        <w:t xml:space="preserve">por el que se declara el 10 de marzo de cada año como el "Día de la Comparsa Mexiquense” como Patrimonio Cultural Inmaterial del Estado de México, </w:t>
      </w:r>
      <w:r w:rsidRPr="006A4BCA">
        <w:rPr>
          <w:rFonts w:ascii="Times New Roman" w:eastAsia="Arial MT" w:hAnsi="Times New Roman" w:cs="Times New Roman"/>
          <w:sz w:val="24"/>
          <w:szCs w:val="24"/>
        </w:rPr>
        <w:t>lo anterior al tenor de la siguiente:</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EXPOSICIÓN DE MOTIVOS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Compañeras, compañeros y compañere:</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iniciativa que presento hoy ante este Honorable Pleno Legislativo, la expongo con la convicción de que la voz de los barrios y las comunidades debe resonar con fuerza en este recinto. Legislar para el pueblo representa, ante todo, reconocer la grandeza de su historia y la dignidad de sus tradiciones que, de suyo, sobra decirlo, son nuestras tradiciones, porque nosotros somos pueblo.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Bajo los principios del Humanismo Mexicano, presentamos esta propuesta que busca dar rostro y pertenencia a miles de familias que, a través de la danza y el arte, mantienen viva la llama de nuestra identidad mexiquense.</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identidad del Estado de México no es una estructura estática, es un patrimonio vivo que se manifiesta en el movimiento, la festividad, la música y la organización comunitaria de nuestro pueblo. Una organización que corresponde a una tradición arraigada y de profundo contenido político- social.</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la región oriente, la Comparsa es más que un baile, es el alma de nuestras comunidades, un ritual sagrado que une a generaciones en torno a trajes bordados a mano y ritmos que retumban desde hace más de 126 años.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Esta práctica es la columna vertebral de la vida pública en municipios como Chimalhuacán, donde sus festividades son reconocidas como de las más largas del mundo, extendiéndose hasta 120 días, o sea cuatro meses.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Legislar a favor de esta tradición es reconocer que la seguridad pública y el bienestar social se construyen fortaleciendo el tejido comunitario y el orgullo de nuestras raíces.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Esta tradición de las Comparsas nace de un profundo sentido de rebeldía popular frente a la exclusión. Sus raíces se hunden en el sincretismo de las danzas de los Huehuenches, que son rituales originarios para pedir fertilidad a la tierra, y la sátira política del siglo XIX contra la aristocracia europea del Segundo Imperio de Maximiliano.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Al vestirse de charros con máscaras de cera que parodian al "viejo risueño blanco y barbón", el pueblo mexiquense transformó la danza en un acto de protesta para visibilizar los atropellos de la clase alta.</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Comparsa es, por tanto, una manifestación de dignidad que permitió a las comunidades indígenas y mestizas conservar su autonomía cultural ante los intentos de asimilación; es, también, un vehículo de identidad y cohesión social que se transmite de generación en generación, recreándose constantemente por las familias que le dan vida.</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la región oriente las festividades se entienden como un acto colectivo: se estima que solo en Chimalhuacán participan activamente más de 160 comparsas y 40 andancias, involucrando a barrios enteros como San Agustín Atlapulco, San Lorenzo, Xochiaca, San Pedro, Xochitenco, San Juan, San Pablo, San Pedro y Santa María Nativitas.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Un aspecto revolucionario de esta práctica es la ruptura de roles tradicionales: hoy, más de 3,000 mujeres lideran los bailes, ocupando espacios públicos y transformando dinámicas que antes les eran ajenas. Asimismo, los niños debutan como abanderados, asegurando que la memoria histórica no muera, mientras las familias dedican meses de esfuerzo al diseño y confección de los atuendos. Esta organización, naturalmente social, funciona como una red de apoyo que fomenta una cultura de paz y previene la violencia en nuestras comunidades.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impacto económico de la Comparsa es vital para el sustento de miles de familias mexiquenses. Esta festividad es una industria cultural que brinda trabajo a artesanos especializados: sastres de trajes de charro, bordadores en canutillo de oro y plata, mascareros de cera, utileros y músicos de orquestas de viento.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citar un ejemplo: un solo traje puede representar el trabajo de meses de familias enteras, constituyendo una técnica artesanal invaluable protegida por instituciones estatales. Además, el atractivo turístico de estas fiestas atrae a cerca de medio millón de visitantes, generando una derrama económica que beneficia a comerciantes locales, transportistas y prestadores de servicios en toda la región oriente.</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Resalta el hecho que cada Comparsa posee su propio tema musical, por lo que el arte de la música también forma parte de este patrimonio cultural y deberá ser conservado y difundido.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andancias, por su parte, se integran principalmente por animadores, en su mayoría hombres vestidos de mujer, que utilizan disfraces y botargas de personajes variados, elaborados con materiales sencillos y accesibles como cartón, tela y madera, notablemente menos detallados que los suntuosos trajes de las Comparsas. Surgieron precisamente como sátira democrática a la preparación minuciosa y costosa de las Comparsas, convirtiéndose en una caricaturización festiva que democratiza el jolgorio popular: cualquiera puede participar sin grandes recursos económicos ni meses de preparación.</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Estas andancias avanzan a pie por las calles, impulsadas por música alegre y danza continua, invitando espontáneamente a transeúntes, vecinas, niños y niñas y observadores a sumarse al baile sin barreras de vestimenta, edad o condición social. Este carácter accesible e inclusivo las convierte en el complemento perfecto de las festividades y las Comparsas propiamente dichas, ampliando el espíritu comunitario al transformar cualquier esquina en espacio de participación colectiva, humor </w:t>
      </w:r>
      <w:r w:rsidRPr="006A4BCA">
        <w:rPr>
          <w:rFonts w:ascii="Times New Roman" w:eastAsia="Arial MT" w:hAnsi="Times New Roman" w:cs="Times New Roman"/>
          <w:sz w:val="24"/>
          <w:szCs w:val="24"/>
        </w:rPr>
        <w:lastRenderedPageBreak/>
        <w:t>irreverente y alegría popular al alcance de todas y todos.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En Morena sabemos que la verdadera patria se baila en las calles, se cose en los talleres familiares y se vive en la organización colectiva que ninguna modernidad apaga, por ello </w:t>
      </w:r>
      <w:r w:rsidRPr="006A4BCA">
        <w:rPr>
          <w:rFonts w:ascii="Times New Roman" w:eastAsia="Arial MT" w:hAnsi="Times New Roman" w:cs="Times New Roman"/>
          <w:b/>
          <w:sz w:val="24"/>
          <w:szCs w:val="24"/>
        </w:rPr>
        <w:t>proponemos el 10 de marzo como día de la Comparsa Mexiquense</w:t>
      </w:r>
      <w:r w:rsidRPr="006A4BCA">
        <w:rPr>
          <w:rFonts w:ascii="Times New Roman" w:eastAsia="Arial MT" w:hAnsi="Times New Roman" w:cs="Times New Roman"/>
          <w:sz w:val="24"/>
          <w:szCs w:val="24"/>
        </w:rPr>
        <w:t>, porque marca el corazón pulsante de las fiestas de la zona oriente, cuando las Comparsas de Chimalhuacán alcanzan su apogeo de esplendor dancístico, desbordando las calles en el clímax de los días de fiesta continua, que definen nuestra tradición.</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Elevar este día al calendario oficial es un acto de justicia social para las y los comparseros que han sostenido esta riqueza con sus propios recursos, movidos por el puro amor a su tierra.</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Se trata, pues, de materializar lo expresado en el artículo 4 de la Constitución Política de los Estados Unidos Mexicanos y los artículos 1, 2 fracción III y 15 de la Ley General de Cultura y Derechos Culturales, relativo a reconocer el derecho a la cultura, promover la continuidad de manifestaciones populares y proteger el patrimonio cultural inmaterial, mediante la investigación, el fomento y la difusión.</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ello, la institucionalización de esta fecha trasciende el simple acto administrativo para convertirse en una declaración de soberanía cultural.</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Al reconocer a la Comparsa, validamos la historia de resistencia de quienes han mantenido el brillo del canutillo y el estruendo de la orquesta como símbolos de libertad frente a la modernidad y el olvido.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Pero esta iniciativa que ahora presentamos, además, reconoce que la Comparsa es un ícono de identidad en municipios como: Chimalhuacán, Texcoco, Chicoloapan, La Paz, Ixtapaluca, Chalco, Valle de Chalco, Acolman, Chiconcuac, Atenco, Ozumba, Amecameca, Tepetlixpa y Ecatzingo.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tal virtud, el espíritu de esta iniciativa es expansivo, dejando la puerta abierta para que otras regiones, como el Valle de Toluca, el Norte y del Sur de nuestra entidad, que conserven expresiones similares, encuentren respaldo institucional.</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Bajo este espíritu de reconocimiento y dignidad, buscamos erradicar la visión de que las tradiciones populares son eventos de segunda categoría.</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Quienes se han dedicado al arte de la Comparsa, se han convertido en guardianes de la memoria, y hoy, esta Legislatura tiene la oportunidad histórica de actuar como el aliado que proteja su legado para las generaciones venideras.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“¡Vivan las tradiciones del Estado de México! ¡Larga vida a las Comparsas que dan identidad a nuestra tierra!”.</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lo anteriormente expuesto, someto a la consideración de esta H. Legislatura, la presente Iniciativa con Proyecto de Decreto, para que, de estimarlo procedente, se turne, estudie, dictamine y se apruebe en sus términos.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Reitero a Usted, la seguridad de mi más elevada y distinguida consideración.</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lastRenderedPageBreak/>
        <w:t>ATENTAMENTE</w:t>
      </w:r>
    </w:p>
    <w:p w:rsidR="002C66B3" w:rsidRPr="006A4BCA" w:rsidRDefault="002C66B3" w:rsidP="002C66B3">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EGAR SAMUEL RÍOS MORENO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p>
    <w:p w:rsidR="002C66B3" w:rsidRPr="006A4BCA" w:rsidRDefault="002C66B3" w:rsidP="00B11D43">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PROYECTO DE DECRETO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DECRETO NÚMERO</w:t>
      </w:r>
      <w:r w:rsidRPr="006A4BCA">
        <w:rPr>
          <w:rFonts w:ascii="Times New Roman" w:eastAsia="Arial MT" w:hAnsi="Times New Roman" w:cs="Times New Roman"/>
          <w:sz w:val="24"/>
          <w:szCs w:val="24"/>
          <w:u w:val="thick"/>
        </w:rPr>
        <w:tab/>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H. “LXII” LEGISLATURA DEL ESTADO DE MÉXICO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DECRETA:</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ÚNICO. </w:t>
      </w:r>
      <w:r w:rsidRPr="006A4BCA">
        <w:rPr>
          <w:rFonts w:ascii="Times New Roman" w:eastAsia="Arial MT" w:hAnsi="Times New Roman" w:cs="Times New Roman"/>
          <w:sz w:val="24"/>
          <w:szCs w:val="24"/>
        </w:rPr>
        <w:t>Se declara el 10 de marzo de cada año como el “Día de la Comparsa Mexiquense”, en reconocimiento a su valor como Patrimonio Cultural Inmaterial, factor de cohesión social, motor de la economía popular y baluarte de la identidad histórica del Estado de México.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TRANSITORIOS</w:t>
      </w:r>
    </w:p>
    <w:p w:rsidR="002C66B3" w:rsidRPr="006A4BCA" w:rsidRDefault="002C66B3" w:rsidP="002C66B3">
      <w:pPr>
        <w:widowControl w:val="0"/>
        <w:autoSpaceDE w:val="0"/>
        <w:autoSpaceDN w:val="0"/>
        <w:spacing w:after="0" w:line="240" w:lineRule="auto"/>
        <w:rPr>
          <w:rFonts w:ascii="Times New Roman" w:eastAsia="Arial MT" w:hAnsi="Times New Roman" w:cs="Times New Roman"/>
          <w:b/>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PRIMERO. </w:t>
      </w:r>
      <w:r w:rsidRPr="006A4BCA">
        <w:rPr>
          <w:rFonts w:ascii="Times New Roman" w:eastAsia="Arial MT" w:hAnsi="Times New Roman" w:cs="Times New Roman"/>
          <w:sz w:val="24"/>
          <w:szCs w:val="24"/>
        </w:rPr>
        <w:t>Publíquese el presente Decreto en el Periódico Oficial "Gaceta del Gobierno".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SEGUNDO. </w:t>
      </w:r>
      <w:r w:rsidRPr="006A4BCA">
        <w:rPr>
          <w:rFonts w:ascii="Times New Roman" w:eastAsia="Arial MT" w:hAnsi="Times New Roman" w:cs="Times New Roman"/>
          <w:sz w:val="24"/>
          <w:szCs w:val="24"/>
        </w:rPr>
        <w:t>El presente Decreto entrará en vigor al día siguiente de su publicación.</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TERCERO. </w:t>
      </w:r>
      <w:r w:rsidRPr="006A4BCA">
        <w:rPr>
          <w:rFonts w:ascii="Times New Roman" w:eastAsia="Arial MT" w:hAnsi="Times New Roman" w:cs="Times New Roman"/>
          <w:sz w:val="24"/>
          <w:szCs w:val="24"/>
        </w:rPr>
        <w:t>La Titular del Ejecutivo del Estado, por conducto de la Secretaría de Cultura y Turismo, así como los 125 Ayuntamientos, adoptará las medidas para la salvaguarda de esta tradición, incluyendo su archivo, investigación, protección, fomento artesanal y transmisión generacional.</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CUARTO. </w:t>
      </w:r>
      <w:r w:rsidRPr="006A4BCA">
        <w:rPr>
          <w:rFonts w:ascii="Times New Roman" w:eastAsia="Arial MT" w:hAnsi="Times New Roman" w:cs="Times New Roman"/>
          <w:sz w:val="24"/>
          <w:szCs w:val="24"/>
        </w:rPr>
        <w:t>La Secretaría de Cultura y Turismo creará un Registro Estatal de Comparsas, brindando apoyo logístico y difusión a los grupos tradicionales, con énfasis en su valor social y económico.</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Lo tendrá entendido la Gobernadora del Estado de México, haciendo que se publique y se cumpla.</w:t>
      </w:r>
    </w:p>
    <w:p w:rsidR="002C66B3" w:rsidRPr="006A4BCA" w:rsidRDefault="002C66B3" w:rsidP="002C66B3">
      <w:pPr>
        <w:widowControl w:val="0"/>
        <w:autoSpaceDE w:val="0"/>
        <w:autoSpaceDN w:val="0"/>
        <w:spacing w:after="0" w:line="240" w:lineRule="auto"/>
        <w:rPr>
          <w:rFonts w:ascii="Times New Roman" w:eastAsia="Arial MT" w:hAnsi="Times New Roman" w:cs="Times New Roman"/>
          <w:sz w:val="24"/>
          <w:szCs w:val="24"/>
        </w:rPr>
      </w:pPr>
    </w:p>
    <w:p w:rsidR="002C66B3" w:rsidRPr="006A4BCA" w:rsidRDefault="002C66B3" w:rsidP="002C66B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Dado en el Palacio del Poder Legislativo, en la ciudad de Toluca de Lerdo, capital del Estado de México, a los</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días del mes de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del año dos mil veintiséis.</w:t>
      </w:r>
    </w:p>
    <w:p w:rsidR="00B706E7" w:rsidRPr="006A4BCA" w:rsidRDefault="00B706E7" w:rsidP="002C66B3">
      <w:pPr>
        <w:spacing w:after="0" w:line="240" w:lineRule="auto"/>
        <w:jc w:val="center"/>
        <w:rPr>
          <w:rFonts w:ascii="Times New Roman" w:hAnsi="Times New Roman"/>
          <w:sz w:val="24"/>
          <w:szCs w:val="24"/>
        </w:rPr>
      </w:pPr>
    </w:p>
    <w:p w:rsidR="00B706E7" w:rsidRPr="006A4BCA" w:rsidRDefault="00B706E7" w:rsidP="002C66B3">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B706E7" w:rsidRPr="006A4BCA" w:rsidRDefault="00B706E7" w:rsidP="002C66B3">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Adelante diputado.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Apoyo para el diputado Samuel Ríos para la proyección de su video.</w:t>
      </w:r>
    </w:p>
    <w:p w:rsidR="004A7076" w:rsidRPr="006A4BCA" w:rsidRDefault="004A7076" w:rsidP="00D01325">
      <w:pPr>
        <w:pStyle w:val="Sinespaciado"/>
        <w:jc w:val="center"/>
        <w:rPr>
          <w:rFonts w:ascii="Times New Roman" w:hAnsi="Times New Roman" w:cs="Times New Roman"/>
          <w:i/>
          <w:sz w:val="24"/>
        </w:rPr>
      </w:pPr>
      <w:r w:rsidRPr="006A4BCA">
        <w:rPr>
          <w:rFonts w:ascii="Times New Roman" w:hAnsi="Times New Roman" w:cs="Times New Roman"/>
          <w:i/>
          <w:sz w:val="24"/>
        </w:rPr>
        <w:t>(Reproducción de video)</w:t>
      </w:r>
    </w:p>
    <w:p w:rsidR="004A7076" w:rsidRPr="006A4BCA" w:rsidRDefault="004A7076" w:rsidP="00D01325">
      <w:pPr>
        <w:pStyle w:val="Sinespaciado"/>
        <w:jc w:val="both"/>
        <w:rPr>
          <w:rFonts w:ascii="Times New Roman" w:hAnsi="Times New Roman" w:cs="Times New Roman"/>
          <w:sz w:val="24"/>
        </w:rPr>
      </w:pPr>
      <w:r w:rsidRPr="006A4BCA">
        <w:rPr>
          <w:rFonts w:ascii="Times New Roman" w:hAnsi="Times New Roman" w:cs="Times New Roman"/>
          <w:sz w:val="24"/>
        </w:rPr>
        <w:t>PRESIDENTA DIP. MARTHA AZUCENA CAMACHO REYNOSO. Gracias diputado Samuel Ríos Moreno.</w:t>
      </w:r>
    </w:p>
    <w:p w:rsidR="004A7076" w:rsidRPr="006A4BCA" w:rsidRDefault="004A7076" w:rsidP="00D01325">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Esta LXII Legislatura les da la más cordial bienvenida a todas las agrupaciones, las comparsas de Chimalhuacán, Texcoco y Valle de México. Muchas gracias. Sean ustedes bienvenidos a esta su casa, “La Casa del Pueblo Mexiquense”. Ustedes son nuestro orgullo, nuestra raíz y son quienes representan. Muchas gracias.</w:t>
      </w:r>
    </w:p>
    <w:p w:rsidR="004A7076" w:rsidRPr="006A4BCA" w:rsidRDefault="004A7076" w:rsidP="00D01325">
      <w:pPr>
        <w:pStyle w:val="Sinespaciado"/>
        <w:jc w:val="both"/>
        <w:rPr>
          <w:rFonts w:ascii="Times New Roman" w:hAnsi="Times New Roman" w:cs="Times New Roman"/>
          <w:kern w:val="2"/>
          <w:sz w:val="24"/>
          <w:szCs w:val="24"/>
          <w:lang w:eastAsia="es-MX"/>
        </w:rPr>
      </w:pPr>
      <w:r w:rsidRPr="006A4BCA">
        <w:rPr>
          <w:rFonts w:ascii="Times New Roman" w:hAnsi="Times New Roman" w:cs="Times New Roman"/>
          <w:kern w:val="2"/>
          <w:sz w:val="24"/>
          <w:szCs w:val="24"/>
          <w:lang w:eastAsia="es-MX"/>
        </w:rPr>
        <w:t xml:space="preserve">Edgar Samuel Ríos Moreno. </w:t>
      </w:r>
    </w:p>
    <w:p w:rsidR="004A7076" w:rsidRPr="006A4BCA" w:rsidRDefault="004A7076" w:rsidP="00D01325">
      <w:pPr>
        <w:pStyle w:val="Sinespaciado"/>
        <w:jc w:val="both"/>
        <w:rPr>
          <w:rFonts w:ascii="Times New Roman" w:hAnsi="Times New Roman" w:cs="Times New Roman"/>
          <w:sz w:val="24"/>
        </w:rPr>
      </w:pPr>
      <w:r w:rsidRPr="006A4BCA">
        <w:rPr>
          <w:rFonts w:ascii="Times New Roman" w:hAnsi="Times New Roman" w:cs="Times New Roman"/>
          <w:sz w:val="24"/>
        </w:rPr>
        <w:t>PRESIDENTA DIP. MARTHA AZUCENA CAMACHO REYNOSO. Gracias, diputado Samuel Ríos Moreno.</w:t>
      </w:r>
    </w:p>
    <w:p w:rsidR="004A7076" w:rsidRPr="006A4BCA" w:rsidRDefault="004A7076" w:rsidP="00D01325">
      <w:pPr>
        <w:pStyle w:val="Sinespaciado"/>
        <w:ind w:firstLine="708"/>
        <w:jc w:val="both"/>
        <w:rPr>
          <w:rFonts w:ascii="Times New Roman" w:hAnsi="Times New Roman" w:cs="Times New Roman"/>
          <w:sz w:val="24"/>
        </w:rPr>
      </w:pPr>
      <w:r w:rsidRPr="006A4BCA">
        <w:rPr>
          <w:rFonts w:ascii="Times New Roman" w:hAnsi="Times New Roman" w:cs="Times New Roman"/>
          <w:sz w:val="24"/>
        </w:rPr>
        <w:lastRenderedPageBreak/>
        <w:t xml:space="preserve">Se registra la iniciativa y se remite a la Comisión Legislativa de Gobernación y Puntos Constitucionales para su estudio y dictamen.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Diputado Vladimir, adelante.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Sonido a la curul del diputado Vladimir, por favor.</w:t>
      </w: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DIP. VLADIMIR HERNÁNDEZ VILLEGAS (Desde su curul). Muchas gracias Presidenta.</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Quiero, primero que nada, dar la bienvenida a las charras y los charros de Chimalhuacán de diferentes comparsas, felicitar a mi compañero Samuel Ríos por esta iniciativa y un reconocimiento de todo corazón a esa tradición milenaria que existe en nuestro gran Chimalhuacán y nuestro gran municipio, y como bien se expresaba detrás de esta riqueza cultural, tenemos también todo un circuito económico que florece con las bordadoras y los bordadores; pero también con grandes músicos de talla internacional que han ganado concursos internacionales, nacionales o estatales.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De verdad que tenemos una riqueza cultural inmensa en nuestro municipio; además, este día de la comparsa, engloba a muchas comparsas de todo el Estado de México, pero decimos hay una característica muy especial en nuestro municipio, la resistencia, que inició así desde hace muchísimo tiempo y que se ha transformado ahora en expresión artística y cultural, una resistencia milenaria que termina siendo una acción comunitaria</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Cuando pasamos por el oriente del Estado de México, yo les decía a varios vecinos, a varios compañeros; incluso aquí en el Pleno, que nuestro Oriente del Estado de México, nuestro Chimalhuacán, no solamente es industria y asfalto, sino es riqueza cultural, una riqueza gastronómica inmensa, tenemos escultores, escultoras, tenemos canteros, tenemos canteras también, una tradición milenario inmensa, </w:t>
      </w:r>
      <w:r w:rsidRPr="006A4BCA">
        <w:rPr>
          <w:rFonts w:ascii="Times New Roman" w:hAnsi="Times New Roman" w:cs="Times New Roman"/>
          <w:sz w:val="24"/>
          <w:szCs w:val="24"/>
        </w:rPr>
        <w:t>una gastronomía riquísima que ya algunos tuvieron la fortuna de acompañarnos en nuestro municipio y es muy riquísimo, de verdad de mucho corazón, de manera personal sumarnos a esta iniciativa y hacer ese reconocimiento y ahora es una resistencia que trasciende las administraciones, trasciende los colores, es una riqueza cultural; pero también una resistencia y una construcción comunitaria.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De verdad compañeras y compañeros muchísimas felicidades, gracias por estar aquí el día de hoy.</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diputado Vladimir.</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el siguiente punto la diputada María José Pérez Domínguez, presenta en nombre del Grupo Parlamentario del Partido morena, Iniciativa con Proyecto de Decreto por el que se reforma el artículo 117 de la Constitución Política del Estado Libre y Soberano de México, en materia de paridad de género.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 MARÍA JOSÉ PÉREZ DOMÍNGUEZ. Con el permiso de la diputada Martha Azucena Camacho Reynoso, Presidenta de la Mesa Directiva de la LXII Legislatura del Estado de México.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Compañeras diputadas, diputade, diputados y a quienes siguen la actividad de esta Asamblea a través de medios públicos; así como a los medios de comunicación presentes y a todos los que nos acompañan el día de hoy, muy buenas tardes.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“Yo no deseo que las mujeres tengan poder sobre los hombres, sino sobre ellas mismas”, Mary Wollstonecraft.</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El día de hoy presento ante el Pleno de esta Honorable Asamblea una iniciativa que no cambia ni introduce una nueva regla electoral, sólo precisa por seguridad y certeza jurídica un principio constitucional ya que las garantías de seguridad jurídica pretenden que las autoridades del Estado, no apliquen de manera arbitraria el orden jurídico; es decir, que no quede sujeto a interpretaciones.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En el segundo párrafo del artículo 41 de la Constitución Política de los Estados Unidos Mexicanos se establece que los nombramientos de las personas titulares en la administración pública del Poder Ejecutivo Federal y sus equivalentes en las Entidades Federativas y municipios deberán observar el principio de paridad de género, ese principio que incorporado en la Constitución Política de los Estados Unidos Mexicanos en el año 2014, eliminó la brecha que </w:t>
      </w:r>
      <w:r w:rsidRPr="006A4BCA">
        <w:rPr>
          <w:rFonts w:ascii="Times New Roman" w:hAnsi="Times New Roman" w:cs="Times New Roman"/>
          <w:sz w:val="24"/>
          <w:szCs w:val="24"/>
        </w:rPr>
        <w:lastRenderedPageBreak/>
        <w:t>existía entre hombres y mujeres en cuanto a derechos político-electorales y ha permitido que ambos géneros en igualdad de proporción, tengan la posibilidad de acceder a candidaturas y cargos de elección popular.</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De conformidad con la interpretación jurisprudencial, “la postulación paritaria de candidaturas está encaminada a generar de manera efectiva el acceso al ejercicio el poder público de ambos géneros en auténticas condiciones de igualdad. En ese sentido, el principio de paridad, emerge como un parámetro de validez que dimana del mandato constitucional y convencional de establecer normas para garantizar el registro de candidaturas acordes con tal principio; así como medidas de todo tipo para su efectivo cumplimiento, por lo que debe permear en la postulación de candidaturas para la integración de los órganos de Representación Popular; tanto federales, locales como municipales, a efecto de garantizar un modelo plural e incluyente de participación política en los distintos ámbitos de gobierno”.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De esta manera, el principio de paridad electoral, no se agota con el registro o postulación de candidaturas por parte de los partidos políticos, previo a la jornada electoral implica de igual manera la obligación de las Entidades Federativas de implementar acciones tendientes a su cumplimiento, entre ellas su incorporación en el marco normativo local.</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Obligación que se reitera en la fracción I del artículo 115 de la Constitución Política de los Estados Unidos Mexicanos en la que se impone a las Entidades Federativas establecer como base para su régimen interior, entre otras, el que cada municipio sea gobernado por un ayuntamiento de elección popular directa, </w:t>
      </w:r>
      <w:r w:rsidRPr="006A4BCA">
        <w:rPr>
          <w:rFonts w:ascii="Times New Roman" w:eastAsia="Times New Roman" w:hAnsi="Times New Roman" w:cs="Times New Roman"/>
          <w:sz w:val="24"/>
          <w:szCs w:val="24"/>
          <w:lang w:eastAsia="es-MX"/>
        </w:rPr>
        <w:t xml:space="preserve">integrado por un presidente o presidenta municipal y el número de regidurías y sindicatura que la ley determine de conformidad con el principio de paridad.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Al respecto es de señalarse, que nuestro sistema electoral, los órganos de gobierno y de representación política de naturaleza colegiada se eligen a través de un esquema mixto; así, un número determinado o porcentaje se elige mediante la modalidad de votación denominada mayoría relativa y el resto por representación proporcional.</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En la actualidad, en el artículo 117 de la Constitución Política del Estado Libre y Soberano de México, se incorpora el principio de paridad de género para la elección de regidurías y sindicatura, pero solo para la modalidad de representación proporcional, generando con ello falta de certeza y seguridad jurídica para las personas, hombres y mujeres que sean postuladas para ocupar regidurías o sindicatura en alguno de los 125 ayuntamientos del Estado de México, bajo la modalidad de mayoría relativa.</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Si bien en la práctica se aplica el principio de paridad de género para la elección de regidurías y sindicatura en la modalidad de mayoría relativa, cuando la ley introduce distinciones se genera un problema de interpretación.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Cabe señalar que en el artículo 12, de la Constitución Política del Estado Libre y Soberano de México, se establece la obligación para que los partidos políticos cumplan con las reglas de que garanticen la paridad de género en las candidaturas a diputaciones locales e integrantes de los ayuntamientos y a los demás cargos de elección popular. Obligación que, correctamente, se estableció de manera general, sin distinguir entre candidaturas de mayoría relativa y de representación proporcional, esta es la fórmula que debió aplicarse en el artículo 117.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En materia jurídica existe un principio expresado por la frase “donde la ley no distingue al operador del derecho, no le debe, no le es dable distinguir”. En el caso, como se ha señalado en nuestro sistema electoral, los órganos de gobierno y de representación política de naturaleza colegiada se eligen a través de un esquema mixto. Una parte o porcentaje mediante la modalidad de mayoría relativa y el resto por representación proporcional a los cuales, de conformidad con el artículo 41, de la Constitución Política de los Estados Unidos Mexicanos, les es aplicable, sin excepción, ni distinción, el principio de paridad de género.</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En este sentido, se propone incluir en el artículo 117 de la Constitución Política del Estado Libre y Soberano de México, la obligación de respetar el principio de paridad de género, en la </w:t>
      </w:r>
      <w:r w:rsidRPr="006A4BCA">
        <w:rPr>
          <w:rFonts w:ascii="Times New Roman" w:eastAsia="Times New Roman" w:hAnsi="Times New Roman" w:cs="Times New Roman"/>
          <w:sz w:val="24"/>
          <w:szCs w:val="24"/>
          <w:lang w:eastAsia="es-MX"/>
        </w:rPr>
        <w:lastRenderedPageBreak/>
        <w:t>elección de regidurías y sindicatura de mayoría relativa y de representación proporcional, lo cual, para fines prácticos, solucionaría una anomalía normativa al eliminar la distinción y la excepción legal en cuanto a la aplicación del principio constitucional de paridad.</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Por lo anterior, de manera respetuosa con la finalidad de garantizar el derecho de acceso a la información pública y en aplicación del principio de máxima publicidad, le solicito, diputada Presidenta, dar trámite e incluir la presente iniciativa de manera íntegra en el Diario de Debates y en la Gaceta Parlamentaria.</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La seguridad jurídica procura erradicar sin certidumbres generadas por características estructurales del propio sistema jurídico.</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Es cuanto diputada, muchas gracias.</w:t>
      </w:r>
    </w:p>
    <w:p w:rsidR="00660801" w:rsidRPr="006A4BCA" w:rsidRDefault="00660801" w:rsidP="00F16E30">
      <w:pPr>
        <w:pStyle w:val="Sinespaciado"/>
        <w:jc w:val="both"/>
        <w:rPr>
          <w:rFonts w:ascii="Times New Roman" w:hAnsi="Times New Roman" w:cs="Times New Roman"/>
          <w:sz w:val="24"/>
          <w:szCs w:val="24"/>
        </w:rPr>
      </w:pPr>
    </w:p>
    <w:p w:rsidR="00660801" w:rsidRPr="006A4BCA" w:rsidRDefault="00660801" w:rsidP="00F16E30">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660801" w:rsidRPr="006A4BCA" w:rsidRDefault="00660801" w:rsidP="00F16E30">
      <w:pPr>
        <w:spacing w:after="0" w:line="240" w:lineRule="auto"/>
        <w:jc w:val="center"/>
        <w:rPr>
          <w:rFonts w:ascii="Times New Roman" w:hAnsi="Times New Roman"/>
          <w:sz w:val="24"/>
          <w:szCs w:val="24"/>
        </w:rPr>
      </w:pP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María José Pérez Domínguez</w:t>
      </w: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Distrito XXIII – Texcoco de Mora</w:t>
      </w: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sz w:val="24"/>
          <w:szCs w:val="24"/>
        </w:rPr>
        <w:t>“</w:t>
      </w:r>
      <w:r w:rsidRPr="006A4BCA">
        <w:rPr>
          <w:rFonts w:ascii="Times New Roman" w:eastAsia="Arial MT" w:hAnsi="Times New Roman" w:cs="Times New Roman"/>
          <w:b/>
          <w:sz w:val="24"/>
          <w:szCs w:val="24"/>
        </w:rPr>
        <w:t>2026. Año del Humanismo Mexicano en el Estado de México”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jc w:val="right"/>
        <w:rPr>
          <w:rFonts w:ascii="Times New Roman" w:eastAsia="Arial MT" w:hAnsi="Times New Roman" w:cs="Times New Roman"/>
          <w:sz w:val="24"/>
          <w:szCs w:val="24"/>
        </w:rPr>
      </w:pPr>
      <w:r w:rsidRPr="006A4BCA">
        <w:rPr>
          <w:rFonts w:ascii="Times New Roman" w:eastAsia="Arial MT" w:hAnsi="Times New Roman" w:cs="Times New Roman"/>
          <w:sz w:val="24"/>
          <w:szCs w:val="24"/>
        </w:rPr>
        <w:t>Toluca de Lerdo, a ** de marzo de 2026</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DIPUTADA MARTHA AZUCENA CAMACHO REYNOSO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PRESIDENTA DE LA MESA DIRECTIVA DE LA</w:t>
      </w: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“LXII” LEGISLATURA DEL ESTADO DE MÉXICO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P R E S E N T E</w:t>
      </w:r>
      <w:r w:rsidRPr="006A4BCA">
        <w:rPr>
          <w:rFonts w:ascii="Times New Roman" w:eastAsia="Arial MT" w:hAnsi="Times New Roman" w:cs="Times New Roman"/>
          <w:sz w:val="24"/>
          <w:szCs w:val="24"/>
        </w:rPr>
        <w:t>.</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Diputada María José Pérez Domínguez</w:t>
      </w:r>
      <w:r w:rsidRPr="006A4BCA">
        <w:rPr>
          <w:rFonts w:ascii="Times New Roman" w:eastAsia="Arial MT" w:hAnsi="Times New Roman" w:cs="Times New Roman"/>
          <w:sz w:val="24"/>
          <w:szCs w:val="24"/>
        </w:rPr>
        <w:t xml:space="preserve">, en representación del Grupo Parlamentario de morena, en la LXII Legislatura del Estado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del Pleno de esta Honorable Legislatura, para estudio y dictamen, la Iniciativa con proyecto de Decreto, por el que se reforma el </w:t>
      </w:r>
      <w:r w:rsidRPr="006A4BCA">
        <w:rPr>
          <w:rFonts w:ascii="Times New Roman" w:eastAsia="Arial MT" w:hAnsi="Times New Roman" w:cs="Times New Roman"/>
          <w:b/>
          <w:sz w:val="24"/>
          <w:szCs w:val="24"/>
        </w:rPr>
        <w:t>artículo 117</w:t>
      </w:r>
      <w:r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b/>
          <w:sz w:val="24"/>
          <w:szCs w:val="24"/>
        </w:rPr>
        <w:t>de la Constitución Política del Estado Libre y Soberano de México</w:t>
      </w:r>
      <w:r w:rsidRPr="006A4BCA">
        <w:rPr>
          <w:rFonts w:ascii="Times New Roman" w:eastAsia="Arial MT" w:hAnsi="Times New Roman" w:cs="Times New Roman"/>
          <w:sz w:val="24"/>
          <w:szCs w:val="24"/>
        </w:rPr>
        <w:t>; en materia de paridad de género; con base en la siguiente:</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EXPOSICIÓN DE MOTIVOS</w:t>
      </w: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el segundo párrafo del artículo 41, de la Constitución Política de los Estados Unidos Mexicanos, se establece que los nombramientos de las personas titulares en la administración pública del Poder Ejecutivo Federal y sus equivalentes en las entidades federativas y Municipios, deberán observar el principio de paridad de género.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Este principio, incorporado en la Constitución Política de los Estados Unidos Mexicanos en el año 2014, eliminó la brecha que existía entre hombres y mujeres, en cuanto a derechos político electorales y ha permitido que ambos géneros, en igualdad de proporción, tengan la posibilidad de acceder a candidaturas y cargos de elección popular.</w:t>
      </w: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conformidad con la interpretación jurisprudencial: “</w:t>
      </w:r>
      <w:r w:rsidRPr="006A4BCA">
        <w:rPr>
          <w:rFonts w:ascii="Times New Roman" w:eastAsia="Arial MT" w:hAnsi="Times New Roman" w:cs="Times New Roman"/>
          <w:i/>
          <w:sz w:val="24"/>
          <w:szCs w:val="24"/>
        </w:rPr>
        <w:t xml:space="preserve">la postulación paritaria de candidaturas </w:t>
      </w:r>
      <w:r w:rsidRPr="006A4BCA">
        <w:rPr>
          <w:rFonts w:ascii="Times New Roman" w:eastAsia="Arial MT" w:hAnsi="Times New Roman" w:cs="Times New Roman"/>
          <w:i/>
          <w:sz w:val="24"/>
          <w:szCs w:val="24"/>
        </w:rPr>
        <w:lastRenderedPageBreak/>
        <w:t>está encaminada a generar de manera efectiva el acceso al ejercicio del poder público de ambos géneros, en auténticas condiciones de igualdad. En ese sentido, el principio de paridad emerge como un parámetro de validez que dimana del mandato constitucional y convencional de establecer normas para garantizar el registro de candidaturas acordes con tal principio, así como medidas de todo tipo para su efectivo cumplimiento, por lo que debe permear en la postulación de candidaturas para la integración de los órganos de representación popular tanto federales, locales, como municipales, a efecto de garantizar un modelo plural e incluyente de participación política en los distintos ámbitos de gobierno</w:t>
      </w:r>
      <w:r w:rsidRPr="006A4BCA">
        <w:rPr>
          <w:rFonts w:ascii="Times New Roman" w:eastAsia="Arial MT" w:hAnsi="Times New Roman" w:cs="Times New Roman"/>
          <w:sz w:val="24"/>
          <w:szCs w:val="24"/>
        </w:rPr>
        <w:t>”</w:t>
      </w:r>
      <w:hyperlink w:anchor="_bookmark0" w:history="1">
        <w:r w:rsidRPr="006A4BCA">
          <w:rPr>
            <w:rFonts w:ascii="Times New Roman" w:eastAsia="Arial MT" w:hAnsi="Times New Roman" w:cs="Times New Roman"/>
            <w:sz w:val="24"/>
            <w:szCs w:val="24"/>
            <w:vertAlign w:val="superscript"/>
          </w:rPr>
          <w:t>1</w:t>
        </w:r>
      </w:hyperlink>
      <w:r w:rsidRPr="006A4BCA">
        <w:rPr>
          <w:rFonts w:ascii="Times New Roman" w:eastAsia="Arial MT" w:hAnsi="Times New Roman" w:cs="Times New Roman"/>
          <w:sz w:val="24"/>
          <w:szCs w:val="24"/>
        </w:rPr>
        <w:t>.</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esta manera, el principio de paridad electoral, no se agota con el registro o postulación de candidaturas por parte de los partidos políticos, previo a la jornada electoral; implica, de igual manera, la obligación de las entidades federativas, de implementar acciones tendientes a su cumplimiento, entre ellas su incorporación en el marco normativo local.</w:t>
      </w: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Obligación que se reitera en la fracción I, del artículo 115, de la Constitución Política de los Estados Unidos Mexicanos, en el que se impone a las entidades federativas, establecer como base para su régimen interior, entre otras, el que cada municipio sea gobernado por un Ayuntamiento de elección popular directa, integrado por un Presidente o Presidenta Municipal y el número de regidurías y sindicaturas que la ley determine, de conformidad con el principio de paridad.</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Al respecto es de señalarse, que en nuestro sistema electoral los órganos de gobierno y de representación política de naturaleza colegiada, se eligen a través de un esquema mixto. Así, un número determinado o porcentaje, se elige mediante la modalidad de votación denominada mayoría relativa y, el resto, por representación proporcional.</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0"/>
          <w:szCs w:val="24"/>
        </w:rPr>
      </w:pPr>
      <w:bookmarkStart w:id="9" w:name="_bookmark0"/>
      <w:bookmarkEnd w:id="9"/>
      <w:r w:rsidRPr="006A4BCA">
        <w:rPr>
          <w:rFonts w:ascii="Times New Roman" w:eastAsia="Arial MT" w:hAnsi="Times New Roman" w:cs="Times New Roman"/>
          <w:sz w:val="20"/>
          <w:szCs w:val="24"/>
          <w:vertAlign w:val="superscript"/>
        </w:rPr>
        <w:t>1</w:t>
      </w:r>
      <w:r w:rsidRPr="006A4BCA">
        <w:rPr>
          <w:rFonts w:ascii="Times New Roman" w:eastAsia="Arial MT" w:hAnsi="Times New Roman" w:cs="Times New Roman"/>
          <w:sz w:val="20"/>
          <w:szCs w:val="24"/>
        </w:rPr>
        <w:t xml:space="preserve"> Jurisprudencia 6/2015, emitida por la Sala Superior del Tribunal Electoral del Poder Judicial de la Federación, en sesión pública del seis de mayo de dos mil quince.</w:t>
      </w: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la actualidad, en el artículo 117, de la Constitución Política del Estado Libre y Soberano de México</w:t>
      </w:r>
      <w:hyperlink w:anchor="_bookmark1" w:history="1">
        <w:r w:rsidRPr="006A4BCA">
          <w:rPr>
            <w:rFonts w:ascii="Times New Roman" w:eastAsia="Arial MT" w:hAnsi="Times New Roman" w:cs="Times New Roman"/>
            <w:sz w:val="24"/>
            <w:szCs w:val="24"/>
            <w:vertAlign w:val="superscript"/>
          </w:rPr>
          <w:t>2</w:t>
        </w:r>
      </w:hyperlink>
      <w:r w:rsidRPr="006A4BCA">
        <w:rPr>
          <w:rFonts w:ascii="Times New Roman" w:eastAsia="Arial MT" w:hAnsi="Times New Roman" w:cs="Times New Roman"/>
          <w:sz w:val="24"/>
          <w:szCs w:val="24"/>
        </w:rPr>
        <w:t>, se incorpora el principio de paridad de género para la elección de regidurías y sindicaturas, pero solo para la modalidad de representación proporcional. Generando con ello, falta de certeza y seguridad jurídica, para las personas, hombres y mujeres, que sean postuladas, para ocupar regidurías o sindicaturas en alguno de los 125 ayuntamientos del Estado de México, bajo la modalidad de mayoría relativa.</w:t>
      </w: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 bien en la práctica se aplica el principio de paridad de género para la elección de regidurías y sindicaturas, en la modalidad de mayoría relativa, cuando la ley introduce distinciones, se genera un problema de interpretación. ¿Cuál fue la intención del legislador al limitarse a incorporar el principio de paridad, de manera expresa, solo para la modalidad de elección de representación proporcional? ¿Excluir a la modalidad de mayoría relativa de la aplicación del principio?</w:t>
      </w: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Cabe señalar que en el artículo 12, de la Constitución Política del Estado Libre y Soberano de México, se establece la obligación, para que los partidos políticos, cumplan con las reglas que garanticen la paridad de género en las candidaturas a Diputaciones Locales e integrantes de los Ayuntamientos y a los demás cargos de elección popular. Obligación que, correctamente, se estableció de manera general, sin distinguir entre candidaturas de mayoría relativa y de representación proporcional. Esta es la fórmula que debió aplicarse en el artículo 117.</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En materia jurídica existe un principio expresado por la frase “donde la ley no distingue, al operador </w:t>
      </w:r>
      <w:r w:rsidRPr="006A4BCA">
        <w:rPr>
          <w:rFonts w:ascii="Times New Roman" w:eastAsia="Arial MT" w:hAnsi="Times New Roman" w:cs="Times New Roman"/>
          <w:sz w:val="24"/>
          <w:szCs w:val="24"/>
        </w:rPr>
        <w:lastRenderedPageBreak/>
        <w:t>del derecho no le es dable distinguir”. En el caso, como se ha señalado, en nuestro sistema electoral los órganos de gobierno y de representación política de naturaleza colegiada, se eligen a través de un esquema mixto. Una parte o porcentaje mediante la modalidad de mayoría relativa y, el resto, por representación proporcional, a los cuales, de conformidad con el artículo 41, de la Constitución Política de los Estados Unidos Mexicanos, les es aplicable, sin excepción, ni distinción, el principio de paridad de género.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0"/>
          <w:szCs w:val="24"/>
        </w:rPr>
      </w:pPr>
      <w:bookmarkStart w:id="10" w:name="_bookmark1"/>
      <w:bookmarkEnd w:id="10"/>
      <w:r w:rsidRPr="006A4BCA">
        <w:rPr>
          <w:rFonts w:ascii="Times New Roman" w:eastAsia="Arial MT" w:hAnsi="Times New Roman" w:cs="Times New Roman"/>
          <w:sz w:val="20"/>
          <w:szCs w:val="24"/>
          <w:vertAlign w:val="superscript"/>
        </w:rPr>
        <w:t>2</w:t>
      </w:r>
      <w:r w:rsidRPr="006A4BCA">
        <w:rPr>
          <w:rFonts w:ascii="Times New Roman" w:eastAsia="Arial MT" w:hAnsi="Times New Roman" w:cs="Times New Roman"/>
          <w:sz w:val="20"/>
          <w:szCs w:val="24"/>
        </w:rPr>
        <w:t xml:space="preserve"> Artículo 117.- Los ayuntamientos se integrarán con una jefa o jefe de asamblea que se denominará Presidenta o Presidente Municipal, respectivamente, y con varios miembros más llamados Síndicas o Síndicos y Regidoras o Regidores, cuyo número se determinará en razón directa de la población del municipio que representen, como lo disponga la Ley Orgánica respectiva.</w:t>
      </w: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Los ayuntamientos de los municipios podrán tener síndicas o síndicos y regidoras o regidores electos según el principio de representación proporcional de acuerdo a los requisitos y reglas de asignación que establezca la ley de la materia, respetando el principio de paridad de género.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este sentido, se propone incluir, en el artículo 117, de la Constitución Política del Estado Libre y Soberano de México, la obligación de respetar el principio de paridad de género, en la elección de regidurías y sindicaturas de mayoría relativa y de representación proporcional. Lo cual, para fines prácticos, solucionaría una anomalía normativa, al eliminar la distinción y la excepción legal, en cuanto a la aplicación del principio constitucional de paridad.</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Esta iniciativa, no cambia, ni introduce una regla electoral, solo precisa, por seguridad y certeza jurídica, un principio constitucional.</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lo expuesto y una vez justificada la procedencia de la iniciativa, someto a la consideración de esta H. Legislatura el presente Proyecto de Decreto, solicitando, se tenga a bien, aprobarlo en sus términos.</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ATENTAMENTE</w:t>
      </w: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DIPUTADA MARÍA JOSÉ PÉREZ DOMÍNGUEZ</w:t>
      </w: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GRUPO PARLAMENTARIO DE MORENA</w:t>
      </w: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PROPUESTA DE PROYECTO DE DECRETO: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LXII LEGISLATURA DEL ESTADO DE MÉXICO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DECRETA</w:t>
      </w:r>
      <w:r w:rsidRPr="006A4BCA">
        <w:rPr>
          <w:rFonts w:ascii="Times New Roman" w:eastAsia="Arial MT" w:hAnsi="Times New Roman" w:cs="Times New Roman"/>
          <w:sz w:val="24"/>
          <w:szCs w:val="24"/>
        </w:rPr>
        <w:t>:</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ARTÍCULO ÚNICO</w:t>
      </w:r>
      <w:r w:rsidRPr="006A4BCA">
        <w:rPr>
          <w:rFonts w:ascii="Times New Roman" w:eastAsia="Arial MT" w:hAnsi="Times New Roman" w:cs="Times New Roman"/>
          <w:sz w:val="24"/>
          <w:szCs w:val="24"/>
        </w:rPr>
        <w:t xml:space="preserve">. Se </w:t>
      </w:r>
      <w:r w:rsidRPr="006A4BCA">
        <w:rPr>
          <w:rFonts w:ascii="Times New Roman" w:eastAsia="Arial MT" w:hAnsi="Times New Roman" w:cs="Times New Roman"/>
          <w:b/>
          <w:sz w:val="24"/>
          <w:szCs w:val="24"/>
        </w:rPr>
        <w:t xml:space="preserve">reforma </w:t>
      </w:r>
      <w:r w:rsidRPr="006A4BCA">
        <w:rPr>
          <w:rFonts w:ascii="Times New Roman" w:eastAsia="Arial MT" w:hAnsi="Times New Roman" w:cs="Times New Roman"/>
          <w:sz w:val="24"/>
          <w:szCs w:val="24"/>
        </w:rPr>
        <w:t xml:space="preserve">el artículo 117, de la </w:t>
      </w:r>
      <w:r w:rsidRPr="006A4BCA">
        <w:rPr>
          <w:rFonts w:ascii="Times New Roman" w:eastAsia="Arial MT" w:hAnsi="Times New Roman" w:cs="Times New Roman"/>
          <w:b/>
          <w:sz w:val="24"/>
          <w:szCs w:val="24"/>
        </w:rPr>
        <w:t>Constitución Política del Estado Libre y Soberano de México</w:t>
      </w:r>
      <w:r w:rsidRPr="006A4BCA">
        <w:rPr>
          <w:rFonts w:ascii="Times New Roman" w:eastAsia="Arial MT" w:hAnsi="Times New Roman" w:cs="Times New Roman"/>
          <w:sz w:val="24"/>
          <w:szCs w:val="24"/>
        </w:rPr>
        <w:t>, para quedar como sigue:</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Artículo 117. Los ayuntamientos se integrarán por una Presidenta o Presidente Municipal y el número de regidurías y sindicaturas que determine la ley.</w:t>
      </w: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Los ayuntamientos de los municipios podrán tener regidurías y sindicaturas, electas según el principio de representación proporcional. En la postulación de las regidurías y sindicaturas de mayoría relativa y, de ser el caso, de representación proporcional, deberá observarse el principio de paridad de género</w:t>
      </w:r>
      <w:r w:rsidRPr="006A4BCA">
        <w:rPr>
          <w:rFonts w:ascii="Times New Roman" w:eastAsia="Arial MT" w:hAnsi="Times New Roman" w:cs="Times New Roman"/>
          <w:sz w:val="24"/>
          <w:szCs w:val="24"/>
        </w:rPr>
        <w:t>.</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TRANSITORIOS</w:t>
      </w:r>
    </w:p>
    <w:p w:rsidR="00660801" w:rsidRPr="006A4BCA" w:rsidRDefault="00660801" w:rsidP="00660801">
      <w:pPr>
        <w:widowControl w:val="0"/>
        <w:autoSpaceDE w:val="0"/>
        <w:autoSpaceDN w:val="0"/>
        <w:spacing w:after="0" w:line="240" w:lineRule="auto"/>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PRIMERO</w:t>
      </w:r>
      <w:r w:rsidRPr="006A4BCA">
        <w:rPr>
          <w:rFonts w:ascii="Times New Roman" w:eastAsia="Arial MT" w:hAnsi="Times New Roman" w:cs="Times New Roman"/>
          <w:sz w:val="24"/>
          <w:szCs w:val="24"/>
        </w:rPr>
        <w:t>. Publíquese el presente Decreto en el periódico oficial “Gaceta del Gobierno” del Estado Libre y Soberano de México.</w:t>
      </w: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b/>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SEGUNDO</w:t>
      </w:r>
      <w:r w:rsidRPr="006A4BCA">
        <w:rPr>
          <w:rFonts w:ascii="Times New Roman" w:eastAsia="Arial MT" w:hAnsi="Times New Roman" w:cs="Times New Roman"/>
          <w:sz w:val="24"/>
          <w:szCs w:val="24"/>
        </w:rPr>
        <w:t>. El presente Decreto entrará en vigor al día siguiente de su publicación en el periódico oficial “Gaceta del Gobierno” del Estado Libre y Soberano de México.</w:t>
      </w:r>
    </w:p>
    <w:p w:rsidR="00660801" w:rsidRPr="006A4BCA" w:rsidRDefault="00660801" w:rsidP="00660801">
      <w:pPr>
        <w:widowControl w:val="0"/>
        <w:autoSpaceDE w:val="0"/>
        <w:autoSpaceDN w:val="0"/>
        <w:spacing w:after="0" w:line="240" w:lineRule="auto"/>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Lo tendrá entendido la Gobernadora del Estado de México, haciendo que se publique y se cumpla.</w:t>
      </w: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p>
    <w:p w:rsidR="00660801" w:rsidRPr="006A4BCA" w:rsidRDefault="00660801" w:rsidP="00660801">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Dado en el Palacio del Poder Legislativo, en la ciudad de Toluca de Lerdo, capital del Estado de México, a los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días del mes de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de dos mil veintiséis.</w:t>
      </w:r>
    </w:p>
    <w:p w:rsidR="00660801" w:rsidRPr="006A4BCA" w:rsidRDefault="00660801" w:rsidP="00F16E30">
      <w:pPr>
        <w:spacing w:after="0" w:line="240" w:lineRule="auto"/>
        <w:jc w:val="center"/>
        <w:rPr>
          <w:rFonts w:ascii="Times New Roman" w:hAnsi="Times New Roman"/>
          <w:sz w:val="24"/>
          <w:szCs w:val="24"/>
        </w:rPr>
      </w:pPr>
    </w:p>
    <w:p w:rsidR="00660801" w:rsidRPr="006A4BCA" w:rsidRDefault="00660801" w:rsidP="00F16E30">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660801" w:rsidRPr="006A4BCA" w:rsidRDefault="00660801" w:rsidP="00F16E30">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PRESIDENTA DIP. MARTHA AZUCENA CAMACHO REYNOSO. Gracias diputada María José Pérez Domínguez.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Se registra la iniciativa y se remite a las Comisiones Legislativas de Gobernación y Puntos Constitucionales para la Igualdad de Género, para su estudio y dictamen.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En el siguiente punto, el diputado Gerardo Pliego Santana, presenta el nombre del Grupo Parlamentario del Partido morena, iniciativa con Proyecto de Decreto por el cual se expide la Ley de Integridad Pública en el Estado de México y Municipios. </w:t>
      </w:r>
    </w:p>
    <w:p w:rsidR="004A7076" w:rsidRPr="006A4BCA" w:rsidRDefault="004A7076" w:rsidP="004A7076">
      <w:pPr>
        <w:pStyle w:val="Sinespaciad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DIP. GERARDO PLIEGO SANTANA. Muchas gracias diputada Presidenta.</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Con su permiso, saludo con mucho respeto y aprecio a los medios de comunicación, a quien nos siguen en las redes sociales y doy la bienvenida al Licenciado Víctor Humberto González, Presidente del Colegio de Notarios del Estado de México, </w:t>
      </w:r>
      <w:r w:rsidRPr="006A4BCA">
        <w:rPr>
          <w:rFonts w:ascii="Times New Roman" w:hAnsi="Times New Roman" w:cs="Times New Roman"/>
          <w:sz w:val="24"/>
          <w:szCs w:val="24"/>
        </w:rPr>
        <w:t>Presidente bienvenido a la “Casa del Pueblo”; de igual manera, saludo con mucho respeto y aprecio al Licenciado Alberto Gandala Ruíz Esparza, Presidente del Comité de Participación Ciudadana del Comité del Sistema Anticorrupción del Estado de México, bienvenido licenciado.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DIPUTADA MARTHA AZUCENA CAMACHO REYNOSO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PRESIDENTE DE LA MESA DIRECTIVA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DE LA “LXII” LEGISLATURA DEL ESTADO DE MÉXICO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PRESENTE.</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HONORABLE ASAMBLEA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El suscrito diputado Gerardo Pliego Santana del Grupo Parlamentario de Movimiento de Regeneración Nacional morena, a nombre de a nombre del Comité de Participación Ciudadana del Sistema Anticorrupción del Estado de México y Municipios, integrado por los ciudadanos Alberto Gándara Ruíz Esparza, Claudia Margarita Hernández Flores, Karla Isabel Colín Maya, Adriana Yadira Cárdenas Tagle y Óscar Bazán Alatorre, bienvenidos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Someto a su elevada consideración, por tan digno conducto, proyecto de decreto por el cual se expide la Ley de Integridad Pública del Estado de México y Municipios; con sustento en la siguiente:</w:t>
      </w:r>
    </w:p>
    <w:p w:rsidR="004A7076" w:rsidRPr="006A4BCA" w:rsidRDefault="004A7076" w:rsidP="004A7076">
      <w:pPr>
        <w:pStyle w:val="Sinespaciado"/>
        <w:ind w:firstLine="708"/>
        <w:jc w:val="center"/>
        <w:rPr>
          <w:rFonts w:ascii="Times New Roman" w:hAnsi="Times New Roman" w:cs="Times New Roman"/>
          <w:sz w:val="24"/>
          <w:szCs w:val="24"/>
        </w:rPr>
      </w:pPr>
      <w:r w:rsidRPr="006A4BCA">
        <w:rPr>
          <w:rFonts w:ascii="Times New Roman" w:hAnsi="Times New Roman" w:cs="Times New Roman"/>
          <w:sz w:val="24"/>
          <w:szCs w:val="24"/>
        </w:rPr>
        <w:t>EXPOSICIÓN DE MOTIVOS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En México, la exigencia social de combatir la corrupción y construir Gobiernos honestos, se ha convertido en una de las principales demandas ciudadanas y en un eje fundamental de la transformación de la vida pública de nuestro país.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lastRenderedPageBreak/>
        <w:t>En ese contexto, la integridad en el servicio público, no es solamente un principio ético; sino una obligación constitucional derivada de los artículos 108 a 114 de la Constitución Política de los Estados Unidos Mexicanos.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Así como al diseño institucional del Sistema Nacional anticorrupción, cuyo propósito es prevenir, detectar y sancionar los hechos de corrupción y las responsabilidades Administrativas de las personas servidoras.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El fortalecimiento de estos principios, forma parte del proyecto de la transformación institucional impulsada por nuestra Presidenta de la República, la Doctora Claudia Sheinbaum Pardo, quien ha reiterado que la honestidad, la transparencia y la rendición de cuentas, constituyen condiciones indispensables para consolidar, gobiernos eficaces y cercanos a los ciudadanos; asimismo, el compromiso, ha sido asumido por nuestra Gobernadora, la Maestra Delfina Gómez Álvarez, cuya Administración ha colocado como prioridad la construcción de una Administración Pública austera, transparente y guiada por los principios éticos que fortalezcan la confianza en las instituciones ciudadanas.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Si bien, actualmente la Ley de Responsabilidades Administrativas del Estado de México y Municipios y el Código Penal, establecen en sanciones para las faltas administrativas y los hechos de corrupción, la experiencia institucional ha demostrado que la sanción por sí sola, resulta insuficiente, para transformar las prácticas públicas, si no se acompaña de mecanismos preventivos que fortalezcan la integridad en el ejercicio del servicio público.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Por ello, resulta necesario consolidar un marco normativo que priorice la prevención de la corrupción, mediante la implementación de instrumentos institucionales de integridad, tales como programas de integridad, mapas de riesgos, códigos de ética y conductas aplicadas capacitación obligada y mecanismos de evaluación y mejora continua de los servidores públicos.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La presente Ley de Integridad del Estado de México y Municipios se concibe como una ley marco complementaria que fortalece el sistema anticorrupción, mediante la incorporación de las reglas de integridad, la gestión de conflictos de interés, el fortalecimiento del control interno y la consolidación de una cultura institucional, orientada al interés público y el combate a la corrupción.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Con la expedición de esta ley se busca elevar los estándares de la conducta ética en el servicio público, fortalecer la confianza ciudadana en las instituciones, homologar prácticas de integridad en los 125 Municipios del Estado y consolidar el enfoque preventivo como el primer eslabón de combate a la corrupción.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Cabe destacar que la presente iniciativa se presenta a nombre de las y los ciudadanos que integran el Comité de Participación Ciudadana del Sistema Anticorrupción del Estado de México y Municipios como un ejercicio de colaboración democrática entre la sociedad y el Poder Legislativo para poder fortalecer la integridad de las instituciones públicas; esta propuesta normativa se encuentra plenamente alineada con los principios que orientan la transformación de la vida pública de nuestro país, impulsada por nuestra Presidenta de la República, la Doctora Claudia Sheinbaum Pardo y con la visión del Gobierno de nuestra Gobernadora, la Maestra Delfina Gómez Álvarez, quienes han colocado la ética pública, la transformación y el combate a la corrupción como pilares fundamentales para consolidar gobiernos más íntegros, responsables y de servicio al pueblo.</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Por lo antes expuesto diputada Presidenta, le solicito que la presente iniciativa se inserte en el Diario de Debates y en la Gaceta Parlamentaria y no sin antes agradecer la presencia del Comité de Participación Ciudadana y agradecer la participación que siempre hemos tenido en generar el diálogo permanente para fortalecer las acciones en combate a la corrupción. Aquí en esta “Casa del Pueblo”, siempre estará abierta para ustedes.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Muchas felicidades por la iniciativa, muchas gracias.</w:t>
      </w:r>
    </w:p>
    <w:p w:rsidR="005148B6" w:rsidRPr="006A4BCA" w:rsidRDefault="005148B6" w:rsidP="00F16E30">
      <w:pPr>
        <w:pStyle w:val="Sinespaciado"/>
        <w:jc w:val="both"/>
        <w:rPr>
          <w:rFonts w:ascii="Times New Roman" w:hAnsi="Times New Roman" w:cs="Times New Roman"/>
          <w:sz w:val="24"/>
          <w:szCs w:val="24"/>
        </w:rPr>
      </w:pPr>
    </w:p>
    <w:p w:rsidR="005148B6" w:rsidRPr="006A4BCA" w:rsidRDefault="005148B6" w:rsidP="00F16E30">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5148B6" w:rsidRPr="006A4BCA" w:rsidRDefault="005148B6" w:rsidP="00F16E30">
      <w:pPr>
        <w:spacing w:after="0" w:line="240" w:lineRule="auto"/>
        <w:jc w:val="center"/>
        <w:rPr>
          <w:rFonts w:ascii="Times New Roman" w:hAnsi="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Dip. Gerardo Pliego Santana</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Distrito XXXIV Toluca</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“2026. Año del Humanismo Mexicano en el Estado de México”</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Toluca de Lerdo, Estado de México a 4 de marzo del 2026</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DIPUTADA MARTHA AZUCENA CAMACHO REYNOSO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PRESIDENTA DE LA MESA DIRECTIVA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LA H.LXII LEGISLATTURA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DEL ESTADO DE MÉXICO</w:t>
      </w: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p r e s e n t e :</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 xml:space="preserve">Honorable Asamblea con fundamento en los artículos 51 fracción II y 61 fracción I de la Constitución Política del Estado Libre y Soberano de México; así como los artículos 28 fracción I y 81 fracciones I, II y III de la Ley Orgánica del Poder Legislativo y 68 de su reglamento; el suscrito </w:t>
      </w:r>
      <w:r w:rsidRPr="006A4BCA">
        <w:rPr>
          <w:rFonts w:ascii="Times New Roman" w:eastAsia="Microsoft Sans Serif" w:hAnsi="Times New Roman" w:cs="Times New Roman"/>
          <w:b/>
          <w:sz w:val="24"/>
          <w:szCs w:val="24"/>
        </w:rPr>
        <w:t>Diputado Gerardo Pliego Santana del grupo parlamentario del Partido Movimiento de Regeneración Nacional (morena)</w:t>
      </w:r>
      <w:r w:rsidRPr="006A4BCA">
        <w:rPr>
          <w:rFonts w:ascii="Times New Roman" w:eastAsia="Microsoft Sans Serif" w:hAnsi="Times New Roman" w:cs="Times New Roman"/>
          <w:sz w:val="24"/>
          <w:szCs w:val="24"/>
        </w:rPr>
        <w:t xml:space="preserve">, </w:t>
      </w:r>
      <w:r w:rsidRPr="006A4BCA">
        <w:rPr>
          <w:rFonts w:ascii="Times New Roman" w:eastAsia="Microsoft Sans Serif" w:hAnsi="Times New Roman" w:cs="Times New Roman"/>
          <w:b/>
          <w:sz w:val="24"/>
          <w:szCs w:val="24"/>
        </w:rPr>
        <w:t>a nombre del Comité de Participación Ciudadana del Sistema Anticorrupción del Estado de México y Municipios, integrado por los ciudadanos Alberto Gándara Ruíz Esparza, Claudia Margarita Hernández Flores, Karla Isabel Colín Maya, Adriana Yadira Cárdenas Tagle y Óscar Bazán Alatorre</w:t>
      </w:r>
      <w:r w:rsidRPr="006A4BCA">
        <w:rPr>
          <w:rFonts w:ascii="Times New Roman" w:eastAsia="Microsoft Sans Serif" w:hAnsi="Times New Roman" w:cs="Times New Roman"/>
          <w:sz w:val="24"/>
          <w:szCs w:val="24"/>
        </w:rPr>
        <w:t xml:space="preserve">, someto a su elevada consideración, por tan digno conducto, un proyecto de decreto por el cual se expide la </w:t>
      </w:r>
      <w:r w:rsidRPr="006A4BCA">
        <w:rPr>
          <w:rFonts w:ascii="Times New Roman" w:eastAsia="Microsoft Sans Serif" w:hAnsi="Times New Roman" w:cs="Times New Roman"/>
          <w:b/>
          <w:sz w:val="24"/>
          <w:szCs w:val="24"/>
        </w:rPr>
        <w:t>LEY DE INTEGRIDAD PÚBLICA DEL ESTADO DE MÉXICO Y MUNICIPIOS</w:t>
      </w:r>
      <w:r w:rsidRPr="006A4BCA">
        <w:rPr>
          <w:rFonts w:ascii="Times New Roman" w:eastAsia="Microsoft Sans Serif" w:hAnsi="Times New Roman" w:cs="Times New Roman"/>
          <w:sz w:val="24"/>
          <w:szCs w:val="24"/>
        </w:rPr>
        <w:t>; con sustento en la siguiente:</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E X P O S I C I Ó N  D E  M O T I V O S :</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El fortalecimiento de la integridad pública constituye una obligación constitucional derivada de los artículos 108 a 114 de la Constitución Política de los Estados Unidos Mexicanos, así como del Sistema Nacional Anticorrupción, cuyo objeto es prevenir, detectar y sancionar las responsabilidades administrativas y los hechos de corrupción.</w:t>
      </w: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En el ámbito local, la Constitución Política del Estado Libre y Soberano de México establece el deber del Estado y de los municipios de garantizar una administración pública basada en los principios de legalidad, honradez, lealtad, imparcialidad, eficiencia, eficacia, economía, disciplina, profesionalismo, objetividad, transparencia, rendición de cuentas, competencia por mérito, integridad y equidad.</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Si bien la Ley de Responsabilidades Administrativas del Estado de México y Municipios regula las faltas administrativas y sus sanciones y existe un régimen de delitos por hechos de corrupción en el Código Penal, resulta indispensable contar con un ordenamiento específico que consolide el enfoque preventivo, normativo y cultural de la integridad pública.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La experiencia derivada de la aplicación del régimen de responsabilidades administrativas y penales ha demostrado que la sola previsión de sanciones y penas resulta insuficiente para modificar conductas si no se acompaña de reglas claras de integridad, medidas preventivas, mecanismos de capacitación y una cultura institucional orientada al interés público.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lastRenderedPageBreak/>
        <w:t>En este contexto, surge la necesidad de implementar instrumentos de integridad que constituyen el eje central del enfoque preventivo del sistema anticorrupción, al traducir los principios y reglas éticas en mecanismos operativos, verificables y evaluables, capaces de incidir de manera directa en la conducta cotidiana de las personas servidoras públicas y en los procesos institucionales.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Los instrumentos de integridad permiten identificar, gestionar y mitigar riesgos de corrupción antes de que se materialicen en faltas administrativas o delitos, fortaleciendo el control interno, la toma de decisiones imparcial y la rendición de cuentas, sin invadir las competencias de las autoridades investigadoras o sancionadoras.</w:t>
      </w: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La presente Ley reconoce expresamente como instrumentos de integridad, entre otros, los Programas Institucionales de Integridad, los mapas de riesgos de integridad, los códigos de ética y de conducta aplicados, las declaraciones de integridad, la capacitación obligatoria en integridad y los mecanismos de evaluación y mejora continua.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La presente Ley de Integridad del Estado de México y Municipios se concibe como una ley marco complementaria, que no sustituye ni invade las competencias previstas en la Ley de Responsabilidades Administrativas ni el Código Penal, sino que las fortalece mediante:</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La incorporación normativa de las Reglas de Integridad;</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La sistematización de los principios que rigen el servicio público;</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El establecimiento de programas de integridad y de control interno obligatorios;</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La gestión de conflictos de interés;</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El reforzamiento de deberes de dirección en los entes públicos.</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Instrumentos de integridad</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Esta propuesta de Ley se articula de manera directa con el Sistema Estatal y Municipal Anticorrupción, permitiendo que las políticas públicas de prevención se traduzcan en obligaciones jurídicas exigibles.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 la expedición de esta Ley se espera: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Elevar los estándares de conducta ética e integra en el servicio público;</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Reducir la incidencia de faltas administrativas y delitos;</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Fortalecer la confianza ciudadana;</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Homologar prácticas de integridad y control interno en los 125 municipios;</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Consolidar el enfoque preventivo como primer eslabón del sistema anticorrupción.</w:t>
      </w:r>
    </w:p>
    <w:p w:rsidR="005148B6" w:rsidRPr="006A4BCA" w:rsidRDefault="005148B6" w:rsidP="005148B6">
      <w:pPr>
        <w:widowControl w:val="0"/>
        <w:numPr>
          <w:ilvl w:val="0"/>
          <w:numId w:val="8"/>
        </w:numPr>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 xml:space="preserve">Cabe destacar que la presente iniciativa es presentada por el suscrito a nombre de las y los ciudadanos integrantes del Comité de Participación Ciudadana del Sistema Anticorrupción del Estado de México y Municipios, Alberto Gándara Ruíz Esparza, Claudia Margarita Hernández Flores, Karla Isabel Colín Maya, Adriana Yadira Cárdenas Tagle y Óscar Bazán Alatorre como un ejercicio de colaboración democrática entre sociedad y Poder Legislativo para fortalecer las instituciones públicas. Asimismo, el contenido y espíritu de esta propuesta normativa se encuentran plenamente alineados con los principios que orientan la Cuarta Transformación de la vida pública de México, impulsada por la Presidenta de la República, Claudia Sheinbaum Pardo, así como con la visión de gobierno de la Gobernadora del Estado de México, Delfina Gómez Álvarez, particularmente en lo relativo al fortalecimiento de la ética pública, la transparencia, la rendición de cuentas y el combate frontal a la corrupción como pilares para consolidar instituciones más </w:t>
      </w:r>
      <w:r w:rsidRPr="006A4BCA">
        <w:rPr>
          <w:rFonts w:ascii="Times New Roman" w:eastAsia="Microsoft Sans Serif" w:hAnsi="Times New Roman" w:cs="Times New Roman"/>
          <w:sz w:val="24"/>
          <w:szCs w:val="24"/>
        </w:rPr>
        <w:lastRenderedPageBreak/>
        <w:t>íntegras, cercanas a la ciudadanía y comprometidas con el interés público.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Por lo anteriormente expuesto, se somete a la consideración de este H. Poder Legislativo del Estado de México, para su análisis, discusión y en su caso aprobación en sus términos, la presente iniciativa con proyecto de decreto.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A T E N T A M E N T E</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DIP. GERARDO PLIEGO SANTANA</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Y DIPUTADAS, DIPUTADOS Y DIPUTADE DEL GRUPO PARLAMENTARIO DE</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morena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LEY DE INTEGRIDAD PÚBLICA DEL ESTADO DE MÉXICO Y MUNICIPIOS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TÍTULO PRIMERO</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DISPOSICIONES GENERALES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w:t>
      </w:r>
      <w:r w:rsidRPr="006A4BCA">
        <w:rPr>
          <w:rFonts w:ascii="Times New Roman" w:eastAsia="Microsoft Sans Serif" w:hAnsi="Times New Roman" w:cs="Times New Roman"/>
          <w:sz w:val="24"/>
          <w:szCs w:val="24"/>
        </w:rPr>
        <w:t>. La presente Ley es de orden público y tiene por objeto establecer el marco jurídico para promover, regular, garantizar y fortalecer la integridad pública en la actuación de las personas servidoras públicas del Estado de México y sus municipios, así como de los particulares vinculados de conformidad con la Ley de Responsabilidades del Estado de México, con la finalidad de asegurar la legalidad, transparencia, responsabilidad, ética, control interno, rendición de cuentas y la participación ciudadana.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w:t>
      </w:r>
      <w:r w:rsidRPr="006A4BCA">
        <w:rPr>
          <w:rFonts w:ascii="Times New Roman" w:eastAsia="Microsoft Sans Serif" w:hAnsi="Times New Roman" w:cs="Times New Roman"/>
          <w:sz w:val="24"/>
          <w:szCs w:val="24"/>
        </w:rPr>
        <w:t>. Son sujetos de esta Ley todas las personas servidoras públicas de los poderes Ejecutivo, Legislativo y Judicial, organismos constitucionales autónomos, de cualquier ente público estatal y municipal.</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w:t>
      </w:r>
      <w:r w:rsidRPr="006A4BCA">
        <w:rPr>
          <w:rFonts w:ascii="Times New Roman" w:eastAsia="Microsoft Sans Serif" w:hAnsi="Times New Roman" w:cs="Times New Roman"/>
          <w:sz w:val="24"/>
          <w:szCs w:val="24"/>
        </w:rPr>
        <w:t>. La integridad pública es el conjunto de principios, valores y normas que orientan el comportamiento ético de las personas servidoras públicas para garantizar el interés general y el cumplimiento de los valores que rigen el servicio público.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4</w:t>
      </w:r>
      <w:r w:rsidRPr="006A4BCA">
        <w:rPr>
          <w:rFonts w:ascii="Times New Roman" w:eastAsia="Microsoft Sans Serif" w:hAnsi="Times New Roman" w:cs="Times New Roman"/>
          <w:sz w:val="24"/>
          <w:szCs w:val="24"/>
        </w:rPr>
        <w:t>. Son autoridades competentes para la aplicación de esta Ley las previstas en la Ley de Responsabilidades Administrativas del Estado de México y Municipios.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5</w:t>
      </w:r>
      <w:r w:rsidRPr="006A4BCA">
        <w:rPr>
          <w:rFonts w:ascii="Times New Roman" w:eastAsia="Microsoft Sans Serif" w:hAnsi="Times New Roman" w:cs="Times New Roman"/>
          <w:sz w:val="24"/>
          <w:szCs w:val="24"/>
        </w:rPr>
        <w:t>. Para los efectos de la presente Ley, además de las definiciones previstas en otras disposiciones aplicables, los conceptos técnicos vinculados a la integridad pública se interpretarán conforme al Diccionario de Integridad Pública contenido en el Anexo Único de esta Ley, con fines orientadores y de aplicación práctica.</w:t>
      </w: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Control interno: A los sistemas de procesos y mecanismos de verificación para asegurar cumplimiento normativo y la gestión de riesgos.</w:t>
      </w:r>
    </w:p>
    <w:p w:rsidR="005148B6" w:rsidRPr="006A4BCA" w:rsidRDefault="005148B6" w:rsidP="007B1F07">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Integridad en contrataciones públicas: El conjunto de mecanismos que aseguran procesos de compras, obras y servicios libres de corrupción y prácticas indebidas.</w:t>
      </w:r>
    </w:p>
    <w:p w:rsidR="005148B6" w:rsidRPr="006A4BCA" w:rsidRDefault="005148B6" w:rsidP="007B1F07">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Integridad Pública: La actuación de las personas servidoras públicas con rectitud, ética, transparencia y respeto a los principios rectores del servicio público y orientadas al bien común).</w:t>
      </w:r>
    </w:p>
    <w:p w:rsidR="005148B6" w:rsidRPr="006A4BCA" w:rsidRDefault="005148B6" w:rsidP="007B1F07">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Persona Servidora Pública: A toda persona que desempeñe un Empleo, cargo o comisión en los entes públicos del Estado y sus municipios.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TÍTULO SEGUNDO</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LOS PRINCIPIOS RECTORES DEL SERVICIO PÚBLICO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6</w:t>
      </w:r>
      <w:r w:rsidRPr="006A4BCA">
        <w:rPr>
          <w:rFonts w:ascii="Times New Roman" w:eastAsia="Microsoft Sans Serif" w:hAnsi="Times New Roman" w:cs="Times New Roman"/>
          <w:sz w:val="24"/>
          <w:szCs w:val="24"/>
        </w:rPr>
        <w:t>. Las personas servidoras públicas deberán conducirse conforme a los principios rectores que rigen el servicio público previstos en el artículo 5 de las Ley de Sistema Estatal Anticorrupción y el artículo 7 de la Ley de Responsabilidades Administrativas.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7</w:t>
      </w:r>
      <w:r w:rsidRPr="006A4BCA">
        <w:rPr>
          <w:rFonts w:ascii="Times New Roman" w:eastAsia="Microsoft Sans Serif" w:hAnsi="Times New Roman" w:cs="Times New Roman"/>
          <w:sz w:val="24"/>
          <w:szCs w:val="24"/>
        </w:rPr>
        <w:t>. Para los efectos de las leyes citadas en el artículo anterior, los principios rectores que rigen el servicio público se definen como:</w:t>
      </w: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Disciplina: Es la observancia estricta a las leyes y ordenamientos del servicio público que consiste en cumplir y hacer cumplir las leyes. El deber de disciplina implica el acatamiento del órgano inferior a la orden fundada y lícita del superior jerárquico.</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Legalidad: La actuación de las personas servidoras públicas debe ser estrictamente apegada al marco jurídico que rige su función.</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Para ello, es su obligación conocer, cumplir y hacer cumplir las disposiciones jurídicas que regulen el ejercicio de sus funciones.</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Objetividad. La objetividad se forma a partir de teorías neutrales, imparciales e impersonales para crear un distanciamiento del individuo y excluir totalmente la apreciación subjetiva de alguna situación, por lo que las personas servidoras públicas están obligadas a actuar alejados de su percepción subjetiva sobre las cosas y ser objetivos en la toma de decisiones.</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Profesionalismo: Es la forma de desempeñar un cargo público con total compromiso, buscando la excelencia y actuando con mesura y responsabilidad, lo que implica el respeto a los compañeros de trabajo, la puntualidad, la humildad y el ser solidario con todas aquellas personas con las que tenga trato con motivo de su encargo, asumiendo plenamente ante la sociedad, el compromiso de desempeñar sus funciones y atribuciones en forma adecuada.</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Honradez: Es el deber de las personas servidoras públicas de actuar sin pretender obtener beneficios adicionales a los que se reciben con motivo de la contraprestación por el empleo, cargo o comisión que desempeñe.</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Lealtad: Las personas servidoras públicas deben observar lealtad al servicio público, prevaleciendo el interés común por encima del particular.</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La lealtad implica actuar con honradez y legalidad, poniendo sobre un interés personal, el honor que representa servir al Estado de México desde el servicio público.</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Imparcialidad: Principio íntimamente ligado con la Objetividad e implica actuar sin inclinarse a favorecer a unos por encima de otros.</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Es un criterio de justicia, que obliga a las personas servidoras públicas a actuar sin prejuicios o cuestiones diferenciadas por razones injustificadas, debiendo dar el mismo trato cuando sean circunstancias iguales y solo en casos especiales hacerlo de forma diferente, justificándolo con la debida objetividad.</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Eficiencia. La eficiencia implica que las personas servidoras públicas están obligados a dar lo mejor de sí mismos para lograr productividad y cumplir los objetivos de la función que desempeñan.</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Ello implica implementar la mejora continua en las actividades inherentes al servicio público, aplicar la creatividad e innovación buscando siempre la calidad en el servicio.</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Eficacia. Las personas servidoras públicas deben buscar alcanzar los objetivos propuestos por el ente público en el que se desempeñen y así cumplir con la expectativa que tiene la sociedad del servicio público.</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La eficacia se refiere a “hacer más con menos” y tiene que ver con los resultados obtenidos.</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Por ello, además de la eficiencia se debe buscar también la eficacia para lograr los objetivos y las metas planteadas.</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Equidad. Este principio está íntimamente vinculado con la imparcialidad, la justicia y la igualdad sustantiva, representando un equilibrio entre la justicia natural y el derecho vigente por lo que quien actúa con equidad también lo hace con objetividad e imparcialidad.</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Transparencia. Las personas servidoras públicas deben permitir y garantizar el acceso a la información pública, con excepción de los casos previstos en las leyes y protegiendo los derechos de privacidad de los particulares.</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Implica también hacer uso responsable y transparente de los recursos públicos, evitando la discrecionalidad indebida en su aplicación.</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Rendición de Cuentas: Principio ligado a la transparencia e implica que el Estado debe explicar a la sociedad en que utiliza los recursos públicos y los resultados en la implementación de políticas públicas, prestación de servicios o gasto corriente, sometiéndose así al escrutinio público, por lo que las personas servidoras públicas deberán garantizarlo.</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Economía: Implica que los recursos materiales, humanos y financieros que le son asignados a las personas servidoras públicas, así como el presupuesto que ejerzan, deberán ser utilizados en observancia a las disposiciones y criterios de racionalidad, austeridad, disciplina y ahorro presupuestario.</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Integridad: Las personas servidoras públicas deben mostrar una conducta adecuada para generar credibilidad y fomentar la cultura de la confianza en las instituciones públicas.</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Este principio está relacionado con la honestidad y juntos permiten que las personas servidoras públicas sean dignas de la confianza de la sociedad para el manejo de la información y recursos públicos.</w:t>
      </w: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p>
    <w:p w:rsidR="005148B6" w:rsidRPr="006A4BCA" w:rsidRDefault="005148B6" w:rsidP="007B1F07">
      <w:pPr>
        <w:widowControl w:val="0"/>
        <w:numPr>
          <w:ilvl w:val="0"/>
          <w:numId w:val="6"/>
        </w:numPr>
        <w:autoSpaceDE w:val="0"/>
        <w:autoSpaceDN w:val="0"/>
        <w:spacing w:after="0" w:line="240" w:lineRule="auto"/>
        <w:ind w:left="0"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Competencia por Mérito: Las personas servidoras públicas deben capacitarse de manera continua para aspirar legítimamente a un crecimiento personal dentro de las estructuras gubernamentales.</w:t>
      </w:r>
    </w:p>
    <w:p w:rsidR="007B1F07" w:rsidRPr="006A4BCA" w:rsidRDefault="007B1F07" w:rsidP="007B1F07">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ind w:hanging="2"/>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Los entes públicos promoverán de forma permanente programas de capacitación para las personas servidoras públicas.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lastRenderedPageBreak/>
        <w:t>TÍTULO TERCERO</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LAS REGLAS DE INTEGRIDAD</w:t>
      </w: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8</w:t>
      </w:r>
      <w:r w:rsidRPr="006A4BCA">
        <w:rPr>
          <w:rFonts w:ascii="Times New Roman" w:eastAsia="Microsoft Sans Serif" w:hAnsi="Times New Roman" w:cs="Times New Roman"/>
          <w:sz w:val="24"/>
          <w:szCs w:val="24"/>
        </w:rPr>
        <w:t>. Las reglas de integridad orientan la conducta diaria de las personas servidoras públicas.</w:t>
      </w: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9</w:t>
      </w:r>
      <w:r w:rsidRPr="006A4BCA">
        <w:rPr>
          <w:rFonts w:ascii="Times New Roman" w:eastAsia="Microsoft Sans Serif" w:hAnsi="Times New Roman" w:cs="Times New Roman"/>
          <w:sz w:val="24"/>
          <w:szCs w:val="24"/>
        </w:rPr>
        <w:t>. Las personas servidoras públicas deberán conducirse en estricto apego a los principios que rigen el servicio público y sin utilizar el cargo para beneficio personal o de terceros, absteniéndose de incurrir en actos de discriminación, acoso u hostigamiento sexual.</w:t>
      </w: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10</w:t>
      </w:r>
      <w:r w:rsidRPr="006A4BCA">
        <w:rPr>
          <w:rFonts w:ascii="Times New Roman" w:eastAsia="Microsoft Sans Serif" w:hAnsi="Times New Roman" w:cs="Times New Roman"/>
          <w:sz w:val="24"/>
          <w:szCs w:val="24"/>
        </w:rPr>
        <w:t>. La información pública deberá resguardarse y difundirse conforme a los principios de transparencia y máxima publicidad.</w:t>
      </w: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11</w:t>
      </w:r>
      <w:r w:rsidRPr="006A4BCA">
        <w:rPr>
          <w:rFonts w:ascii="Times New Roman" w:eastAsia="Microsoft Sans Serif" w:hAnsi="Times New Roman" w:cs="Times New Roman"/>
          <w:sz w:val="24"/>
          <w:szCs w:val="24"/>
        </w:rPr>
        <w:t>. Queda prohibido ocultar, alterar o destruir información pública.</w:t>
      </w: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12</w:t>
      </w:r>
      <w:r w:rsidRPr="006A4BCA">
        <w:rPr>
          <w:rFonts w:ascii="Times New Roman" w:eastAsia="Microsoft Sans Serif" w:hAnsi="Times New Roman" w:cs="Times New Roman"/>
          <w:sz w:val="24"/>
          <w:szCs w:val="24"/>
        </w:rPr>
        <w:t>. En contrataciones y obras públicas se garantizará la equidad, legalidad y mejores condiciones para el Estado.</w:t>
      </w:r>
    </w:p>
    <w:p w:rsidR="005148B6" w:rsidRPr="006A4BCA" w:rsidRDefault="005148B6" w:rsidP="007B1F07">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TÍTULO CUARTO</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LOS CONFLICTOS DE INTERÉS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13</w:t>
      </w:r>
      <w:r w:rsidRPr="006A4BCA">
        <w:rPr>
          <w:rFonts w:ascii="Times New Roman" w:eastAsia="Microsoft Sans Serif" w:hAnsi="Times New Roman" w:cs="Times New Roman"/>
          <w:sz w:val="24"/>
          <w:szCs w:val="24"/>
        </w:rPr>
        <w:t>. Para los efectos de esta Ley, se reconocen los siguientes tipos de conflicto de interés, cuya existencia impone la obligación inmediata de excusa, declaración y/o adopción de medidas preventivas, según sea el caso: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Conflicto de interés real. Existe cuando el servidor público, de manera directa o por interpósita persona, tiene un interés personal, familiar, patrimonial, profesional, laboral o de negocios que influye, condiciona o determina su actuación en un asunto concreto, comprometiendo la imparcialidad de la función pública.</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Conflicto de interés potencial. Se configura cuando el servidor público tiene intereses privados que, aunque no influyen en el presente, pueden razonablemente influir en el futuro en el ejercicio de sus funciones, por la naturaleza del cargo, las decisiones a adoptar o la relación con personas físicas o morales vinculadas.</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Conflicto de interés aparente. Existe cuando, aun sin que exista un beneficio real o potencial, la situación genera una percepción razonable de parcialidad, favoritismo o indebida influencia que puede menoscabar la confianza pública en la institución.</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Conflicto de interés directo. Se presenta cuando el beneficio o perjuicio derivado del acto administrativo impacta de manera inmediata al servidor público, su cónyuge, concubina o concubinario, parientes hasta el cuarto grado, o personas con quienes tenga relaciones profesionales, laborales, comerciales o de negocios vigentes.</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Conflicto de interés indirecto. Se configura cuando el beneficio o perjuicio recae en sociedades, fideicomisos, asociaciones o terceros con los que el servidor público mantenga vínculos económicos, financieros o de control, aunque no figure formalmente como titular.</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 xml:space="preserve">Conflicto por relaciones previas o futuras. Se actualiza cuando el servidor público ha mantenido o tiene previsto mantener relaciones laborales, profesionales o comerciales con personas </w:t>
      </w:r>
      <w:r w:rsidRPr="006A4BCA">
        <w:rPr>
          <w:rFonts w:ascii="Times New Roman" w:eastAsia="Microsoft Sans Serif" w:hAnsi="Times New Roman" w:cs="Times New Roman"/>
          <w:sz w:val="24"/>
          <w:szCs w:val="24"/>
        </w:rPr>
        <w:lastRenderedPageBreak/>
        <w:t>físicas o morales interesadas en el asunto bajo su conocimiento.</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Conflicto por recepción de beneficios. Existe cuando el servidor público ha recibido, solicitado o se le ha ofrecido cualquier tipo de dádiva, cortesía, donación, beneficio, apoyo o ventaja de personas interesadas en el asunto.</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Conflicto por puerta giratoria. Se presenta cuando un ex servidor público pretende intervenir o beneficiarse de decisiones relacionadas con la dependencia o funciones que desempeñó, dentro del periodo de restricción previsto en esta Ley.</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4E26A0">
      <w:pPr>
        <w:widowControl w:val="0"/>
        <w:numPr>
          <w:ilvl w:val="0"/>
          <w:numId w:val="5"/>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Conflicto de interés por información privilegiada. Se configura cuando el servidor público utiliza o puede utilizar información no pública obtenida debido a su cargo para beneficio propio o de terceros.</w:t>
      </w:r>
    </w:p>
    <w:p w:rsidR="005148B6" w:rsidRPr="006A4BCA" w:rsidRDefault="005148B6" w:rsidP="004E26A0">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14</w:t>
      </w:r>
      <w:r w:rsidRPr="006A4BCA">
        <w:rPr>
          <w:rFonts w:ascii="Times New Roman" w:eastAsia="Microsoft Sans Serif" w:hAnsi="Times New Roman" w:cs="Times New Roman"/>
          <w:sz w:val="24"/>
          <w:szCs w:val="24"/>
        </w:rPr>
        <w:t>. El servidor público deberá excusarse de conocer, tramitar, resolver, autorizar, supervisar o ejecutar cualquier asunto cuando: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Exista conflicto de interés real o potencial;</w:t>
      </w: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Exista conflicto de interés aparente que pueda razonablemente afectar la percepción de imparcialidad;</w:t>
      </w: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El asunto involucre personas físicas o morales con las que haya tenido relación laboral, profesional o comercial en los últimos cinco años;</w:t>
      </w: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Existan vínculos familiares hasta el cuarto grado con personas interesadas;</w:t>
      </w: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Haya recibido u ofrecido beneficios, apoyos, promesas o dádivas relacionadas con el asunto;</w:t>
      </w: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Exista posibilidad de aprovechamiento de información privilegiada;</w:t>
      </w: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Exista expectativa futura de empleo, contrato o beneficio;</w:t>
      </w: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Exista participación directa o indirecta en sociedades vinculadas;</w:t>
      </w:r>
    </w:p>
    <w:p w:rsidR="005148B6" w:rsidRPr="006A4BCA" w:rsidRDefault="005148B6" w:rsidP="00A50E62">
      <w:pPr>
        <w:widowControl w:val="0"/>
        <w:numPr>
          <w:ilvl w:val="0"/>
          <w:numId w:val="4"/>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Intervenga en procedimientos donde anteriormente haya participado desde el sector privado.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15</w:t>
      </w:r>
      <w:r w:rsidRPr="006A4BCA">
        <w:rPr>
          <w:rFonts w:ascii="Times New Roman" w:eastAsia="Microsoft Sans Serif" w:hAnsi="Times New Roman" w:cs="Times New Roman"/>
          <w:sz w:val="24"/>
          <w:szCs w:val="24"/>
        </w:rPr>
        <w:t>. Todo servidor público deberá declarar conflicto de interés en los supuestos y temporalidades previstas en la Ley de Responsabilidades Administrativas del Estado de México y Municipios.</w:t>
      </w: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 xml:space="preserve">Artículo 16. </w:t>
      </w:r>
      <w:r w:rsidRPr="006A4BCA">
        <w:rPr>
          <w:rFonts w:ascii="Times New Roman" w:eastAsia="Microsoft Sans Serif" w:hAnsi="Times New Roman" w:cs="Times New Roman"/>
          <w:sz w:val="24"/>
          <w:szCs w:val="24"/>
        </w:rPr>
        <w:t>Una vez declarada o identificada una situación de conflicto de interés, el órgano interno de control que corresponda deberá adoptar de manera inmediata las siguientes medidas preventivas, según corresponda: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A50E62">
      <w:pPr>
        <w:widowControl w:val="0"/>
        <w:numPr>
          <w:ilvl w:val="0"/>
          <w:numId w:val="3"/>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Reasignación del asunto a servidor público distinto;</w:t>
      </w:r>
    </w:p>
    <w:p w:rsidR="005148B6" w:rsidRPr="006A4BCA" w:rsidRDefault="005148B6" w:rsidP="00A50E62">
      <w:pPr>
        <w:widowControl w:val="0"/>
        <w:numPr>
          <w:ilvl w:val="0"/>
          <w:numId w:val="3"/>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Supervisión y revisión del proceso correspondiente;</w:t>
      </w:r>
    </w:p>
    <w:p w:rsidR="005148B6" w:rsidRPr="006A4BCA" w:rsidRDefault="005148B6" w:rsidP="00A50E62">
      <w:pPr>
        <w:widowControl w:val="0"/>
        <w:numPr>
          <w:ilvl w:val="0"/>
          <w:numId w:val="3"/>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Restricción de acceso a información sensible;</w:t>
      </w:r>
    </w:p>
    <w:p w:rsidR="005148B6" w:rsidRPr="006A4BCA" w:rsidRDefault="005148B6" w:rsidP="00A50E62">
      <w:pPr>
        <w:widowControl w:val="0"/>
        <w:numPr>
          <w:ilvl w:val="0"/>
          <w:numId w:val="3"/>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Separación temporal de funciones;</w:t>
      </w:r>
    </w:p>
    <w:p w:rsidR="005148B6" w:rsidRPr="006A4BCA" w:rsidRDefault="005148B6" w:rsidP="00A50E62">
      <w:pPr>
        <w:widowControl w:val="0"/>
        <w:numPr>
          <w:ilvl w:val="0"/>
          <w:numId w:val="3"/>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Blindaje documental y electrónico del expediente;</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TÍTULO QUINTO</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LOS INSTRUMENTOS DE INTEGRIDAD</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Capítulo I</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lastRenderedPageBreak/>
        <w:t>Disposiciones Generales sobre los Instrumentos de Integridad</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17</w:t>
      </w:r>
      <w:r w:rsidRPr="006A4BCA">
        <w:rPr>
          <w:rFonts w:ascii="Times New Roman" w:eastAsia="Microsoft Sans Serif" w:hAnsi="Times New Roman" w:cs="Times New Roman"/>
          <w:sz w:val="24"/>
          <w:szCs w:val="24"/>
        </w:rPr>
        <w:t>. Los instrumentos de integridad son mecanismos preventivos, organizacionales y operativos destinados a fortalecer la ética pública, prevenir la corrupción, gestionar riesgos y promover la actuación conforme al interés público en los entes públicos del Estado de México y sus municipios.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18</w:t>
      </w:r>
      <w:r w:rsidRPr="006A4BCA">
        <w:rPr>
          <w:rFonts w:ascii="Times New Roman" w:eastAsia="Microsoft Sans Serif" w:hAnsi="Times New Roman" w:cs="Times New Roman"/>
          <w:sz w:val="24"/>
          <w:szCs w:val="24"/>
        </w:rPr>
        <w:t>. Los instrumentos de integridad deberán diseñarse, implementarse y evaluarse considerando los conceptos operativos contenidos en el Diccionario de Integridad Pública previsto en esta Ley.</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19</w:t>
      </w:r>
      <w:r w:rsidRPr="006A4BCA">
        <w:rPr>
          <w:rFonts w:ascii="Times New Roman" w:eastAsia="Microsoft Sans Serif" w:hAnsi="Times New Roman" w:cs="Times New Roman"/>
          <w:sz w:val="24"/>
          <w:szCs w:val="24"/>
        </w:rPr>
        <w:t>. Los instrumentos de integridad tendrán carácter obligatorio, preventivo y no sancionador, y no sustituirán los procedimientos de responsabilidad administrativa ni penal previstos en otras disposiciones legales.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20</w:t>
      </w:r>
      <w:r w:rsidRPr="006A4BCA">
        <w:rPr>
          <w:rFonts w:ascii="Times New Roman" w:eastAsia="Microsoft Sans Serif" w:hAnsi="Times New Roman" w:cs="Times New Roman"/>
          <w:sz w:val="24"/>
          <w:szCs w:val="24"/>
        </w:rPr>
        <w:t>. Los instrumentos de integridad deberán implementarse bajo criterios de proporcionalidad, atendiendo al tamaño del ente público, sus funciones, nivel de riesgo y capacidad institucional.</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Capítulo II</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Del Programa Institucional de Integridad</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21</w:t>
      </w:r>
      <w:r w:rsidRPr="006A4BCA">
        <w:rPr>
          <w:rFonts w:ascii="Times New Roman" w:eastAsia="Microsoft Sans Serif" w:hAnsi="Times New Roman" w:cs="Times New Roman"/>
          <w:sz w:val="24"/>
          <w:szCs w:val="24"/>
        </w:rPr>
        <w:t>. Los entes públicos deberán implementar un Programa Institucional de Integridad, como instrumento complementario para la prevención de riesgos de corrupción y el fortalecimiento de la cultura ética.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22</w:t>
      </w:r>
      <w:r w:rsidRPr="006A4BCA">
        <w:rPr>
          <w:rFonts w:ascii="Times New Roman" w:eastAsia="Microsoft Sans Serif" w:hAnsi="Times New Roman" w:cs="Times New Roman"/>
          <w:sz w:val="24"/>
          <w:szCs w:val="24"/>
        </w:rPr>
        <w:t>. El Programa Institucional de Integridad deberá contener, al menos:</w:t>
      </w:r>
    </w:p>
    <w:p w:rsidR="00A50E62" w:rsidRPr="006A4BCA" w:rsidRDefault="00A50E62" w:rsidP="005148B6">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A50E62">
      <w:pPr>
        <w:widowControl w:val="0"/>
        <w:numPr>
          <w:ilvl w:val="0"/>
          <w:numId w:val="2"/>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Diagnóstico de riesgos de integridad;</w:t>
      </w:r>
    </w:p>
    <w:p w:rsidR="005148B6" w:rsidRPr="006A4BCA" w:rsidRDefault="005148B6" w:rsidP="00A50E62">
      <w:pPr>
        <w:widowControl w:val="0"/>
        <w:numPr>
          <w:ilvl w:val="0"/>
          <w:numId w:val="2"/>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Mapa de riesgos de integridad;</w:t>
      </w:r>
    </w:p>
    <w:p w:rsidR="005148B6" w:rsidRPr="006A4BCA" w:rsidRDefault="005148B6" w:rsidP="00A50E62">
      <w:pPr>
        <w:widowControl w:val="0"/>
        <w:numPr>
          <w:ilvl w:val="0"/>
          <w:numId w:val="2"/>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Acciones preventivas y medidas de mitigación;</w:t>
      </w:r>
    </w:p>
    <w:p w:rsidR="005148B6" w:rsidRPr="006A4BCA" w:rsidRDefault="005148B6" w:rsidP="00A50E62">
      <w:pPr>
        <w:widowControl w:val="0"/>
        <w:numPr>
          <w:ilvl w:val="0"/>
          <w:numId w:val="2"/>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Responsables de implementación;</w:t>
      </w:r>
    </w:p>
    <w:p w:rsidR="005148B6" w:rsidRPr="006A4BCA" w:rsidRDefault="005148B6" w:rsidP="00A50E62">
      <w:pPr>
        <w:widowControl w:val="0"/>
        <w:numPr>
          <w:ilvl w:val="0"/>
          <w:numId w:val="2"/>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Protocolos de conflicto de interés;</w:t>
      </w:r>
    </w:p>
    <w:p w:rsidR="005148B6" w:rsidRPr="006A4BCA" w:rsidRDefault="005148B6" w:rsidP="00A50E62">
      <w:pPr>
        <w:widowControl w:val="0"/>
        <w:numPr>
          <w:ilvl w:val="0"/>
          <w:numId w:val="2"/>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Códigos de ética y de conducta aplicados a la naturaleza de sus funciones;</w:t>
      </w:r>
    </w:p>
    <w:p w:rsidR="005148B6" w:rsidRPr="006A4BCA" w:rsidRDefault="005148B6" w:rsidP="00A50E62">
      <w:pPr>
        <w:widowControl w:val="0"/>
        <w:numPr>
          <w:ilvl w:val="0"/>
          <w:numId w:val="2"/>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Estrategias de capacitación en integridad;</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 xml:space="preserve">Artículo 23. </w:t>
      </w:r>
      <w:r w:rsidRPr="006A4BCA">
        <w:rPr>
          <w:rFonts w:ascii="Times New Roman" w:eastAsia="Microsoft Sans Serif" w:hAnsi="Times New Roman" w:cs="Times New Roman"/>
          <w:sz w:val="24"/>
          <w:szCs w:val="24"/>
        </w:rPr>
        <w:t>El Programa Institucional de Integridad deberá actualizarse periódicamente y cuando se modifique la estructura, funciones o procesos sustantivos del ente público.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Capítulo III</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la Gestión de Riesgos de Integridad</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24</w:t>
      </w:r>
      <w:r w:rsidRPr="006A4BCA">
        <w:rPr>
          <w:rFonts w:ascii="Times New Roman" w:eastAsia="Microsoft Sans Serif" w:hAnsi="Times New Roman" w:cs="Times New Roman"/>
          <w:sz w:val="24"/>
          <w:szCs w:val="24"/>
        </w:rPr>
        <w:t>. Los entes públicos deberán identificar, analizar y gestionar los riesgos de integridad asociados a sus procesos administrativos, presupuestales, de contratación, regulatorios y de toma de decisiones.</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25</w:t>
      </w:r>
      <w:r w:rsidRPr="006A4BCA">
        <w:rPr>
          <w:rFonts w:ascii="Times New Roman" w:eastAsia="Microsoft Sans Serif" w:hAnsi="Times New Roman" w:cs="Times New Roman"/>
          <w:sz w:val="24"/>
          <w:szCs w:val="24"/>
        </w:rPr>
        <w:t>. Los riesgos identificados se integrarán en un Mapa de Riesgos de Integridad, que tendrá carácter interno, preventivo y documental.</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lastRenderedPageBreak/>
        <w:t>Artículo 26</w:t>
      </w:r>
      <w:r w:rsidRPr="006A4BCA">
        <w:rPr>
          <w:rFonts w:ascii="Times New Roman" w:eastAsia="Microsoft Sans Serif" w:hAnsi="Times New Roman" w:cs="Times New Roman"/>
          <w:sz w:val="24"/>
          <w:szCs w:val="24"/>
        </w:rPr>
        <w:t>. Para cada riesgo de integridad deberán establecerse medidas de mitigación verificables, alineadas al control interno y a los principios del servicio público.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Capítulo IV</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los Códigos de Ética y de Conducta Aplicados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27</w:t>
      </w:r>
      <w:r w:rsidRPr="006A4BCA">
        <w:rPr>
          <w:rFonts w:ascii="Times New Roman" w:eastAsia="Microsoft Sans Serif" w:hAnsi="Times New Roman" w:cs="Times New Roman"/>
          <w:sz w:val="24"/>
          <w:szCs w:val="24"/>
        </w:rPr>
        <w:t>. Los Códigos ya existentes deberán complementarse con reglas claras de actuación, guías prácticas y criterios de toma de decisiones frente a dilemas éticos. Así como su adecuación a la naturaleza de sus funciones.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Capítulo V</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la Declaración de Integridad</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28</w:t>
      </w:r>
      <w:r w:rsidRPr="006A4BCA">
        <w:rPr>
          <w:rFonts w:ascii="Times New Roman" w:eastAsia="Microsoft Sans Serif" w:hAnsi="Times New Roman" w:cs="Times New Roman"/>
          <w:sz w:val="24"/>
          <w:szCs w:val="24"/>
        </w:rPr>
        <w:t>. Las personas servidoras públicas, deberán suscribir una Declaración de Integridad, como manifestación de compromiso ético.</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29</w:t>
      </w:r>
      <w:r w:rsidRPr="006A4BCA">
        <w:rPr>
          <w:rFonts w:ascii="Times New Roman" w:eastAsia="Microsoft Sans Serif" w:hAnsi="Times New Roman" w:cs="Times New Roman"/>
          <w:sz w:val="24"/>
          <w:szCs w:val="24"/>
        </w:rPr>
        <w:t>. La Declaración de Integridad no sustituye las declaraciones patrimoniales o de intereses, ni genera por sí misma responsabilidad administrativa.</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Capítulo VI</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la Capacitación en Integridad</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30</w:t>
      </w:r>
      <w:r w:rsidRPr="006A4BCA">
        <w:rPr>
          <w:rFonts w:ascii="Times New Roman" w:eastAsia="Microsoft Sans Serif" w:hAnsi="Times New Roman" w:cs="Times New Roman"/>
          <w:sz w:val="24"/>
          <w:szCs w:val="24"/>
        </w:rPr>
        <w:t>. Las personas servidoras públicas deberán recibir capacitación anual obligatoria en materia de integridad, ética pública, conflictos de interés y responsabilidades administrativas.</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31</w:t>
      </w:r>
      <w:r w:rsidRPr="006A4BCA">
        <w:rPr>
          <w:rFonts w:ascii="Times New Roman" w:eastAsia="Microsoft Sans Serif" w:hAnsi="Times New Roman" w:cs="Times New Roman"/>
          <w:sz w:val="24"/>
          <w:szCs w:val="24"/>
        </w:rPr>
        <w:t>. La capacitación deberá privilegiar el análisis de casos prácticos y situaciones reales del ejercicio del servicio público.</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Capítulo VI</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Cultura de Integridad</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32</w:t>
      </w:r>
      <w:r w:rsidRPr="006A4BCA">
        <w:rPr>
          <w:rFonts w:ascii="Times New Roman" w:eastAsia="Microsoft Sans Serif" w:hAnsi="Times New Roman" w:cs="Times New Roman"/>
          <w:sz w:val="24"/>
          <w:szCs w:val="24"/>
        </w:rPr>
        <w:t>. Las autoridades del Estado y los municipios, en el ámbito de sus respectivas competencias, coordinarán acciones para fortalecer la integridad pública, la prevención de la corrupción y la aplicación de los instrumentos de integridad previstos en esta Ley.</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33</w:t>
      </w:r>
      <w:r w:rsidRPr="006A4BCA">
        <w:rPr>
          <w:rFonts w:ascii="Times New Roman" w:eastAsia="Microsoft Sans Serif" w:hAnsi="Times New Roman" w:cs="Times New Roman"/>
          <w:sz w:val="24"/>
          <w:szCs w:val="24"/>
        </w:rPr>
        <w:t>. Se impulsarán campañas de difusión de valores públicos.</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 xml:space="preserve">Artículo 34. </w:t>
      </w:r>
      <w:r w:rsidRPr="006A4BCA">
        <w:rPr>
          <w:rFonts w:ascii="Times New Roman" w:eastAsia="Microsoft Sans Serif" w:hAnsi="Times New Roman" w:cs="Times New Roman"/>
          <w:sz w:val="24"/>
          <w:szCs w:val="24"/>
        </w:rPr>
        <w:t>Los Programas de Integridad deberán contener diagnóstico de riesgos, acciones preventivas, responsables y mecanismos de evaluación.</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35</w:t>
      </w:r>
      <w:r w:rsidRPr="006A4BCA">
        <w:rPr>
          <w:rFonts w:ascii="Times New Roman" w:eastAsia="Microsoft Sans Serif" w:hAnsi="Times New Roman" w:cs="Times New Roman"/>
          <w:sz w:val="24"/>
          <w:szCs w:val="24"/>
        </w:rPr>
        <w:t>. Las personas servidoras públicas deberán recibir capacitación anual obligatoria en integridad y responsabilidades administrativas.</w:t>
      </w:r>
    </w:p>
    <w:p w:rsidR="005148B6" w:rsidRPr="006A4BCA" w:rsidRDefault="005148B6" w:rsidP="006B3D3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Capítulo VII</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De Las Obligaciones de Integridad en Contrataciones Públicas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 xml:space="preserve">Artículo 36. </w:t>
      </w:r>
      <w:r w:rsidRPr="006A4BCA">
        <w:rPr>
          <w:rFonts w:ascii="Times New Roman" w:eastAsia="Microsoft Sans Serif" w:hAnsi="Times New Roman" w:cs="Times New Roman"/>
          <w:sz w:val="24"/>
          <w:szCs w:val="24"/>
        </w:rPr>
        <w:t xml:space="preserve">Toda contratación pública de adquisiciones, arrendamientos, servicios, obra pública y servicios relacionados con la misma deberá sujetarse, además de las leyes específicas, a los </w:t>
      </w:r>
      <w:r w:rsidRPr="006A4BCA">
        <w:rPr>
          <w:rFonts w:ascii="Times New Roman" w:eastAsia="Microsoft Sans Serif" w:hAnsi="Times New Roman" w:cs="Times New Roman"/>
          <w:sz w:val="24"/>
          <w:szCs w:val="24"/>
        </w:rPr>
        <w:lastRenderedPageBreak/>
        <w:t>principios de integridad, trazabilidad, prevención de corrupción, transparencia y rendición de cuentas.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37</w:t>
      </w:r>
      <w:r w:rsidRPr="006A4BCA">
        <w:rPr>
          <w:rFonts w:ascii="Times New Roman" w:eastAsia="Microsoft Sans Serif" w:hAnsi="Times New Roman" w:cs="Times New Roman"/>
          <w:sz w:val="24"/>
          <w:szCs w:val="24"/>
        </w:rPr>
        <w:t>. Los estudios de mercado deberán basarse en fuentes verificables, acreditar pluralidad de oferentes, incluir análisis de precios históricos y evitar cotizaciones simuladas.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38</w:t>
      </w:r>
      <w:r w:rsidRPr="006A4BCA">
        <w:rPr>
          <w:rFonts w:ascii="Times New Roman" w:eastAsia="Microsoft Sans Serif" w:hAnsi="Times New Roman" w:cs="Times New Roman"/>
          <w:sz w:val="24"/>
          <w:szCs w:val="24"/>
        </w:rPr>
        <w:t>. Las bases, anexos técnicos y catálogos de conceptos deberán ser neutrales y no direccionados o con referencias cerradas, estableciendo criterios objetivos de evaluación e incluir cláusulas anticorrupción.</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39</w:t>
      </w:r>
      <w:r w:rsidRPr="006A4BCA">
        <w:rPr>
          <w:rFonts w:ascii="Times New Roman" w:eastAsia="Microsoft Sans Serif" w:hAnsi="Times New Roman" w:cs="Times New Roman"/>
          <w:sz w:val="24"/>
          <w:szCs w:val="24"/>
        </w:rPr>
        <w:t>. Queda prohibido fraccionar contratos para evadir procedimientos de licitación.</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40</w:t>
      </w:r>
      <w:r w:rsidRPr="006A4BCA">
        <w:rPr>
          <w:rFonts w:ascii="Times New Roman" w:eastAsia="Microsoft Sans Serif" w:hAnsi="Times New Roman" w:cs="Times New Roman"/>
          <w:sz w:val="24"/>
          <w:szCs w:val="24"/>
        </w:rPr>
        <w:t>. Toda información de los procedimientos deberá publicarse íntegramente en formato de datos abiertos: convocatorias, actas, dictámenes, contratos, convenios modificatorios, estimaciones y pagos en la Plataforma Digital Estatal del Sistema Anticorrupción.</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41</w:t>
      </w:r>
      <w:r w:rsidRPr="006A4BCA">
        <w:rPr>
          <w:rFonts w:ascii="Times New Roman" w:eastAsia="Microsoft Sans Serif" w:hAnsi="Times New Roman" w:cs="Times New Roman"/>
          <w:sz w:val="24"/>
          <w:szCs w:val="24"/>
        </w:rPr>
        <w:t>. La Secretaría llevará el Registro Estatal de Proveedores con historial de cumplimiento, sanciones y evaluaciones de desempeño.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 xml:space="preserve">Artículo 42. </w:t>
      </w:r>
      <w:r w:rsidRPr="006A4BCA">
        <w:rPr>
          <w:rFonts w:ascii="Times New Roman" w:eastAsia="Microsoft Sans Serif" w:hAnsi="Times New Roman" w:cs="Times New Roman"/>
          <w:sz w:val="24"/>
          <w:szCs w:val="24"/>
        </w:rPr>
        <w:t>Los entes públicos deberán implementar programas de integridad con el establecimiento de códigos de ética y de conducta alineados al Sistema Estatal y Municipal Anticorrupción.</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TÍTULO SEXTO</w:t>
      </w: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COORDINACIÓN INSTITUCIONAL</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43</w:t>
      </w:r>
      <w:r w:rsidRPr="006A4BCA">
        <w:rPr>
          <w:rFonts w:ascii="Times New Roman" w:eastAsia="Microsoft Sans Serif" w:hAnsi="Times New Roman" w:cs="Times New Roman"/>
          <w:sz w:val="24"/>
          <w:szCs w:val="24"/>
        </w:rPr>
        <w:t>. Las autoridades coordinarán acciones para fortalecer la integridad pública.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Artículo 44</w:t>
      </w:r>
      <w:r w:rsidRPr="006A4BCA">
        <w:rPr>
          <w:rFonts w:ascii="Times New Roman" w:eastAsia="Microsoft Sans Serif" w:hAnsi="Times New Roman" w:cs="Times New Roman"/>
          <w:sz w:val="24"/>
          <w:szCs w:val="24"/>
        </w:rPr>
        <w:t>. Se promoverá la participación ciudadana en el control social.</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center"/>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TRANSITORIOS:</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 xml:space="preserve">PRIMERO: </w:t>
      </w:r>
      <w:r w:rsidRPr="006A4BCA">
        <w:rPr>
          <w:rFonts w:ascii="Times New Roman" w:eastAsia="Microsoft Sans Serif" w:hAnsi="Times New Roman" w:cs="Times New Roman"/>
          <w:sz w:val="24"/>
          <w:szCs w:val="24"/>
        </w:rPr>
        <w:t>Publíquese el presente Decreto en el Periódico Oficial “Gaceta de Gobierno”.</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SEGUNDO</w:t>
      </w:r>
      <w:r w:rsidRPr="006A4BCA">
        <w:rPr>
          <w:rFonts w:ascii="Times New Roman" w:eastAsia="Microsoft Sans Serif" w:hAnsi="Times New Roman" w:cs="Times New Roman"/>
          <w:sz w:val="24"/>
          <w:szCs w:val="24"/>
        </w:rPr>
        <w:t xml:space="preserve">: Este Decreto entrara en vigor al día siguiente de su publicación en el Periódico Oficial “Gaceta de Gobierno” el </w:t>
      </w:r>
      <w:r w:rsidRPr="006A4BCA">
        <w:rPr>
          <w:rFonts w:ascii="Times New Roman" w:eastAsia="Microsoft Sans Serif" w:hAnsi="Times New Roman" w:cs="Times New Roman"/>
          <w:sz w:val="24"/>
          <w:szCs w:val="24"/>
          <w:u w:val="single"/>
        </w:rPr>
        <w:tab/>
      </w:r>
      <w:r w:rsidRPr="006A4BCA">
        <w:rPr>
          <w:rFonts w:ascii="Times New Roman" w:eastAsia="Microsoft Sans Serif" w:hAnsi="Times New Roman" w:cs="Times New Roman"/>
          <w:sz w:val="24"/>
          <w:szCs w:val="24"/>
        </w:rPr>
        <w:t>de</w:t>
      </w:r>
      <w:r w:rsidRPr="006A4BCA">
        <w:rPr>
          <w:rFonts w:ascii="Times New Roman" w:eastAsia="Microsoft Sans Serif" w:hAnsi="Times New Roman" w:cs="Times New Roman"/>
          <w:sz w:val="24"/>
          <w:szCs w:val="24"/>
          <w:u w:val="single"/>
        </w:rPr>
        <w:tab/>
      </w:r>
      <w:r w:rsidRPr="006A4BCA">
        <w:rPr>
          <w:rFonts w:ascii="Times New Roman" w:eastAsia="Microsoft Sans Serif" w:hAnsi="Times New Roman" w:cs="Times New Roman"/>
          <w:sz w:val="24"/>
          <w:szCs w:val="24"/>
        </w:rPr>
        <w:t>de</w:t>
      </w:r>
      <w:r w:rsidRPr="006A4BCA">
        <w:rPr>
          <w:rFonts w:ascii="Times New Roman" w:eastAsia="Microsoft Sans Serif" w:hAnsi="Times New Roman" w:cs="Times New Roman"/>
          <w:sz w:val="24"/>
          <w:szCs w:val="24"/>
          <w:u w:val="single"/>
        </w:rPr>
        <w:tab/>
      </w:r>
      <w:r w:rsidRPr="006A4BCA">
        <w:rPr>
          <w:rFonts w:ascii="Times New Roman" w:eastAsia="Microsoft Sans Serif" w:hAnsi="Times New Roman" w:cs="Times New Roman"/>
          <w:sz w:val="24"/>
          <w:szCs w:val="24"/>
        </w:rPr>
        <w:t>.</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TERCERO</w:t>
      </w:r>
      <w:r w:rsidRPr="006A4BCA">
        <w:rPr>
          <w:rFonts w:ascii="Times New Roman" w:eastAsia="Microsoft Sans Serif" w:hAnsi="Times New Roman" w:cs="Times New Roman"/>
          <w:sz w:val="24"/>
          <w:szCs w:val="24"/>
        </w:rPr>
        <w:t>: Se derogan las disposiciones de igual o menor jerarquía que se opongan en al presente Decreto.</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b/>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b/>
          <w:sz w:val="24"/>
          <w:szCs w:val="24"/>
        </w:rPr>
        <w:t>CUARTO</w:t>
      </w:r>
      <w:r w:rsidRPr="006A4BCA">
        <w:rPr>
          <w:rFonts w:ascii="Times New Roman" w:eastAsia="Microsoft Sans Serif" w:hAnsi="Times New Roman" w:cs="Times New Roman"/>
          <w:sz w:val="24"/>
          <w:szCs w:val="24"/>
        </w:rPr>
        <w:t>: Los entes públicos deberán adecuar sus normas internas en un plazo de ciento ochenta días.</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Lo tendrá entendido la Gobernadora del Estado, haciendo que se publique y se cumpla.</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 xml:space="preserve">Dado en el Palacio del Poder Legislativo en la Ciudad de Toluca, Capital del Estado De México, a los días </w:t>
      </w:r>
      <w:r w:rsidRPr="006A4BCA">
        <w:rPr>
          <w:rFonts w:ascii="Times New Roman" w:eastAsia="Microsoft Sans Serif" w:hAnsi="Times New Roman" w:cs="Times New Roman"/>
          <w:sz w:val="24"/>
          <w:szCs w:val="24"/>
          <w:u w:val="single"/>
        </w:rPr>
        <w:tab/>
      </w:r>
      <w:r w:rsidRPr="006A4BCA">
        <w:rPr>
          <w:rFonts w:ascii="Times New Roman" w:eastAsia="Microsoft Sans Serif" w:hAnsi="Times New Roman" w:cs="Times New Roman"/>
          <w:sz w:val="24"/>
          <w:szCs w:val="24"/>
        </w:rPr>
        <w:t xml:space="preserve">del mes de </w:t>
      </w:r>
      <w:r w:rsidRPr="006A4BCA">
        <w:rPr>
          <w:rFonts w:ascii="Times New Roman" w:eastAsia="Microsoft Sans Serif" w:hAnsi="Times New Roman" w:cs="Times New Roman"/>
          <w:sz w:val="24"/>
          <w:szCs w:val="24"/>
          <w:u w:val="single"/>
        </w:rPr>
        <w:tab/>
      </w:r>
      <w:r w:rsidRPr="006A4BCA">
        <w:rPr>
          <w:rFonts w:ascii="Times New Roman" w:eastAsia="Microsoft Sans Serif" w:hAnsi="Times New Roman" w:cs="Times New Roman"/>
          <w:sz w:val="24"/>
          <w:szCs w:val="24"/>
        </w:rPr>
        <w:t>de dos mil veintiséis.</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t>ANEXO ÚNICO</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r w:rsidRPr="006A4BCA">
        <w:rPr>
          <w:rFonts w:ascii="Times New Roman" w:eastAsia="Microsoft Sans Serif" w:hAnsi="Times New Roman" w:cs="Times New Roman"/>
          <w:b/>
          <w:sz w:val="24"/>
          <w:szCs w:val="24"/>
        </w:rPr>
        <w:lastRenderedPageBreak/>
        <w:t>DICCIONARIO DE INTEGRIDAD PÚBLICA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b/>
          <w:sz w:val="24"/>
          <w:szCs w:val="24"/>
        </w:rPr>
      </w:pPr>
    </w:p>
    <w:p w:rsidR="005148B6" w:rsidRPr="006A4BCA" w:rsidRDefault="005148B6" w:rsidP="006809B1">
      <w:pPr>
        <w:widowControl w:val="0"/>
        <w:numPr>
          <w:ilvl w:val="0"/>
          <w:numId w:val="1"/>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Conceptos Fundamentales de Integridad Pública:</w:t>
      </w: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Integridad institucional. Condición del ente público que se manifiesta en la congruencia entre los principios del servicio público, su marco normativo y la actuación de las personas servidoras públicas en el ejercicio de sus funciones.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Riesgo de integridad. Circunstancia objetiva derivada de la organización, los procesos o la toma de decisiones públicas que puede comprometer la legalidad, imparcialidad o rectitud de la función pública.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Mapa de riesgos de integridad. Instrumento de carácter preventivo mediante el cual se identifican, analizan y documentan procesos, áreas o decisiones susceptibles de afectar la integridad en el ejercicio de la función pública.</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5148B6">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Trazabilidad administrativa. Principio operativo que garantiza la posibilidad de reconstruir, de manera verificable y ordenada, las decisiones, actuaciones y autorizaciones emitidas en el ejercicio de funciones públicas.</w:t>
      </w:r>
    </w:p>
    <w:p w:rsidR="005148B6" w:rsidRPr="006A4BCA" w:rsidRDefault="005148B6" w:rsidP="005148B6">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numPr>
          <w:ilvl w:val="0"/>
          <w:numId w:val="1"/>
        </w:numPr>
        <w:autoSpaceDE w:val="0"/>
        <w:autoSpaceDN w:val="0"/>
        <w:spacing w:after="0" w:line="240" w:lineRule="auto"/>
        <w:ind w:left="0" w:firstLine="0"/>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Deberes Éticos Vinculados al Ejercicio de la Función Pública:</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Deber de ejemplaridad. Obligación reforzada de las personas servidoras públicas, en especial de quienes desempeñan funciones directivas, de conducirse conforme a los principios del servicio público.</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Uso responsable del cargo. Ejercicio del empleo, cargo o comisión conforme al interés general, absteniéndose de utilizar la posición, la influencia o la información derivada del mismo para fines ajenos al servicio público.</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Neutralidad decisional. Deber de resolver asuntos públicos atendiendo exclusivamente a razones jurídicas y de interés público, libres de influencias personales, políticas, económicas o de cualquier otra naturaleza indebida.</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numPr>
          <w:ilvl w:val="0"/>
          <w:numId w:val="1"/>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Prevención y Gestión de la Integridad:</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Control preventivo de integridad. Conjunto de acciones anticipadas orientadas a prevenir desviaciones en la actuación pública, mediante reglas claras, supervisión institucional y medidas éticas de autocontrol.</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Medidas de mitigación. Acciones proporcionales y verificables destinadas a reducir la probabilidad o el impacto de los riesgos de integridad identificados.</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Evaluación de integridad. Proceso sistemático para valorar la eficacia de los instrumentos de integridad y el grado de cumplimiento de los principios que rigen el servicio público.</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Mejora continua en integridad. Obligación institucional de revisión, actualización y fortalecimiento permanente de las prácticas, instrumentos y controles orientados a la integridad pública.</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numPr>
          <w:ilvl w:val="0"/>
          <w:numId w:val="1"/>
        </w:numPr>
        <w:autoSpaceDE w:val="0"/>
        <w:autoSpaceDN w:val="0"/>
        <w:spacing w:after="0" w:line="240" w:lineRule="auto"/>
        <w:ind w:left="0" w:firstLine="0"/>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Integridad y Vida Democrática:</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Cultura de integridad. Conjunto de valores, prácticas y criterios compartidos que sustentan el ejercicio del poder público conforme a la promoción de integridad.</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Ética pública aplicada. Aplicación concreta y consciente de los principios del servicio público en la toma cotidiana de decisiones administrativas y gubernamentales.</w:t>
      </w: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Confianza institucional. Relación de legitimidad entre la sociedad y las instituciones públicas, fundada en la observancia efectiva de los principios de legalidad, honradez, imparcialidad y rendición de cuentas.</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Control social. Participación de la ciudadanía en la vigilancia y evaluación del ejercicio de la función pública, conforme a los mecanismos previstos en el marco jurídico aplicable.</w:t>
      </w:r>
    </w:p>
    <w:p w:rsidR="005148B6" w:rsidRPr="006A4BCA" w:rsidRDefault="005148B6" w:rsidP="006809B1">
      <w:pPr>
        <w:widowControl w:val="0"/>
        <w:autoSpaceDE w:val="0"/>
        <w:autoSpaceDN w:val="0"/>
        <w:spacing w:after="0" w:line="240" w:lineRule="auto"/>
        <w:rPr>
          <w:rFonts w:ascii="Times New Roman" w:eastAsia="Microsoft Sans Serif" w:hAnsi="Times New Roman" w:cs="Times New Roman"/>
          <w:sz w:val="24"/>
          <w:szCs w:val="24"/>
        </w:rPr>
      </w:pPr>
    </w:p>
    <w:p w:rsidR="005148B6" w:rsidRPr="006A4BCA" w:rsidRDefault="005148B6" w:rsidP="006809B1">
      <w:pPr>
        <w:widowControl w:val="0"/>
        <w:autoSpaceDE w:val="0"/>
        <w:autoSpaceDN w:val="0"/>
        <w:spacing w:after="0" w:line="240" w:lineRule="auto"/>
        <w:jc w:val="both"/>
        <w:rPr>
          <w:rFonts w:ascii="Times New Roman" w:eastAsia="Microsoft Sans Serif" w:hAnsi="Times New Roman" w:cs="Times New Roman"/>
          <w:sz w:val="24"/>
          <w:szCs w:val="24"/>
        </w:rPr>
      </w:pPr>
      <w:r w:rsidRPr="006A4BCA">
        <w:rPr>
          <w:rFonts w:ascii="Times New Roman" w:eastAsia="Microsoft Sans Serif" w:hAnsi="Times New Roman" w:cs="Times New Roman"/>
          <w:sz w:val="24"/>
          <w:szCs w:val="24"/>
        </w:rPr>
        <w:t>Los conceptos contenidos en el presente Diccionario tienen carácter orientador, interpretativo y técnico, y no sustituyen ni modifican las definiciones, obligaciones, faltas administrativas, sanciones o tipos penales previstos en la legislación aplicable.</w:t>
      </w:r>
    </w:p>
    <w:p w:rsidR="005148B6" w:rsidRPr="006A4BCA" w:rsidRDefault="005148B6" w:rsidP="00F16E30">
      <w:pPr>
        <w:spacing w:after="0" w:line="240" w:lineRule="auto"/>
        <w:jc w:val="center"/>
        <w:rPr>
          <w:rFonts w:ascii="Times New Roman" w:hAnsi="Times New Roman"/>
          <w:sz w:val="24"/>
          <w:szCs w:val="24"/>
        </w:rPr>
      </w:pPr>
    </w:p>
    <w:p w:rsidR="005148B6" w:rsidRPr="006A4BCA" w:rsidRDefault="005148B6" w:rsidP="00F16E30">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5148B6" w:rsidRPr="006A4BCA" w:rsidRDefault="005148B6" w:rsidP="00F16E30">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diputado Gerardo Pliego Santana.</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Se registra la iniciativa y se remite a las Comisiones Legislativas de Gobernación y Puntos Constitucionales para el Combate a la Corrupción y para su estudio y dictamen; de igual forma esta LXII Legislatura le da la más cordial bienvenida al Licenciado Víctor Humberto Benítez González, Presidente del Colegio de Notarios del Estado de México; también a los integrantes del Comité de Participación Ciudadana, al Licenciado Alberto Gándara Ruiz Esparza, a la Licenciada Margarita Hernández Flores, a la Licenciada Karla Isabel Colín Maya, a la Licenciada Yadira Cárdenas Tagle y al Licenciado Óscar Bazán Torres, gracias a todos y cada uno de ustedes y bienvenidos a esta su casa, “La Casa del Pueblo Mexiquense”, gracias.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Con sujeción al punto número 12, el diputado Octavio Martínez Vargas presenta en nombre del Grupo Parlamentario del Partido morena, Iniciativa con Proyecto de Decreto por el que se reforman la fracción XV del artículo 2.8 fracciones IV, XVI, XX del artículo 2.9. Artículo 2.140, 2.141, 2.143 fracción III y primer párrafo del artículo 2.144 Artículo 2.150 2.194</w:t>
      </w:r>
      <w:r w:rsidR="009141E8" w:rsidRPr="006A4BCA">
        <w:rPr>
          <w:rFonts w:ascii="Times New Roman" w:hAnsi="Times New Roman" w:cs="Times New Roman"/>
          <w:sz w:val="24"/>
          <w:szCs w:val="24"/>
        </w:rPr>
        <w:t>; s</w:t>
      </w:r>
      <w:r w:rsidRPr="006A4BCA">
        <w:rPr>
          <w:rFonts w:ascii="Times New Roman" w:hAnsi="Times New Roman" w:cs="Times New Roman"/>
          <w:sz w:val="24"/>
          <w:szCs w:val="24"/>
        </w:rPr>
        <w:t xml:space="preserve">e adiciona una fracción XIII recorriéndose las subsecuentes del artículo 2.5, una fracción III al artículo 2.142 de la fracción IV del artículo 2.145, fracciones XVI, XVII, recogiéndose las subsecuentes del artículo 2.149, y se modifica la denominación del capítulo décima del Título Quinto del </w:t>
      </w:r>
      <w:r w:rsidR="00E179A5" w:rsidRPr="006A4BCA">
        <w:rPr>
          <w:rFonts w:ascii="Times New Roman" w:hAnsi="Times New Roman" w:cs="Times New Roman"/>
          <w:sz w:val="24"/>
          <w:szCs w:val="24"/>
        </w:rPr>
        <w:t xml:space="preserve">Libro Segundo </w:t>
      </w:r>
      <w:r w:rsidRPr="006A4BCA">
        <w:rPr>
          <w:rFonts w:ascii="Times New Roman" w:hAnsi="Times New Roman" w:cs="Times New Roman"/>
          <w:sz w:val="24"/>
          <w:szCs w:val="24"/>
        </w:rPr>
        <w:t xml:space="preserve">del Código para la Biodiversidad del Estado de México, en materia de contaminación atmosférica, presentada por el diputado Octavio Martínez Vargas, en nombre del Grupo Parlamentario del Partido morena.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DIP. OCTAVIO MARTÍNEZ VARGAS. Con su permiso Presidenta.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Con el permiso de la Mesa, primero quisiera antes de iniciar, participar en términos de que ha rechazado la mayoría de la oposición, la reforma constitucional propuesta por la Presidenta de México, en la Cámara Federal, no se alcanzaron las dos terceras partes, una reforma con 12 ejes que planteaba elementos importantes en términos democráticos; reducción de costos de campaña, reducción de prerrogativas a los partidos políticos, austeridad en los órganos electorales, eliminar plurinominales del Senado y cambiar el método de asignación de 200 plurinominales en la Cámara Federal.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 xml:space="preserve">Esto se ha rechazado y evidentemente expresamos nuestra solidaridad a la Presidenta de México, a la Doctora Claudia Sheinbaum Pardo y expresar que seguiremos luchando para efecto de poder concretar la demanda social.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Quiero solicitar Presidenta, pueda usted instruir para efectos de que se pudiese ilustrar algunas imágenes y un video sobre el tema que habré de participar.</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Compañeras y compañeros, en el Estado de México en muchas de las regiones metropolitanas, Toluca no es la excepción, en el Valle de México, después de una importante actividad agrícola, pasamos a una actividad industrial, agrícola-industrial y ahora se ha vuelto en buena parte preponderantemente una actividad comercial, habitacional y de servicios.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Algunas de las actividades industriales que se mantienen, empezaron a cambiar su actividad comercial, de tal suerte que observamos que se procesan plumas de pollo, sangre, carne en mal estado, huesos, para poder generar algunos elementos que se requieren para efecto de elaborar croquetas, por ejemplo, generando un serio problema de contaminación de salud y de malestar social, violentando el principio constitucional establecido en el artículo 4 de nuestra Carta Magna, en términos de que todos tenemos derecho a vivir en un medio ambiente sano y así fueron creciendo, en la región de Ecatepec, denominada Zona Industrial de Xalostoc, la gente aprendió a vivir y quienes cruzan esa región con el mal olor que generan estas industrias, bodegas, establecimientos, como se observan que empezaron a crecer para poder proveer de algunos insumos que requiere el mercado.</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Han generado problemas de salud pública, generando fauna nociva y ahora Toluca no es la excepción, por cierto, le damos la más cordial bienvenida aquí a nuestra compañera Ana Yurixi, diputada por Toluca, no es la excepción, aquí amanece en buena parte de la semana y se duerme oliendo a croquetas y Tlalnepantla, y Naucalpan y Tultitlán. Tenemos el mismo problema y cuando observamos la normatividad vemos que no se regula ni en la norma federal, ni en la norma estatal y hoy lo que planteamos es modificaciones, 11 modificaciones al Código de la Biodiversidad del Estado de México para establecer, para establecer controles de regulación denominados odorífera, Dorífera Compañeras y compañeros que no están en ningún apartado de este código y también tiene se puede explicar la industria va cambiando, el mercado se va moviendo y lo que hace algunas décadas no era un problema, hoy lo es. Se establecen elementos de regulación, se señala procesos para modernizarse se faculta a la Secretaría del Medio Ambiente, del Gobierno del Estado y a los ayuntamientos para poder regular, para poder supervisar, para iniciar procedimientos administrativos, pero también al ciudadano, para que pueda establecer algún procedimiento contra una unidad económica que se presuma tenga este problema.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Quiero concluir compañeras y compañeros, solicitando un testimonio de una de una vecina de </w:t>
      </w:r>
      <w:r w:rsidRPr="006A4BCA">
        <w:rPr>
          <w:rStyle w:val="nfasis"/>
          <w:rFonts w:ascii="Times New Roman" w:hAnsi="Times New Roman" w:cs="Times New Roman"/>
          <w:bCs/>
          <w:i w:val="0"/>
          <w:iCs w:val="0"/>
          <w:sz w:val="24"/>
          <w:szCs w:val="24"/>
          <w:shd w:val="clear" w:color="auto" w:fill="FFFFFF"/>
        </w:rPr>
        <w:t>Xalostoc</w:t>
      </w:r>
      <w:r w:rsidRPr="006A4BCA">
        <w:rPr>
          <w:rFonts w:ascii="Times New Roman" w:hAnsi="Times New Roman" w:cs="Times New Roman"/>
          <w:sz w:val="24"/>
          <w:szCs w:val="24"/>
        </w:rPr>
        <w:t xml:space="preserve">, donde viven cerca de 200 mil familias en Ecatepec y que tienen todos los días sus familias y quienes cruzamos por </w:t>
      </w:r>
      <w:r w:rsidRPr="006A4BCA">
        <w:rPr>
          <w:rStyle w:val="nfasis"/>
          <w:rFonts w:ascii="Times New Roman" w:hAnsi="Times New Roman" w:cs="Times New Roman"/>
          <w:bCs/>
          <w:i w:val="0"/>
          <w:iCs w:val="0"/>
          <w:sz w:val="24"/>
          <w:szCs w:val="24"/>
          <w:shd w:val="clear" w:color="auto" w:fill="FFFFFF"/>
        </w:rPr>
        <w:t>Xalostoc</w:t>
      </w:r>
      <w:r w:rsidRPr="006A4BCA">
        <w:rPr>
          <w:rFonts w:ascii="Times New Roman" w:hAnsi="Times New Roman" w:cs="Times New Roman"/>
          <w:sz w:val="24"/>
          <w:szCs w:val="24"/>
        </w:rPr>
        <w:t xml:space="preserve"> que estar aguantando los malos olores que generan algunas actividades de esta naturaleza.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 Presidenta solicito pueda instruirse para efecto de que se observe el video en referencia. </w:t>
      </w:r>
    </w:p>
    <w:p w:rsidR="004A7076" w:rsidRPr="006A4BCA" w:rsidRDefault="004A7076" w:rsidP="004A7076">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PRESIDENTA DIP. MARTHA AZUCENA CAMACHO. Adelante.</w:t>
      </w:r>
    </w:p>
    <w:p w:rsidR="004A7076" w:rsidRPr="006A4BCA" w:rsidRDefault="004A7076" w:rsidP="004A7076">
      <w:pPr>
        <w:spacing w:after="0" w:line="240" w:lineRule="auto"/>
        <w:jc w:val="center"/>
        <w:rPr>
          <w:rFonts w:ascii="Times New Roman" w:hAnsi="Times New Roman" w:cs="Times New Roman"/>
          <w:i/>
          <w:sz w:val="24"/>
          <w:szCs w:val="24"/>
        </w:rPr>
      </w:pPr>
      <w:r w:rsidRPr="006A4BCA">
        <w:rPr>
          <w:rFonts w:ascii="Times New Roman" w:hAnsi="Times New Roman" w:cs="Times New Roman"/>
          <w:i/>
          <w:sz w:val="24"/>
          <w:szCs w:val="24"/>
        </w:rPr>
        <w:t>(Reproducción de video)</w:t>
      </w: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szCs w:val="24"/>
        </w:rPr>
        <w:t>DIP. OCTAVIO MARTÍNEZ VARGAS. Concluir participándoles qu</w:t>
      </w:r>
      <w:r w:rsidRPr="006A4BCA">
        <w:rPr>
          <w:rFonts w:ascii="Times New Roman" w:hAnsi="Times New Roman" w:cs="Times New Roman"/>
          <w:sz w:val="24"/>
        </w:rPr>
        <w:t xml:space="preserve">e no se trata de correr, clausurar a industrias, a negocios simplemente que generen procesos amigables para erradicar enfermedades y no contaminar los municipios aledaños y a familias que viven en esas regiones.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Quiero solicitar amablemente Presidenta, pueda insertar en el Diario de los Debates y en la Gaceta Parlamentaria la iniciativa de reforma antes referida.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Por su atención, muchas gracias Presidenta.</w:t>
      </w:r>
    </w:p>
    <w:p w:rsidR="00F974C7" w:rsidRPr="006A4BCA" w:rsidRDefault="00F974C7" w:rsidP="00F16E30">
      <w:pPr>
        <w:pStyle w:val="Sinespaciado"/>
        <w:jc w:val="both"/>
        <w:rPr>
          <w:rFonts w:ascii="Times New Roman" w:hAnsi="Times New Roman" w:cs="Times New Roman"/>
          <w:sz w:val="24"/>
          <w:szCs w:val="24"/>
        </w:rPr>
      </w:pPr>
    </w:p>
    <w:p w:rsidR="00F974C7" w:rsidRPr="006A4BCA" w:rsidRDefault="00F974C7" w:rsidP="00F16E30">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F974C7" w:rsidRPr="006A4BCA" w:rsidRDefault="00F974C7" w:rsidP="00F16E30">
      <w:pPr>
        <w:spacing w:after="0" w:line="240" w:lineRule="auto"/>
        <w:jc w:val="center"/>
        <w:rPr>
          <w:rFonts w:ascii="Times New Roman" w:hAnsi="Times New Roman"/>
          <w:sz w:val="24"/>
          <w:szCs w:val="24"/>
        </w:rPr>
      </w:pPr>
    </w:p>
    <w:p w:rsidR="00F16E30" w:rsidRPr="006A4BCA" w:rsidRDefault="00F16E30" w:rsidP="00F16E30">
      <w:pPr>
        <w:autoSpaceDE w:val="0"/>
        <w:autoSpaceDN w:val="0"/>
        <w:adjustRightInd w:val="0"/>
        <w:spacing w:after="0" w:line="240" w:lineRule="auto"/>
        <w:ind w:right="49"/>
        <w:jc w:val="both"/>
        <w:rPr>
          <w:rFonts w:ascii="Times New Roman" w:eastAsia="Calibri" w:hAnsi="Times New Roman" w:cs="Times New Roman"/>
          <w:b/>
          <w:bCs/>
          <w:sz w:val="24"/>
          <w:szCs w:val="24"/>
        </w:rPr>
      </w:pPr>
      <w:r w:rsidRPr="006A4BCA">
        <w:rPr>
          <w:rFonts w:ascii="Times New Roman" w:eastAsia="Calibri" w:hAnsi="Times New Roman" w:cs="Times New Roman"/>
          <w:b/>
          <w:bCs/>
          <w:sz w:val="24"/>
          <w:szCs w:val="24"/>
        </w:rPr>
        <w:lastRenderedPageBreak/>
        <w:t>CONGRESO</w:t>
      </w:r>
    </w:p>
    <w:p w:rsidR="00F16E30" w:rsidRPr="006A4BCA" w:rsidRDefault="00F16E30" w:rsidP="00F16E30">
      <w:pPr>
        <w:autoSpaceDE w:val="0"/>
        <w:autoSpaceDN w:val="0"/>
        <w:adjustRightInd w:val="0"/>
        <w:spacing w:after="0" w:line="240" w:lineRule="auto"/>
        <w:ind w:right="49"/>
        <w:jc w:val="both"/>
        <w:rPr>
          <w:rFonts w:ascii="Times New Roman" w:eastAsia="Calibri" w:hAnsi="Times New Roman" w:cs="Times New Roman"/>
          <w:b/>
          <w:bCs/>
          <w:sz w:val="24"/>
          <w:szCs w:val="24"/>
        </w:rPr>
      </w:pPr>
      <w:r w:rsidRPr="006A4BCA">
        <w:rPr>
          <w:rFonts w:ascii="Times New Roman" w:eastAsia="Calibri" w:hAnsi="Times New Roman" w:cs="Times New Roman"/>
          <w:b/>
          <w:bCs/>
          <w:sz w:val="24"/>
          <w:szCs w:val="24"/>
        </w:rPr>
        <w:t>ESTADO DE MÉXICO</w:t>
      </w:r>
    </w:p>
    <w:p w:rsidR="00F16E30" w:rsidRPr="006A4BCA" w:rsidRDefault="00F16E30" w:rsidP="00F16E30">
      <w:pPr>
        <w:autoSpaceDE w:val="0"/>
        <w:autoSpaceDN w:val="0"/>
        <w:adjustRightInd w:val="0"/>
        <w:spacing w:after="0" w:line="240" w:lineRule="auto"/>
        <w:ind w:right="49"/>
        <w:jc w:val="both"/>
        <w:rPr>
          <w:rFonts w:ascii="Times New Roman" w:eastAsia="Calibri" w:hAnsi="Times New Roman" w:cs="Times New Roman"/>
          <w:b/>
          <w:bCs/>
          <w:sz w:val="24"/>
          <w:szCs w:val="24"/>
        </w:rPr>
      </w:pPr>
    </w:p>
    <w:p w:rsidR="00F16E30" w:rsidRPr="006A4BCA" w:rsidRDefault="00F16E30" w:rsidP="00F16E30">
      <w:pPr>
        <w:widowControl w:val="0"/>
        <w:spacing w:after="0" w:line="240" w:lineRule="auto"/>
        <w:ind w:right="49"/>
        <w:jc w:val="right"/>
        <w:rPr>
          <w:rFonts w:ascii="Times New Roman" w:eastAsia="Times New Roman" w:hAnsi="Times New Roman" w:cs="Times New Roman"/>
          <w:b/>
          <w:bCs/>
          <w:sz w:val="24"/>
          <w:szCs w:val="24"/>
          <w:lang w:eastAsia="es-MX"/>
        </w:rPr>
      </w:pPr>
      <w:r w:rsidRPr="006A4BCA">
        <w:rPr>
          <w:rFonts w:ascii="Times New Roman" w:eastAsia="Times New Roman" w:hAnsi="Times New Roman" w:cs="Times New Roman"/>
          <w:b/>
          <w:bCs/>
          <w:sz w:val="24"/>
          <w:szCs w:val="24"/>
          <w:lang w:eastAsia="es-MX"/>
        </w:rPr>
        <w:t>Dip. Octavio</w:t>
      </w:r>
    </w:p>
    <w:p w:rsidR="00F16E30" w:rsidRPr="006A4BCA" w:rsidRDefault="00F16E30" w:rsidP="00F16E30">
      <w:pPr>
        <w:widowControl w:val="0"/>
        <w:spacing w:after="0" w:line="240" w:lineRule="auto"/>
        <w:ind w:right="49"/>
        <w:jc w:val="right"/>
        <w:rPr>
          <w:rFonts w:ascii="Times New Roman" w:eastAsia="Times New Roman" w:hAnsi="Times New Roman" w:cs="Times New Roman"/>
          <w:b/>
          <w:bCs/>
          <w:sz w:val="24"/>
          <w:szCs w:val="24"/>
          <w:lang w:eastAsia="es-MX"/>
        </w:rPr>
      </w:pPr>
      <w:r w:rsidRPr="006A4BCA">
        <w:rPr>
          <w:rFonts w:ascii="Times New Roman" w:eastAsia="Times New Roman" w:hAnsi="Times New Roman" w:cs="Times New Roman"/>
          <w:b/>
          <w:bCs/>
          <w:sz w:val="24"/>
          <w:szCs w:val="24"/>
          <w:lang w:eastAsia="es-MX"/>
        </w:rPr>
        <w:t>Martínez Vargas</w:t>
      </w:r>
    </w:p>
    <w:p w:rsidR="00F16E30" w:rsidRPr="006A4BCA" w:rsidRDefault="00F16E30" w:rsidP="00F16E30">
      <w:pPr>
        <w:widowControl w:val="0"/>
        <w:spacing w:after="0" w:line="240" w:lineRule="auto"/>
        <w:ind w:right="49"/>
        <w:jc w:val="right"/>
        <w:rPr>
          <w:rFonts w:ascii="Times New Roman" w:eastAsia="Times New Roman" w:hAnsi="Times New Roman" w:cs="Times New Roman"/>
          <w:b/>
          <w:bCs/>
          <w:sz w:val="24"/>
          <w:szCs w:val="24"/>
          <w:lang w:eastAsia="es-MX"/>
        </w:rPr>
      </w:pPr>
      <w:r w:rsidRPr="006A4BCA">
        <w:rPr>
          <w:rFonts w:ascii="Times New Roman" w:eastAsia="Times New Roman" w:hAnsi="Times New Roman" w:cs="Times New Roman"/>
          <w:b/>
          <w:bCs/>
          <w:sz w:val="24"/>
          <w:szCs w:val="24"/>
          <w:lang w:eastAsia="es-MX"/>
        </w:rPr>
        <w:t>Distrito VI-Ecatepec de Morelos</w:t>
      </w:r>
    </w:p>
    <w:p w:rsidR="00F16E30" w:rsidRPr="006A4BCA" w:rsidRDefault="00F16E30" w:rsidP="00F16E30">
      <w:pPr>
        <w:autoSpaceDE w:val="0"/>
        <w:autoSpaceDN w:val="0"/>
        <w:adjustRightInd w:val="0"/>
        <w:spacing w:after="0" w:line="240" w:lineRule="auto"/>
        <w:ind w:right="49"/>
        <w:jc w:val="both"/>
        <w:rPr>
          <w:rFonts w:ascii="Times New Roman" w:eastAsia="Calibri" w:hAnsi="Times New Roman" w:cs="Times New Roman"/>
          <w:b/>
          <w:bCs/>
          <w:sz w:val="24"/>
          <w:szCs w:val="24"/>
        </w:rPr>
      </w:pPr>
    </w:p>
    <w:p w:rsidR="00F16E30" w:rsidRPr="006A4BCA" w:rsidRDefault="00F16E30" w:rsidP="00F16E30">
      <w:pPr>
        <w:widowControl w:val="0"/>
        <w:spacing w:after="0" w:line="240" w:lineRule="auto"/>
        <w:ind w:right="49"/>
        <w:jc w:val="center"/>
        <w:rPr>
          <w:rFonts w:ascii="Times New Roman" w:eastAsia="Calibri" w:hAnsi="Times New Roman" w:cs="Times New Roman"/>
          <w:sz w:val="24"/>
          <w:szCs w:val="24"/>
          <w:lang w:eastAsia="es-MX"/>
        </w:rPr>
      </w:pPr>
      <w:r w:rsidRPr="006A4BCA">
        <w:rPr>
          <w:rFonts w:ascii="Times New Roman" w:eastAsia="Calibri" w:hAnsi="Times New Roman" w:cs="Times New Roman"/>
          <w:b/>
          <w:sz w:val="24"/>
          <w:szCs w:val="24"/>
          <w:lang w:eastAsia="es-MX"/>
        </w:rPr>
        <w:t>"2026. Año del Humanismo Mexicano en el Estado de México”</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Dip. Martha Azucena Camacho Reynoso</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Presidenta de la Mesa Directiva</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de la Cámara de Diputados del Estado de México</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sz w:val="24"/>
          <w:szCs w:val="24"/>
          <w:lang w:eastAsia="es-MX"/>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w:t>
      </w:r>
      <w:r w:rsidRPr="006A4BCA">
        <w:rPr>
          <w:rFonts w:ascii="Times New Roman" w:eastAsia="Arial" w:hAnsi="Times New Roman" w:cs="Times New Roman"/>
          <w:b/>
          <w:bCs/>
          <w:sz w:val="24"/>
          <w:szCs w:val="24"/>
          <w:lang w:eastAsia="es-MX"/>
        </w:rPr>
        <w:t xml:space="preserve"> se reforma la fracción XV del artículo 2.8; fracciones IV, XVI y XX del artículo 2.9; artículo 2.140; 2.141; 2.143; fracción III y primer párrafo del artículo 2.144; artículo 2.150; 2.194; se adiciona una fracción XIII recorriéndose las subsecuentes del artículo 2.5; una fracción III al artículo 2.142; una fracción IV al artículo 2.145 y fracciones XVI y XVII recorriéndose las subsecuentes del artículo 2.149 y se modifica la denominación de Capítulo X del Título Quinto del Libro Segundo del Código para la Biodiversidad del Estado de México</w:t>
      </w:r>
      <w:r w:rsidRPr="006A4BCA">
        <w:rPr>
          <w:rFonts w:ascii="Times New Roman" w:eastAsia="Arial" w:hAnsi="Times New Roman" w:cs="Times New Roman"/>
          <w:sz w:val="24"/>
          <w:szCs w:val="24"/>
          <w:lang w:eastAsia="es-MX"/>
        </w:rPr>
        <w:t>, al tenor de la siguiente:</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center"/>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EXPOSICIÓN DE MOTIVOS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La contaminación odorífera se ha consolidado en las últimas décadas como una de las problemáticas ambientales emergentes más relevantes en los contextos urbanos e industriales contemporáneos. Su carácter invisible, pero perceptible por los sentidos humanos, la convierte en una forma de contaminación atmosférica de difícil manejo, cuyo abordaje técnico y normativo ha sido históricamente relegado. Esta omisión ha contribuido a la subestimación de sus impactos sociales, sanitarios y ambientales, a pesar de que la evidencia científica acumulada demuestra que las emisiones de compuestos generadores de olores ofensivos persistentes —derivados de procesos industriales, agroindustriales, comerciales o de servicios— afectan de manera directa la calidad de vida de la población, alteran las condiciones de habitabilidad y vulneran el derecho constitucional a un medio ambiente sano.</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Desde una perspectiva atmosférica, las emisiones odoríferas son el resultado de la liberación de compuestos orgánicos volátiles, azufrados, nitrogenados, ácidos grasos, aminas y otras sustancias que, aun en concentraciones inferiores a los umbrales de toxicidad establecidos por las normas de calidad del aire, pueden generar estrés ambiental y desencadenar respuestas fisiológicas adversas. La literatura científica internacional ha documentado que la exposición continua a estos compuestos produce cefaleas, náuseas, irritación ocular y respiratoria, ansiedad, trastornos del sueño y disminución del bienestar subjetivo, razón que sustenta su tratamiento, no solo desde una molestia sensorial, sino como un fenómeno de salud pública y de afectación a la convivencia social que requiere atención regulatoria urgente.</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lastRenderedPageBreak/>
        <w:t>En el contexto del Estado de México, esta problemática ha adquirido una relevancia creciente debido a la confluencia de factores estructurales que intensifican su presencia y efectos: alta densidad poblacional, concentración industrial, urbanización acelerada y proximidad entre zonas habitacionales y actividades económicas potencialmente generadoras de olores intensos. Entre estas actividades se encuentran plantas de tratamiento de aguas residuales, rastros, industrias alimentarias, vertederos, sistemas de drenaje colapsados y otras fuentes que, por su naturaleza, emiten compuestos odoríferos de forma recurrente. Diversos medios locales, reportes municipales y testimonios ciudadanos han documentado episodios de inconformidad vecinal que evidencian la ausencia de mecanismos institucionales de respuesta y la falta de instrumentos legales específicos para su atención.</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Casos como los registrados en el municipio de Nezahualcóyotl —donde vecinos de colonias como Ciudad Lago y Agua Azul han reportado olores persistentes a combustible o gas en el ambiente y en el suministro de agua— ilustran la gravedad del problema. Estos episodios, prolongados durante semanas, han generado preocupación por posibles riesgos sanitarios sin que existan mecanismos claros de identificación de fuentes ni de sanción. De manera similar, en Toluca, habitantes de colonias como La Magdalena, Reforma y Ferrocarriles Nacionales han manifestado su inconformidad por la persistencia de olores intensos asociados con la industria alimentaria, afectando la vida cotidiana de cientos de familias. En municipios como Ecatepec, Tlalnepantla y Lerma, la cercanía de plantas de tratamiento, rastros y fábricas ha provocado quejas constantes por hedores derivados de la descomposición de materia orgánica y emisiones químicas. Estas situaciones reflejan una problemática estructural que trasciende el ámbito local y que pone de manifiesto la insuficiencia de regulación específica sobre la contaminación odorífera, así como la dificultad de las autoridades para aplicar sanciones con base en parámetros objetivos y verificables.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El marco jurídico vigente en México presenta vacíos significativos en esta materia. A nivel federal, la Ley General del Equilibrio Ecológico y la Protección al Ambiente (LGEEPA), si bien contempla la contaminación atmosférica como objeto de regulación, no incluye la contaminación odorífera dentro de los parámetros específicos de control ni dentro de las Normas Oficiales Mexicanas (NOM). En la actualidad, no existe normativa que establezca límites máximos permisibles de olor, métodos de medición olfatométrica ni criterios técnicos para determinar la presencia de contaminación odorífera. Esta omisión ha tenido como consecuencia la ausencia de instrumentos normativos que permitan a las autoridades ambientales estatales o municipales medir, verificar y sancionar adecuadamente este tipo de emisiones, lo que genera un vacío operativo que limita la capacidad de respuesta institucional.</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No obstante, la inexistencia de una norma oficial federal no debe interpretarse como un impedimento para la acción legislativa local, sino como una oportunidad para fortalecer la prevención, visibilizar una problemática desatendida por la política nacional y avanzar hacia una regulación ambiental más integral. El Estado de México, por su dinámica urbana e industrial, requiere instrumentos normativos que anticipen y prevengan este tipo de impactos antes de que alcancen niveles críticos. La regulación local, aun en ausencia de una NOM federal, puede fundarse en las condiciones propias del territorio. Esta aproximación es coherente con los principios de subsidiariedad, precaución y prevención ambiental, consagrados en la legislación mexicana y en los tratados internacionales suscritos por el Estado mexicano.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La intervención legislativa estatal, en este caso, no busca sustituir la competencia federal, sino complementarla, en tanto se emita la normatividad correspondiente, mediante la creación de un marco jurídico que permita la prevención de las emisiones odoríferas en el ámbito local.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La inclusión de disposiciones específicas sobre contaminación odorífera en la legislación estatal refleja una concepción moderna del derecho ambiental: aquella que reconoce el carácter integral, sensorial y social del ambiente. Regular los olores significa asumir que el bienestar ambiental no se agota en la ausencia de contaminantes tóxicos, sino que implica también garantizar condiciones de confort, habitabilidad y dignidad. La política ambiental contemporánea no puede limitarse a los indicadores químicos del aire, sino que debe incorporar variables perceptuales que influyen directamente en la calidad de vida, en la salud pública y en la armonía comunitaria.</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Por lo anterior, se propone esta iniciativa de ley como un paso firme hacia la construcción de un marco normativo estatal que reconozca y prevenga la contaminación odorífera, atendiendo a las necesidades reales de la población mexiquense y fortaleciendo el derecho colectivo a vivir en un entorno sano, digno y libre de afectaciones sensoriales que comprometan el bienestar físico, emocional y social.</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tbl>
      <w:tblPr>
        <w:tblW w:w="9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3"/>
        <w:gridCol w:w="4695"/>
      </w:tblGrid>
      <w:tr w:rsidR="00F16E30" w:rsidRPr="006A4BCA" w:rsidTr="00F16E30">
        <w:trPr>
          <w:trHeight w:val="20"/>
          <w:jc w:val="center"/>
        </w:trPr>
        <w:tc>
          <w:tcPr>
            <w:tcW w:w="9388" w:type="dxa"/>
            <w:gridSpan w:val="2"/>
          </w:tcPr>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bookmarkStart w:id="11" w:name="_heading=h.qkah9czc4vjf" w:colFirst="0" w:colLast="0"/>
            <w:bookmarkEnd w:id="11"/>
            <w:r w:rsidRPr="006A4BCA">
              <w:rPr>
                <w:rFonts w:ascii="Times New Roman" w:eastAsia="Arial" w:hAnsi="Times New Roman" w:cs="Times New Roman"/>
                <w:b/>
                <w:bCs/>
                <w:sz w:val="24"/>
                <w:szCs w:val="24"/>
                <w:lang w:eastAsia="es-MX"/>
              </w:rPr>
              <w:t>Código para la Biodiversidad del Estado de México</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Texto vigente</w:t>
            </w:r>
          </w:p>
        </w:tc>
        <w:tc>
          <w:tcPr>
            <w:tcW w:w="4694" w:type="dxa"/>
          </w:tcPr>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Texto propuesto</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2.5. </w:t>
            </w:r>
            <w:r w:rsidRPr="006A4BCA">
              <w:rPr>
                <w:rFonts w:ascii="Times New Roman" w:eastAsia="Arial" w:hAnsi="Times New Roman" w:cs="Times New Roman"/>
                <w:sz w:val="24"/>
                <w:szCs w:val="24"/>
                <w:lang w:eastAsia="es-MX"/>
              </w:rPr>
              <w:t>Para los efectos de este Libro y en el marco de las atribuciones y competencia del Estado se entiende por:</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 a XII.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Sin correlativo</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sz w:val="24"/>
                <w:szCs w:val="24"/>
                <w:lang w:eastAsia="es-MX"/>
              </w:rPr>
              <w:t>XIII a LXIII.</w:t>
            </w:r>
            <w:r w:rsidRPr="006A4BCA">
              <w:rPr>
                <w:rFonts w:ascii="Times New Roman" w:eastAsia="Arial" w:hAnsi="Times New Roman" w:cs="Times New Roman"/>
                <w:b/>
                <w:bCs/>
                <w:sz w:val="24"/>
                <w:szCs w:val="24"/>
                <w:lang w:eastAsia="es-MX"/>
              </w:rPr>
              <w:t xml:space="preserve"> …</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2.5. </w:t>
            </w:r>
            <w:r w:rsidRPr="006A4BCA">
              <w:rPr>
                <w:rFonts w:ascii="Times New Roman" w:eastAsia="Arial" w:hAnsi="Times New Roman" w:cs="Times New Roman"/>
                <w:sz w:val="24"/>
                <w:szCs w:val="24"/>
                <w:lang w:eastAsia="es-MX"/>
              </w:rPr>
              <w:t>…</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XII.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XIII. Contaminación odorífera: Tipo de contaminación atmosférica proveniente de actividades industriales y humanas que liberan moléculas volátiles que se dispersan en el aire, produciendo olores desagradables que afectan la calidad del aire y la salud de las personas.</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sz w:val="24"/>
                <w:szCs w:val="24"/>
                <w:lang w:eastAsia="es-MX"/>
              </w:rPr>
              <w:t>XIV a LXIV.</w:t>
            </w:r>
            <w:r w:rsidRPr="006A4BCA">
              <w:rPr>
                <w:rFonts w:ascii="Times New Roman" w:eastAsia="Arial" w:hAnsi="Times New Roman" w:cs="Times New Roman"/>
                <w:b/>
                <w:bCs/>
                <w:sz w:val="24"/>
                <w:szCs w:val="24"/>
                <w:lang w:eastAsia="es-MX"/>
              </w:rPr>
              <w:t xml:space="preserve"> …</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2.8.</w:t>
            </w:r>
            <w:r w:rsidRPr="006A4BCA">
              <w:rPr>
                <w:rFonts w:ascii="Times New Roman" w:eastAsia="Arial" w:hAnsi="Times New Roman" w:cs="Times New Roman"/>
                <w:sz w:val="24"/>
                <w:szCs w:val="24"/>
                <w:lang w:eastAsia="es-MX"/>
              </w:rPr>
              <w:t xml:space="preserve"> Corresponde a la Secretaría:</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XIV.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XV. Establecer medidas y programas para el control y prevención de la contaminación por ruido, vibraciones, energía térmica, lumínica, radiaciones electromagnéticas y olores que puedan dañar a la biodiversidad, el equilibrio ecológico o al medio ambiente dentro del territorio del Estado;</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XV a XLII. …</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2.8.</w:t>
            </w:r>
            <w:r w:rsidRPr="006A4BCA">
              <w:rPr>
                <w:rFonts w:ascii="Times New Roman" w:eastAsia="Arial" w:hAnsi="Times New Roman" w:cs="Times New Roman"/>
                <w:sz w:val="24"/>
                <w:szCs w:val="24"/>
                <w:lang w:eastAsia="es-MX"/>
              </w:rPr>
              <w:t xml:space="preserve"> … </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XIV.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XV. Establecer medidas y programas para el control y prevención de la contaminación por ruido, vibraciones, energía térmica, lumínica, radiaciones electromagnéticas y </w:t>
            </w:r>
            <w:r w:rsidRPr="006A4BCA">
              <w:rPr>
                <w:rFonts w:ascii="Times New Roman" w:eastAsia="Arial" w:hAnsi="Times New Roman" w:cs="Times New Roman"/>
                <w:b/>
                <w:bCs/>
                <w:sz w:val="24"/>
                <w:szCs w:val="24"/>
                <w:lang w:eastAsia="es-MX"/>
              </w:rPr>
              <w:t xml:space="preserve">emisiones odoríferas </w:t>
            </w:r>
            <w:r w:rsidRPr="006A4BCA">
              <w:rPr>
                <w:rFonts w:ascii="Times New Roman" w:eastAsia="Arial" w:hAnsi="Times New Roman" w:cs="Times New Roman"/>
                <w:sz w:val="24"/>
                <w:szCs w:val="24"/>
                <w:lang w:eastAsia="es-MX"/>
              </w:rPr>
              <w:t>que puedan dañar a la biodiversidad, el equilibrio ecológico o al medio ambiente dentro del territorio del Estado;</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sz w:val="24"/>
                <w:szCs w:val="24"/>
                <w:lang w:eastAsia="es-MX"/>
              </w:rPr>
              <w:t>XV a XLII. …</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2.9. </w:t>
            </w:r>
            <w:r w:rsidRPr="006A4BCA">
              <w:rPr>
                <w:rFonts w:ascii="Times New Roman" w:eastAsia="Arial" w:hAnsi="Times New Roman" w:cs="Times New Roman"/>
                <w:sz w:val="24"/>
                <w:szCs w:val="24"/>
                <w:lang w:eastAsia="es-MX"/>
              </w:rPr>
              <w:t xml:space="preserve">Corresponden a las autoridades municipales del Estado en el ámbito de su </w:t>
            </w:r>
            <w:r w:rsidRPr="006A4BCA">
              <w:rPr>
                <w:rFonts w:ascii="Times New Roman" w:eastAsia="Arial" w:hAnsi="Times New Roman" w:cs="Times New Roman"/>
                <w:sz w:val="24"/>
                <w:szCs w:val="24"/>
                <w:lang w:eastAsia="es-MX"/>
              </w:rPr>
              <w:lastRenderedPageBreak/>
              <w:t>competencia las siguientes facultades: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 a III. …</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IV. Aplicar las disposiciones jurídicas en materia de prevención y control de la contaminación atmosférica generada por fuentes fijas que funcionen como giros comerciales o de servicios, por fuentes fijas de origen natural y fuentes móviles que no sean de competencia federal o estatal;</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V a XV.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XVI. Aplicar las disposiciones jurídicas en materia de prevención y control de la contaminación atmosférica generada por fuentes fijas que funcionen como giros comerciales, industriales o de servicios;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XVII a XIX.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XX. Verificar el cumplimiento de las normas oficiales mexicanas y normas técnicas estatales en materia de emisiones a la atmósfera, residuos sólidos, contaminación por ruido, vibraciones, malos olores y contaminación por energía térmica, lumínica y electromagnética, para el vertimiento de aguas residuales en los sistemas de drenaje, alcantarillado y saneamiento que administren;</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XXI a XXXV. …</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lastRenderedPageBreak/>
              <w:t xml:space="preserve">Artículo 2.9. </w:t>
            </w:r>
            <w:r w:rsidRPr="006A4BCA">
              <w:rPr>
                <w:rFonts w:ascii="Times New Roman" w:eastAsia="Arial" w:hAnsi="Times New Roman" w:cs="Times New Roman"/>
                <w:sz w:val="24"/>
                <w:szCs w:val="24"/>
                <w:lang w:eastAsia="es-MX"/>
              </w:rPr>
              <w:t xml:space="preserve">…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 a III. …</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IV. Aplicar las disposiciones jurídicas en materia de prevención y control de la contaminación atmosférica, </w:t>
            </w:r>
            <w:r w:rsidRPr="006A4BCA">
              <w:rPr>
                <w:rFonts w:ascii="Times New Roman" w:eastAsia="Arial" w:hAnsi="Times New Roman" w:cs="Times New Roman"/>
                <w:b/>
                <w:bCs/>
                <w:sz w:val="24"/>
                <w:szCs w:val="24"/>
                <w:lang w:eastAsia="es-MX"/>
              </w:rPr>
              <w:t>incluyendo la contaminación odorífera</w:t>
            </w:r>
            <w:r w:rsidRPr="006A4BCA">
              <w:rPr>
                <w:rFonts w:ascii="Times New Roman" w:eastAsia="Arial" w:hAnsi="Times New Roman" w:cs="Times New Roman"/>
                <w:sz w:val="24"/>
                <w:szCs w:val="24"/>
                <w:lang w:eastAsia="es-MX"/>
              </w:rPr>
              <w:t>, generada por fuentes fijas que funcionen como giros comerciales o de servicios, por fuentes fijas de origen natural y fuentes móviles que no sean de competencia federal o estatal;</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V a XV.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XVI. Aplicar las disposiciones jurídicas en materia de prevención y control de la contaminación atmosférica, </w:t>
            </w:r>
            <w:r w:rsidRPr="006A4BCA">
              <w:rPr>
                <w:rFonts w:ascii="Times New Roman" w:eastAsia="Arial" w:hAnsi="Times New Roman" w:cs="Times New Roman"/>
                <w:b/>
                <w:bCs/>
                <w:sz w:val="24"/>
                <w:szCs w:val="24"/>
                <w:lang w:eastAsia="es-MX"/>
              </w:rPr>
              <w:t>incluyendo la contaminación odorífera</w:t>
            </w:r>
            <w:r w:rsidRPr="006A4BCA">
              <w:rPr>
                <w:rFonts w:ascii="Times New Roman" w:eastAsia="Arial" w:hAnsi="Times New Roman" w:cs="Times New Roman"/>
                <w:sz w:val="24"/>
                <w:szCs w:val="24"/>
                <w:lang w:eastAsia="es-MX"/>
              </w:rPr>
              <w:t>, generada por fuentes fijas que funcionen como giros comerciales, industriales o de servicios;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XVII a XIX.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XX. Verificar el cumplimiento de las normas oficiales mexicanas y normas técnicas estatales en materia de emisiones a la atmósfera, residuos sólidos, contaminación por ruido, vibraciones, </w:t>
            </w:r>
            <w:r w:rsidRPr="006A4BCA">
              <w:rPr>
                <w:rFonts w:ascii="Times New Roman" w:eastAsia="Arial" w:hAnsi="Times New Roman" w:cs="Times New Roman"/>
                <w:b/>
                <w:bCs/>
                <w:sz w:val="24"/>
                <w:szCs w:val="24"/>
                <w:lang w:eastAsia="es-MX"/>
              </w:rPr>
              <w:t xml:space="preserve">contaminación odorífera </w:t>
            </w:r>
            <w:r w:rsidRPr="006A4BCA">
              <w:rPr>
                <w:rFonts w:ascii="Times New Roman" w:eastAsia="Arial" w:hAnsi="Times New Roman" w:cs="Times New Roman"/>
                <w:sz w:val="24"/>
                <w:szCs w:val="24"/>
                <w:lang w:eastAsia="es-MX"/>
              </w:rPr>
              <w:t>y contaminación por energía térmica, lumínica y electromagnética, para el vertimiento de aguas residuales en los sistemas de drenaje, alcantarillado y saneamiento que administren;</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XXI a XXXV. …</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 xml:space="preserve">Artículo 2.140. </w:t>
            </w:r>
            <w:r w:rsidRPr="006A4BCA">
              <w:rPr>
                <w:rFonts w:ascii="Times New Roman" w:eastAsia="Arial" w:hAnsi="Times New Roman" w:cs="Times New Roman"/>
                <w:sz w:val="24"/>
                <w:szCs w:val="24"/>
                <w:lang w:eastAsia="es-MX"/>
              </w:rPr>
              <w:t>Se prohíbe la emisión a la atmósfera de contaminantes como humos, polvos, gases, vapores y olores que rebasen los límites máximos permisibles contemplados en las normas oficiales mexicanas, normas técnicas estatales y en las disposiciones aplicables.</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2.140. </w:t>
            </w:r>
            <w:r w:rsidRPr="006A4BCA">
              <w:rPr>
                <w:rFonts w:ascii="Times New Roman" w:eastAsia="Arial" w:hAnsi="Times New Roman" w:cs="Times New Roman"/>
                <w:sz w:val="24"/>
                <w:szCs w:val="24"/>
                <w:lang w:eastAsia="es-MX"/>
              </w:rPr>
              <w:t xml:space="preserve">Se prohíbe la emisión a la atmósfera de contaminantes como humos, polvos, gases, vapores y </w:t>
            </w:r>
            <w:r w:rsidRPr="006A4BCA">
              <w:rPr>
                <w:rFonts w:ascii="Times New Roman" w:eastAsia="Arial" w:hAnsi="Times New Roman" w:cs="Times New Roman"/>
                <w:b/>
                <w:bCs/>
                <w:sz w:val="24"/>
                <w:szCs w:val="24"/>
                <w:lang w:eastAsia="es-MX"/>
              </w:rPr>
              <w:t>emisiones odoríferas</w:t>
            </w:r>
            <w:r w:rsidRPr="006A4BCA">
              <w:rPr>
                <w:rFonts w:ascii="Times New Roman" w:eastAsia="Arial" w:hAnsi="Times New Roman" w:cs="Times New Roman"/>
                <w:sz w:val="24"/>
                <w:szCs w:val="24"/>
                <w:lang w:eastAsia="es-MX"/>
              </w:rPr>
              <w:t xml:space="preserve"> que rebasen los límites máximos permisibles contemplados en las normas oficiales mexicanas, normas técnicas estatales y en las disposiciones aplicables.</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2.141. </w:t>
            </w:r>
            <w:r w:rsidRPr="006A4BCA">
              <w:rPr>
                <w:rFonts w:ascii="Times New Roman" w:eastAsia="Arial" w:hAnsi="Times New Roman" w:cs="Times New Roman"/>
                <w:sz w:val="24"/>
                <w:szCs w:val="24"/>
                <w:lang w:eastAsia="es-MX"/>
              </w:rPr>
              <w:t xml:space="preserve">Deberá regularse la emisión de sustancias contaminantes a la atmósfera, en cualquiera de sus estados físicos o de energía como humos, gases, vapores, partículas sólidas, ruido, vibraciones, energía térmica o </w:t>
            </w:r>
            <w:r w:rsidRPr="006A4BCA">
              <w:rPr>
                <w:rFonts w:ascii="Times New Roman" w:eastAsia="Arial" w:hAnsi="Times New Roman" w:cs="Times New Roman"/>
                <w:sz w:val="24"/>
                <w:szCs w:val="24"/>
                <w:lang w:eastAsia="es-MX"/>
              </w:rPr>
              <w:lastRenderedPageBreak/>
              <w:t xml:space="preserve">lumínica, olores, polvos y líquidos que ocasione o pueda ocasionar desequilibrios a los ecosistemas o daños al ambiente, incluyendo sistemas antigranizo o cualquier otro mecanismo o tecnología que inhiba, modifique o altere el ciclo hidrológico.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sz w:val="24"/>
                <w:szCs w:val="24"/>
                <w:lang w:eastAsia="es-MX"/>
              </w:rPr>
              <w:t xml:space="preserve">… </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lastRenderedPageBreak/>
              <w:t xml:space="preserve">Artículo 2.141. </w:t>
            </w:r>
            <w:r w:rsidRPr="006A4BCA">
              <w:rPr>
                <w:rFonts w:ascii="Times New Roman" w:eastAsia="Arial" w:hAnsi="Times New Roman" w:cs="Times New Roman"/>
                <w:sz w:val="24"/>
                <w:szCs w:val="24"/>
                <w:lang w:eastAsia="es-MX"/>
              </w:rPr>
              <w:t xml:space="preserve">Deberá regularse la emisión de sustancias contaminantes a la atmósfera, en cualquiera de sus estados físicos o de energía como humos, gases, vapores, partículas sólidas, ruido, vibraciones, energía térmica o </w:t>
            </w:r>
            <w:r w:rsidRPr="006A4BCA">
              <w:rPr>
                <w:rFonts w:ascii="Times New Roman" w:eastAsia="Arial" w:hAnsi="Times New Roman" w:cs="Times New Roman"/>
                <w:sz w:val="24"/>
                <w:szCs w:val="24"/>
                <w:lang w:eastAsia="es-MX"/>
              </w:rPr>
              <w:lastRenderedPageBreak/>
              <w:t xml:space="preserve">lumínica, </w:t>
            </w:r>
            <w:r w:rsidRPr="006A4BCA">
              <w:rPr>
                <w:rFonts w:ascii="Times New Roman" w:eastAsia="Arial" w:hAnsi="Times New Roman" w:cs="Times New Roman"/>
                <w:b/>
                <w:bCs/>
                <w:sz w:val="24"/>
                <w:szCs w:val="24"/>
                <w:lang w:eastAsia="es-MX"/>
              </w:rPr>
              <w:t>emisiones odoríferas</w:t>
            </w:r>
            <w:r w:rsidRPr="006A4BCA">
              <w:rPr>
                <w:rFonts w:ascii="Times New Roman" w:eastAsia="Arial" w:hAnsi="Times New Roman" w:cs="Times New Roman"/>
                <w:sz w:val="24"/>
                <w:szCs w:val="24"/>
                <w:lang w:eastAsia="es-MX"/>
              </w:rPr>
              <w:t xml:space="preserve">, polvos y líquidos que ocasione o pueda ocasionar desequilibrios a los ecosistemas o daños al ambiente, incluyendo sistemas antigranizo o cualquier otro mecanismo o tecnología que inhiba, modifique o altere el ciclo hidrológico.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sz w:val="24"/>
                <w:szCs w:val="24"/>
                <w:lang w:eastAsia="es-MX"/>
              </w:rPr>
              <w:t xml:space="preserve">… </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lastRenderedPageBreak/>
              <w:t xml:space="preserve">Artículo 2.142. </w:t>
            </w:r>
            <w:r w:rsidRPr="006A4BCA">
              <w:rPr>
                <w:rFonts w:ascii="Times New Roman" w:eastAsia="Arial" w:hAnsi="Times New Roman" w:cs="Times New Roman"/>
                <w:sz w:val="24"/>
                <w:szCs w:val="24"/>
                <w:lang w:eastAsia="es-MX"/>
              </w:rPr>
              <w:t xml:space="preserve">Para la prevención y control de la contaminación de la atmósfera se considerarán los siguientes criterios: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II.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Sin correlativo.</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 xml:space="preserve">Artículo 2.142. </w:t>
            </w:r>
            <w:r w:rsidRPr="006A4BCA">
              <w:rPr>
                <w:rFonts w:ascii="Times New Roman" w:eastAsia="Arial" w:hAnsi="Times New Roman" w:cs="Times New Roman"/>
                <w:sz w:val="24"/>
                <w:szCs w:val="24"/>
                <w:lang w:eastAsia="es-MX"/>
              </w:rPr>
              <w:t xml:space="preserve">…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p>
          <w:p w:rsidR="00F16E30" w:rsidRPr="006A4BCA" w:rsidRDefault="00F16E30" w:rsidP="00F16E30">
            <w:pPr>
              <w:widowControl w:val="0"/>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p>
          <w:p w:rsidR="00F16E30" w:rsidRPr="006A4BCA" w:rsidRDefault="00F16E30" w:rsidP="00F16E30">
            <w:pPr>
              <w:widowControl w:val="0"/>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II. … </w:t>
            </w:r>
          </w:p>
          <w:p w:rsidR="00F16E30" w:rsidRPr="006A4BCA" w:rsidRDefault="00F16E30" w:rsidP="00F16E30">
            <w:pPr>
              <w:widowControl w:val="0"/>
              <w:pBdr>
                <w:top w:val="nil"/>
                <w:left w:val="nil"/>
                <w:bottom w:val="nil"/>
                <w:right w:val="nil"/>
                <w:between w:val="nil"/>
              </w:pBdr>
              <w:spacing w:after="0" w:line="240" w:lineRule="auto"/>
              <w:ind w:right="49"/>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III. La contaminación odorífera se considerará una forma de contaminación atmosférica</w:t>
            </w:r>
            <w:r w:rsidRPr="006A4BCA">
              <w:rPr>
                <w:rFonts w:ascii="Times New Roman" w:eastAsia="Arial" w:hAnsi="Times New Roman" w:cs="Times New Roman"/>
                <w:sz w:val="24"/>
                <w:szCs w:val="24"/>
                <w:lang w:eastAsia="es-MX"/>
              </w:rPr>
              <w:t xml:space="preserve"> </w:t>
            </w:r>
            <w:r w:rsidRPr="006A4BCA">
              <w:rPr>
                <w:rFonts w:ascii="Times New Roman" w:eastAsia="Arial" w:hAnsi="Times New Roman" w:cs="Times New Roman"/>
                <w:b/>
                <w:bCs/>
                <w:sz w:val="24"/>
                <w:szCs w:val="24"/>
                <w:lang w:eastAsia="es-MX"/>
              </w:rPr>
              <w:t>que afecta la calidad de vida, el bienestar y la salud pública, debiendo prevenirse mediante monitoreo, control y mitigación.</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2.143.</w:t>
            </w:r>
            <w:r w:rsidRPr="006A4BCA">
              <w:rPr>
                <w:rFonts w:ascii="Times New Roman" w:eastAsia="Arial" w:hAnsi="Times New Roman" w:cs="Times New Roman"/>
                <w:sz w:val="24"/>
                <w:szCs w:val="24"/>
                <w:lang w:eastAsia="es-MX"/>
              </w:rPr>
              <w:t xml:space="preserve"> La Secretaría establecerá y aplicará las medidas de prevención y control de la contaminación atmosférica originada por humos, polvos, vapores, gases y olores que puedan causar alteraciones significativas al ambiente o daños en la salud en los términos señalados por este Libro, su Reglamento y las normas oficiales mexicanas aplicables.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Artículo 2.143.</w:t>
            </w:r>
            <w:r w:rsidRPr="006A4BCA">
              <w:rPr>
                <w:rFonts w:ascii="Times New Roman" w:eastAsia="Arial" w:hAnsi="Times New Roman" w:cs="Times New Roman"/>
                <w:sz w:val="24"/>
                <w:szCs w:val="24"/>
                <w:lang w:eastAsia="es-MX"/>
              </w:rPr>
              <w:t xml:space="preserve"> La Secretaría establecerá y aplicará las medidas de prevención y control de la contaminación atmosférica, originada por humos, polvos, vapores, gases y </w:t>
            </w:r>
            <w:r w:rsidRPr="006A4BCA">
              <w:rPr>
                <w:rFonts w:ascii="Times New Roman" w:eastAsia="Arial" w:hAnsi="Times New Roman" w:cs="Times New Roman"/>
                <w:b/>
                <w:bCs/>
                <w:sz w:val="24"/>
                <w:szCs w:val="24"/>
                <w:lang w:eastAsia="es-MX"/>
              </w:rPr>
              <w:t xml:space="preserve">emisiones odoríficas </w:t>
            </w:r>
            <w:r w:rsidRPr="006A4BCA">
              <w:rPr>
                <w:rFonts w:ascii="Times New Roman" w:eastAsia="Arial" w:hAnsi="Times New Roman" w:cs="Times New Roman"/>
                <w:sz w:val="24"/>
                <w:szCs w:val="24"/>
                <w:lang w:eastAsia="es-MX"/>
              </w:rPr>
              <w:t>que puedan causar alteraciones significativas al ambiente o daños en la salud en los términos señalados por este Libro, su Reglamento y las normas oficiales mexicanas aplicables.</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bookmarkStart w:id="12" w:name="_heading=h.3jze2gkjqtpm" w:colFirst="0" w:colLast="0"/>
            <w:bookmarkEnd w:id="12"/>
            <w:r w:rsidRPr="006A4BCA">
              <w:rPr>
                <w:rFonts w:ascii="Times New Roman" w:eastAsia="Arial" w:hAnsi="Times New Roman" w:cs="Times New Roman"/>
                <w:b/>
                <w:bCs/>
                <w:sz w:val="24"/>
                <w:szCs w:val="24"/>
                <w:lang w:eastAsia="es-MX"/>
              </w:rPr>
              <w:t>Artículo 2.144.-</w:t>
            </w:r>
            <w:r w:rsidRPr="006A4BCA">
              <w:rPr>
                <w:rFonts w:ascii="Times New Roman" w:eastAsia="Arial" w:hAnsi="Times New Roman" w:cs="Times New Roman"/>
                <w:sz w:val="24"/>
                <w:szCs w:val="24"/>
                <w:lang w:eastAsia="es-MX"/>
              </w:rPr>
              <w:t xml:space="preserve"> En materia de prevención y control de la contaminación atmosférica producida por fuentes fijas, la Secretaría:</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 a II.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III.. En caso de considerarlo necesario requerirá la instalación de equipos o sistemas de control de emisiones contaminantes; y</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IV. … </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2.144. </w:t>
            </w:r>
            <w:r w:rsidRPr="006A4BCA">
              <w:rPr>
                <w:rFonts w:ascii="Times New Roman" w:eastAsia="Arial" w:hAnsi="Times New Roman" w:cs="Times New Roman"/>
                <w:sz w:val="24"/>
                <w:szCs w:val="24"/>
                <w:lang w:eastAsia="es-MX"/>
              </w:rPr>
              <w:t>En materia de prevención y control de la contaminación atmosférica</w:t>
            </w:r>
            <w:r w:rsidRPr="006A4BCA">
              <w:rPr>
                <w:rFonts w:ascii="Times New Roman" w:eastAsia="Arial" w:hAnsi="Times New Roman" w:cs="Times New Roman"/>
                <w:b/>
                <w:bCs/>
                <w:sz w:val="24"/>
                <w:szCs w:val="24"/>
                <w:lang w:eastAsia="es-MX"/>
              </w:rPr>
              <w:t>, incluida la contaminación odorífera,</w:t>
            </w:r>
            <w:r w:rsidRPr="006A4BCA">
              <w:rPr>
                <w:rFonts w:ascii="Times New Roman" w:eastAsia="Arial" w:hAnsi="Times New Roman" w:cs="Times New Roman"/>
                <w:sz w:val="24"/>
                <w:szCs w:val="24"/>
                <w:lang w:eastAsia="es-MX"/>
              </w:rPr>
              <w:t xml:space="preserve"> producida por fuentes fijas, la Secretaría:</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 a II.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III. En caso de considerarlo necesario, requerirá la instalación de equipos, sistemas o tecnologías destinados al control de emisiones contaminantes, así como a la implementación de mecanismos de desodorización del aire; y</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IV. .. </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2.145. </w:t>
            </w:r>
            <w:r w:rsidRPr="006A4BCA">
              <w:rPr>
                <w:rFonts w:ascii="Times New Roman" w:eastAsia="Arial" w:hAnsi="Times New Roman" w:cs="Times New Roman"/>
                <w:sz w:val="24"/>
                <w:szCs w:val="24"/>
                <w:lang w:eastAsia="es-MX"/>
              </w:rPr>
              <w:t xml:space="preserve">Las personas físicas o jurídicas colectivas que operen sistemas de producción industrial, comercial, agropecuario o de servicios que tengan fuentes </w:t>
            </w:r>
            <w:r w:rsidRPr="006A4BCA">
              <w:rPr>
                <w:rFonts w:ascii="Times New Roman" w:eastAsia="Arial" w:hAnsi="Times New Roman" w:cs="Times New Roman"/>
                <w:sz w:val="24"/>
                <w:szCs w:val="24"/>
                <w:lang w:eastAsia="es-MX"/>
              </w:rPr>
              <w:lastRenderedPageBreak/>
              <w:t>emisoras de contaminantes deberán:</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 a III. …</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Sin correlativo.</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lastRenderedPageBreak/>
              <w:t xml:space="preserve">Artículo 2.145. </w:t>
            </w:r>
            <w:r w:rsidRPr="006A4BCA">
              <w:rPr>
                <w:rFonts w:ascii="Times New Roman" w:eastAsia="Arial" w:hAnsi="Times New Roman" w:cs="Times New Roman"/>
                <w:sz w:val="24"/>
                <w:szCs w:val="24"/>
                <w:lang w:eastAsia="es-MX"/>
              </w:rPr>
              <w:t>…</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III.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IV. Adoptar medidas preventivas y correctivas para evitar la generación de emisiones odoríferas que rebasen los límites máximos permisibles contemplados en las normas oficiales mexicanas, normas técnicas estatales y en las disposiciones aplicables, así como llevar registros de las mediciones realizadas.</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lastRenderedPageBreak/>
              <w:t xml:space="preserve">Artículo 2.149. </w:t>
            </w:r>
            <w:r w:rsidRPr="006A4BCA">
              <w:rPr>
                <w:rFonts w:ascii="Times New Roman" w:eastAsia="Arial" w:hAnsi="Times New Roman" w:cs="Times New Roman"/>
                <w:sz w:val="24"/>
                <w:szCs w:val="24"/>
                <w:lang w:eastAsia="es-MX"/>
              </w:rPr>
              <w:t>En materia de contaminación atmosférica y de conformidad con lo dispuesto en el presente Libro, la Secretaría y los Ayuntamientos en el ámbito de sus respectivas competencias: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XV.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XVI. Ejercerán las demás que les confieran las disposiciones aplicables.</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2.149.</w:t>
            </w:r>
            <w:r w:rsidRPr="006A4BCA">
              <w:rPr>
                <w:rFonts w:ascii="Times New Roman" w:eastAsia="Arial" w:hAnsi="Times New Roman" w:cs="Times New Roman"/>
                <w:sz w:val="24"/>
                <w:szCs w:val="24"/>
                <w:lang w:eastAsia="es-MX"/>
              </w:rPr>
              <w:t xml:space="preserve">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XV.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XVI. Implementarán mecanismos de monitoreo, inspección y control de emisiones odoríferas, con base en las normas oficiales mexicanas, normas técnicas estatales en la materia y demás disposiciones aplicables.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XVII. Armonizar su normativa para incluir disposiciones específicas sobre prevención y control de emisiones odoríferas en establecimientos comerciales, agropecuarios, industriales y de servicios.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Tahoma" w:hAnsi="Times New Roman" w:cs="Times New Roman"/>
                <w:sz w:val="24"/>
                <w:szCs w:val="24"/>
                <w:lang w:eastAsia="es-MX"/>
              </w:rPr>
            </w:pPr>
            <w:r w:rsidRPr="006A4BCA">
              <w:rPr>
                <w:rFonts w:ascii="Times New Roman" w:eastAsia="Arial" w:hAnsi="Times New Roman" w:cs="Times New Roman"/>
                <w:sz w:val="24"/>
                <w:szCs w:val="24"/>
                <w:lang w:eastAsia="es-MX"/>
              </w:rPr>
              <w:t xml:space="preserve">XVIII. … </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 xml:space="preserve">Artículo 2.150. </w:t>
            </w:r>
            <w:r w:rsidRPr="006A4BCA">
              <w:rPr>
                <w:rFonts w:ascii="Times New Roman" w:eastAsia="Arial" w:hAnsi="Times New Roman" w:cs="Times New Roman"/>
                <w:sz w:val="24"/>
                <w:szCs w:val="24"/>
                <w:lang w:eastAsia="es-MX"/>
              </w:rPr>
              <w:t>Requieren de permiso de la Secretaría quienes realicen quema de materiales a cielo abierto.</w:t>
            </w:r>
          </w:p>
        </w:tc>
        <w:tc>
          <w:tcPr>
            <w:tcW w:w="4694" w:type="dxa"/>
          </w:tcPr>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Artículo 2.150.</w:t>
            </w:r>
            <w:r w:rsidRPr="006A4BCA">
              <w:rPr>
                <w:rFonts w:ascii="Times New Roman" w:eastAsia="Tahoma" w:hAnsi="Times New Roman" w:cs="Times New Roman"/>
                <w:sz w:val="24"/>
                <w:szCs w:val="24"/>
                <w:lang w:eastAsia="es-MX"/>
              </w:rPr>
              <w:t xml:space="preserve"> </w:t>
            </w:r>
            <w:r w:rsidRPr="006A4BCA">
              <w:rPr>
                <w:rFonts w:ascii="Times New Roman" w:eastAsia="Arial" w:hAnsi="Times New Roman" w:cs="Times New Roman"/>
                <w:b/>
                <w:bCs/>
                <w:sz w:val="24"/>
                <w:szCs w:val="24"/>
                <w:lang w:eastAsia="es-MX"/>
              </w:rPr>
              <w:t>Se prohíbe la quema de materiales a cielo abierto que generen contaminantes odoríferos persistentes, salvo autorización expresa de la Secretaría por causas justificadas y bajo medidas de mitigación específicas.</w:t>
            </w:r>
          </w:p>
        </w:tc>
      </w:tr>
      <w:tr w:rsidR="00F16E30" w:rsidRPr="006A4BCA" w:rsidTr="00F16E30">
        <w:trPr>
          <w:trHeight w:val="20"/>
          <w:jc w:val="center"/>
        </w:trPr>
        <w:tc>
          <w:tcPr>
            <w:tcW w:w="4693" w:type="dxa"/>
          </w:tcPr>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CAPITULO X</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DE LA PREVENCION, CONTROL DE LA CONTAMINACION POR RUIDO,</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VIBRACIONES, ENERGIA TERMICA, LUMINICA, OLORES, VAPORES,</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GASES Y CONTAMINACION VISUAL</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lastRenderedPageBreak/>
              <w:t>Artículo 2.194.</w:t>
            </w:r>
            <w:r w:rsidRPr="006A4BCA">
              <w:rPr>
                <w:rFonts w:ascii="Times New Roman" w:eastAsia="Arial" w:hAnsi="Times New Roman" w:cs="Times New Roman"/>
                <w:sz w:val="24"/>
                <w:szCs w:val="24"/>
                <w:lang w:eastAsia="es-MX"/>
              </w:rPr>
              <w:t xml:space="preserve"> Quedan prohibidas las emisiones de ruido, vibraciones, energía térmica, lumínica, olores, vapores, gases y la generación de contaminación visual en cuanto rebasen los límites máximos establecidos en las normas oficiales mexicanas y en los criterios y normas técnicas estatales que para ese efecto se expidan, considerando los valores de concentración máxima permisibles de contaminación en el medio ambiente para el ser humano. La Secretaría y las autoridades de los Municipios del Estado, en términos de lo dispuesto por el presente Libro los bandos municipales, adoptarán las medidas para impedir que se rebasen dichos límites y aplicarán las sanciones correspondientes.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 </w:t>
            </w:r>
          </w:p>
        </w:tc>
        <w:tc>
          <w:tcPr>
            <w:tcW w:w="4694" w:type="dxa"/>
          </w:tcPr>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lastRenderedPageBreak/>
              <w:t>CAPITULO X</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DE LA PREVENCION, CONTROL DE LA CONTAMINACION POR RUIDO,</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VIBRACIONES, ENERGIA TERMICA, LUMINICA,</w:t>
            </w:r>
            <w:r w:rsidRPr="006A4BCA">
              <w:rPr>
                <w:rFonts w:ascii="Times New Roman" w:eastAsia="Arial" w:hAnsi="Times New Roman" w:cs="Times New Roman"/>
                <w:b/>
                <w:bCs/>
                <w:sz w:val="24"/>
                <w:szCs w:val="24"/>
                <w:lang w:eastAsia="es-MX"/>
              </w:rPr>
              <w:t xml:space="preserve"> CONTAMINACIÓN ODORÍFERA, </w:t>
            </w:r>
            <w:r w:rsidRPr="006A4BCA">
              <w:rPr>
                <w:rFonts w:ascii="Times New Roman" w:eastAsia="Arial" w:hAnsi="Times New Roman" w:cs="Times New Roman"/>
                <w:sz w:val="24"/>
                <w:szCs w:val="24"/>
                <w:lang w:eastAsia="es-MX"/>
              </w:rPr>
              <w:t>VAPORES,</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GASES Y CONTAMINACION VISUAL</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lastRenderedPageBreak/>
              <w:t>Artículo 2.194.</w:t>
            </w:r>
            <w:r w:rsidRPr="006A4BCA">
              <w:rPr>
                <w:rFonts w:ascii="Times New Roman" w:eastAsia="Arial" w:hAnsi="Times New Roman" w:cs="Times New Roman"/>
                <w:sz w:val="24"/>
                <w:szCs w:val="24"/>
                <w:lang w:eastAsia="es-MX"/>
              </w:rPr>
              <w:t xml:space="preserve"> Quedan prohibidas las emisiones de ruido, vibraciones, energía térmica, lumínica,</w:t>
            </w:r>
            <w:r w:rsidRPr="006A4BCA">
              <w:rPr>
                <w:rFonts w:ascii="Times New Roman" w:eastAsia="Arial" w:hAnsi="Times New Roman" w:cs="Times New Roman"/>
                <w:b/>
                <w:bCs/>
                <w:sz w:val="24"/>
                <w:szCs w:val="24"/>
                <w:lang w:eastAsia="es-MX"/>
              </w:rPr>
              <w:t xml:space="preserve"> contaminantes odoríferos, </w:t>
            </w:r>
            <w:r w:rsidRPr="006A4BCA">
              <w:rPr>
                <w:rFonts w:ascii="Times New Roman" w:eastAsia="Arial" w:hAnsi="Times New Roman" w:cs="Times New Roman"/>
                <w:sz w:val="24"/>
                <w:szCs w:val="24"/>
                <w:lang w:eastAsia="es-MX"/>
              </w:rPr>
              <w:t>vapores, gases y la generación de contaminación visual en cuanto rebasen los límites máximos establecidos en las normas oficiales mexicanas y en los criterios y normas técnicas estatales que para ese efecto se expidan, considerando los valores de concentración máxima permisibles de contaminación en el medio ambiente para el ser humano. La Secretaría y las autoridades de los Municipios del Estado, en términos de lo dispuesto por el presente Libro los bandos municipales, adoptarán las medidas para impedir que se rebasen dichos límites y aplicarán las sanciones correspondientes.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 </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w:t>
            </w:r>
          </w:p>
        </w:tc>
      </w:tr>
    </w:tbl>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DECRETO NÚMERO _______</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LA H. “LXII” LEGISLATURA</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DEL ESTADO LIBRE Y SOBERANO DE MÉXICO</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DECRETA:</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Decreto por el que se reforma la fracción XV del artículo 2.8; fracciones IV, XVI y XX del artículo 2.9; artículo 2.140; 2.141; 2.143; fracción III y primer párrafo del artículo 2.144; artículo 2.150; 2.194; se adiciona una fracción XIII recorriéndose las subsecuentes del artículo 2.5; una fracción III al artículo 2.142; una fracción IV al artículo 2.145 y fracciones XVI y XVII recorriéndose las subsecuentes del artículo 2.149 y se modifica la denominación de Capítulo X del Título Quinto del Libro Segundo del Código para la Biodiversidad del Estado de México.</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ÚNICO: </w:t>
      </w:r>
      <w:r w:rsidRPr="006A4BCA">
        <w:rPr>
          <w:rFonts w:ascii="Times New Roman" w:eastAsia="Arial" w:hAnsi="Times New Roman" w:cs="Times New Roman"/>
          <w:sz w:val="24"/>
          <w:szCs w:val="24"/>
          <w:lang w:eastAsia="es-MX"/>
        </w:rPr>
        <w:t>Se reforma la fracción XV del artículo 2.8; fracciones IV, XVI y XX del artículo 2.9; artículo 2.140; 2.141; 2.143; fracción III y primer párrafo del artículo 2.144; artículo 2.150; 2.194; fracciones XVIII, XIX del artículo 2.264; y se adiciona una fracción XIII recorriéndose las subsecuentes del artículo 2.5; una fracción III al artículo 2.142; una fracción IV al artículo 2.145; fracciones XVI y XVII recorriéndose las subsecuentes del artículo 2.149; una fracción XIV al artículo 2.263; una fracción XX al artículo 2.264, y un inciso j de la fracción VI del artículo 2.266 del Código para la Biodiversidad del Estado de México, para quedar como sigue:</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Artículo 2.5.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XII. …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lastRenderedPageBreak/>
        <w:t>XIII. Contaminación odorífera: Tipo de contaminación atmosférica proveniente de actividades industriales y humanas que liberan moléculas volátiles que se dispersan en el aire, produciendo olores desagradables que afectan la calidad del aire y la salud de las personas.</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XIV a LXIV.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2.8.</w:t>
      </w:r>
      <w:r w:rsidRPr="006A4BCA">
        <w:rPr>
          <w:rFonts w:ascii="Times New Roman" w:eastAsia="Arial" w:hAnsi="Times New Roman" w:cs="Times New Roman"/>
          <w:sz w:val="24"/>
          <w:szCs w:val="24"/>
          <w:lang w:eastAsia="es-MX"/>
        </w:rPr>
        <w:t xml:space="preserve"> …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XIV. …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XV. Establecer medidas y programas para el control y prevención de la contaminación por ruido, vibraciones, energía térmica, lumínica, radiaciones electromagnéticas y </w:t>
      </w:r>
      <w:r w:rsidRPr="006A4BCA">
        <w:rPr>
          <w:rFonts w:ascii="Times New Roman" w:eastAsia="Arial" w:hAnsi="Times New Roman" w:cs="Times New Roman"/>
          <w:b/>
          <w:bCs/>
          <w:sz w:val="24"/>
          <w:szCs w:val="24"/>
          <w:lang w:eastAsia="es-MX"/>
        </w:rPr>
        <w:t xml:space="preserve">emisiones odoríferas </w:t>
      </w:r>
      <w:r w:rsidRPr="006A4BCA">
        <w:rPr>
          <w:rFonts w:ascii="Times New Roman" w:eastAsia="Arial" w:hAnsi="Times New Roman" w:cs="Times New Roman"/>
          <w:sz w:val="24"/>
          <w:szCs w:val="24"/>
          <w:lang w:eastAsia="es-MX"/>
        </w:rPr>
        <w:t xml:space="preserve">que puedan dañar a la biodiversidad, el equilibrio ecológico o al medio ambiente dentro del territorio del Estado.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2.9. </w:t>
      </w:r>
      <w:r w:rsidRPr="006A4BCA">
        <w:rPr>
          <w:rFonts w:ascii="Times New Roman" w:eastAsia="Arial" w:hAnsi="Times New Roman" w:cs="Times New Roman"/>
          <w:sz w:val="24"/>
          <w:szCs w:val="24"/>
          <w:lang w:eastAsia="es-MX"/>
        </w:rPr>
        <w:t xml:space="preserve">…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 a III.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IV. Aplicar las disposiciones jurídicas en materia de prevención y control de la contaminación atmosférica, </w:t>
      </w:r>
      <w:r w:rsidRPr="006A4BCA">
        <w:rPr>
          <w:rFonts w:ascii="Times New Roman" w:eastAsia="Arial" w:hAnsi="Times New Roman" w:cs="Times New Roman"/>
          <w:b/>
          <w:bCs/>
          <w:sz w:val="24"/>
          <w:szCs w:val="24"/>
          <w:lang w:eastAsia="es-MX"/>
        </w:rPr>
        <w:t>incluyendo la contaminación odorífera</w:t>
      </w:r>
      <w:r w:rsidRPr="006A4BCA">
        <w:rPr>
          <w:rFonts w:ascii="Times New Roman" w:eastAsia="Arial" w:hAnsi="Times New Roman" w:cs="Times New Roman"/>
          <w:sz w:val="24"/>
          <w:szCs w:val="24"/>
          <w:lang w:eastAsia="es-MX"/>
        </w:rPr>
        <w:t>, generada por fuentes fijas que funcionen como giros comerciales o de servicios, por fuentes fijas de origen natural y fuentes móviles que no sean de competencia federal o estatal;</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V a XV.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XVI. Aplicar las disposiciones jurídicas en materia de prevención y control de la contaminación atmosférica, </w:t>
      </w:r>
      <w:r w:rsidRPr="006A4BCA">
        <w:rPr>
          <w:rFonts w:ascii="Times New Roman" w:eastAsia="Arial" w:hAnsi="Times New Roman" w:cs="Times New Roman"/>
          <w:b/>
          <w:bCs/>
          <w:sz w:val="24"/>
          <w:szCs w:val="24"/>
          <w:lang w:eastAsia="es-MX"/>
        </w:rPr>
        <w:t>incluyendo la contaminación odorífera</w:t>
      </w:r>
      <w:r w:rsidRPr="006A4BCA">
        <w:rPr>
          <w:rFonts w:ascii="Times New Roman" w:eastAsia="Arial" w:hAnsi="Times New Roman" w:cs="Times New Roman"/>
          <w:sz w:val="24"/>
          <w:szCs w:val="24"/>
          <w:lang w:eastAsia="es-MX"/>
        </w:rPr>
        <w:t>, generada por fuentes fijas que funcionen como giros comerciales, industriales o de servicios;</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XVII a XIX. …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XX. Verificar el cumplimiento de las normas oficiales mexicanas y normas técnicas estatales en materia de emisiones a la atmósfera, residuos sólidos, contaminación por ruido, vibraciones, contaminación odorífera y contaminación por energía térmica, lumínica y electromagnética, para el vertimiento de aguas residuales en los sistemas de drenaje, alcantarillado y saneamiento que administren;</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XXI a XXXV.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2.140.</w:t>
      </w:r>
      <w:r w:rsidRPr="006A4BCA">
        <w:rPr>
          <w:rFonts w:ascii="Times New Roman" w:eastAsia="Arial" w:hAnsi="Times New Roman" w:cs="Times New Roman"/>
          <w:sz w:val="24"/>
          <w:szCs w:val="24"/>
          <w:lang w:eastAsia="es-MX"/>
        </w:rPr>
        <w:t xml:space="preserve"> Se prohíbe la emisión a la atmósfera de contaminantes como humos, polvos, gases, vapores y </w:t>
      </w:r>
      <w:r w:rsidRPr="006A4BCA">
        <w:rPr>
          <w:rFonts w:ascii="Times New Roman" w:eastAsia="Arial" w:hAnsi="Times New Roman" w:cs="Times New Roman"/>
          <w:b/>
          <w:bCs/>
          <w:sz w:val="24"/>
          <w:szCs w:val="24"/>
          <w:lang w:eastAsia="es-MX"/>
        </w:rPr>
        <w:t>emisiones odoríferas</w:t>
      </w:r>
      <w:r w:rsidRPr="006A4BCA">
        <w:rPr>
          <w:rFonts w:ascii="Times New Roman" w:eastAsia="Arial" w:hAnsi="Times New Roman" w:cs="Times New Roman"/>
          <w:sz w:val="24"/>
          <w:szCs w:val="24"/>
          <w:lang w:eastAsia="es-MX"/>
        </w:rPr>
        <w:t xml:space="preserve"> que rebasen los límites máximos permisibles contemplados en las normas oficiales mexicanas, normas técnicas estatales y en las disposiciones aplicables.</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Artículo 2.141. </w:t>
      </w:r>
      <w:r w:rsidRPr="006A4BCA">
        <w:rPr>
          <w:rFonts w:ascii="Times New Roman" w:eastAsia="Arial" w:hAnsi="Times New Roman" w:cs="Times New Roman"/>
          <w:sz w:val="24"/>
          <w:szCs w:val="24"/>
          <w:lang w:eastAsia="es-MX"/>
        </w:rPr>
        <w:t xml:space="preserve">Deberá regularse la emisión de sustancias contaminantes a la atmósfera, en cualquiera de sus estados físicos o de energía como humos, gases, vapores, partículas sólidas, ruido, vibraciones, energía térmica o lumínica, </w:t>
      </w:r>
      <w:r w:rsidRPr="006A4BCA">
        <w:rPr>
          <w:rFonts w:ascii="Times New Roman" w:eastAsia="Arial" w:hAnsi="Times New Roman" w:cs="Times New Roman"/>
          <w:b/>
          <w:bCs/>
          <w:sz w:val="24"/>
          <w:szCs w:val="24"/>
          <w:lang w:eastAsia="es-MX"/>
        </w:rPr>
        <w:t>emisiones odoríferas</w:t>
      </w:r>
      <w:r w:rsidRPr="006A4BCA">
        <w:rPr>
          <w:rFonts w:ascii="Times New Roman" w:eastAsia="Arial" w:hAnsi="Times New Roman" w:cs="Times New Roman"/>
          <w:sz w:val="24"/>
          <w:szCs w:val="24"/>
          <w:lang w:eastAsia="es-MX"/>
        </w:rPr>
        <w:t xml:space="preserve">, polvos y líquidos que ocasione o pueda ocasionar desequilibrios a los ecosistemas o daños al ambiente, incluyendo </w:t>
      </w:r>
      <w:r w:rsidRPr="006A4BCA">
        <w:rPr>
          <w:rFonts w:ascii="Times New Roman" w:eastAsia="Arial" w:hAnsi="Times New Roman" w:cs="Times New Roman"/>
          <w:sz w:val="24"/>
          <w:szCs w:val="24"/>
          <w:lang w:eastAsia="es-MX"/>
        </w:rPr>
        <w:lastRenderedPageBreak/>
        <w:t xml:space="preserve">sistemas antigranizo o cualquier otro mecanismo o tecnología que inhiba, modifique o altere el ciclo hidrológico.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2.142.</w:t>
      </w:r>
      <w:r w:rsidRPr="006A4BCA">
        <w:rPr>
          <w:rFonts w:ascii="Times New Roman" w:eastAsia="Arial" w:hAnsi="Times New Roman" w:cs="Times New Roman"/>
          <w:sz w:val="24"/>
          <w:szCs w:val="24"/>
          <w:lang w:eastAsia="es-MX"/>
        </w:rPr>
        <w:t xml:space="preserve"> …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II. … </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III. La contaminación odorífera se considerará una forma de contaminación atmosférica que afecta la calidad de vida, el bienestar y la salud pública, debiendo prevenirse mediante monitoreo, control y mitigación.</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2.143</w:t>
      </w:r>
      <w:r w:rsidRPr="006A4BCA">
        <w:rPr>
          <w:rFonts w:ascii="Times New Roman" w:eastAsia="Arial" w:hAnsi="Times New Roman" w:cs="Times New Roman"/>
          <w:sz w:val="24"/>
          <w:szCs w:val="24"/>
          <w:lang w:eastAsia="es-MX"/>
        </w:rPr>
        <w:t xml:space="preserve">. La Secretaría establecerá y aplicará las medidas de prevención y control de la contaminación atmosférica, originada por humos, polvos, vapores, gases </w:t>
      </w:r>
      <w:r w:rsidRPr="006A4BCA">
        <w:rPr>
          <w:rFonts w:ascii="Times New Roman" w:eastAsia="Arial" w:hAnsi="Times New Roman" w:cs="Times New Roman"/>
          <w:b/>
          <w:bCs/>
          <w:sz w:val="24"/>
          <w:szCs w:val="24"/>
          <w:lang w:eastAsia="es-MX"/>
        </w:rPr>
        <w:t>y emisiones odoríficas</w:t>
      </w:r>
      <w:r w:rsidRPr="006A4BCA">
        <w:rPr>
          <w:rFonts w:ascii="Times New Roman" w:eastAsia="Arial" w:hAnsi="Times New Roman" w:cs="Times New Roman"/>
          <w:sz w:val="24"/>
          <w:szCs w:val="24"/>
          <w:lang w:eastAsia="es-MX"/>
        </w:rPr>
        <w:t xml:space="preserve"> que puedan causar alteraciones significativas al ambiente o daños en la salud en los términos señalados por este Libro, su Reglamento y las normas oficiales mexicanas aplicables.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2.144</w:t>
      </w:r>
      <w:r w:rsidRPr="006A4BCA">
        <w:rPr>
          <w:rFonts w:ascii="Times New Roman" w:eastAsia="Arial" w:hAnsi="Times New Roman" w:cs="Times New Roman"/>
          <w:sz w:val="24"/>
          <w:szCs w:val="24"/>
          <w:lang w:eastAsia="es-MX"/>
        </w:rPr>
        <w:t>. En materia de prevención y control de la contaminación atmosférica</w:t>
      </w:r>
      <w:r w:rsidRPr="006A4BCA">
        <w:rPr>
          <w:rFonts w:ascii="Times New Roman" w:eastAsia="Arial" w:hAnsi="Times New Roman" w:cs="Times New Roman"/>
          <w:b/>
          <w:bCs/>
          <w:sz w:val="24"/>
          <w:szCs w:val="24"/>
          <w:lang w:eastAsia="es-MX"/>
        </w:rPr>
        <w:t>, incluida la contaminación odorífera</w:t>
      </w:r>
      <w:r w:rsidRPr="006A4BCA">
        <w:rPr>
          <w:rFonts w:ascii="Times New Roman" w:eastAsia="Arial" w:hAnsi="Times New Roman" w:cs="Times New Roman"/>
          <w:sz w:val="24"/>
          <w:szCs w:val="24"/>
          <w:lang w:eastAsia="es-MX"/>
        </w:rPr>
        <w:t>, producida por fuentes fijas, la Secretaría:</w:t>
      </w: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 a II. …</w:t>
      </w: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III. En caso de considerarlo necesario, requerirá la instalación de equipos, sistemas o tecnologías destinados al control de emisiones contaminantes, así como a la implementación de mecanismos de desodorización del aire; y</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IV. ...</w:t>
      </w: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2.145</w:t>
      </w:r>
      <w:r w:rsidRPr="006A4BCA">
        <w:rPr>
          <w:rFonts w:ascii="Times New Roman" w:eastAsia="Arial" w:hAnsi="Times New Roman" w:cs="Times New Roman"/>
          <w:sz w:val="24"/>
          <w:szCs w:val="24"/>
          <w:lang w:eastAsia="es-MX"/>
        </w:rPr>
        <w:t>. …</w:t>
      </w: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III. … </w:t>
      </w:r>
    </w:p>
    <w:p w:rsidR="00F16E30" w:rsidRPr="006A4BCA" w:rsidRDefault="00F16E30" w:rsidP="00F16E30">
      <w:pPr>
        <w:widowControl w:val="0"/>
        <w:spacing w:after="0" w:line="240" w:lineRule="auto"/>
        <w:ind w:right="49"/>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IV. Adoptar medidas preventivas y correctivas para evitar la generación de emisiones odoríferas que rebasen los límites máximos permisibles contemplados en las normas oficiales mexicanas, normas técnicas estatales y en las disposiciones aplicables, así como llevar registros de las mediciones realizadas.</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Artículo 2.149.</w:t>
      </w:r>
      <w:r w:rsidRPr="006A4BCA">
        <w:rPr>
          <w:rFonts w:ascii="Times New Roman" w:eastAsia="Arial" w:hAnsi="Times New Roman" w:cs="Times New Roman"/>
          <w:sz w:val="24"/>
          <w:szCs w:val="24"/>
          <w:lang w:eastAsia="es-MX"/>
        </w:rPr>
        <w:t xml:space="preserve">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I a XV. ….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XVI. Implementarán mecanismos de monitoreo, inspección y control de emisiones odoríferas, con base en las normas oficiales mexicanas, normas técnicas estatales en la materia y demás disposiciones aplicables.</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XVII. Armonizar su normativa para incluir disposiciones específicas sobre prevención y control de emisiones odoríferas en establecimientos comerciales, agropecuarios, industriales y de servicios.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lastRenderedPageBreak/>
        <w:t>XVIII.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Artículo 2.150.</w:t>
      </w:r>
      <w:r w:rsidRPr="006A4BCA">
        <w:rPr>
          <w:rFonts w:ascii="Times New Roman" w:eastAsia="Arial" w:hAnsi="Times New Roman" w:cs="Times New Roman"/>
          <w:sz w:val="24"/>
          <w:szCs w:val="24"/>
          <w:lang w:eastAsia="es-MX"/>
        </w:rPr>
        <w:t xml:space="preserve"> </w:t>
      </w:r>
      <w:r w:rsidRPr="006A4BCA">
        <w:rPr>
          <w:rFonts w:ascii="Times New Roman" w:eastAsia="Arial" w:hAnsi="Times New Roman" w:cs="Times New Roman"/>
          <w:b/>
          <w:bCs/>
          <w:sz w:val="24"/>
          <w:szCs w:val="24"/>
          <w:lang w:eastAsia="es-MX"/>
        </w:rPr>
        <w:t>Se prohíbe la quema de materiales a cielo abierto que generen contaminantes odoríferos persistentes, salvo autorización expresa de la Secretaría por causas justificadas y bajo medidas de mitigación específicas.</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 </w:t>
      </w:r>
    </w:p>
    <w:p w:rsidR="00F16E30" w:rsidRPr="006A4BCA" w:rsidRDefault="00F16E30" w:rsidP="00F16E30">
      <w:pPr>
        <w:widowControl w:val="0"/>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CAPITULO X</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DE LA PREVENCION, CONTROL DE LA CONTAMINACION POR RUIDO,</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VIBRACIONES, ENERGIA TERMICA, LUMINICA,</w:t>
      </w:r>
      <w:r w:rsidRPr="006A4BCA">
        <w:rPr>
          <w:rFonts w:ascii="Times New Roman" w:eastAsia="Arial" w:hAnsi="Times New Roman" w:cs="Times New Roman"/>
          <w:b/>
          <w:bCs/>
          <w:sz w:val="24"/>
          <w:szCs w:val="24"/>
          <w:lang w:eastAsia="es-MX"/>
        </w:rPr>
        <w:t xml:space="preserve"> CONTAMINACIÓN ODORÍFERA, </w:t>
      </w:r>
      <w:r w:rsidRPr="006A4BCA">
        <w:rPr>
          <w:rFonts w:ascii="Times New Roman" w:eastAsia="Arial" w:hAnsi="Times New Roman" w:cs="Times New Roman"/>
          <w:sz w:val="24"/>
          <w:szCs w:val="24"/>
          <w:lang w:eastAsia="es-MX"/>
        </w:rPr>
        <w:t>VAPORES,</w:t>
      </w:r>
    </w:p>
    <w:p w:rsidR="00F16E30" w:rsidRPr="006A4BCA" w:rsidRDefault="00F16E30" w:rsidP="00F16E30">
      <w:pPr>
        <w:widowControl w:val="0"/>
        <w:spacing w:after="0" w:line="240" w:lineRule="auto"/>
        <w:ind w:right="49"/>
        <w:jc w:val="center"/>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GASES Y CONTAMINACION VISUAL</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Artículo 2.194.</w:t>
      </w:r>
      <w:r w:rsidRPr="006A4BCA">
        <w:rPr>
          <w:rFonts w:ascii="Times New Roman" w:eastAsia="Arial" w:hAnsi="Times New Roman" w:cs="Times New Roman"/>
          <w:sz w:val="24"/>
          <w:szCs w:val="24"/>
          <w:lang w:eastAsia="es-MX"/>
        </w:rPr>
        <w:t xml:space="preserve"> Quedan prohibidas las emisiones de ruido, vibraciones, energía térmica, lumínica, </w:t>
      </w:r>
      <w:r w:rsidRPr="006A4BCA">
        <w:rPr>
          <w:rFonts w:ascii="Times New Roman" w:eastAsia="Arial" w:hAnsi="Times New Roman" w:cs="Times New Roman"/>
          <w:b/>
          <w:bCs/>
          <w:sz w:val="24"/>
          <w:szCs w:val="24"/>
          <w:lang w:eastAsia="es-MX"/>
        </w:rPr>
        <w:t>contaminantes odoríferos</w:t>
      </w:r>
      <w:r w:rsidRPr="006A4BCA">
        <w:rPr>
          <w:rFonts w:ascii="Times New Roman" w:eastAsia="Arial" w:hAnsi="Times New Roman" w:cs="Times New Roman"/>
          <w:sz w:val="24"/>
          <w:szCs w:val="24"/>
          <w:lang w:eastAsia="es-MX"/>
        </w:rPr>
        <w:t>, vapores, gases y la generación de contaminación visual en cuanto rebasen los límites máximos establecidos en las normas oficiales mexicanas y en los criterios y normas técnicas estatales que para ese efecto se expidan, considerando los valores de concentración máxima permisibles de contaminación en el medio ambiente para el ser humano. La Secretaría y las autoridades de los Municipios del Estado, en términos de lo dispuesto por el presente Libro los bandos municipales, adoptarán las medidas para impedir que se rebasen dichos límites y aplicarán las sanciones correspondientes.</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 xml:space="preserve">… </w:t>
      </w: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widowControl w:val="0"/>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w:t>
      </w:r>
    </w:p>
    <w:p w:rsidR="00F16E30" w:rsidRPr="006A4BCA" w:rsidRDefault="00F16E30" w:rsidP="00F16E30">
      <w:pPr>
        <w:widowControl w:val="0"/>
        <w:spacing w:after="0" w:line="240" w:lineRule="auto"/>
        <w:ind w:right="49"/>
        <w:jc w:val="center"/>
        <w:rPr>
          <w:rFonts w:ascii="Times New Roman" w:eastAsia="Arial" w:hAnsi="Times New Roman" w:cs="Times New Roman"/>
          <w:b/>
          <w:bCs/>
          <w:sz w:val="24"/>
          <w:szCs w:val="24"/>
          <w:lang w:eastAsia="es-MX"/>
        </w:rPr>
      </w:pPr>
      <w:r w:rsidRPr="006A4BCA">
        <w:rPr>
          <w:rFonts w:ascii="Times New Roman" w:eastAsia="Arial" w:hAnsi="Times New Roman" w:cs="Times New Roman"/>
          <w:b/>
          <w:bCs/>
          <w:sz w:val="24"/>
          <w:szCs w:val="24"/>
          <w:lang w:eastAsia="es-MX"/>
        </w:rPr>
        <w:t>T R A N S I T O R I O S</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PRIMERO.</w:t>
      </w:r>
      <w:r w:rsidRPr="006A4BCA">
        <w:rPr>
          <w:rFonts w:ascii="Times New Roman" w:eastAsia="Arial" w:hAnsi="Times New Roman" w:cs="Times New Roman"/>
          <w:sz w:val="24"/>
          <w:szCs w:val="24"/>
          <w:lang w:eastAsia="es-MX"/>
        </w:rPr>
        <w:t xml:space="preserve"> Publíquese el presente Decreto en el periódico oficial "Gaceta del Gobierno".</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SEGUNDO.</w:t>
      </w:r>
      <w:r w:rsidRPr="006A4BCA">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b/>
          <w:bCs/>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 xml:space="preserve">TERCERO. </w:t>
      </w:r>
      <w:r w:rsidRPr="006A4BCA">
        <w:rPr>
          <w:rFonts w:ascii="Times New Roman" w:eastAsia="Arial" w:hAnsi="Times New Roman" w:cs="Times New Roman"/>
          <w:sz w:val="24"/>
          <w:szCs w:val="24"/>
          <w:lang w:eastAsia="es-MX"/>
        </w:rPr>
        <w:t>Se derogan las disposiciones de igual o menor jerarquía que se opongan a las establecidas en el presente decreto.</w:t>
      </w:r>
    </w:p>
    <w:p w:rsidR="00F16E30" w:rsidRPr="006A4BCA" w:rsidRDefault="00F16E30" w:rsidP="00F16E30">
      <w:pPr>
        <w:pBdr>
          <w:top w:val="nil"/>
          <w:left w:val="nil"/>
          <w:bottom w:val="nil"/>
          <w:right w:val="nil"/>
          <w:between w:val="nil"/>
        </w:pBdr>
        <w:spacing w:after="0" w:line="240" w:lineRule="auto"/>
        <w:ind w:right="49"/>
        <w:jc w:val="both"/>
        <w:rPr>
          <w:rFonts w:ascii="Times New Roman" w:eastAsia="Arial" w:hAnsi="Times New Roman" w:cs="Times New Roman"/>
          <w:sz w:val="24"/>
          <w:szCs w:val="24"/>
          <w:lang w:eastAsia="es-MX"/>
        </w:rPr>
      </w:pPr>
    </w:p>
    <w:p w:rsidR="00F16E30" w:rsidRPr="006A4BCA" w:rsidRDefault="00F16E30" w:rsidP="00F16E30">
      <w:pPr>
        <w:pBdr>
          <w:top w:val="nil"/>
          <w:left w:val="nil"/>
          <w:bottom w:val="nil"/>
          <w:right w:val="nil"/>
          <w:between w:val="nil"/>
        </w:pBdr>
        <w:spacing w:after="0" w:line="240" w:lineRule="auto"/>
        <w:ind w:right="49"/>
        <w:jc w:val="center"/>
        <w:rPr>
          <w:rFonts w:ascii="Times New Roman" w:eastAsia="Times New Roman" w:hAnsi="Times New Roman" w:cs="Times New Roman"/>
          <w:sz w:val="24"/>
          <w:szCs w:val="24"/>
          <w:lang w:eastAsia="es-MX"/>
        </w:rPr>
      </w:pPr>
      <w:r w:rsidRPr="006A4BCA">
        <w:rPr>
          <w:rFonts w:ascii="Times New Roman" w:eastAsia="Arial" w:hAnsi="Times New Roman" w:cs="Times New Roman"/>
          <w:b/>
          <w:bCs/>
          <w:sz w:val="24"/>
          <w:szCs w:val="24"/>
          <w:lang w:eastAsia="es-MX"/>
        </w:rPr>
        <w:t>Dip. Octavio Martínez Vargas</w:t>
      </w:r>
    </w:p>
    <w:p w:rsidR="00F974C7" w:rsidRPr="006A4BCA" w:rsidRDefault="00F974C7" w:rsidP="00F16E30">
      <w:pPr>
        <w:spacing w:after="0" w:line="240" w:lineRule="auto"/>
        <w:jc w:val="center"/>
        <w:rPr>
          <w:rFonts w:ascii="Times New Roman" w:hAnsi="Times New Roman"/>
          <w:sz w:val="24"/>
          <w:szCs w:val="24"/>
        </w:rPr>
      </w:pPr>
    </w:p>
    <w:p w:rsidR="00F974C7" w:rsidRPr="006A4BCA" w:rsidRDefault="00F974C7" w:rsidP="00F16E30">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F974C7" w:rsidRPr="006A4BCA" w:rsidRDefault="00F974C7" w:rsidP="00F16E30">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 xml:space="preserve">PRESIDENTA DIP. MARTHA AZUCENA CAMACHO REYNOSO. Gracias diputado Octavio Martínez Vargas.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Se registra la iniciativa y se remite a las Comisiones Legislativas de Protección Ambiental, Cambio Climático para su estudio y dictamen.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En cuanto al punto número 13, la diputada vicepresidenta Itzel Guadalupe Pérez Correa presenta, en nombre del Grupo Parlamentario del Partido Verde Ecologista de México, Iniciativa con Proyecto de Decreto por el que se reforman diversas disposiciones del Código Administrativo del Estado de México en materia de áreas verdes urbanas.</w:t>
      </w: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 xml:space="preserve">DIP. ITZEL GUADALUPE PÉREZ CORREA. Con su venia Presidenta.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lastRenderedPageBreak/>
        <w:t xml:space="preserve">Saludo con respeto a quienes integran la Mesa Directiva, a mis compañeras y compañeros legisladores, a los medios de comunicación y a la ciudadanía que nos sigue a través de las diversas plataformas digitales.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Hablar de las ciudades es en realidad hablar de la forma en la que vivimos, desde la década de los 40´s, las principales ciudades de nuestro país comenzaron a crecer a un ritmo acelerado, barrios pequeños se convirtieron en grandes colonias y municipios antes distantes, comenzaron a integrarse formando lo que hoy conocemos como zonas metropolitanas; este crecimiento ha sido motor de desarrollo económico y social, pero también nos ha traído nuevos desafíos.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Hoy las ciudades crecen a tal velocidad que han rebasado sus propios límites político administrativos, integrándose con municipios vecinos y formando grandes manchas urbanas donde viven millones de personas. De acuerdo con el Censo de Población y Vivienda 2020, el 55.8% de las y los mexicanos vive actualmente en alguna zona metropolitana concentrados en apenas el 7% del territorio nacional, particularmente en el Estado de México, esta realidad es aún más evidente, según datos de la Secretaría de Desarrollo Urbano e Infraestructura el 87.9% de la población, habita en 81 municipios que forman parte de las zonas metropolitanas.</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Detrás de estas cifras hay millones de personas que todos los días respiran el aire de nuestras ciudades, recorren sus calles, trabajan, estudian y buscan espacios para convivir y, por supuesto, para vivir con dignidad, el crecimiento urbano acelerado también ha tenido consecuencias que ya no podemos seguir ignorando, el aumento del uso del automóvil, la expansión territorial, la reducción de espacios naturales, han impactado directamente en la calidad del aire.</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Lo vivimos hace apenas unas semanas los pasados 13 y 14 de febrero, la zona metropolitana del Valle de México activó la contingencia ambiental por altos niveles de contaminación, obligando a muchas personas a modificar sus actividades, más allá de las restricciones lo verdaderamente preocupante es el aire que respiramos todos los días, cuando el aire se deteriora, no sólo afecta al ambiente, se afecta la salud, la calidad de vida y el futuro de nuestras comunidades.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Por ello, resulta indispensable replantear la forma en la que pensamos nuestras ciudades; durante mucho tiempo, las áreas verdes fueron vistas únicamente como elemento decorativo.</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Hoy sabemos que no son un lujo, sin duda son una necesidad, las áreas verdes urbanas son auténticos pulmones para nuestras ciudades, los parques y jardines ayudan a filtrar contaminantes, capturar dióxido de carbono, regular la temperatura y, por supuesto, mejorar la calidad del aire; pero su importancia va más allá de lo ambiental.</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Los espacios verdes ordenan la ciudad, equilibran la densidad urbana generan </w:t>
      </w:r>
      <w:r w:rsidRPr="006A4BCA">
        <w:rPr>
          <w:rFonts w:ascii="Times New Roman" w:hAnsi="Times New Roman" w:cs="Times New Roman"/>
          <w:sz w:val="24"/>
          <w:szCs w:val="24"/>
        </w:rPr>
        <w:t>convivencia y por supuesto contribuyen a mitigar los efectos del cambio climático, en una ciudad con más áreas verdes hay menos calor, menos contaminación y mayor bienestar.</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Por ello, su conservación y expansión no es un tema secundario; sino una decisión de salud pública, planeación urbana responsable y justicia social. En México existen ejemplos que muestran que avanzar es posible, Estados como Jalisco, Aguascalientes y la Ciudad de México han impulsado políticas públicas para proteger el ambiente, para recuperar espacios verdes y para enfrentar los efectos del cambio climático.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el Estado de México, donde el crecimiento urbano ha sido especialmente agudo, proteger y ampliar nuestras áreas verdes es una tarea urgente, no sólo para responder a los desafíos actuales; sino para garantizar mejores condiciones de vida a nuestras futuras generaciones.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Por ello, el Proyecto de Decreto que hoy se presenta, propone la modificación al Código Administrativo del Estado de México, para incorporar medidas que fomenten el manejo adecuado de la vegetación urbano y fortalezcan el cuidado de nuestras áreas verdes.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La propuesta busca promover una verdadera corresponsabilidad entre instituciones y sociedad, quiero resaltar que cuidar los espacios naturales no es sólo tarea del gobierno, es una responsabilidad colectiva y desde el Partido Verde Ecologista de México reiteramos nuestro compromiso con la construcción de ciudades más humanas que sean más saludables y sostenibles.</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lastRenderedPageBreak/>
        <w:t>Creemos firmemente que cada colonia, cada familia y cada estudiante merece acceso a un medio ambiente sano, un Estado que protege sus áreas verdes, protege también la salud de su gente y apuesta por el futuro, cuidar nuestras áreas verdes no es solamente una política ambiental, es una forma de cuidar y de garantizar una mejor calidad de vida para todas y todos.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Es cuanto, muchas gracias.</w:t>
      </w:r>
    </w:p>
    <w:p w:rsidR="003762E9" w:rsidRPr="006A4BCA" w:rsidRDefault="003762E9" w:rsidP="002B30EE">
      <w:pPr>
        <w:pStyle w:val="Sinespaciado"/>
        <w:jc w:val="both"/>
        <w:rPr>
          <w:rFonts w:ascii="Times New Roman" w:hAnsi="Times New Roman" w:cs="Times New Roman"/>
          <w:sz w:val="24"/>
          <w:szCs w:val="24"/>
        </w:rPr>
      </w:pPr>
    </w:p>
    <w:p w:rsidR="003762E9" w:rsidRPr="006A4BCA" w:rsidRDefault="003762E9" w:rsidP="002B30EE">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3762E9" w:rsidRPr="006A4BCA" w:rsidRDefault="003762E9" w:rsidP="002B30EE">
      <w:pPr>
        <w:spacing w:after="0" w:line="240" w:lineRule="auto"/>
        <w:jc w:val="center"/>
        <w:rPr>
          <w:rFonts w:ascii="Times New Roman" w:hAnsi="Times New Roman"/>
          <w:sz w:val="24"/>
          <w:szCs w:val="24"/>
        </w:rPr>
      </w:pP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GRUPO PARLAMENTARIO DEL PARTIDO VERDE ECOLOGISTA DE MEXICO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“2026. Año del Humanismo Mexicano en el Estado de México”.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right"/>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Toluca de Lerdo, Estado de México, a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de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de 2026.</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MARTHA AZUCENA CAMACHO REYNOSO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PRESIDENTA DE LA MESA DIRECTIVA</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LXII LEGISLATURA DEL H. PODER LEGISLATIVO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ESTADO LIBRE Y SOBERANO DE MÉXICO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 R E S E N T E</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Honorable Asamblea:</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Quienes suscriben </w:t>
      </w:r>
      <w:r w:rsidRPr="006A4BCA">
        <w:rPr>
          <w:rFonts w:ascii="Times New Roman" w:eastAsia="Arial MT" w:hAnsi="Times New Roman" w:cs="Times New Roman"/>
          <w:b/>
          <w:sz w:val="24"/>
          <w:szCs w:val="24"/>
        </w:rPr>
        <w:t>JOSÉ ALBERTO COUTTOLENC BUENTELLO</w:t>
      </w:r>
      <w:r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6A4BCA">
        <w:rPr>
          <w:rFonts w:ascii="Times New Roman" w:eastAsia="Arial MT" w:hAnsi="Times New Roman" w:cs="Times New Roman"/>
          <w:sz w:val="24"/>
          <w:szCs w:val="24"/>
        </w:rPr>
        <w:t xml:space="preserve">diputadas y diputados integrantes del </w:t>
      </w:r>
      <w:r w:rsidRPr="006A4BCA">
        <w:rPr>
          <w:rFonts w:ascii="Times New Roman" w:eastAsia="Arial MT" w:hAnsi="Times New Roman" w:cs="Times New Roman"/>
          <w:b/>
          <w:sz w:val="24"/>
          <w:szCs w:val="24"/>
        </w:rPr>
        <w:t xml:space="preserve">GRUPO PARLAMENTARIO DEL PARTIDO VERDE ECOLOGISTA DE MÉXICO </w:t>
      </w:r>
      <w:r w:rsidRPr="006A4BCA">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6A4BCA">
        <w:rPr>
          <w:rFonts w:ascii="Times New Roman" w:eastAsia="Arial MT" w:hAnsi="Times New Roman" w:cs="Times New Roman"/>
          <w:b/>
          <w:sz w:val="24"/>
          <w:szCs w:val="24"/>
        </w:rPr>
        <w:t xml:space="preserve">INICIATIVA CON PROYECTO DE DECRETO POR LA QUE SE REFORMAN DIVERSAS DISPOSICIONES DEL CÓDIGO ADMINISTRATIVO DEL ESTADO DE MÉXICO EN MATERIA DE ÁREAS VERDES URBANAS, </w:t>
      </w:r>
      <w:r w:rsidRPr="006A4BCA">
        <w:rPr>
          <w:rFonts w:ascii="Times New Roman" w:eastAsia="Arial MT" w:hAnsi="Times New Roman" w:cs="Times New Roman"/>
          <w:sz w:val="24"/>
          <w:szCs w:val="24"/>
        </w:rPr>
        <w:t>con sustento en la siguiente:</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EXPOSICIÓN DE MOTIVOS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Desde la década de los cuarenta, las principales ciudades del país han experimentado un acelerado proceso de crecimiento urbano, acompañado de fenómenos de conurbación y metropolización con localidades circundantes. Este proceso ha transformado profundamente la estructura territorial de las ciudades mexicanas, generando dinámicas de expansión físico-territorial que, en muchos casos, han rebasado los límites político-administrativos de los municipios, integrándose funcionalmente con otras poblaciones cercanas.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En la actualidad, el crecimiento urbano ya no se limita al desarrollo interno de las ciudades, sino que se caracteriza por la integración de múltiples municipios en espacios urbanos continuos que comparten infraestructura, movilidad, economía y servicios públicos. Este fenómeno ha dado </w:t>
      </w:r>
      <w:r w:rsidRPr="006A4BCA">
        <w:rPr>
          <w:rFonts w:ascii="Times New Roman" w:eastAsia="Arial MT" w:hAnsi="Times New Roman" w:cs="Times New Roman"/>
          <w:sz w:val="24"/>
          <w:szCs w:val="24"/>
        </w:rPr>
        <w:lastRenderedPageBreak/>
        <w:t>origen a las denominadas zonas metropolitanas, cuya formación constituye uno de los rasgos más representativos del proceso de urbanización contemporáneo.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expansión de estas zonas metropolitanas representa un factor clave en el desarrollo económico y social del país, pero también plantea significativos desafíos en materia de planeación territorial, sostenibilidad ambiental y calidad de vida. De acuerdo con datos del Censo de Población y Vivienda 2020 del Instituto Nacional de Estadística y Geografía (INEGI), el 69% de la población mexicana reside en alguna de las zonas metropolitanas del país. La Zona Metropolitana del Valle de México (ZMVM) es la más poblada, con aproximadamente 21.8 millones de habitantes en 2020. Esta alta concentración poblacional genera presiones significativas sobre el espacio urbano, la infraestructura, los servicios públicos y el medio ambiente.</w:t>
      </w:r>
      <w:r w:rsidRPr="006A4BCA">
        <w:rPr>
          <w:rFonts w:ascii="Times New Roman" w:eastAsia="Arial MT" w:hAnsi="Times New Roman" w:cs="Times New Roman"/>
          <w:sz w:val="24"/>
          <w:szCs w:val="24"/>
          <w:vertAlign w:val="superscript"/>
        </w:rPr>
        <w:t>1</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Estado de México constituye uno de los casos más representativos de este fenómeno. De acuerdo con información de la Secretaría de Desarrollo Urbano e Infraestructura del Gobierno del Estado de México, el 88% de la población estatal se concentra en 81 municipios</w:t>
      </w:r>
      <w:r w:rsidRPr="006A4BCA">
        <w:rPr>
          <w:rFonts w:ascii="Times New Roman" w:eastAsia="Arial MT" w:hAnsi="Times New Roman" w:cs="Times New Roman"/>
          <w:sz w:val="24"/>
          <w:szCs w:val="24"/>
          <w:vertAlign w:val="superscript"/>
        </w:rPr>
        <w:t>2</w:t>
      </w:r>
      <w:r w:rsidRPr="006A4BCA">
        <w:rPr>
          <w:rFonts w:ascii="Times New Roman" w:eastAsia="Arial MT" w:hAnsi="Times New Roman" w:cs="Times New Roman"/>
          <w:sz w:val="24"/>
          <w:szCs w:val="24"/>
        </w:rPr>
        <w:t xml:space="preserve"> con características metropolitanas, lo que refleja un alto grado de urbanización y una significativa dependencia de sistemas metropolitanos para la movilidad, la vivienda, el empleo y los servicios.</w:t>
      </w: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w:t>
      </w:r>
      <w:r w:rsidRPr="006A4BCA">
        <w:rPr>
          <w:rFonts w:ascii="Times New Roman" w:eastAsia="Arial MT" w:hAnsi="Times New Roman" w:cs="Times New Roman"/>
          <w:sz w:val="20"/>
          <w:szCs w:val="24"/>
        </w:rPr>
        <w:t xml:space="preserve"> Consejo Nacional de Población (19, de septiembre de 2025.). https</w:t>
      </w:r>
      <w:hyperlink r:id="rId8">
        <w:r w:rsidRPr="006A4BCA">
          <w:rPr>
            <w:rFonts w:ascii="Times New Roman" w:eastAsia="Arial MT" w:hAnsi="Times New Roman" w:cs="Times New Roman"/>
            <w:sz w:val="20"/>
            <w:szCs w:val="24"/>
          </w:rPr>
          <w:t>://www.gob.mx/conapo/articulos/se-expanden-las-ciudades-en-</w:t>
        </w:r>
      </w:hyperlink>
      <w:r w:rsidRPr="006A4BCA">
        <w:rPr>
          <w:rFonts w:ascii="Times New Roman" w:eastAsia="Arial MT" w:hAnsi="Times New Roman" w:cs="Times New Roman"/>
          <w:sz w:val="20"/>
          <w:szCs w:val="24"/>
        </w:rPr>
        <w:t>mexico?idiom=es#:~:text=M%C3%A9xico%20se%20ha%20consolidado%20como,a%20una%20r%C3%A1pida%20urbanizaci%C3%B3n%20contin%C3%BAa.</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proyecciones demográficas indican que esta tendencia continuará durante las próximas décadas. Para el periodo 2030, se prevé que para 2030, la Zona Metropolitana del Valle de México (ZMVM) alcance más de 22 millones de habitantes, mientras que la Zona Metropolitana del Valle de Toluca y la zona de Santiago Tianguistenco experimentarán un crecimiento poblacional acelerado, impulsado por el Tren Interurbano "El Insurgente", proyectándose que superen los 3.5 millones de habitantes. Este aumento se concentra en municipios como Lerma, Metepec, San Mateo Atenco, Almoloya de Juárez y Zinacantepec, desafiando la infraestructura local.</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Este incremento poblacional generará una mayor presión sobre el uso del suelo urbano, la infraestructura y los espacios públicos disponibles. Uno de los principales retos derivados de este crecimiento es la insuficiente disponibilidad de áreas verdes en las ciudades. Diversos organismos internacionales han señalado que la presencia de espacios verdes es fundamental para garantizar entornos urbanos saludables, equilibrados y sostenibles.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Organización Mundial de la Salud (OMS) recomienda que las ciudades cuenten con al menos 9 metros cuadrados de áreas verdes por habitante, siendo deseable alcanzar hasta 16 metros cuadrados por persona para garantizar una adecuada calidad de vida.</w:t>
      </w:r>
      <w:r w:rsidRPr="006A4BCA">
        <w:rPr>
          <w:rFonts w:ascii="Times New Roman" w:eastAsia="Arial MT" w:hAnsi="Times New Roman" w:cs="Times New Roman"/>
          <w:sz w:val="24"/>
          <w:szCs w:val="24"/>
          <w:vertAlign w:val="superscript"/>
        </w:rPr>
        <w:t>3</w:t>
      </w:r>
      <w:r w:rsidRPr="006A4BCA">
        <w:rPr>
          <w:rFonts w:ascii="Times New Roman" w:eastAsia="Arial MT" w:hAnsi="Times New Roman" w:cs="Times New Roman"/>
          <w:sz w:val="24"/>
          <w:szCs w:val="24"/>
        </w:rPr>
        <w:t xml:space="preserve"> Sin embargo, en muchas ciudades mexicanas esta cifra se encuentra por debajo de lo recomendado.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2</w:t>
      </w:r>
      <w:r w:rsidRPr="006A4BCA">
        <w:rPr>
          <w:rFonts w:ascii="Times New Roman" w:eastAsia="Arial MT" w:hAnsi="Times New Roman" w:cs="Times New Roman"/>
          <w:sz w:val="20"/>
          <w:szCs w:val="24"/>
        </w:rPr>
        <w:t xml:space="preserve"> Estadística metropolitana para las ciudades mexiquenses competitivas. (2025). En Secretaría de Desarrollo Urbano E Infraestructura. https://sedui.edomex.gob.mx/sites/sedui.edomex.gob.mx/files/files/boletinmetropolitano/Estadistica%20Metropolitana.pdf</w:t>
      </w: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3</w:t>
      </w:r>
      <w:r w:rsidRPr="006A4BCA">
        <w:rPr>
          <w:rFonts w:ascii="Times New Roman" w:eastAsia="Arial MT" w:hAnsi="Times New Roman" w:cs="Times New Roman"/>
          <w:sz w:val="20"/>
          <w:szCs w:val="24"/>
        </w:rPr>
        <w:t xml:space="preserve"> Comisión Nacional de Áreas Naturales Protegidas.</w:t>
      </w:r>
      <w:r w:rsidRPr="006A4BCA">
        <w:rPr>
          <w:rFonts w:ascii="Times New Roman" w:eastAsia="Arial MT" w:hAnsi="Times New Roman" w:cs="Times New Roman"/>
          <w:sz w:val="20"/>
          <w:szCs w:val="24"/>
        </w:rPr>
        <w:tab/>
        <w:t>(s. f.). Ciudades verdes y sustentables.</w:t>
      </w: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rPr>
        <w:t>https://</w:t>
      </w:r>
      <w:hyperlink r:id="rId9">
        <w:r w:rsidRPr="006A4BCA">
          <w:rPr>
            <w:rFonts w:ascii="Times New Roman" w:eastAsia="Arial MT" w:hAnsi="Times New Roman" w:cs="Times New Roman"/>
            <w:sz w:val="20"/>
            <w:szCs w:val="24"/>
          </w:rPr>
          <w:t>www.gob.mx/conanp/articulos/ciudades-verdes-y-sustentables</w:t>
        </w:r>
      </w:hyperlink>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En el caso de la Zona Metropolitana del Valle de México, diversos estudios estiman que el </w:t>
      </w:r>
      <w:r w:rsidRPr="006A4BCA">
        <w:rPr>
          <w:rFonts w:ascii="Times New Roman" w:eastAsia="Arial MT" w:hAnsi="Times New Roman" w:cs="Times New Roman"/>
          <w:sz w:val="24"/>
          <w:szCs w:val="24"/>
        </w:rPr>
        <w:lastRenderedPageBreak/>
        <w:t>promedio de áreas verdes disponibles oscila entre 3 y 5 metros cuadrados por habitante, lo que representa menos de la mitad del estándar mínimo recomendado a nivel internacional. La superficie de área verde promedio por habitante en la Ciudad de México es de 7.54 m². Esta situación evidencia un déficit significativo de espacios verdes dentro de los entornos urbanos.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áreas verdes urbanas cumplen una función esencial en la estructura y funcionamiento de las ciudades. Además de proporcionar espacios de recreación, convivencia y esparcimiento para la población, contribuyen a mejorar el bienestar físico y emocional de las personas, fortalecen el tejido social y favorecen el contacto de la ciudadanía con la naturaleza.</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Asimismo, estos espacios desempeñan un papel fundamental en la regulación ambiental del entorno urbano, ya que ayudan a moderar la temperatura, favorecen la infiltración de agua al subsuelo, contribuyen a la conservación de la biodiversidad y generan entornos urbanos más equilibrados. Por estas razones, las áreas verdes deben ser consideradas infraestructura ambiental estratégica para el desarrollo de las ciudades, y no únicamente elementos ornamentales dentro del paisaje urbano.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Ante la creciente presión urbana sobre el territorio, diversos organismos internacionales, como la Organización Mundial de la Salud (OMS) y la Organización de las Naciones Unidas (ONU), han recomendado a los gobiernos fortalecer las políticas públicas. Estas políticas deben estar orientadas a la protección, ampliación y adecuado manejo de los espacios verdes en las ciudades.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Entre sus principales recomendaciones destacan:</w:t>
      </w:r>
    </w:p>
    <w:p w:rsidR="00E73227" w:rsidRPr="006A4BCA" w:rsidRDefault="00E73227" w:rsidP="00E73227">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Considerar las áreas verdes urbanas y zonas de conservación como elementos fundamentales de la infraestructura urbana, capaces de mejorar la calidad de vida de la población y fortalecer la resiliencia de las ciudades.</w:t>
      </w:r>
    </w:p>
    <w:p w:rsidR="00E73227" w:rsidRPr="006A4BCA" w:rsidRDefault="00E73227" w:rsidP="00E73227">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Garantizar la existencia de espacios verdes suficientes, accesibles y adecuadamente distribuidos, que permitan brindar servicios ambientales y espacios de convivencia social para la población.</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el contexto nacional, diversas entidades federativas han desarrollado políticas públicas orientadas a fortalecer la protección de las áreas verdes. Estados como Jalisco, Aguascalientes y la Ciudad de México han impulsado marcos normativos y programas específicos para promover la conservación y ampliación de estos espacios dentro de las ciudades. Estas experiencias demuestran que la planeación urbana moderna debe incorporar mecanismos que garanticen la protección y creación de áreas verdes como parte fundamental del desarrollo urbano sostenible.</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este contexto, y considerando los desafíos derivados del crecimiento urbano en el Estado de México, resulta fundamental adoptar medidas que permitan proteger, conservar y ampliar las áreas verdes dentro de las ciudades, garantizando su adecuado manejo, mantenimiento y preservación.</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ello, el presente proyecto de decreto propone reformar el Código Administrativo del Estado de México, con el objetivo de incorporar disposiciones que fomenten el manejo adecuado de la vegetación urbana y fortalezcan la protección de las áreas verdes. La propuesta busca consolidar una visión moderna de planeación urbana ambiental, en la que las áreas verdes sean reconocidas como elementos esenciales para el bienestar de la población y para la construcción de ciudades más habitables, equilibradas y sostenibles para las generaciones presentes y futuras.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Con la intención de contar con mayores elementos para facilitar la comprensión de las </w:t>
      </w:r>
      <w:r w:rsidRPr="006A4BCA">
        <w:rPr>
          <w:rFonts w:ascii="Times New Roman" w:eastAsia="Arial MT" w:hAnsi="Times New Roman" w:cs="Times New Roman"/>
          <w:sz w:val="24"/>
          <w:szCs w:val="24"/>
        </w:rPr>
        <w:lastRenderedPageBreak/>
        <w:t>modificaciones planteadas en la presente iniciativa, se hace un estudio comparativo entre el texto de la norma vigente y el que la reforma propone modificar, como se muestra a continuación:</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tbl>
      <w:tblPr>
        <w:tblStyle w:val="TableNormal"/>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E73227" w:rsidRPr="006A4BCA" w:rsidTr="00E73227">
        <w:trPr>
          <w:trHeight w:val="20"/>
          <w:jc w:val="center"/>
        </w:trPr>
        <w:tc>
          <w:tcPr>
            <w:tcW w:w="9350" w:type="dxa"/>
            <w:gridSpan w:val="2"/>
            <w:tcBorders>
              <w:top w:val="nil"/>
              <w:bottom w:val="nil"/>
            </w:tcBorders>
            <w:shd w:val="clear" w:color="auto" w:fill="BFBFBF"/>
          </w:tcPr>
          <w:p w:rsidR="00E73227" w:rsidRPr="006A4BCA" w:rsidRDefault="00E73227" w:rsidP="00E73227">
            <w:pPr>
              <w:spacing w:line="240" w:lineRule="auto"/>
              <w:jc w:val="center"/>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CÓDIGO ADMINISTRATIVO DEL ESTADO DE MÉXICO</w:t>
            </w:r>
          </w:p>
        </w:tc>
      </w:tr>
      <w:tr w:rsidR="00E73227" w:rsidRPr="006A4BCA" w:rsidTr="00E73227">
        <w:trPr>
          <w:trHeight w:val="20"/>
          <w:jc w:val="center"/>
        </w:trPr>
        <w:tc>
          <w:tcPr>
            <w:tcW w:w="4675" w:type="dxa"/>
            <w:tcBorders>
              <w:top w:val="nil"/>
            </w:tcBorders>
            <w:shd w:val="clear" w:color="auto" w:fill="D9D9D9"/>
          </w:tcPr>
          <w:p w:rsidR="00E73227" w:rsidRPr="006A4BCA" w:rsidRDefault="00E73227" w:rsidP="00E73227">
            <w:pPr>
              <w:spacing w:line="240" w:lineRule="auto"/>
              <w:jc w:val="center"/>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LEY VIGENTE</w:t>
            </w:r>
          </w:p>
        </w:tc>
        <w:tc>
          <w:tcPr>
            <w:tcW w:w="4675" w:type="dxa"/>
            <w:tcBorders>
              <w:top w:val="nil"/>
            </w:tcBorders>
            <w:shd w:val="clear" w:color="auto" w:fill="D9D9D9"/>
          </w:tcPr>
          <w:p w:rsidR="00E73227" w:rsidRPr="006A4BCA" w:rsidRDefault="00E73227" w:rsidP="00E73227">
            <w:pPr>
              <w:spacing w:line="240" w:lineRule="auto"/>
              <w:jc w:val="center"/>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INICIATIVA</w:t>
            </w:r>
          </w:p>
        </w:tc>
      </w:tr>
      <w:tr w:rsidR="00E73227" w:rsidRPr="006A4BCA" w:rsidTr="00E73227">
        <w:trPr>
          <w:trHeight w:val="20"/>
          <w:jc w:val="center"/>
        </w:trPr>
        <w:tc>
          <w:tcPr>
            <w:tcW w:w="4675" w:type="dxa"/>
          </w:tcPr>
          <w:p w:rsidR="00E73227" w:rsidRPr="006A4BCA" w:rsidRDefault="00E73227" w:rsidP="00E73227">
            <w:pPr>
              <w:spacing w:line="240" w:lineRule="auto"/>
              <w:rPr>
                <w:rFonts w:ascii="Times New Roman" w:eastAsia="Arial" w:hAnsi="Times New Roman" w:cs="Times New Roman"/>
                <w:sz w:val="24"/>
                <w:szCs w:val="24"/>
                <w:lang w:val="es-MX"/>
              </w:rPr>
            </w:pPr>
            <w:r w:rsidRPr="006A4BCA">
              <w:rPr>
                <w:rFonts w:ascii="Times New Roman" w:eastAsia="Arial" w:hAnsi="Times New Roman" w:cs="Times New Roman"/>
                <w:b/>
                <w:sz w:val="24"/>
                <w:szCs w:val="24"/>
                <w:lang w:val="es-MX"/>
              </w:rPr>
              <w:t xml:space="preserve">Artículo 5.4.- </w:t>
            </w:r>
            <w:r w:rsidRPr="006A4BCA">
              <w:rPr>
                <w:rFonts w:ascii="Times New Roman" w:eastAsia="Arial" w:hAnsi="Times New Roman" w:cs="Times New Roman"/>
                <w:sz w:val="24"/>
                <w:szCs w:val="24"/>
                <w:lang w:val="es-MX"/>
              </w:rPr>
              <w:t>Son causas de utilidad pública:</w:t>
            </w:r>
          </w:p>
          <w:p w:rsidR="00E73227" w:rsidRPr="006A4BCA" w:rsidRDefault="00E73227" w:rsidP="00E73227">
            <w:pPr>
              <w:spacing w:line="240" w:lineRule="auto"/>
              <w:rPr>
                <w:rFonts w:ascii="Times New Roman" w:eastAsia="Arial" w:hAnsi="Times New Roman" w:cs="Times New Roman"/>
                <w:sz w:val="24"/>
                <w:szCs w:val="24"/>
                <w:lang w:val="es-MX"/>
              </w:rPr>
            </w:pPr>
            <w:r w:rsidRPr="006A4BCA">
              <w:rPr>
                <w:rFonts w:ascii="Times New Roman" w:eastAsia="Arial" w:hAnsi="Times New Roman" w:cs="Times New Roman"/>
                <w:sz w:val="24"/>
                <w:szCs w:val="24"/>
                <w:lang w:val="es-MX"/>
              </w:rPr>
              <w:t>I. al XIV. …</w:t>
            </w:r>
          </w:p>
          <w:p w:rsidR="00E73227" w:rsidRPr="006A4BCA" w:rsidRDefault="00E73227" w:rsidP="00E73227">
            <w:pPr>
              <w:spacing w:line="240" w:lineRule="auto"/>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Sin correlativo.</w:t>
            </w:r>
          </w:p>
        </w:tc>
        <w:tc>
          <w:tcPr>
            <w:tcW w:w="4675" w:type="dxa"/>
          </w:tcPr>
          <w:p w:rsidR="00E73227" w:rsidRPr="006A4BCA" w:rsidRDefault="00E73227" w:rsidP="00E73227">
            <w:pPr>
              <w:spacing w:line="240" w:lineRule="auto"/>
              <w:rPr>
                <w:rFonts w:ascii="Times New Roman" w:eastAsia="Arial" w:hAnsi="Times New Roman" w:cs="Times New Roman"/>
                <w:sz w:val="24"/>
                <w:szCs w:val="24"/>
                <w:lang w:val="es-MX"/>
              </w:rPr>
            </w:pPr>
            <w:r w:rsidRPr="006A4BCA">
              <w:rPr>
                <w:rFonts w:ascii="Times New Roman" w:eastAsia="Arial" w:hAnsi="Times New Roman" w:cs="Times New Roman"/>
                <w:b/>
                <w:sz w:val="24"/>
                <w:szCs w:val="24"/>
                <w:lang w:val="es-MX"/>
              </w:rPr>
              <w:t xml:space="preserve">Artículo 5.4.- </w:t>
            </w:r>
            <w:r w:rsidRPr="006A4BCA">
              <w:rPr>
                <w:rFonts w:ascii="Times New Roman" w:eastAsia="Arial" w:hAnsi="Times New Roman" w:cs="Times New Roman"/>
                <w:sz w:val="24"/>
                <w:szCs w:val="24"/>
                <w:lang w:val="es-MX"/>
              </w:rPr>
              <w:t>…</w:t>
            </w:r>
          </w:p>
          <w:p w:rsidR="00E73227" w:rsidRPr="006A4BCA" w:rsidRDefault="00E73227" w:rsidP="00E73227">
            <w:pPr>
              <w:spacing w:line="240" w:lineRule="auto"/>
              <w:rPr>
                <w:rFonts w:ascii="Times New Roman" w:eastAsia="Arial" w:hAnsi="Times New Roman" w:cs="Times New Roman"/>
                <w:sz w:val="24"/>
                <w:szCs w:val="24"/>
                <w:lang w:val="es-MX"/>
              </w:rPr>
            </w:pPr>
            <w:r w:rsidRPr="006A4BCA">
              <w:rPr>
                <w:rFonts w:ascii="Times New Roman" w:eastAsia="Arial" w:hAnsi="Times New Roman" w:cs="Times New Roman"/>
                <w:sz w:val="24"/>
                <w:szCs w:val="24"/>
                <w:lang w:val="es-MX"/>
              </w:rPr>
              <w:t>I. al XIV. …</w:t>
            </w:r>
          </w:p>
          <w:p w:rsidR="00E73227" w:rsidRPr="006A4BCA" w:rsidRDefault="00E73227" w:rsidP="00E73227">
            <w:pPr>
              <w:spacing w:line="240" w:lineRule="auto"/>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XV. La creación, protección y mejoramiento de las áreas verdes urbanas.</w:t>
            </w:r>
          </w:p>
          <w:p w:rsidR="00E73227" w:rsidRPr="006A4BCA" w:rsidRDefault="00E73227" w:rsidP="00E73227">
            <w:pPr>
              <w:spacing w:line="240" w:lineRule="auto"/>
              <w:jc w:val="both"/>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XVI. Aquellas otras que así reconociera la legislación Estatal o Federal aplicable en la materia.</w:t>
            </w:r>
          </w:p>
          <w:p w:rsidR="00304E19" w:rsidRPr="006A4BCA" w:rsidRDefault="00304E19" w:rsidP="00E73227">
            <w:pPr>
              <w:spacing w:line="240" w:lineRule="auto"/>
              <w:jc w:val="both"/>
              <w:rPr>
                <w:rFonts w:ascii="Times New Roman" w:eastAsia="Arial" w:hAnsi="Times New Roman" w:cs="Times New Roman"/>
                <w:b/>
                <w:sz w:val="24"/>
                <w:szCs w:val="24"/>
                <w:lang w:val="es-MX"/>
              </w:rPr>
            </w:pPr>
          </w:p>
        </w:tc>
      </w:tr>
      <w:tr w:rsidR="00E73227" w:rsidRPr="006A4BCA" w:rsidTr="00E73227">
        <w:trPr>
          <w:trHeight w:val="20"/>
          <w:jc w:val="center"/>
        </w:trPr>
        <w:tc>
          <w:tcPr>
            <w:tcW w:w="4675" w:type="dxa"/>
          </w:tcPr>
          <w:p w:rsidR="00E73227" w:rsidRPr="006A4BCA" w:rsidRDefault="00E73227" w:rsidP="00E73227">
            <w:pPr>
              <w:spacing w:line="240" w:lineRule="auto"/>
              <w:jc w:val="both"/>
              <w:rPr>
                <w:rFonts w:ascii="Times New Roman" w:eastAsia="Arial" w:hAnsi="Times New Roman" w:cs="Times New Roman"/>
                <w:sz w:val="24"/>
                <w:szCs w:val="24"/>
                <w:lang w:val="es-MX"/>
              </w:rPr>
            </w:pPr>
            <w:r w:rsidRPr="006A4BCA">
              <w:rPr>
                <w:rFonts w:ascii="Times New Roman" w:eastAsia="Arial" w:hAnsi="Times New Roman" w:cs="Times New Roman"/>
                <w:b/>
                <w:sz w:val="24"/>
                <w:szCs w:val="24"/>
                <w:lang w:val="es-MX"/>
              </w:rPr>
              <w:t xml:space="preserve">Artículo 5.10. </w:t>
            </w:r>
            <w:r w:rsidRPr="006A4BCA">
              <w:rPr>
                <w:rFonts w:ascii="Times New Roman" w:eastAsia="Arial" w:hAnsi="Times New Roman" w:cs="Times New Roman"/>
                <w:sz w:val="24"/>
                <w:szCs w:val="24"/>
                <w:lang w:val="es-MX"/>
              </w:rPr>
              <w:t>Los municipios tendrán las atribuciones siguientes:</w:t>
            </w:r>
          </w:p>
          <w:p w:rsidR="00E73227" w:rsidRPr="006A4BCA" w:rsidRDefault="00E73227" w:rsidP="00E73227">
            <w:pPr>
              <w:spacing w:line="240" w:lineRule="auto"/>
              <w:rPr>
                <w:rFonts w:ascii="Times New Roman" w:eastAsia="Arial" w:hAnsi="Times New Roman" w:cs="Times New Roman"/>
                <w:sz w:val="24"/>
                <w:szCs w:val="24"/>
                <w:lang w:val="es-MX"/>
              </w:rPr>
            </w:pPr>
            <w:r w:rsidRPr="006A4BCA">
              <w:rPr>
                <w:rFonts w:ascii="Times New Roman" w:eastAsia="Arial" w:hAnsi="Times New Roman" w:cs="Times New Roman"/>
                <w:sz w:val="24"/>
                <w:szCs w:val="24"/>
                <w:lang w:val="es-MX"/>
              </w:rPr>
              <w:t>I. al XXV. …</w:t>
            </w:r>
          </w:p>
          <w:p w:rsidR="00E73227" w:rsidRPr="006A4BCA" w:rsidRDefault="00E73227" w:rsidP="00E73227">
            <w:pPr>
              <w:spacing w:line="240" w:lineRule="auto"/>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Sin correlativo.</w:t>
            </w:r>
          </w:p>
          <w:p w:rsidR="00E73227" w:rsidRPr="006A4BCA" w:rsidRDefault="00E73227" w:rsidP="00E73227">
            <w:pPr>
              <w:spacing w:line="240" w:lineRule="auto"/>
              <w:rPr>
                <w:rFonts w:ascii="Times New Roman" w:eastAsia="Arial" w:hAnsi="Times New Roman" w:cs="Times New Roman"/>
                <w:sz w:val="24"/>
                <w:szCs w:val="24"/>
                <w:lang w:val="es-MX"/>
              </w:rPr>
            </w:pPr>
          </w:p>
          <w:p w:rsidR="00E73227" w:rsidRPr="006A4BCA" w:rsidRDefault="00E73227" w:rsidP="00E73227">
            <w:pPr>
              <w:spacing w:line="240" w:lineRule="auto"/>
              <w:rPr>
                <w:rFonts w:ascii="Times New Roman" w:eastAsia="Arial" w:hAnsi="Times New Roman" w:cs="Times New Roman"/>
                <w:sz w:val="24"/>
                <w:szCs w:val="24"/>
                <w:lang w:val="es-MX"/>
              </w:rPr>
            </w:pPr>
          </w:p>
          <w:p w:rsidR="00E73227" w:rsidRPr="006A4BCA" w:rsidRDefault="00E73227" w:rsidP="00E73227">
            <w:pPr>
              <w:spacing w:line="240" w:lineRule="auto"/>
              <w:rPr>
                <w:rFonts w:ascii="Times New Roman" w:eastAsia="Arial" w:hAnsi="Times New Roman" w:cs="Times New Roman"/>
                <w:sz w:val="24"/>
                <w:szCs w:val="24"/>
                <w:lang w:val="es-MX"/>
              </w:rPr>
            </w:pPr>
          </w:p>
          <w:p w:rsidR="00E73227" w:rsidRPr="006A4BCA" w:rsidRDefault="00E73227" w:rsidP="00E73227">
            <w:pPr>
              <w:spacing w:line="240" w:lineRule="auto"/>
              <w:rPr>
                <w:rFonts w:ascii="Times New Roman" w:eastAsia="Arial" w:hAnsi="Times New Roman" w:cs="Times New Roman"/>
                <w:sz w:val="24"/>
                <w:szCs w:val="24"/>
                <w:lang w:val="es-MX"/>
              </w:rPr>
            </w:pPr>
          </w:p>
          <w:p w:rsidR="00E73227" w:rsidRPr="006A4BCA" w:rsidRDefault="00E73227" w:rsidP="00E73227">
            <w:pPr>
              <w:spacing w:line="240" w:lineRule="auto"/>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Sin correlativo.</w:t>
            </w:r>
          </w:p>
        </w:tc>
        <w:tc>
          <w:tcPr>
            <w:tcW w:w="4675" w:type="dxa"/>
          </w:tcPr>
          <w:p w:rsidR="00E73227" w:rsidRPr="006A4BCA" w:rsidRDefault="00E73227" w:rsidP="00E73227">
            <w:pPr>
              <w:spacing w:line="240" w:lineRule="auto"/>
              <w:rPr>
                <w:rFonts w:ascii="Times New Roman" w:eastAsia="Arial" w:hAnsi="Times New Roman" w:cs="Times New Roman"/>
                <w:sz w:val="24"/>
                <w:szCs w:val="24"/>
                <w:lang w:val="es-MX"/>
              </w:rPr>
            </w:pPr>
            <w:r w:rsidRPr="006A4BCA">
              <w:rPr>
                <w:rFonts w:ascii="Times New Roman" w:eastAsia="Arial" w:hAnsi="Times New Roman" w:cs="Times New Roman"/>
                <w:b/>
                <w:sz w:val="24"/>
                <w:szCs w:val="24"/>
                <w:lang w:val="es-MX"/>
              </w:rPr>
              <w:t xml:space="preserve">Artículo 5.10. </w:t>
            </w:r>
            <w:r w:rsidRPr="006A4BCA">
              <w:rPr>
                <w:rFonts w:ascii="Times New Roman" w:eastAsia="Arial" w:hAnsi="Times New Roman" w:cs="Times New Roman"/>
                <w:sz w:val="24"/>
                <w:szCs w:val="24"/>
                <w:lang w:val="es-MX"/>
              </w:rPr>
              <w:t>…</w:t>
            </w:r>
          </w:p>
          <w:p w:rsidR="00E73227" w:rsidRPr="006A4BCA" w:rsidRDefault="00E73227" w:rsidP="00E73227">
            <w:pPr>
              <w:spacing w:line="240" w:lineRule="auto"/>
              <w:rPr>
                <w:rFonts w:ascii="Times New Roman" w:eastAsia="Arial" w:hAnsi="Times New Roman" w:cs="Times New Roman"/>
                <w:sz w:val="24"/>
                <w:szCs w:val="24"/>
                <w:lang w:val="es-MX"/>
              </w:rPr>
            </w:pPr>
          </w:p>
          <w:p w:rsidR="00E73227" w:rsidRPr="006A4BCA" w:rsidRDefault="00E73227" w:rsidP="00E73227">
            <w:pPr>
              <w:spacing w:line="240" w:lineRule="auto"/>
              <w:jc w:val="both"/>
              <w:rPr>
                <w:rFonts w:ascii="Times New Roman" w:eastAsia="Arial" w:hAnsi="Times New Roman" w:cs="Times New Roman"/>
                <w:sz w:val="24"/>
                <w:szCs w:val="24"/>
                <w:lang w:val="es-MX"/>
              </w:rPr>
            </w:pPr>
            <w:r w:rsidRPr="006A4BCA">
              <w:rPr>
                <w:rFonts w:ascii="Times New Roman" w:eastAsia="Arial" w:hAnsi="Times New Roman" w:cs="Times New Roman"/>
                <w:sz w:val="24"/>
                <w:szCs w:val="24"/>
                <w:lang w:val="es-MX"/>
              </w:rPr>
              <w:t>I. al XXV. …</w:t>
            </w:r>
          </w:p>
          <w:p w:rsidR="00E73227" w:rsidRPr="006A4BCA" w:rsidRDefault="00E73227" w:rsidP="00E73227">
            <w:pPr>
              <w:numPr>
                <w:ilvl w:val="0"/>
                <w:numId w:val="12"/>
              </w:numPr>
              <w:spacing w:line="240" w:lineRule="auto"/>
              <w:ind w:left="0" w:firstLine="0"/>
              <w:jc w:val="both"/>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Proponer, gestionar y realizar, en coordinación con los gobiernos Federal y Estatal, las acciones necesarias para preservar y controlar la ecología en los asentamientos humanos del municipio.</w:t>
            </w:r>
          </w:p>
          <w:p w:rsidR="00E73227" w:rsidRPr="006A4BCA" w:rsidRDefault="00E73227" w:rsidP="00E73227">
            <w:pPr>
              <w:numPr>
                <w:ilvl w:val="0"/>
                <w:numId w:val="12"/>
              </w:numPr>
              <w:spacing w:line="240" w:lineRule="auto"/>
              <w:ind w:left="0" w:firstLine="0"/>
              <w:jc w:val="both"/>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Las demás que le confieran este Libro y otras disposiciones jurídicas.</w:t>
            </w:r>
          </w:p>
          <w:p w:rsidR="00304E19" w:rsidRPr="006A4BCA" w:rsidRDefault="00304E19" w:rsidP="00304E19">
            <w:pPr>
              <w:spacing w:line="240" w:lineRule="auto"/>
              <w:jc w:val="both"/>
              <w:rPr>
                <w:rFonts w:ascii="Times New Roman" w:eastAsia="Arial" w:hAnsi="Times New Roman" w:cs="Times New Roman"/>
                <w:b/>
                <w:sz w:val="24"/>
                <w:szCs w:val="24"/>
                <w:lang w:val="es-MX"/>
              </w:rPr>
            </w:pPr>
          </w:p>
        </w:tc>
      </w:tr>
      <w:tr w:rsidR="00E73227" w:rsidRPr="006A4BCA" w:rsidTr="00E73227">
        <w:trPr>
          <w:trHeight w:val="20"/>
          <w:jc w:val="center"/>
        </w:trPr>
        <w:tc>
          <w:tcPr>
            <w:tcW w:w="4675" w:type="dxa"/>
          </w:tcPr>
          <w:p w:rsidR="00E73227" w:rsidRPr="006A4BCA" w:rsidRDefault="00E73227" w:rsidP="00E73227">
            <w:pPr>
              <w:spacing w:line="240" w:lineRule="auto"/>
              <w:jc w:val="both"/>
              <w:rPr>
                <w:rFonts w:ascii="Times New Roman" w:eastAsia="Arial" w:hAnsi="Times New Roman" w:cs="Times New Roman"/>
                <w:sz w:val="24"/>
                <w:szCs w:val="24"/>
                <w:lang w:val="es-MX"/>
              </w:rPr>
            </w:pPr>
            <w:r w:rsidRPr="006A4BCA">
              <w:rPr>
                <w:rFonts w:ascii="Times New Roman" w:eastAsia="Arial" w:hAnsi="Times New Roman" w:cs="Times New Roman"/>
                <w:b/>
                <w:sz w:val="24"/>
                <w:szCs w:val="24"/>
                <w:lang w:val="es-MX"/>
              </w:rPr>
              <w:t xml:space="preserve">Artículo 5.12. </w:t>
            </w:r>
            <w:r w:rsidRPr="006A4BCA">
              <w:rPr>
                <w:rFonts w:ascii="Times New Roman" w:eastAsia="Arial" w:hAnsi="Times New Roman" w:cs="Times New Roman"/>
                <w:sz w:val="24"/>
                <w:szCs w:val="24"/>
                <w:lang w:val="es-MX"/>
              </w:rPr>
              <w:t>Corresponde al Consejo Consultivo Estatal de Ordenamiento Territorial y Desarrollo Urbano y Metropolitano:</w:t>
            </w:r>
          </w:p>
          <w:p w:rsidR="00E73227" w:rsidRPr="006A4BCA" w:rsidRDefault="00E73227" w:rsidP="00E73227">
            <w:pPr>
              <w:numPr>
                <w:ilvl w:val="0"/>
                <w:numId w:val="11"/>
              </w:numPr>
              <w:spacing w:line="240" w:lineRule="auto"/>
              <w:ind w:left="0" w:firstLine="0"/>
              <w:rPr>
                <w:rFonts w:ascii="Times New Roman" w:eastAsia="Arial" w:hAnsi="Times New Roman" w:cs="Times New Roman"/>
                <w:sz w:val="24"/>
                <w:szCs w:val="24"/>
                <w:lang w:val="es-MX"/>
              </w:rPr>
            </w:pPr>
            <w:r w:rsidRPr="006A4BCA">
              <w:rPr>
                <w:rFonts w:ascii="Times New Roman" w:eastAsia="Arial" w:hAnsi="Times New Roman" w:cs="Times New Roman"/>
                <w:sz w:val="24"/>
                <w:szCs w:val="24"/>
                <w:lang w:val="es-MX"/>
              </w:rPr>
              <w:t>al XIV. …</w:t>
            </w:r>
          </w:p>
          <w:p w:rsidR="00E73227" w:rsidRPr="006A4BCA" w:rsidRDefault="00E73227" w:rsidP="00E73227">
            <w:pPr>
              <w:spacing w:line="240" w:lineRule="auto"/>
              <w:jc w:val="both"/>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Sin correlativo.</w:t>
            </w:r>
          </w:p>
          <w:p w:rsidR="00E73227" w:rsidRPr="006A4BCA" w:rsidRDefault="00E73227" w:rsidP="00E73227">
            <w:pPr>
              <w:spacing w:line="240" w:lineRule="auto"/>
              <w:rPr>
                <w:rFonts w:ascii="Times New Roman" w:eastAsia="Arial" w:hAnsi="Times New Roman" w:cs="Times New Roman"/>
                <w:sz w:val="24"/>
                <w:szCs w:val="24"/>
                <w:lang w:val="es-MX"/>
              </w:rPr>
            </w:pPr>
          </w:p>
          <w:p w:rsidR="00E73227" w:rsidRPr="006A4BCA" w:rsidRDefault="00E73227" w:rsidP="00E73227">
            <w:pPr>
              <w:spacing w:line="240" w:lineRule="auto"/>
              <w:rPr>
                <w:rFonts w:ascii="Times New Roman" w:eastAsia="Arial" w:hAnsi="Times New Roman" w:cs="Times New Roman"/>
                <w:sz w:val="24"/>
                <w:szCs w:val="24"/>
                <w:lang w:val="es-MX"/>
              </w:rPr>
            </w:pPr>
          </w:p>
          <w:p w:rsidR="00E73227" w:rsidRPr="006A4BCA" w:rsidRDefault="00E73227" w:rsidP="00E73227">
            <w:pPr>
              <w:spacing w:line="240" w:lineRule="auto"/>
              <w:jc w:val="both"/>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Sin correlativo.</w:t>
            </w:r>
          </w:p>
        </w:tc>
        <w:tc>
          <w:tcPr>
            <w:tcW w:w="4675" w:type="dxa"/>
          </w:tcPr>
          <w:p w:rsidR="00E73227" w:rsidRPr="006A4BCA" w:rsidRDefault="00E73227" w:rsidP="00E73227">
            <w:pPr>
              <w:spacing w:line="240" w:lineRule="auto"/>
              <w:rPr>
                <w:rFonts w:ascii="Times New Roman" w:eastAsia="Arial" w:hAnsi="Times New Roman" w:cs="Times New Roman"/>
                <w:sz w:val="24"/>
                <w:szCs w:val="24"/>
                <w:lang w:val="es-MX"/>
              </w:rPr>
            </w:pPr>
            <w:r w:rsidRPr="006A4BCA">
              <w:rPr>
                <w:rFonts w:ascii="Times New Roman" w:eastAsia="Arial" w:hAnsi="Times New Roman" w:cs="Times New Roman"/>
                <w:b/>
                <w:sz w:val="24"/>
                <w:szCs w:val="24"/>
                <w:lang w:val="es-MX"/>
              </w:rPr>
              <w:t xml:space="preserve">Artículo 5.12. </w:t>
            </w:r>
            <w:r w:rsidRPr="006A4BCA">
              <w:rPr>
                <w:rFonts w:ascii="Times New Roman" w:eastAsia="Arial" w:hAnsi="Times New Roman" w:cs="Times New Roman"/>
                <w:sz w:val="24"/>
                <w:szCs w:val="24"/>
                <w:lang w:val="es-MX"/>
              </w:rPr>
              <w:t>…</w:t>
            </w:r>
          </w:p>
          <w:p w:rsidR="00E73227" w:rsidRPr="006A4BCA" w:rsidRDefault="00E73227" w:rsidP="00E73227">
            <w:pPr>
              <w:spacing w:line="240" w:lineRule="auto"/>
              <w:rPr>
                <w:rFonts w:ascii="Times New Roman" w:eastAsia="Arial" w:hAnsi="Times New Roman" w:cs="Times New Roman"/>
                <w:sz w:val="24"/>
                <w:szCs w:val="24"/>
                <w:lang w:val="es-MX"/>
              </w:rPr>
            </w:pPr>
          </w:p>
          <w:p w:rsidR="00E73227" w:rsidRPr="006A4BCA" w:rsidRDefault="00E73227" w:rsidP="00E73227">
            <w:pPr>
              <w:numPr>
                <w:ilvl w:val="0"/>
                <w:numId w:val="10"/>
              </w:numPr>
              <w:spacing w:line="240" w:lineRule="auto"/>
              <w:ind w:left="0" w:firstLine="0"/>
              <w:jc w:val="both"/>
              <w:rPr>
                <w:rFonts w:ascii="Times New Roman" w:eastAsia="Arial" w:hAnsi="Times New Roman" w:cs="Times New Roman"/>
                <w:sz w:val="24"/>
                <w:szCs w:val="24"/>
                <w:lang w:val="es-MX"/>
              </w:rPr>
            </w:pPr>
            <w:r w:rsidRPr="006A4BCA">
              <w:rPr>
                <w:rFonts w:ascii="Times New Roman" w:eastAsia="Arial" w:hAnsi="Times New Roman" w:cs="Times New Roman"/>
                <w:sz w:val="24"/>
                <w:szCs w:val="24"/>
                <w:lang w:val="es-MX"/>
              </w:rPr>
              <w:t>al XIV. …</w:t>
            </w:r>
          </w:p>
          <w:p w:rsidR="00E73227" w:rsidRPr="006A4BCA" w:rsidRDefault="00E73227" w:rsidP="00E73227">
            <w:pPr>
              <w:numPr>
                <w:ilvl w:val="0"/>
                <w:numId w:val="9"/>
              </w:numPr>
              <w:spacing w:line="240" w:lineRule="auto"/>
              <w:ind w:left="0" w:firstLine="0"/>
              <w:jc w:val="both"/>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Formular propuestas en materia de creación y conservación de áreas verdes urbanas.</w:t>
            </w:r>
          </w:p>
          <w:p w:rsidR="00E73227" w:rsidRPr="006A4BCA" w:rsidRDefault="00E73227" w:rsidP="00E73227">
            <w:pPr>
              <w:numPr>
                <w:ilvl w:val="0"/>
                <w:numId w:val="9"/>
              </w:numPr>
              <w:spacing w:line="240" w:lineRule="auto"/>
              <w:ind w:left="0" w:firstLine="0"/>
              <w:jc w:val="both"/>
              <w:rPr>
                <w:rFonts w:ascii="Times New Roman" w:eastAsia="Arial" w:hAnsi="Times New Roman" w:cs="Times New Roman"/>
                <w:b/>
                <w:sz w:val="24"/>
                <w:szCs w:val="24"/>
                <w:lang w:val="es-MX"/>
              </w:rPr>
            </w:pPr>
            <w:r w:rsidRPr="006A4BCA">
              <w:rPr>
                <w:rFonts w:ascii="Times New Roman" w:eastAsia="Arial" w:hAnsi="Times New Roman" w:cs="Times New Roman"/>
                <w:b/>
                <w:sz w:val="24"/>
                <w:szCs w:val="24"/>
                <w:lang w:val="es-MX"/>
              </w:rPr>
              <w:t>Las demás que sean necesarias para el cumplimiento de sus funciones.</w:t>
            </w:r>
          </w:p>
        </w:tc>
      </w:tr>
    </w:tbl>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 xml:space="preserve">Por lo anteriormente expuesto, fundamentado y motivado, se somete a consideración de este H. Congreso para su análisis, discusión y, en su caso, aprobación, la presente: </w:t>
      </w:r>
      <w:r w:rsidRPr="006A4BCA">
        <w:rPr>
          <w:rFonts w:ascii="Times New Roman" w:eastAsia="Arial MT" w:hAnsi="Times New Roman" w:cs="Times New Roman"/>
          <w:b/>
          <w:sz w:val="24"/>
          <w:szCs w:val="24"/>
        </w:rPr>
        <w:t>INICIATIVA CON PROYECTO DE DECRETO POR LA QUE SE REFORMAN DIVERSAS DISPOSICIONES DEL CÓDIGO ADMINISTRATIVO DEL ESTADO DE MÉXICO EN MATERIA DE ÁREAS VERDES URBANAS.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 T E N T A M E N T E</w:t>
      </w: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JOSÉ ALBERTO COUTTOLENC BUENTELLO</w:t>
      </w: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COORDINADOR DEL GRUPO PARLAMENTARIO DEL</w:t>
      </w: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PARTIDO VERDE ECOLOGISTA DE MÉXICO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DECRETO NÚMERO </w:t>
      </w:r>
      <w:r w:rsidRPr="006A4BCA">
        <w:rPr>
          <w:rFonts w:ascii="Times New Roman" w:eastAsia="Arial MT" w:hAnsi="Times New Roman" w:cs="Times New Roman"/>
          <w:sz w:val="24"/>
          <w:szCs w:val="24"/>
          <w:u w:val="thick"/>
        </w:rPr>
        <w:tab/>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LXII LEGISLATURA DEL ESTADO DE MÉXICO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DECRETA:</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lastRenderedPageBreak/>
        <w:t xml:space="preserve">ARTÍCULO ÚNICO. </w:t>
      </w:r>
      <w:r w:rsidRPr="006A4BCA">
        <w:rPr>
          <w:rFonts w:ascii="Times New Roman" w:eastAsia="Arial MT" w:hAnsi="Times New Roman" w:cs="Times New Roman"/>
          <w:sz w:val="24"/>
          <w:szCs w:val="24"/>
        </w:rPr>
        <w:t>Se reforma la fracción XV, recorriendo la subsecuente del artículo 5.4; se reforma la fracción XXVI, recorriendo la subsecuente del artículo 5.10; y se reforma la fracción XIV, recorriendo la subsecuente del artículo 5.12 del Código Administrativo del Estado de México para quedar como sigue:</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CÓDIGO ADMINISTRATIVO DEL ESTADO DE MÉXICO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5.4. </w:t>
      </w:r>
      <w:r w:rsidRPr="006A4BCA">
        <w:rPr>
          <w:rFonts w:ascii="Times New Roman" w:eastAsia="Arial MT" w:hAnsi="Times New Roman" w:cs="Times New Roman"/>
          <w:sz w:val="24"/>
          <w:szCs w:val="24"/>
        </w:rPr>
        <w:t>...</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 a XIV. ...</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XV. La creación, protección y mejoramiento de las áreas verdes urbanas.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XVI. Aquellas otras que así reconociera la legislación Estatal o Federal aplicable en la materia.</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5.10. </w:t>
      </w:r>
      <w:r w:rsidRPr="006A4BCA">
        <w:rPr>
          <w:rFonts w:ascii="Times New Roman" w:eastAsia="Arial MT" w:hAnsi="Times New Roman" w:cs="Times New Roman"/>
          <w:sz w:val="24"/>
          <w:szCs w:val="24"/>
        </w:rPr>
        <w:t>...</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 a XXV. ...</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XXVI. Proponer, gestionar y realizar, en coordinación con los gobiernos Federal y Estatal, las acciones necesarias para preservar y controlar la ecología en los asentamientos humanos del municipio.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XXVII. Las demás que le confieran este Libro y otras disposiciones jurídicas.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5.12. </w:t>
      </w:r>
      <w:r w:rsidRPr="006A4BCA">
        <w:rPr>
          <w:rFonts w:ascii="Times New Roman" w:eastAsia="Arial MT" w:hAnsi="Times New Roman" w:cs="Times New Roman"/>
          <w:sz w:val="24"/>
          <w:szCs w:val="24"/>
        </w:rPr>
        <w:t>...</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I. a XIV. ...</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XV. Formular propuestas en materia de creación y conservación de áreas verdes urbanas.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XVI. Las demás que sean necesarias para el cumplimiento de sus funciones.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TRANSITORIOS</w:t>
      </w:r>
    </w:p>
    <w:p w:rsidR="00E73227" w:rsidRPr="006A4BCA" w:rsidRDefault="00E73227" w:rsidP="00E73227">
      <w:pPr>
        <w:widowControl w:val="0"/>
        <w:autoSpaceDE w:val="0"/>
        <w:autoSpaceDN w:val="0"/>
        <w:spacing w:after="0" w:line="240" w:lineRule="auto"/>
        <w:rPr>
          <w:rFonts w:ascii="Times New Roman" w:eastAsia="Arial MT" w:hAnsi="Times New Roman" w:cs="Times New Roman"/>
          <w:b/>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PRIMERO. </w:t>
      </w:r>
      <w:r w:rsidRPr="006A4BCA">
        <w:rPr>
          <w:rFonts w:ascii="Times New Roman" w:eastAsia="Arial MT" w:hAnsi="Times New Roman" w:cs="Times New Roman"/>
          <w:sz w:val="24"/>
          <w:szCs w:val="24"/>
        </w:rPr>
        <w:t>Publíquese el presente Decreto en el Periódico Oficial “Gaceta de Gobierno”.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SEGUNDO. </w:t>
      </w:r>
      <w:r w:rsidRPr="006A4BCA">
        <w:rPr>
          <w:rFonts w:ascii="Times New Roman" w:eastAsia="Arial MT" w:hAnsi="Times New Roman" w:cs="Times New Roman"/>
          <w:sz w:val="24"/>
          <w:szCs w:val="24"/>
        </w:rPr>
        <w:t>El presente decreto entrará en vigor el día siguiente al de su publicación en el Periódico Oficial “Gaceta de Gobierno”, Gobierno del Estado Libre y Soberano de México”.</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persona titular del Poder Ejecutivo lo tendrá por entendido, haciendo que se publique y se cumpla.</w:t>
      </w:r>
    </w:p>
    <w:p w:rsidR="00E73227" w:rsidRPr="006A4BCA" w:rsidRDefault="00E73227" w:rsidP="00E73227">
      <w:pPr>
        <w:widowControl w:val="0"/>
        <w:autoSpaceDE w:val="0"/>
        <w:autoSpaceDN w:val="0"/>
        <w:spacing w:after="0" w:line="240" w:lineRule="auto"/>
        <w:rPr>
          <w:rFonts w:ascii="Times New Roman" w:eastAsia="Arial MT" w:hAnsi="Times New Roman" w:cs="Times New Roman"/>
          <w:sz w:val="24"/>
          <w:szCs w:val="24"/>
        </w:rPr>
      </w:pPr>
    </w:p>
    <w:p w:rsidR="00E73227" w:rsidRPr="006A4BCA" w:rsidRDefault="00E73227" w:rsidP="00E73227">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Dado en el Palacio del Poder Legislativo, en la Ciudad de Toluca, Capital del Estado de México, a los </w:t>
      </w:r>
      <w:r w:rsidRPr="006A4BCA">
        <w:rPr>
          <w:rFonts w:ascii="Times New Roman" w:eastAsia="Arial MT" w:hAnsi="Times New Roman" w:cs="Times New Roman"/>
          <w:sz w:val="24"/>
          <w:szCs w:val="24"/>
          <w:u w:val="single"/>
        </w:rPr>
        <w:t xml:space="preserve">  </w:t>
      </w:r>
      <w:r w:rsidRPr="006A4BCA">
        <w:rPr>
          <w:rFonts w:ascii="Times New Roman" w:eastAsia="Arial MT" w:hAnsi="Times New Roman" w:cs="Times New Roman"/>
          <w:sz w:val="24"/>
          <w:szCs w:val="24"/>
        </w:rPr>
        <w:t xml:space="preserve"> días del mes </w:t>
      </w:r>
      <w:r w:rsidRPr="006A4BCA">
        <w:rPr>
          <w:rFonts w:ascii="Times New Roman" w:eastAsia="Arial MT" w:hAnsi="Times New Roman" w:cs="Times New Roman"/>
          <w:sz w:val="24"/>
          <w:szCs w:val="24"/>
          <w:u w:val="single"/>
        </w:rPr>
        <w:t xml:space="preserve">  </w:t>
      </w:r>
      <w:r w:rsidRPr="006A4BCA">
        <w:rPr>
          <w:rFonts w:ascii="Times New Roman" w:eastAsia="Arial MT" w:hAnsi="Times New Roman" w:cs="Times New Roman"/>
          <w:sz w:val="24"/>
          <w:szCs w:val="24"/>
        </w:rPr>
        <w:t xml:space="preserve"> del año dos mil veintiséis.</w:t>
      </w:r>
    </w:p>
    <w:p w:rsidR="003762E9" w:rsidRPr="006A4BCA" w:rsidRDefault="003762E9" w:rsidP="002B30EE">
      <w:pPr>
        <w:spacing w:after="0" w:line="240" w:lineRule="auto"/>
        <w:jc w:val="center"/>
        <w:rPr>
          <w:rFonts w:ascii="Times New Roman" w:hAnsi="Times New Roman"/>
          <w:sz w:val="24"/>
          <w:szCs w:val="24"/>
        </w:rPr>
      </w:pPr>
    </w:p>
    <w:p w:rsidR="003762E9" w:rsidRPr="006A4BCA" w:rsidRDefault="003762E9" w:rsidP="002B30EE">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3762E9" w:rsidRPr="006A4BCA" w:rsidRDefault="003762E9" w:rsidP="002B30EE">
      <w:pPr>
        <w:spacing w:after="0" w:line="240" w:lineRule="auto"/>
        <w:jc w:val="center"/>
        <w:rPr>
          <w:rFonts w:ascii="Times New Roman" w:hAnsi="Times New Roman"/>
          <w:sz w:val="24"/>
          <w:szCs w:val="24"/>
        </w:rPr>
      </w:pP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diputada Vicepresidenta Itzel Guadalupe Pérez Correa.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registra la iniciativa y se remite a la Comisión Legislativa de Protección Ambiental y Cambio Climático, para su estudio y dictamen.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el punto número 14, el diputado Carlos Alberto López Imm, presenta en nombre del Grupo Parlamentario del Partido Verde Ecologista de México, Iniciativa con Proyecto de Decreto por el que se expide la Ley de Economía Circular del Estado de México y Municipios y se reforman diversas disposiciones al Código para la Biodiversidad del Estado de México, en materia de economía circular.</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 CARLOS ALBERTO LÓPEZ IMM. Con su permiso Presidenta.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Compañeras y compañeros que hoy nos acompañan.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El Grupo Parlamentario del Partido Verde Ecologista de México, presenta una Iniciativa que responde a uno de los desafíos más cruciales de nuestro tiempo, transformar la manera en que producimos, consumimos y gestionamos nuestros recursos.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Durante décadas el crecimiento económico mundial se ha basado en un modelo lineal, extraer, producir, consumir y desechar, un modelo que ha permitido avances industriales significativos pero que también ha generado costos ambientales cada vez más altos.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México la extracción de materiales se triplicó entre 1990 y el 2014, en el Estado de México esta presión sobre los recursos naturales, se refleja en problemas cada vez más evidentes, escases hídrica, contaminación de ríos y barrancas y una generación creciente de residuos.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Actualmente en nuestra Entidad se genera más de 16 mil toneladas de residuos sólidos urbanos todos los días, lo que representa casi el 14% del total nacional; sin embargo, este volumen sólo una mínima parte logra reciclarse o aprovecharse adecuadamente, esto significa que miles de toneladas de materiales con valor económico terminan enterrados en rellenos sanitarios o abandonados en tiraderos clandestinos, generando contaminación, desperdicio de residuos y un alto costo para los municipios.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Frente a este escenario la economía circular representa una alternativa real y necesaria, la economía circular propone algo sencillo, pero profundamente transformador, mantener los materiales y productos en uso el mayor tiempo posible.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Reducir la generación de residuos, recuperar valor económico de los materiales y regenerar nuestros sistemas naturales, no se trata solamente de reciclar, se trata de repensar todo el </w:t>
      </w:r>
      <w:r w:rsidRPr="006A4BCA">
        <w:rPr>
          <w:rFonts w:ascii="Times New Roman" w:eastAsia="Times New Roman" w:hAnsi="Times New Roman" w:cs="Times New Roman"/>
          <w:sz w:val="24"/>
          <w:szCs w:val="24"/>
          <w:lang w:eastAsia="es-MX"/>
        </w:rPr>
        <w:t>c</w:t>
      </w:r>
      <w:r w:rsidRPr="006A4BCA">
        <w:rPr>
          <w:rFonts w:ascii="Times New Roman" w:hAnsi="Times New Roman" w:cs="Times New Roman"/>
          <w:sz w:val="24"/>
          <w:szCs w:val="24"/>
        </w:rPr>
        <w:t xml:space="preserve">iclo de vida de los productos desde su diseño, producción, consumo y hasta su recuperación.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Por ello, esta iniciativa propone crear la Ley de Economía Circular del Estado de México y sus municipios, armonizada con la recientemente publicada Ley General de Economía Circular, esta Ley establece principios básicos, instrumentos operativos y mecanismos de coordinación entre gobierno, sector productivo y sociedad, entre sus principales aportaciones destacan:</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1. La creación del Programa Estatal de Circulación de Economía Circular, que permitirá definir metas, indicadores y acciones concretas para avanzar hacia un modelo productivo más eficiente y sostenible.</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2. La evaluación de circularidad y el distintivo estatal de circularidad, instrumentos que </w:t>
      </w:r>
      <w:r w:rsidRPr="006A4BCA">
        <w:rPr>
          <w:rFonts w:ascii="Times New Roman" w:eastAsia="Times New Roman" w:hAnsi="Times New Roman" w:cs="Times New Roman"/>
          <w:sz w:val="24"/>
          <w:szCs w:val="24"/>
          <w:lang w:eastAsia="es-MX"/>
        </w:rPr>
        <w:t xml:space="preserve">permitirá medir y reconocer, </w:t>
      </w:r>
      <w:r w:rsidRPr="006A4BCA">
        <w:rPr>
          <w:rFonts w:ascii="Times New Roman" w:hAnsi="Times New Roman" w:cs="Times New Roman"/>
          <w:sz w:val="24"/>
          <w:szCs w:val="24"/>
        </w:rPr>
        <w:t xml:space="preserve">el desempeño ambiental de empresas, instituciones y municipios que adopten prácticas sostenibles.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hAnsi="Times New Roman" w:cs="Times New Roman"/>
          <w:sz w:val="24"/>
          <w:szCs w:val="24"/>
        </w:rPr>
        <w:t xml:space="preserve">3. La auditoría ambiental circular que fortalecerá los mecanismos de autorregulación empresarial y permitirá verificar el cumplimiento de metas de valorización y reducción de </w:t>
      </w:r>
      <w:r w:rsidRPr="006A4BCA">
        <w:rPr>
          <w:rFonts w:ascii="Times New Roman" w:eastAsia="Times New Roman" w:hAnsi="Times New Roman" w:cs="Times New Roman"/>
          <w:sz w:val="24"/>
          <w:szCs w:val="24"/>
          <w:lang w:eastAsia="es-MX"/>
        </w:rPr>
        <w:t xml:space="preserve">residuos.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4. La responsabilidad compartida, reconociendo que la transformación hacia una economía circular no es responsabilidad exclusiva del productor; sino que involucra también a distribuidores, consumidores, autoridades y sociedad en general.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lastRenderedPageBreak/>
        <w:t xml:space="preserve">Además, la iniciativa impulsa a la separación obligatoria de residuos desde su origen, promoviendo una clasificación clara entre residuos orgánicos, inorgánicos, reciclables e inorgánicos no reciclables.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Esto permitirá mejorar significativamente el aprovechamiento de los materiales, reduciendo la presión sobre los sistemas municipales de limpieza y disminuir la contaminación de suelos y cuerpos de agua; asimismo, la ley promueve el desarrollo de mecanismos de reciclaje, infraestructura de valoración y encadenamiento productivos, fortaleciendo la innovación tecnológica, el crecimiento económico y la generación de empleos verdes.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Compañeras y compañeros legisladores, la economía circular no es solamente una política ambiental, es también una estrategia de competitividad económica, innovación industrial y justicia ambiental.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Con esta iniciativa buscamos que el Estado de México, se coloque a la vanguardia nacional en políticas públicas de economía circular, fortaleciendo un desarrollo sostenible, el aprovechamiento eficiente de los recursos y la corresponsabilidad social.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Desde el Partido Verde, estamos comprometidos y convencidos de que el desarrollo económico y la protección del medio ambiente no son objetivos opuestos; sino metas que deben avanzar de la mano, porque cuidar nuestros recursos naturales no es solamente responsabilidad ambiental, es también una obligación con las futuras generaciones.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Por ello, solicitamos respetuosamente a esta Honorable Asamblea, su análisis y en su caso, aprobación de la presente iniciativa.</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Es cuanto Presidenta e integrantes de la Mesa Directiva. </w:t>
      </w:r>
    </w:p>
    <w:p w:rsidR="00842FF0" w:rsidRPr="006A4BCA" w:rsidRDefault="00842FF0" w:rsidP="002B30EE">
      <w:pPr>
        <w:pStyle w:val="Sinespaciado"/>
        <w:jc w:val="both"/>
        <w:rPr>
          <w:rFonts w:ascii="Times New Roman" w:hAnsi="Times New Roman" w:cs="Times New Roman"/>
          <w:sz w:val="24"/>
          <w:szCs w:val="24"/>
        </w:rPr>
      </w:pPr>
    </w:p>
    <w:p w:rsidR="00842FF0" w:rsidRPr="006A4BCA" w:rsidRDefault="00842FF0" w:rsidP="002B30EE">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842FF0" w:rsidRPr="006A4BCA" w:rsidRDefault="00842FF0" w:rsidP="002B30EE">
      <w:pPr>
        <w:spacing w:after="0" w:line="240" w:lineRule="auto"/>
        <w:jc w:val="center"/>
        <w:rPr>
          <w:rFonts w:ascii="Times New Roman" w:hAnsi="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GRUPO PARLAMENTARIO DEL PARTIDO VERDE ECOLOGISTA DE MEXICO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“2026. Año del Humanismo Mexicano en el Estado de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right"/>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Toluca de Lerdo, Estado de México, a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de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de 2026.</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MARTHA AZUCENA CAMACHO REYNOSO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PRESIDENTA DE LA MESA DIRECTIVA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LXII LEGISLATURA DEL H. PODER LEGISLATIVO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ESTADO LIBRE Y SOBERANO DE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 R E S E N T 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Honorable Asamblea: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rPr>
      </w:pPr>
      <w:r w:rsidRPr="006A4BCA">
        <w:rPr>
          <w:rFonts w:ascii="Times New Roman" w:eastAsia="Arial MT" w:hAnsi="Times New Roman" w:cs="Times New Roman"/>
          <w:sz w:val="24"/>
          <w:szCs w:val="24"/>
        </w:rPr>
        <w:t xml:space="preserve">Quienes suscriben </w:t>
      </w:r>
      <w:r w:rsidRPr="006A4BCA">
        <w:rPr>
          <w:rFonts w:ascii="Times New Roman" w:eastAsia="Arial MT" w:hAnsi="Times New Roman" w:cs="Times New Roman"/>
          <w:b/>
          <w:sz w:val="24"/>
          <w:szCs w:val="24"/>
        </w:rPr>
        <w:t>JOSÉ ALBERTO COUTTOLENC BUENTELLO</w:t>
      </w:r>
      <w:r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6A4BCA">
        <w:rPr>
          <w:rFonts w:ascii="Times New Roman" w:eastAsia="Arial MT" w:hAnsi="Times New Roman" w:cs="Times New Roman"/>
          <w:sz w:val="24"/>
          <w:szCs w:val="24"/>
        </w:rPr>
        <w:t xml:space="preserve">diputadas y diputados integrantes del </w:t>
      </w:r>
      <w:r w:rsidRPr="006A4BCA">
        <w:rPr>
          <w:rFonts w:ascii="Times New Roman" w:eastAsia="Arial MT" w:hAnsi="Times New Roman" w:cs="Times New Roman"/>
          <w:b/>
          <w:sz w:val="24"/>
          <w:szCs w:val="24"/>
        </w:rPr>
        <w:t xml:space="preserve">GRUPO PARLAMENTARIO DEL PARTIDO VERDE ECOLOGISTA DE MÉXICO </w:t>
      </w:r>
      <w:r w:rsidRPr="006A4BCA">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6A4BCA">
        <w:rPr>
          <w:rFonts w:ascii="Times New Roman" w:eastAsia="Arial MT" w:hAnsi="Times New Roman" w:cs="Times New Roman"/>
          <w:b/>
          <w:sz w:val="24"/>
          <w:szCs w:val="24"/>
        </w:rPr>
        <w:t xml:space="preserve">INICIATIVA CON PROYECTO DE DECRETO POR EL QUE SE </w:t>
      </w:r>
      <w:r w:rsidRPr="006A4BCA">
        <w:rPr>
          <w:rFonts w:ascii="Times New Roman" w:eastAsia="Arial MT" w:hAnsi="Times New Roman" w:cs="Times New Roman"/>
          <w:b/>
          <w:sz w:val="24"/>
          <w:szCs w:val="24"/>
        </w:rPr>
        <w:lastRenderedPageBreak/>
        <w:t xml:space="preserve">EXPIDE LA LEY DE ECONOMÍA CIRCULAR DEL ESTADO DE MÉXICO Y MUNICIPIOS ASÍ COMO LA REFORMA A DIVERSAS DISPOSICIONES DEL CÓDIGO PARA LA BIODIVERSIDAD DEL ESTADO DE MÉXICO EN MATERIA DE ECONOMÍA CIRCULAR, </w:t>
      </w:r>
      <w:r w:rsidRPr="006A4BCA">
        <w:rPr>
          <w:rFonts w:ascii="Times New Roman" w:eastAsia="Arial MT" w:hAnsi="Times New Roman" w:cs="Times New Roman"/>
          <w:sz w:val="24"/>
          <w:szCs w:val="24"/>
        </w:rPr>
        <w:t xml:space="preserve">con sustento en la </w:t>
      </w:r>
      <w:r w:rsidRPr="006A4BCA">
        <w:rPr>
          <w:rFonts w:ascii="Times New Roman" w:eastAsia="Arial MT" w:hAnsi="Times New Roman" w:cs="Times New Roman"/>
        </w:rPr>
        <w:t>siguiente: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EXPOSICIÓN DE MOTIVOS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Durante la última década, el consumo de materias primas ha alcanzado un ritmo que para algunos expertos comprometerá la capacidad del planeta si no se consigue cambiar el actual modelo de producción y consumo basado en la extracción de recursos naturales, usarlos y posteriormente desecharlos en algún sitio controlado —en el mejor de los casos—, modelo más conocido como economía lineal (EL).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i/>
          <w:sz w:val="24"/>
          <w:szCs w:val="24"/>
        </w:rPr>
      </w:pPr>
      <w:r w:rsidRPr="006A4BCA">
        <w:rPr>
          <w:rFonts w:ascii="Times New Roman" w:eastAsia="Arial MT" w:hAnsi="Times New Roman" w:cs="Times New Roman"/>
          <w:i/>
          <w:sz w:val="24"/>
          <w:szCs w:val="24"/>
        </w:rPr>
        <w:t>Desde la década de 1950, el desarrollo del mundo se ha basado en una economía lineal dependiente de la quema de combustibles fósiles, que prioriza la producción en serie de bienes y la sobreoferta de éstos en los mercados de consumo. En la mayoría de los casos, estos productos y sus partes son diseñados bajo criterios de obsolescencia programada o para un uso de corta vida útil -de un-solo-uso-, demandando un alto consumo de recursos naturales en su fabricación y a lo largo de su ciclo de vida, todo ello para satisfacer las necesidades de una población que se ha triplicado en 70 años y a la que se agregarán mil millones más de personas, en los próximos once años.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i/>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i/>
          <w:sz w:val="24"/>
          <w:szCs w:val="24"/>
        </w:rPr>
      </w:pPr>
      <w:r w:rsidRPr="006A4BCA">
        <w:rPr>
          <w:rFonts w:ascii="Times New Roman" w:eastAsia="Arial MT" w:hAnsi="Times New Roman" w:cs="Times New Roman"/>
          <w:i/>
          <w:sz w:val="24"/>
          <w:szCs w:val="24"/>
        </w:rPr>
        <w:t>De acuerdo con el Informe de la Situación del Medio Ambiente en México de la Secretaría de Medio Ambiente y Recursos Naturales del 2015, la extracción de materiales en México se triplicó entre 1990 y 2014 -minerales metales y no-metálicos-.</w:t>
      </w:r>
      <w:r w:rsidRPr="006A4BCA">
        <w:rPr>
          <w:rFonts w:ascii="Times New Roman" w:eastAsia="Arial MT" w:hAnsi="Times New Roman" w:cs="Times New Roman"/>
          <w:i/>
          <w:sz w:val="24"/>
          <w:szCs w:val="24"/>
          <w:vertAlign w:val="superscript"/>
        </w:rPr>
        <w:t>1</w:t>
      </w:r>
    </w:p>
    <w:p w:rsidR="002B30EE" w:rsidRPr="006A4BCA" w:rsidRDefault="002B30EE" w:rsidP="002B30EE">
      <w:pPr>
        <w:widowControl w:val="0"/>
        <w:autoSpaceDE w:val="0"/>
        <w:autoSpaceDN w:val="0"/>
        <w:spacing w:after="0" w:line="240" w:lineRule="auto"/>
        <w:rPr>
          <w:rFonts w:ascii="Times New Roman" w:eastAsia="Arial MT" w:hAnsi="Times New Roman" w:cs="Times New Roman"/>
          <w:i/>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Ante este escenario, la Economía Circular (EC) se presenta como la alternativa a un modelo lineal que permita responder a los desafíos del crecimiento económico y productivo actual. Ello se debe a que al respecto se promueve un flujo cíclico para la extracción, transformación, distribución, uso y recuperación de los materiales, así como la energía de productos y servicios disponibles en el mercado. La EC es una propuesta que tiene como objetivo, además de generar prosperidad económica, proteger el medio ambiente y prevenir la contaminación, facilitando así el desarrollo sostenible. Es por eso que este modelo es aplicable a todo el ciclo de vida de los productos.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w:t>
      </w:r>
      <w:r w:rsidRPr="006A4BCA">
        <w:rPr>
          <w:rFonts w:ascii="Times New Roman" w:eastAsia="Arial MT" w:hAnsi="Times New Roman" w:cs="Times New Roman"/>
          <w:sz w:val="20"/>
          <w:szCs w:val="24"/>
        </w:rPr>
        <w:t xml:space="preserve"> SEMARNAT, Bases para la elaboración de un diagnóstico de la estrategia nacional de economía circular en México, Gobierno de México, 2024. Pag. 11.</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450C25">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Economía Lineal</w:t>
      </w:r>
      <w:r w:rsidR="00450C25" w:rsidRPr="006A4BCA">
        <w:rPr>
          <w:rFonts w:ascii="Times New Roman" w:eastAsia="Arial MT" w:hAnsi="Times New Roman" w:cs="Times New Roman"/>
          <w:sz w:val="24"/>
          <w:szCs w:val="24"/>
        </w:rPr>
        <w:tab/>
      </w:r>
      <w:r w:rsidR="00450C25" w:rsidRPr="006A4BCA">
        <w:rPr>
          <w:rFonts w:ascii="Times New Roman" w:eastAsia="Arial MT" w:hAnsi="Times New Roman" w:cs="Times New Roman"/>
          <w:sz w:val="24"/>
          <w:szCs w:val="24"/>
        </w:rPr>
        <w:tab/>
      </w:r>
      <w:r w:rsidR="00450C25" w:rsidRPr="006A4BCA">
        <w:rPr>
          <w:rFonts w:ascii="Times New Roman" w:eastAsia="Arial MT" w:hAnsi="Times New Roman" w:cs="Times New Roman"/>
          <w:sz w:val="24"/>
          <w:szCs w:val="24"/>
        </w:rPr>
        <w:tab/>
      </w:r>
      <w:r w:rsidR="00450C25" w:rsidRPr="006A4BCA">
        <w:rPr>
          <w:rFonts w:ascii="Times New Roman" w:eastAsia="Arial MT" w:hAnsi="Times New Roman" w:cs="Times New Roman"/>
          <w:sz w:val="24"/>
          <w:szCs w:val="24"/>
        </w:rPr>
        <w:tab/>
      </w:r>
      <w:r w:rsidR="00450C25" w:rsidRPr="006A4BCA">
        <w:rPr>
          <w:rFonts w:ascii="Times New Roman" w:eastAsia="Arial MT" w:hAnsi="Times New Roman" w:cs="Times New Roman"/>
          <w:sz w:val="24"/>
          <w:szCs w:val="24"/>
        </w:rPr>
        <w:tab/>
      </w:r>
      <w:r w:rsidRPr="006A4BCA">
        <w:rPr>
          <w:rFonts w:ascii="Times New Roman" w:eastAsia="Arial MT" w:hAnsi="Times New Roman" w:cs="Times New Roman"/>
          <w:sz w:val="24"/>
          <w:szCs w:val="24"/>
        </w:rPr>
        <w:tab/>
        <w:t>Economía Circular</w:t>
      </w:r>
    </w:p>
    <w:p w:rsidR="000D33E7" w:rsidRPr="006A4BCA" w:rsidRDefault="000D33E7" w:rsidP="002B30EE">
      <w:pPr>
        <w:widowControl w:val="0"/>
        <w:autoSpaceDE w:val="0"/>
        <w:autoSpaceDN w:val="0"/>
        <w:spacing w:after="0" w:line="240" w:lineRule="auto"/>
        <w:rPr>
          <w:rFonts w:ascii="Times New Roman" w:eastAsia="Arial MT"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0"/>
        <w:gridCol w:w="3755"/>
      </w:tblGrid>
      <w:tr w:rsidR="000D33E7" w:rsidRPr="006A4BCA" w:rsidTr="00CC6CA9">
        <w:trPr>
          <w:jc w:val="center"/>
        </w:trPr>
        <w:tc>
          <w:tcPr>
            <w:tcW w:w="4697" w:type="dxa"/>
          </w:tcPr>
          <w:p w:rsidR="000D33E7" w:rsidRPr="006A4BCA" w:rsidRDefault="000D33E7" w:rsidP="002B30EE">
            <w:pPr>
              <w:widowControl w:val="0"/>
              <w:autoSpaceDE w:val="0"/>
              <w:autoSpaceDN w:val="0"/>
              <w:spacing w:line="240" w:lineRule="auto"/>
              <w:rPr>
                <w:rFonts w:ascii="Times New Roman" w:eastAsia="Arial MT" w:hAnsi="Times New Roman" w:cs="Times New Roman"/>
                <w:sz w:val="24"/>
                <w:szCs w:val="24"/>
              </w:rPr>
            </w:pPr>
            <w:r w:rsidRPr="006A4BCA">
              <w:rPr>
                <w:rFonts w:ascii="Times New Roman" w:eastAsia="Arial MT" w:hAnsi="Times New Roman" w:cs="Times New Roman"/>
                <w:noProof/>
                <w:sz w:val="24"/>
                <w:szCs w:val="24"/>
              </w:rPr>
              <w:drawing>
                <wp:anchor distT="0" distB="0" distL="0" distR="0" simplePos="0" relativeHeight="251660288" behindDoc="1" locked="0" layoutInCell="1" allowOverlap="1" wp14:anchorId="14424382" wp14:editId="4D24943D">
                  <wp:simplePos x="0" y="0"/>
                  <wp:positionH relativeFrom="page">
                    <wp:posOffset>72289</wp:posOffset>
                  </wp:positionH>
                  <wp:positionV relativeFrom="paragraph">
                    <wp:posOffset>446532</wp:posOffset>
                  </wp:positionV>
                  <wp:extent cx="3450590" cy="45974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3450590" cy="459740"/>
                          </a:xfrm>
                          <a:prstGeom prst="rect">
                            <a:avLst/>
                          </a:prstGeom>
                        </pic:spPr>
                      </pic:pic>
                    </a:graphicData>
                  </a:graphic>
                </wp:anchor>
              </w:drawing>
            </w:r>
          </w:p>
        </w:tc>
        <w:tc>
          <w:tcPr>
            <w:tcW w:w="4698" w:type="dxa"/>
          </w:tcPr>
          <w:p w:rsidR="000D33E7" w:rsidRPr="006A4BCA" w:rsidRDefault="000D33E7" w:rsidP="002B30EE">
            <w:pPr>
              <w:widowControl w:val="0"/>
              <w:autoSpaceDE w:val="0"/>
              <w:autoSpaceDN w:val="0"/>
              <w:spacing w:line="240" w:lineRule="auto"/>
              <w:rPr>
                <w:rFonts w:ascii="Times New Roman" w:eastAsia="Arial MT" w:hAnsi="Times New Roman" w:cs="Times New Roman"/>
                <w:sz w:val="24"/>
                <w:szCs w:val="24"/>
              </w:rPr>
            </w:pPr>
            <w:r w:rsidRPr="006A4BCA">
              <w:rPr>
                <w:rFonts w:ascii="Times New Roman" w:eastAsia="Arial MT" w:hAnsi="Times New Roman" w:cs="Times New Roman"/>
                <w:noProof/>
                <w:sz w:val="24"/>
                <w:szCs w:val="24"/>
              </w:rPr>
              <w:drawing>
                <wp:anchor distT="0" distB="0" distL="0" distR="0" simplePos="0" relativeHeight="251661312" behindDoc="1" locked="0" layoutInCell="1" allowOverlap="1" wp14:anchorId="0F57C2FA" wp14:editId="34DFA9FE">
                  <wp:simplePos x="0" y="0"/>
                  <wp:positionH relativeFrom="page">
                    <wp:posOffset>263347</wp:posOffset>
                  </wp:positionH>
                  <wp:positionV relativeFrom="paragraph">
                    <wp:posOffset>65837</wp:posOffset>
                  </wp:positionV>
                  <wp:extent cx="1872615" cy="118999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872615" cy="1189990"/>
                          </a:xfrm>
                          <a:prstGeom prst="rect">
                            <a:avLst/>
                          </a:prstGeom>
                        </pic:spPr>
                      </pic:pic>
                    </a:graphicData>
                  </a:graphic>
                </wp:anchor>
              </w:drawing>
            </w:r>
          </w:p>
        </w:tc>
      </w:tr>
    </w:tbl>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0"/>
          <w:szCs w:val="24"/>
        </w:rPr>
      </w:pPr>
      <w:r w:rsidRPr="006A4BCA">
        <w:rPr>
          <w:rFonts w:ascii="Times New Roman" w:eastAsia="Arial MT" w:hAnsi="Times New Roman" w:cs="Times New Roman"/>
          <w:sz w:val="20"/>
          <w:szCs w:val="24"/>
        </w:rPr>
        <w:t>Fuente: Bases para la elaboración de un diagnóstico de la estrategia nacional de economía circular en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lastRenderedPageBreak/>
        <w:t>En el Estado de México, la gestión de los residuos sólidos y la transición hacia modelos productivos sostenibles se han convertido en prioridad desde la llegada de la Maestra Delfina Gómez Álvarez como gobernadora de la entidad. Sin embargo, la ausencia de un marco legal estatal claro y moderno ha dificultado la creación de leyes sólidas y una buena coordinación entre los municipios, el gobierno estatal, el sector productivo y la sociedad.</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Estado de México es una entidad que destaca entre otros aspectos, dentro del rubro económico, ejemplo de ello lo demuestran los resultados que posicionan a la entidad como la segunda economía del país con el 9.1% del Producto Interno Bruto (PIB) Nacional, esto después de haber alcanzado el lugar 58 dentro del ranking mundial; destaca también por su liderazgo en cuatro industrias manufactureras así como su aportación a las actividades terciarias con el 66.8% al PIB total; no menos importante es de mencionarse el tercer lugar que ocupa en la captación de Inversión Extranjera directa donde más del 50% se invierte en la industria manufacturera misma que actualmente cuenta con más de 816 mil unidades económicas en la entidad.</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Sin embargo, y contrario a los resultados favorables que se han obtenido en el aspecto económico, en otros rubros, como lo es el aspecto hídrico, y pese a que el Estado de México posee el 1.05% del agua dulce total disponible en el país, las prácticas excesivas de extracción y lucro en la gestión del agua han provocado que la disponibilidad sea inferior a la media nacional, es decir, apenas 268 m³/hab/año, mientras que la media nacional es de 549 m³/hab/año, lo que posiciona al estado en penúltimo lugar nacional, únicamente superado por la Ciudad de México con 73 m³/hab/año. Además de la situación de contaminación de ríos, barrancas y arroyos diagnosticada en el Programa Hídrico Integral para el Estado de México 2024-2029.</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095DD7" w:rsidRPr="006A4BCA" w:rsidTr="00041263">
        <w:trPr>
          <w:jc w:val="center"/>
        </w:trPr>
        <w:tc>
          <w:tcPr>
            <w:tcW w:w="9395" w:type="dxa"/>
          </w:tcPr>
          <w:p w:rsidR="00CC6CA9" w:rsidRPr="006A4BCA" w:rsidRDefault="00CC6CA9" w:rsidP="002B30EE">
            <w:pPr>
              <w:widowControl w:val="0"/>
              <w:autoSpaceDE w:val="0"/>
              <w:autoSpaceDN w:val="0"/>
              <w:spacing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noProof/>
                <w:sz w:val="24"/>
                <w:szCs w:val="24"/>
              </w:rPr>
              <w:drawing>
                <wp:anchor distT="0" distB="0" distL="114300" distR="114300" simplePos="0" relativeHeight="251664384" behindDoc="0" locked="0" layoutInCell="1" allowOverlap="1" wp14:anchorId="05BCD986" wp14:editId="38F193DD">
                  <wp:simplePos x="0" y="0"/>
                  <wp:positionH relativeFrom="column">
                    <wp:posOffset>381356</wp:posOffset>
                  </wp:positionH>
                  <wp:positionV relativeFrom="paragraph">
                    <wp:posOffset>179705</wp:posOffset>
                  </wp:positionV>
                  <wp:extent cx="5307583" cy="2701637"/>
                  <wp:effectExtent l="0" t="0" r="7620" b="381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07583" cy="2701637"/>
                          </a:xfrm>
                          <a:prstGeom prst="rect">
                            <a:avLst/>
                          </a:prstGeom>
                        </pic:spPr>
                      </pic:pic>
                    </a:graphicData>
                  </a:graphic>
                </wp:anchor>
              </w:drawing>
            </w:r>
          </w:p>
          <w:p w:rsidR="00CC6CA9" w:rsidRPr="006A4BCA" w:rsidRDefault="00CC6CA9" w:rsidP="002B30EE">
            <w:pPr>
              <w:widowControl w:val="0"/>
              <w:autoSpaceDE w:val="0"/>
              <w:autoSpaceDN w:val="0"/>
              <w:spacing w:line="240" w:lineRule="auto"/>
              <w:jc w:val="both"/>
              <w:rPr>
                <w:rFonts w:ascii="Times New Roman" w:eastAsia="Arial MT" w:hAnsi="Times New Roman" w:cs="Times New Roman"/>
                <w:sz w:val="24"/>
                <w:szCs w:val="24"/>
              </w:rPr>
            </w:pPr>
          </w:p>
        </w:tc>
      </w:tr>
    </w:tbl>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Por si esto no fuera suficiente, a esta adversidad hídrica se adhiere la problemática relacionada con la generación de más de 16 mil toneladas diarias de residuos sólidos urbanos (RSU), que representa casi el 14% de la generación nacional estimada, según el Diagnóstico Básico para la Gestión Integral de los Residuos Sólidos de la Secretaría de Medio Ambiente y Recursos Naturales (SEMARNAT), superando por más de dos veces a los estados de Jalisco (7,961), Michoacán (4,459) y Guanajuato (6,031). Además de las toneladas de residuos recibidas de la Ciudad de </w:t>
      </w:r>
      <w:r w:rsidRPr="006A4BCA">
        <w:rPr>
          <w:rFonts w:ascii="Times New Roman" w:eastAsia="Arial MT" w:hAnsi="Times New Roman" w:cs="Times New Roman"/>
          <w:sz w:val="24"/>
          <w:szCs w:val="24"/>
        </w:rPr>
        <w:lastRenderedPageBreak/>
        <w:t>México e Hidalgo.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cuanto a su composición, de estos, el 40% corresponde a residuos susceptibles de aprovechamiento, el 37% a residuos orgánicos y solo el 23% a “otros residuos”. De dicho volumen, apenas una fracción minoritaria se recicla o trata adecuadamente. Informes recientes señalan que solo alrededor del 11 % de los residuos son reciclados, tratados o acopiados adecuadamente de acuerdo al Plan de Desarrollo del Estado de México 2023- 2029.</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Esta falta de separación en fuente, la insuficiente infraestructura de reciclaje y valorización, así como la carencia de instrumentos de política pública específicos para consolidar la economía circular en la entidad, han generado altos costos ambientales que se han traducido en contaminación de suelos y cuerpos de agua, emisiones de gases de efecto invernadero, así como presión sobre los sistemas municipales de limpieza, que pueden disminuir si se transita de una economía lineal a una economía circular que permita aprovechar los materiales de los productos que usamos día con día.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siguiente gráfico muestra el acoplamiento existente entre el crecimiento de la economía nacional de las décadas recientes, con respecto a los costos ambientales asociados a las externalidades causadas por el modelo económico lineal y la fluctuación en las emisiones de Gases de Efecto Invernadero (GEI) que, si bien registra una reducción gradual desde 2017, mantiene una tendencia al alza en el largo plazo cercana al 20%, con respecto al año 2003.</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Modelo económico lineal contra costos ambientales.</w:t>
      </w:r>
    </w:p>
    <w:p w:rsidR="00CC6CA9" w:rsidRPr="006A4BCA" w:rsidRDefault="00CC6CA9" w:rsidP="002B30EE">
      <w:pPr>
        <w:widowControl w:val="0"/>
        <w:autoSpaceDE w:val="0"/>
        <w:autoSpaceDN w:val="0"/>
        <w:spacing w:after="0" w:line="240" w:lineRule="auto"/>
        <w:jc w:val="center"/>
        <w:rPr>
          <w:rFonts w:ascii="Times New Roman" w:eastAsia="Arial MT"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095DD7" w:rsidRPr="006A4BCA" w:rsidTr="00041263">
        <w:trPr>
          <w:jc w:val="center"/>
        </w:trPr>
        <w:tc>
          <w:tcPr>
            <w:tcW w:w="9395" w:type="dxa"/>
          </w:tcPr>
          <w:p w:rsidR="00CC6CA9" w:rsidRPr="006A4BCA" w:rsidRDefault="00CC6CA9" w:rsidP="00CC6CA9">
            <w:pPr>
              <w:widowControl w:val="0"/>
              <w:autoSpaceDE w:val="0"/>
              <w:autoSpaceDN w:val="0"/>
              <w:spacing w:line="240" w:lineRule="auto"/>
              <w:rPr>
                <w:rFonts w:ascii="Times New Roman" w:eastAsia="Arial MT" w:hAnsi="Times New Roman" w:cs="Times New Roman"/>
                <w:sz w:val="24"/>
                <w:szCs w:val="24"/>
              </w:rPr>
            </w:pPr>
          </w:p>
          <w:p w:rsidR="00CC6CA9" w:rsidRPr="006A4BCA" w:rsidRDefault="00CC6CA9" w:rsidP="00CC6CA9">
            <w:pPr>
              <w:widowControl w:val="0"/>
              <w:autoSpaceDE w:val="0"/>
              <w:autoSpaceDN w:val="0"/>
              <w:spacing w:line="240" w:lineRule="auto"/>
              <w:rPr>
                <w:rFonts w:ascii="Times New Roman" w:eastAsia="Arial MT" w:hAnsi="Times New Roman" w:cs="Times New Roman"/>
                <w:sz w:val="24"/>
                <w:szCs w:val="24"/>
              </w:rPr>
            </w:pPr>
            <w:r w:rsidRPr="006A4BCA">
              <w:rPr>
                <w:rFonts w:ascii="Times New Roman" w:eastAsia="Arial MT" w:hAnsi="Times New Roman" w:cs="Times New Roman"/>
                <w:noProof/>
              </w:rPr>
              <w:drawing>
                <wp:anchor distT="0" distB="0" distL="0" distR="0" simplePos="0" relativeHeight="251666432" behindDoc="1" locked="0" layoutInCell="1" allowOverlap="1" wp14:anchorId="07F21005" wp14:editId="6C5D5593">
                  <wp:simplePos x="0" y="0"/>
                  <wp:positionH relativeFrom="page">
                    <wp:posOffset>556489</wp:posOffset>
                  </wp:positionH>
                  <wp:positionV relativeFrom="paragraph">
                    <wp:posOffset>157455</wp:posOffset>
                  </wp:positionV>
                  <wp:extent cx="5129530" cy="2031365"/>
                  <wp:effectExtent l="0" t="0" r="0" b="6985"/>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129530" cy="2031365"/>
                          </a:xfrm>
                          <a:prstGeom prst="rect">
                            <a:avLst/>
                          </a:prstGeom>
                        </pic:spPr>
                      </pic:pic>
                    </a:graphicData>
                  </a:graphic>
                  <wp14:sizeRelH relativeFrom="margin">
                    <wp14:pctWidth>0</wp14:pctWidth>
                  </wp14:sizeRelH>
                  <wp14:sizeRelV relativeFrom="margin">
                    <wp14:pctHeight>0</wp14:pctHeight>
                  </wp14:sizeRelV>
                </wp:anchor>
              </w:drawing>
            </w:r>
          </w:p>
        </w:tc>
      </w:tr>
    </w:tbl>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Cs w:val="24"/>
        </w:rPr>
      </w:pPr>
      <w:r w:rsidRPr="006A4BCA">
        <w:rPr>
          <w:rFonts w:ascii="Times New Roman" w:eastAsia="Arial MT" w:hAnsi="Times New Roman" w:cs="Times New Roman"/>
          <w:szCs w:val="24"/>
        </w:rPr>
        <w:t>Fuente: SEMARNAT. Datos del Sistema de Cuentas Nacionales de México (INEGI) y el Inventario Nacional de Emisiones de Gases y Compuestos de Efecto Invernadero INEGYCEI (INECC 2021).</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Esto nos indica la necesidad urgente de transitar hacia una economía circular, no por moda o necesidad económica, sino por la sostenibilidad ambiental.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 nivel internacional, los compromisos asumidos por México en la Agenda 2030 y los Objetivos de Desarrollo Sostenible, particularmente los ODS 11 y 12, demandan acciones ineludibles. Estas acciones deben transformar los sistemas de producción y consumo lineales hacia modelos circulares que reduzcan la generación de residuos, fomenten la reutilización y aumenten los índices de reciclaje.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Instrumentos como el Acuerdo de París y estrategias nacionales de mitigación de cambio climático refuerzan la necesidad de integrar políticas de economía circular como parte de la reducción de emisiones y de la transición a una economía baja en carbono.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este marco, el 19 de enero de 2026 se promulgó en el Diario Oficial de la Federación la Ley General de Economía Circular en México, la cual, sienta las bases para políticas públicas vinculadas con producción sostenible, reducción y valorización de residuos, responsabilidad extendida y diseño de instrumentos económicos para todo el país que, junto con la Ley General para la Prevención y Gestión Integral de los Residuos, la Ley General del Equilibrio Ecológico y la Protección al Ambiente, da un marco jurídico muy importante para facilitar la implementación de políticas en favor de la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También, según el artículo cuarto transitorio de la Ley General de Economía Circular, las legislaturas de las entidades federativas deben ajustar y hacer compatible su legislación con lo que dice esta Ley General.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 bien este modelo es complejo, para acelerar esta transición será necesario establecer mecanismos, además del marco federal, a nivel estatal y municipal para implementar instrumentos o políticas habilitadoras de condiciones para la economía circular, tanto a pequeña escala como organizacional y regional. Ante este contexto, es urgente contar con una normativa estatal específica que complemente la legislación general, establezca obligaciones claras, metas progresivas y mecanismos de coordinación entre autoridades municipales, estatales, sector productivo y la sociedad mexiquense a efecto de transitar hacia la anhelada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 importante recordar que el Estado de México tiene la facultad de legislar en materia ambiental en concurrencia con la Federación en términos del artículo 73, fracción XXIX-G de la Constitución Política de los Estados Unidos Mexicanos, y cuenta con un marco amplio de protección al medio ambiente en el Código para la Biodiversidad del Estado de México que es necesario armonizar con un enfoque de circularidad.</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Algunas entidades federativas han avanzado en la incorporación de políticas de economía circular en su marco jurídico y programas. El ejemplo más cercano a nuestra entidad es la Ciudad de México con la Ley de Economía Circular de dicha metrópoli de 2022. Esta ley establece facultades de fomento y promoción. Define principios de la política y los instrumentos para incentivar la EC en la demarcación de la Ciudad de México, así como en sus dieciséis alcaldías. Fomenta la revalorización de los productos y materiales. Busca reducir el consumo de agua y energía. Además, adopta criterios y políticas de adquisiciones y contrataciones públicas por parte del Gobierno de la Ciudad de México que permitan ser armónicas con las disposiciones de esta ley y los principios de la EC.</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Un segundo ejemplo es la Ley para la Prevención, Gestión Integral y Economía Circular de los Residuos del Estado de Querétaro de 2021, la cual tiene por objeto regular la prevención y gestión integral de los residuos en el estado, bajo un enfoque de EC. Además, busca incrementar la productividad de los materiales de la industria, propiciar la regeneración de los recursos naturales, mitigar la liberación de GEI e impulsar el crecimiento económico con equidad social.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Y un tercer caso es la Ley para la Prevención, Gestión Integral y Economía Circular de los Residuos del Estado de Quintana Roo de 2019, conocida como la primera ley de residuos reformada para </w:t>
      </w:r>
      <w:r w:rsidRPr="006A4BCA">
        <w:rPr>
          <w:rFonts w:ascii="Times New Roman" w:eastAsia="Arial MT" w:hAnsi="Times New Roman" w:cs="Times New Roman"/>
          <w:sz w:val="24"/>
          <w:szCs w:val="24"/>
        </w:rPr>
        <w:lastRenderedPageBreak/>
        <w:t>incorporar el concepto y criterios vinculados a la EC en el país. El Título Tercero está dedicado al tema de Responsabilidad Extendida y Compartida.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Estas experiencias demuestran que mezclar reglas y programas con objetivos claros puede dar mejores resultados al conectar las políticas públicas con la situación real de los municipios y las habilidades de los sectores económico y social.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Dada esta situación, la Iniciativa sugiere crear una Ley de Economía Circular para el Estado de México y sus municipios, que esté alineada con las reglas del Código para la Biodiversidad del Estado de México. El propósito de esto es establecer: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543D5C">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Principios, objetivos y definiciones claras que orienten la política pública estatal de economía circular complementaria a la Ley General de Economía Circular. Y es que, si bien, se cuenta con disposiciones respecto a residuos sólidos en el Código para la Biodiversidad del Estado de México en su libro cuarto, dicha disposición normativa, presenta una brecha de integración ambiental-productiva, es decir, no incorpora de manera explícita el modelo de economía circular, por lo que con esta reforma se lograría reducir presión presupuestal para los gobiernos municipales, generar empleo verde, aumentar resiliencia económica y cumplir con la Ley General de Economía Circular de 2026.</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Así, se podrá avanzar hacia un modelo de economía circular que necesita no solo principios teóricos, sino también herramientas legales que permitan medir, motivar, supervisar y ajustar las prácticas de producción y consumo en el estado.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543D5C">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Incorporación de instrumentos estratégicos que permiten aterrizar la política pública de economía circular con enfoque preventivo, gradual y medible. Como ejemplo, se propone un Programa Estatal de Economía Circular, el cual funciona como instrumento rector de planeación, coordinación y ejecución de la política pública en la materia. Esto permite traducir los principios de la ley en metas cuantificables y acciones entre municipios, sector privado y sociedad. Para materializarlo, se propone: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42"/>
        </w:numPr>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La Evaluación de Circularidad como un instrumento técnico destinado a medir el desempeño circular de las unidades económicas.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42"/>
        </w:numPr>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Otorgar Distintivos de Circularidad como un mecanismo voluntario de reconocimiento público a las empresas, instituciones o municipios que acrediten niveles sobresalientes de desempeño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42"/>
        </w:numPr>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Fomentar la Auditoría Ambiental Circular para fortalecer la autorregulación empresarial y la corresponsabilidad ambiental sin invadir competencias federales.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42"/>
        </w:numPr>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Crear una figura de responsabilidad compartida para reconocer que la transición hacia la economía circular no recae exclusivamente en el productor, sino que involucra a distribuidores, comercializadores, consumidores y autoridades.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La integración de estos instrumentos, dota a la Ley de Economía Circular del Estado de México de una arquitectura normativa integral, capaz de transformar principios en acciones concretas que, además, logrando con ello posicionar al Estado de México como referente nacional en política </w:t>
      </w:r>
      <w:r w:rsidRPr="006A4BCA">
        <w:rPr>
          <w:rFonts w:ascii="Times New Roman" w:eastAsia="Arial MT" w:hAnsi="Times New Roman" w:cs="Times New Roman"/>
          <w:sz w:val="24"/>
          <w:szCs w:val="24"/>
        </w:rPr>
        <w:lastRenderedPageBreak/>
        <w:t>pública de economía circular, fortalece el desarrollo sostenible, la justicia ambiental y la responsabilidad social compartida.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Aunado a estos beneficios, resulta relevante exponer que las reglas, al ser bastante claras, tienen el propósito de facilitar y hacer operativa la recolección selectiva desde fuente. Es decir, de manera tripartita (orgánicos, inorgánicos reciclables e inorgánicos no reciclables). Esto permite incorporar principios de economía circular, trazabilidad y corresponsabilidad, sin invadir la competencia municipal prevista en el artículo 115 constitucional.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543D5C">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Previsión de atribuciones particulares para la Secretaría de Medio Ambiente y Desarrollo Sostenible, la Secretaría de Desarrollo Económico, la Secretaría del Trabajo y la Oficialía Mayor que construyan las condiciones que faciliten esta transición.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Esta iniciativa refleja el compromiso del Grupo Parlamentario del Partido Verde Ecologista de México con soluciones ambientales estructurales, basadas en ciencia, justicia ambiental y desarrollo sostenible, colocando al Estado de México en la vanguardia de políticas públicas de economía circular en el país. Desde el Partido Verde consideramos que no será posible consolidar un modelo de economía circular sin fomentar prácticas sostenibles en producción, consumo, pero sobre todo en el manejo de residuos sólidos, como es la separación en fuente, aprovechamiento biológico de orgánicos y reciclaje de inorgánicos.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 xml:space="preserve">Por lo anteriormente expuesto, fundamentado y motivado, se somete a consideración de este H. Congreso para su análisis, discusión y, en su caso, aprobación, la presente: </w:t>
      </w:r>
      <w:r w:rsidRPr="006A4BCA">
        <w:rPr>
          <w:rFonts w:ascii="Times New Roman" w:eastAsia="Arial MT" w:hAnsi="Times New Roman" w:cs="Times New Roman"/>
          <w:b/>
          <w:sz w:val="24"/>
          <w:szCs w:val="24"/>
        </w:rPr>
        <w:t>INICIATIVA CON PROYECTO DE DECRETO POR EL QUE SE EXPIDE LA LEY DE ECONOMÍA CIRCULAR DEL ESTADO DE MÉXICO Y MUNICIPIOS, ASÍ COMO LA REFORMA A DIVERSAS DISPOSICIONES DEL CÓDIGO PARA LA BIODIVERSIDAD DEL ESTADO DE MÉXICO EN MATERIA DE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 T E N T A M E N T E</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JOSÉ ALBERTO COUTTOLENC BUENTELLO</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COORDINADOR DEL GRUPO PARLAMENTARIO DEL</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PARTIDO VERDE ECOLOGISTA DE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543D5C" w:rsidRPr="006A4BCA" w:rsidRDefault="00543D5C"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DECRETO NÚMERO </w:t>
      </w:r>
      <w:r w:rsidRPr="006A4BCA">
        <w:rPr>
          <w:rFonts w:ascii="Times New Roman" w:eastAsia="Arial MT" w:hAnsi="Times New Roman" w:cs="Times New Roman"/>
          <w:sz w:val="24"/>
          <w:szCs w:val="24"/>
          <w:u w:val="thick"/>
        </w:rPr>
        <w:tab/>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LXII LEGISLATURA DEL ESTADO DE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DECRETA:</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PRIMERO. </w:t>
      </w:r>
      <w:r w:rsidRPr="006A4BCA">
        <w:rPr>
          <w:rFonts w:ascii="Times New Roman" w:eastAsia="Arial MT" w:hAnsi="Times New Roman" w:cs="Times New Roman"/>
          <w:sz w:val="24"/>
          <w:szCs w:val="24"/>
        </w:rPr>
        <w:t>– Se expide la Ley de Economía Circular del Estado de México y sus Municipios.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LEY DE ECONOMÍA CIRCULAR DEL ESTADO DE MÉXICO Y MUNICIPIOS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CAPÍTULO I</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OBJETO DE LA LEY</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 </w:t>
      </w:r>
      <w:r w:rsidRPr="006A4BCA">
        <w:rPr>
          <w:rFonts w:ascii="Times New Roman" w:eastAsia="Arial MT" w:hAnsi="Times New Roman" w:cs="Times New Roman"/>
          <w:sz w:val="24"/>
          <w:szCs w:val="24"/>
        </w:rPr>
        <w:t xml:space="preserve">La presente Ley es de orden público, interés social y de observancia general en el Estado de México. Tiene por objeto establecer las bases, principios, mecanismos e instrumentos que observarán las unidades económicas, el gobierno del estado y los municipios para la </w:t>
      </w:r>
      <w:r w:rsidRPr="006A4BCA">
        <w:rPr>
          <w:rFonts w:ascii="Times New Roman" w:eastAsia="Arial MT" w:hAnsi="Times New Roman" w:cs="Times New Roman"/>
          <w:sz w:val="24"/>
          <w:szCs w:val="24"/>
        </w:rPr>
        <w:lastRenderedPageBreak/>
        <w:t>implementación gradual de una economía circular en la entidad alineada con lo establecido en la Ley General de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 </w:t>
      </w:r>
      <w:r w:rsidRPr="006A4BCA">
        <w:rPr>
          <w:rFonts w:ascii="Times New Roman" w:eastAsia="Arial MT" w:hAnsi="Times New Roman" w:cs="Times New Roman"/>
          <w:sz w:val="24"/>
          <w:szCs w:val="24"/>
        </w:rPr>
        <w:t>Esta Ley tiene como objetivos particulares:</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Fomentar la transición gradual del Estado de México hacia una Economía Circular;</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la eficiencia en el uso de materiales, la restauración del capital natural, la valorización de residuos y la reducción progresiva de la disposición final;</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y fomentar el desarrollo tecnológico para la reducción, reutilización, reciclaje y recuperación de productos y sus residuos, basado en un esquema de economía circular;</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Fomentar una cultura de corresponsabilidad en la población, para desvincular el desarrollo económico de la generación de residuos y del excesivo consumo de recursos naturales; y</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Favorecer la transformación del Estado de México y sus municipios bajo criterios de sustentabilidad.</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 </w:t>
      </w:r>
      <w:r w:rsidRPr="006A4BCA">
        <w:rPr>
          <w:rFonts w:ascii="Times New Roman" w:eastAsia="Arial MT" w:hAnsi="Times New Roman" w:cs="Times New Roman"/>
          <w:sz w:val="24"/>
          <w:szCs w:val="24"/>
        </w:rPr>
        <w:t>Para los efectos de esta Ley se entiende por: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Aprovechamiento de Residuos: </w:t>
      </w:r>
      <w:r w:rsidRPr="006A4BCA">
        <w:rPr>
          <w:rFonts w:ascii="Times New Roman" w:eastAsia="Arial MT" w:hAnsi="Times New Roman" w:cs="Times New Roman"/>
          <w:sz w:val="24"/>
          <w:szCs w:val="24"/>
        </w:rPr>
        <w:t>Proceso mediante el cual, a través de un manejo integral de los residuos, se incorporan al ciclo económico y productivo materiales recuperados por medio de la reutilización, el reciclaje, la incineración, el compostaje o cualquier otra modalidad que conlleve beneficios sanitarios, ambientales y/o económicos;</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Ciclo de vida: </w:t>
      </w:r>
      <w:r w:rsidRPr="006A4BCA">
        <w:rPr>
          <w:rFonts w:ascii="Times New Roman" w:eastAsia="Arial MT" w:hAnsi="Times New Roman" w:cs="Times New Roman"/>
          <w:sz w:val="24"/>
          <w:szCs w:val="24"/>
        </w:rPr>
        <w:t>Espacio de tiempo caracterizado por las diferentes transformaciones de los productos o materiales para obtener una mercancía;</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Consumo responsable: </w:t>
      </w:r>
      <w:r w:rsidRPr="006A4BCA">
        <w:rPr>
          <w:rFonts w:ascii="Times New Roman" w:eastAsia="Arial MT" w:hAnsi="Times New Roman" w:cs="Times New Roman"/>
          <w:sz w:val="24"/>
          <w:szCs w:val="24"/>
        </w:rPr>
        <w:t>La satisfacción de necesidades y deseos, considerando las repercusiones y beneficios para la esfera individual, social y medioambiental;</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Economía Circular: </w:t>
      </w:r>
      <w:r w:rsidRPr="006A4BCA">
        <w:rPr>
          <w:rFonts w:ascii="Times New Roman" w:eastAsia="Arial MT" w:hAnsi="Times New Roman" w:cs="Times New Roman"/>
          <w:sz w:val="24"/>
          <w:szCs w:val="24"/>
        </w:rPr>
        <w:t>Modelo económico de producción y consumo sostenible que incluye soluciones sistémicas para el desarrollo económico, que disminuyen el impacto ambiental mediante ciclos técnicos y biológicos que permiten la permanencia y reintegración sustentable de los materiales de los productos a la economía, el cual tiene como principios rectores la disminución de residuos y la contaminación, mantener productos y materiales en uso, así como regenerar los sistemas naturales;</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Economía lineal: </w:t>
      </w:r>
      <w:r w:rsidRPr="006A4BCA">
        <w:rPr>
          <w:rFonts w:ascii="Times New Roman" w:eastAsia="Arial MT" w:hAnsi="Times New Roman" w:cs="Times New Roman"/>
          <w:sz w:val="24"/>
          <w:szCs w:val="24"/>
        </w:rPr>
        <w:t>Modelo económico que tiene ciclo rectilíneo, que es iniciado con la extracción de las materias primas, posteriormente el procesamiento y transformación en productos, su distribución y venta, su utilización y, finalmente, su desecho como residuos;</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Empleo verde: </w:t>
      </w:r>
      <w:r w:rsidRPr="006A4BCA">
        <w:rPr>
          <w:rFonts w:ascii="Times New Roman" w:eastAsia="Arial MT" w:hAnsi="Times New Roman" w:cs="Times New Roman"/>
          <w:sz w:val="24"/>
          <w:szCs w:val="24"/>
        </w:rPr>
        <w:t>Persona que se desarrolla en cualquier tipo de actividad económica que proteja y beneficie al medio ambiente o aproveche sustentablemente los recursos naturales mediante sus procesos productivos, la producción de bienes finales y acciones de prevención o disminución del daño ambiental;</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Organismo Operador: </w:t>
      </w:r>
      <w:r w:rsidRPr="006A4BCA">
        <w:rPr>
          <w:rFonts w:ascii="Times New Roman" w:eastAsia="Arial MT" w:hAnsi="Times New Roman" w:cs="Times New Roman"/>
          <w:sz w:val="24"/>
          <w:szCs w:val="24"/>
        </w:rPr>
        <w:t xml:space="preserve">El ente asociativo independiente, de carácter privado, que tiene </w:t>
      </w:r>
      <w:r w:rsidRPr="006A4BCA">
        <w:rPr>
          <w:rFonts w:ascii="Times New Roman" w:eastAsia="Arial MT" w:hAnsi="Times New Roman" w:cs="Times New Roman"/>
          <w:sz w:val="24"/>
          <w:szCs w:val="24"/>
        </w:rPr>
        <w:lastRenderedPageBreak/>
        <w:t>como actividad esencial la implementación de actividades o procesos relacionados con la Economía Circular;</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Responsabilidad compartida: </w:t>
      </w:r>
      <w:r w:rsidRPr="006A4BCA">
        <w:rPr>
          <w:rFonts w:ascii="Times New Roman" w:eastAsia="Arial MT" w:hAnsi="Times New Roman" w:cs="Times New Roman"/>
          <w:sz w:val="24"/>
          <w:szCs w:val="24"/>
        </w:rPr>
        <w:t>Consiste en la gestión y manejo integral de los residuos mediante la corresponsabilidad social y complementaria a la responsabilidad extendida del productor y los sistemas de gestión aplicables; en su ejecución participarán de manera conjunta, coordinada y diferenciada, productores, distribuidores, consumidores y usuarios, bajo un esquema de factibilidad y eficiencia ambiental, tecnológica, económica y social;</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Valorización: </w:t>
      </w:r>
      <w:r w:rsidRPr="006A4BCA">
        <w:rPr>
          <w:rFonts w:ascii="Times New Roman" w:eastAsia="Arial MT" w:hAnsi="Times New Roman" w:cs="Times New Roman"/>
          <w:sz w:val="24"/>
          <w:szCs w:val="24"/>
        </w:rPr>
        <w:t>Principio y conjunto de acciones asociadas cuyo objetivo es recuperar el valor remanente o el contenido energético de los materiales que componen los residuos, mediante su reincorporación en los procesos productivos, bajo criterios de eficiencia ambiental, tecnológica y económica;</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Secretaría: </w:t>
      </w:r>
      <w:r w:rsidRPr="006A4BCA">
        <w:rPr>
          <w:rFonts w:ascii="Times New Roman" w:eastAsia="Arial MT" w:hAnsi="Times New Roman" w:cs="Times New Roman"/>
          <w:sz w:val="24"/>
          <w:szCs w:val="24"/>
        </w:rPr>
        <w:t>A la Secretaría de Desarrollo Económico del Estado de México;</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Secretaría de Finanzas: </w:t>
      </w:r>
      <w:r w:rsidRPr="006A4BCA">
        <w:rPr>
          <w:rFonts w:ascii="Times New Roman" w:eastAsia="Arial MT" w:hAnsi="Times New Roman" w:cs="Times New Roman"/>
          <w:sz w:val="24"/>
          <w:szCs w:val="24"/>
        </w:rPr>
        <w:t>A la Secretaría de Finanzas del Estado de México;</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Secretaría del Medio Ambiente: </w:t>
      </w:r>
      <w:r w:rsidRPr="006A4BCA">
        <w:rPr>
          <w:rFonts w:ascii="Times New Roman" w:eastAsia="Arial MT" w:hAnsi="Times New Roman" w:cs="Times New Roman"/>
          <w:sz w:val="24"/>
          <w:szCs w:val="24"/>
        </w:rPr>
        <w:t>A la Secretaría del Medio Ambiente y Desarrollo Sostenible del Estado de México; y</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 </w:t>
      </w:r>
      <w:r w:rsidRPr="006A4BCA">
        <w:rPr>
          <w:rFonts w:ascii="Times New Roman" w:eastAsia="Arial MT" w:hAnsi="Times New Roman" w:cs="Times New Roman"/>
          <w:sz w:val="24"/>
          <w:szCs w:val="24"/>
        </w:rPr>
        <w:t>La política estatal en materia de economía circular se regirá por los principios y criterios establecidos por la Ley General de Economía Circular y un modelo que:</w:t>
      </w:r>
    </w:p>
    <w:p w:rsidR="00AA4C7B" w:rsidRPr="006A4BCA" w:rsidRDefault="00AA4C7B"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Priorice la prevención y reducción en la generación;</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Promueva la reutilización y reparación de bienes;</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Fomente la remanufactura y el reciclaje;</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Impulse la recuperación de materiales y energía cuando no sea posible su reaprovechamiento directo;</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Desincentive la disposición final como destino principal.</w:t>
      </w: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AA4C7B">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CAPÍTULO II</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ATRIBUCIONES, DISTRIBUCIÓN DE COMPETENCIAS Y COORDINACIÓN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 </w:t>
      </w:r>
      <w:r w:rsidRPr="006A4BCA">
        <w:rPr>
          <w:rFonts w:ascii="Times New Roman" w:eastAsia="Arial MT" w:hAnsi="Times New Roman" w:cs="Times New Roman"/>
          <w:sz w:val="24"/>
          <w:szCs w:val="24"/>
        </w:rPr>
        <w:t>Las Dependencias y Entidades del Gobierno, así como los municipios, ejercerán sus atribuciones en materia de Economía Circular, de conformidad con la distribución de competencias prevista en esta Ley, la Ley General de Economía Circular y en demás ordenamientos legales aplicables.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6. </w:t>
      </w:r>
      <w:r w:rsidRPr="006A4BCA">
        <w:rPr>
          <w:rFonts w:ascii="Times New Roman" w:eastAsia="Arial MT" w:hAnsi="Times New Roman" w:cs="Times New Roman"/>
          <w:sz w:val="24"/>
          <w:szCs w:val="24"/>
        </w:rPr>
        <w:t>Corresponden al titular del Poder Ejecutivo del Estado las siguientes atribuciones:</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Formular y conducir la política estatal en materia de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Expedir el Plan de Desarrollo Estatal considerando la implementación de la Economía </w:t>
      </w:r>
      <w:r w:rsidRPr="006A4BCA">
        <w:rPr>
          <w:rFonts w:ascii="Times New Roman" w:eastAsia="Arial MT" w:hAnsi="Times New Roman" w:cs="Times New Roman"/>
          <w:sz w:val="24"/>
          <w:szCs w:val="24"/>
        </w:rPr>
        <w:lastRenderedPageBreak/>
        <w:t>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Aprobar el Programa Estatal de Economía Circular conforme a los objetivos y principios establecidos en la presente ley y en la Ley General de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Suscribir convenios de colaboración, concertación y coordinación para el fomento y desarrollo de la Economía Circular, con el Gobierno Federal, Entidades Federativas, municipios, sector privado y/o sector académico;</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la innovación, investigación, desarrollo y aplicación de tecnologías, equipos, materiales, sistemas y procesos que fomenten la Economía Circular, incluyendo la infraestructura necesaria con el apoyo de inversionistas y representantes de los sectores privado y social;</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el establecimiento y aplicación de instrumentos económicos, fiscales y financieros, que tengan por objeto facilitar la transición y ejecución de la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el establecimiento de incentivos económicos, fiscales o administrativos que fomenten: la adopción de tecnologías limpias, la valorización de materiales, la inversión en infraestructura de reciclaje, la generación de materias primas secundarias.</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demás que se establezcan en esta ley y otros ordenamientos legales aplicables.</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7. </w:t>
      </w:r>
      <w:r w:rsidRPr="006A4BCA">
        <w:rPr>
          <w:rFonts w:ascii="Times New Roman" w:eastAsia="Arial MT" w:hAnsi="Times New Roman" w:cs="Times New Roman"/>
          <w:sz w:val="24"/>
          <w:szCs w:val="24"/>
        </w:rPr>
        <w:t>Son facultades de la Secretaría:</w:t>
      </w:r>
    </w:p>
    <w:p w:rsidR="00337B3E" w:rsidRPr="006A4BCA" w:rsidRDefault="00337B3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Diseñar y elaborar, en coordinación con la Secretaría de Medio Ambiente y Desarrollo Sostenible, el Programa Estatal de Economía Circular, con la participación de todas las Dependencias de la entidad;</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Integrar los principios y criterios de Economía Circular en la formulación e instrumentación de la política en materia de desarrollo económico, competitividad, promoción y fomento a las inversiones;</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el desarrollo de las MIPYMES bajo los principios y criterios de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la creación de organismos operadores;</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Fomentar mercados de materias primas secundarias que permitan vincular a las distintas unidades económicas ofertantes y demandantes de dichas materias, promoviendo el encadenamiento en el marco de la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modelos de negocio, inversión y desarrollo económico basados en los criterios y principios de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Celebrar convenios y acuerdos con cámaras empresariales, comerciales y de otras actividades productivas, grupos y organizaciones privadas y sociales, para llevar a cabo acciones tendientes a transitar e impulsar la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Difundir, en coordinación y enlace con las cámaras, asociaciones y representaciones del sector empresarial, con la banca de desarrollo, cooperativas, sector social y otras instancias que </w:t>
      </w:r>
      <w:r w:rsidRPr="006A4BCA">
        <w:rPr>
          <w:rFonts w:ascii="Times New Roman" w:eastAsia="Arial MT" w:hAnsi="Times New Roman" w:cs="Times New Roman"/>
          <w:sz w:val="24"/>
          <w:szCs w:val="24"/>
        </w:rPr>
        <w:lastRenderedPageBreak/>
        <w:t>coadyuven al desarrollo económico del Estado, los objetivos, principios y enfoques de diseño de la presente Ley, su reglamento, entre otros;</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conjunto con los clústeres que representen los sectores estratégicos de la entidad, promover acciones que incluyan principios y criterios de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Contemplar periodos de transición para la adaptación gradual de los principios y criterios de economía circular en las cadenas productivas y de suministro;</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Brindar capacitaciones y asesorías a pequeños emprendimientos y MIPYMES, en materia de economía circular;</w:t>
      </w: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Coadyuvar con la Secretaría de Trabajo y la Secretaría del Medio Ambiente en la creación, fomento e impulso de empleos verdes y emprendimientos en materia de economía circular;</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en coordinación con las autoridades que correspondan la implementación de tecnologías que permitan eficientar el consumo de energía y agua, así́ como disminuir la generación de residuos, en mercados públicos y centros de abasto de la ciudad.</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337B3E">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demás que se establezcan en esta Ley y en los ordenamientos jurídicos que resulten aplicables.</w:t>
      </w:r>
    </w:p>
    <w:p w:rsidR="002B30EE" w:rsidRPr="006A4BCA" w:rsidRDefault="002B30EE" w:rsidP="00337B3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8.- </w:t>
      </w:r>
      <w:r w:rsidRPr="006A4BCA">
        <w:rPr>
          <w:rFonts w:ascii="Times New Roman" w:eastAsia="Arial MT" w:hAnsi="Times New Roman" w:cs="Times New Roman"/>
          <w:sz w:val="24"/>
          <w:szCs w:val="24"/>
        </w:rPr>
        <w:t>Corresponde a la Secretaría de Medio Ambiente y Desarrollo Sostenible las siguientes atribuciones:</w:t>
      </w:r>
    </w:p>
    <w:p w:rsidR="002B30EE" w:rsidRPr="006A4BCA" w:rsidRDefault="002B30EE" w:rsidP="00337B3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337B3E">
      <w:pPr>
        <w:widowControl w:val="0"/>
        <w:numPr>
          <w:ilvl w:val="1"/>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Integrar objetivos y principios de Economía Circular en la formulación e instrumentación de la política estatal en materia ambiental, incluida la cultura ambiental y la gestión integral de residuos;</w:t>
      </w:r>
    </w:p>
    <w:p w:rsidR="002B30EE" w:rsidRPr="006A4BCA" w:rsidRDefault="002B30EE" w:rsidP="00337B3E">
      <w:pPr>
        <w:widowControl w:val="0"/>
        <w:numPr>
          <w:ilvl w:val="1"/>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coordinación con la Secretaría de Desarrollo Económico, elaborar el Programa Estatal de Economía Circular;</w:t>
      </w:r>
    </w:p>
    <w:p w:rsidR="002B30EE" w:rsidRPr="006A4BCA" w:rsidRDefault="002B30EE" w:rsidP="00337B3E">
      <w:pPr>
        <w:widowControl w:val="0"/>
        <w:numPr>
          <w:ilvl w:val="1"/>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Asesorar, en coordinación con la Secretaría de Economía, a los municipios, dependencias o personas morales que así lo soliciten, en la integración de los principios de Economía Circular en sus planes municipales de residuos o proyectos locales;</w:t>
      </w:r>
    </w:p>
    <w:p w:rsidR="002B30EE" w:rsidRPr="006A4BCA" w:rsidRDefault="002B30EE" w:rsidP="00337B3E">
      <w:pPr>
        <w:widowControl w:val="0"/>
        <w:numPr>
          <w:ilvl w:val="1"/>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Diseñar, instrumentar y ejecutar campañas de comunicación dirigidas a promover la Economía Circular en la entidad, incluyendo información sobre la importancia de la separación de residuos para maximizar su aprovechamiento;</w:t>
      </w:r>
    </w:p>
    <w:p w:rsidR="002B30EE" w:rsidRPr="006A4BCA" w:rsidRDefault="002B30EE" w:rsidP="00337B3E">
      <w:pPr>
        <w:widowControl w:val="0"/>
        <w:numPr>
          <w:ilvl w:val="1"/>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Fomentar la creación y establecimiento de Organismos Operadores en el Estado, así como llevar a cabo su registro y difusión de sus acciones;</w:t>
      </w:r>
    </w:p>
    <w:p w:rsidR="002B30EE" w:rsidRPr="006A4BCA" w:rsidRDefault="002B30EE" w:rsidP="00337B3E">
      <w:pPr>
        <w:widowControl w:val="0"/>
        <w:numPr>
          <w:ilvl w:val="1"/>
          <w:numId w:val="38"/>
        </w:numPr>
        <w:autoSpaceDE w:val="0"/>
        <w:autoSpaceDN w:val="0"/>
        <w:spacing w:after="0" w:line="240" w:lineRule="auto"/>
        <w:ind w:left="0" w:firstLine="0"/>
        <w:jc w:val="both"/>
        <w:rPr>
          <w:rFonts w:ascii="Times New Roman" w:eastAsia="Arial MT" w:hAnsi="Times New Roman" w:cs="Times New Roman"/>
        </w:rPr>
      </w:pPr>
      <w:r w:rsidRPr="006A4BCA">
        <w:rPr>
          <w:rFonts w:ascii="Times New Roman" w:eastAsia="Arial MT" w:hAnsi="Times New Roman" w:cs="Times New Roman"/>
          <w:sz w:val="24"/>
          <w:szCs w:val="24"/>
        </w:rPr>
        <w:t xml:space="preserve">Promover el rediseño, reúso, reciclaje, compostaje, recuperación y el coprocesamiento y valorización energética en los casos que aplique, y en </w:t>
      </w:r>
      <w:r w:rsidRPr="006A4BCA">
        <w:rPr>
          <w:rFonts w:ascii="Times New Roman" w:eastAsia="Arial MT" w:hAnsi="Times New Roman" w:cs="Times New Roman"/>
        </w:rPr>
        <w:t>general el aprovechamiento de bienes, productos y servicios, con base en viabilidad ambiental, técnica y económica;</w:t>
      </w:r>
    </w:p>
    <w:p w:rsidR="002B30EE" w:rsidRPr="006A4BCA" w:rsidRDefault="002B30EE" w:rsidP="00337B3E">
      <w:pPr>
        <w:widowControl w:val="0"/>
        <w:numPr>
          <w:ilvl w:val="1"/>
          <w:numId w:val="3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demás que se establezcan en esta ley y en otros ordenamientos jurídicos aplicables.</w:t>
      </w:r>
    </w:p>
    <w:p w:rsidR="002B30EE" w:rsidRPr="006A4BCA" w:rsidRDefault="002B30EE" w:rsidP="00337B3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9. </w:t>
      </w:r>
      <w:r w:rsidRPr="006A4BCA">
        <w:rPr>
          <w:rFonts w:ascii="Times New Roman" w:eastAsia="Arial MT" w:hAnsi="Times New Roman" w:cs="Times New Roman"/>
          <w:sz w:val="24"/>
          <w:szCs w:val="24"/>
        </w:rPr>
        <w:t>Son atribuciones de la Oficialía Mayor del Gobierno del Estado las siguientes:</w:t>
      </w:r>
    </w:p>
    <w:p w:rsidR="002B30EE" w:rsidRPr="006A4BCA" w:rsidRDefault="002B30EE" w:rsidP="00D0344F">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D0344F">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Asegurar la inclusión de criterios de economía circular en las normas, lineamientos y criterios en materia presupuestal, en el ámbito de su competencia;</w:t>
      </w:r>
    </w:p>
    <w:p w:rsidR="002B30EE" w:rsidRPr="006A4BCA" w:rsidRDefault="002B30EE" w:rsidP="00D0344F">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D0344F">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Realizar las adecuaciones reglamentarias y administrativas necesarias a fin de que las adquisiciones y contrataciones que se realicen con el presupuesto del Estado estén alineadas con </w:t>
      </w:r>
      <w:r w:rsidRPr="006A4BCA">
        <w:rPr>
          <w:rFonts w:ascii="Times New Roman" w:eastAsia="Arial MT" w:hAnsi="Times New Roman" w:cs="Times New Roman"/>
          <w:sz w:val="24"/>
          <w:szCs w:val="24"/>
        </w:rPr>
        <w:lastRenderedPageBreak/>
        <w:t>las disposiciones y contenido de la presente Ley, y la normatividad que de esta emane, considerando compras públicas con criterios de durabilidad y reparabilidad;</w:t>
      </w:r>
    </w:p>
    <w:p w:rsidR="002B30EE" w:rsidRPr="006A4BCA" w:rsidRDefault="002B30EE" w:rsidP="00D0344F">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D0344F">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Incorporar los objetivos, principios y criterios de economía circular en el diseño, simplificación e innovación en los procesos administrativos internos que debe observar la administración pública, en el ámbito de su competencia;</w:t>
      </w:r>
    </w:p>
    <w:p w:rsidR="002B30EE" w:rsidRPr="006A4BCA" w:rsidRDefault="002B30EE" w:rsidP="00D0344F">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D0344F">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Considerar los objetivos, principios y enfoques de diseño contenidos en la presente Ley, así como los criterios de economía circular, en el establecimiento y regulación, en el ámbito de sus atribuciones, de las políticas generales de planeación de los servicios de publicidad, propaganda, difusión e información en medios de comunicación gubernamental y privados.</w:t>
      </w:r>
    </w:p>
    <w:p w:rsidR="002B30EE" w:rsidRPr="006A4BCA" w:rsidRDefault="002B30EE" w:rsidP="00D0344F">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10. </w:t>
      </w:r>
      <w:r w:rsidRPr="006A4BCA">
        <w:rPr>
          <w:rFonts w:ascii="Times New Roman" w:eastAsia="Arial MT" w:hAnsi="Times New Roman" w:cs="Times New Roman"/>
          <w:sz w:val="24"/>
          <w:szCs w:val="24"/>
        </w:rPr>
        <w:t>Son atribuciones de la Secretaría del Trabajo las siguientes:</w:t>
      </w:r>
    </w:p>
    <w:p w:rsidR="002B30EE" w:rsidRPr="006A4BCA" w:rsidRDefault="002B30EE" w:rsidP="00D0344F">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D0344F">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en coordinación con la Secretaría de Desarrollo Económico y la Secretaría del Medio Ambiente la creación de empleos verdes y cooperativas destinadas a la adopción de modelos de servicio, así como al rediseño, reducción, reúso, reparación, restauración, remanufactura, readaptación, reciclaje y recuperación de equipos y materiales;</w:t>
      </w:r>
    </w:p>
    <w:p w:rsidR="002B30EE" w:rsidRPr="006A4BCA" w:rsidRDefault="002B30EE" w:rsidP="00D0344F">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D0344F">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acciones, proyectos y talleres de capacitación, así como el desarrollo de estándares de competencia en actividades de rediseño, reducción, reúso, reparación, restauración, remanufactura, readaptación, reciclaje y otras que promuevan los principios y objetivos de la presente Ley.</w:t>
      </w:r>
    </w:p>
    <w:p w:rsidR="002B30EE" w:rsidRPr="006A4BCA" w:rsidRDefault="002B30EE" w:rsidP="00D0344F">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11. </w:t>
      </w:r>
      <w:r w:rsidRPr="006A4BCA">
        <w:rPr>
          <w:rFonts w:ascii="Times New Roman" w:eastAsia="Arial MT" w:hAnsi="Times New Roman" w:cs="Times New Roman"/>
          <w:sz w:val="24"/>
          <w:szCs w:val="24"/>
        </w:rPr>
        <w:t>Los municipios tienen las siguientes facultades relativas a la Economía Circular:</w:t>
      </w:r>
    </w:p>
    <w:p w:rsidR="00D0344F" w:rsidRPr="006A4BCA" w:rsidRDefault="00D0344F"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rPr>
      </w:pPr>
      <w:r w:rsidRPr="006A4BCA">
        <w:rPr>
          <w:rFonts w:ascii="Times New Roman" w:eastAsia="Arial MT" w:hAnsi="Times New Roman" w:cs="Times New Roman"/>
          <w:sz w:val="24"/>
          <w:szCs w:val="24"/>
        </w:rPr>
        <w:t>Participar, en coordinación con el Gobierno del Estado y los representantes de los distintos actores sociales, en la promoción de la Economía Circular;</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Incluir en sus planes municipales el tema de Economía Circular y especificar las acciones o proyectos que promoverán su implementación, que pueden incluir capacitaciones dirigidas al público en general o a grupos de atención prioritaria como grupos de recicladores;</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Solicitar capacitación a la Secretaría de Desarrollo Económico y la Secretaría de Medio Ambiente y Desarrollo Sostenible para la implementación de la Economía Circular en su demarcación;</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eventos, ferias, exposiciones o actividades que promuevan el mercado de materias primas secundarias y subproductos, así como desarrollar campañas en materia de Economía Circular;</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coordinación con la Secretaría de Medio Ambiente y Desarrollo Sostenible y demás instancias correspondientes, fortalecer las acciones de recolección selectiva, reciclaje, recuperación de residuos, reducción y disminución en el volumen de la disposición final. Promoviendo su separación de acuerdo a lo establecido en el Código Administrativo del Estado de México y difundiendo la importancia de la Economía Circular en la entidad para disminuir la contaminación de agua, aire y suelo;</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Suscribir convenios y acuerdos con las organizaciones empresariales, cooperativas, del </w:t>
      </w:r>
      <w:r w:rsidRPr="006A4BCA">
        <w:rPr>
          <w:rFonts w:ascii="Times New Roman" w:eastAsia="Arial MT" w:hAnsi="Times New Roman" w:cs="Times New Roman"/>
          <w:sz w:val="24"/>
          <w:szCs w:val="24"/>
        </w:rPr>
        <w:lastRenderedPageBreak/>
        <w:t>sector social y otras instancias que coadyuven al desarrollo económico y sustentable bajo los principios y criterios de economía circular;</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Brindar a la población información y capacitación, así como desarrollar campañas, en materia de economía circular;</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Difundir acciones de los organismos operadores; y</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D0344F">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demás que se establezcan en esta Ley y demás ordenamientos jurídicos aplicables.</w:t>
      </w:r>
    </w:p>
    <w:p w:rsidR="002B30EE" w:rsidRPr="006A4BCA" w:rsidRDefault="002B30EE" w:rsidP="00D0344F">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CAPÍTULO III</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 LOS INSTRUMENTOS ESTATALES DE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12. </w:t>
      </w:r>
      <w:r w:rsidRPr="006A4BCA">
        <w:rPr>
          <w:rFonts w:ascii="Times New Roman" w:eastAsia="Arial MT" w:hAnsi="Times New Roman" w:cs="Times New Roman"/>
          <w:sz w:val="24"/>
          <w:szCs w:val="24"/>
        </w:rPr>
        <w:t>Para los efectos de esta Ley, son instrumentos de fomento y transición a la economía circular:</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1"/>
          <w:numId w:val="35"/>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El Programa Estatal de Economía Circular;</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1"/>
          <w:numId w:val="35"/>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La Evaluación de Circularidad;</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1"/>
          <w:numId w:val="35"/>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El Distintivo de Circularidad;</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1"/>
          <w:numId w:val="35"/>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La Auditoría Ambiental Circular;</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1"/>
          <w:numId w:val="35"/>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Los Planes de Responsabilidad Compartida, y;</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1"/>
          <w:numId w:val="35"/>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Los Planes de Manejo.</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13. </w:t>
      </w:r>
      <w:r w:rsidRPr="006A4BCA">
        <w:rPr>
          <w:rFonts w:ascii="Times New Roman" w:eastAsia="Arial MT" w:hAnsi="Times New Roman" w:cs="Times New Roman"/>
          <w:sz w:val="24"/>
          <w:szCs w:val="24"/>
        </w:rPr>
        <w:t>La implementación de los instrumentos previstos en esta Ley deberá considerar esquemas diferenciados de cumplimiento para las MIPYMES.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Para tal efecto la autoridad podrá establecer:</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4"/>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Programas de auditoría ambiental simplificada.</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4"/>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Esquemas de autorregulación voluntaria.</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4"/>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Asistencia técnica para adopción de tecnologías circulares.</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4"/>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Periodos de transición para el cumplimiento de metas.</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SECCIÓN PRIMERA</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PROGRAMA ESTATAL DE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14. </w:t>
      </w:r>
      <w:r w:rsidRPr="006A4BCA">
        <w:rPr>
          <w:rFonts w:ascii="Times New Roman" w:eastAsia="Arial MT" w:hAnsi="Times New Roman" w:cs="Times New Roman"/>
          <w:sz w:val="24"/>
          <w:szCs w:val="24"/>
        </w:rPr>
        <w:t>El Programa Estatal de Economía Circular es un instrumento de planeación estratégica que establece las bases para el diseño y desarrollo de las políticas públicas orientadas a transitar hacia una economía circular en la entidad.</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Los objetivos del Programa Estatal de Economía Circular serán:</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lastRenderedPageBreak/>
        <w:t>Sentar las bases para que el Estado, las dependencias, los municipios y las personas físicas y morales se coordinen hacia una Economía Circular, con una visión de corto, mediano y largo plazo.</w:t>
      </w: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Establecer mecanismos de vinculación entre diferentes eslabones de la cadena de valor de manera eficiente, segura, permanente y sustentable.</w:t>
      </w: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Prever la generación de indicadores estadísticos, de monitoreo y de mejora, en materia de Economía Circular y promover su transversalidad con las demás políticas sectoriales en la entidad.</w:t>
      </w: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la creación de mecanismos económicos y financieros para el desarrollo de la Economía Circular.</w:t>
      </w: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rPr>
      </w:pPr>
      <w:r w:rsidRPr="006A4BCA">
        <w:rPr>
          <w:rFonts w:ascii="Times New Roman" w:eastAsia="Arial MT" w:hAnsi="Times New Roman" w:cs="Times New Roman"/>
          <w:sz w:val="24"/>
          <w:szCs w:val="24"/>
        </w:rPr>
        <w:t xml:space="preserve">Establecer políticas de aprovechamiento de residuos, incluyendo el reciclaje, reutilización y valorización energética, acompañado de campañas de </w:t>
      </w:r>
      <w:r w:rsidRPr="006A4BCA">
        <w:rPr>
          <w:rFonts w:ascii="Times New Roman" w:eastAsia="Arial MT" w:hAnsi="Times New Roman" w:cs="Times New Roman"/>
        </w:rPr>
        <w:t>comunicación dirigidas a mantener el valor de los productos, materiales y subproductos el mayor tiempo posible en la economía.</w:t>
      </w: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el uso, producción, distribución y adquisición de materiales, productos o servicios bajo principios y criterios de Economía Circular.</w:t>
      </w: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la inversión, la competitividad y la innovación tecnológica en los sectores económicos, así como promover la concientización ambiental en la población a partir de un consumo sostenible y acciones que promuevan la circularidad.</w:t>
      </w: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el desarrollo de parques industriales y clústeres productivos bajo principios de economía circular, en los cuales los subproductos o residuos de una unidad económica puedan ser utilizados como insumos de otras, favoreciendo esquemas de simbiosis industrial.</w:t>
      </w:r>
    </w:p>
    <w:p w:rsidR="002B30EE" w:rsidRPr="006A4BCA" w:rsidRDefault="002B30EE" w:rsidP="0002644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el desarrollo de infraestructura para la economía circular, incluyendo centros de transferencia, plantas de reciclaje, parques industriales circulares y centros de innovación para el aprovechamiento de materiales.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15. </w:t>
      </w:r>
      <w:r w:rsidRPr="006A4BCA">
        <w:rPr>
          <w:rFonts w:ascii="Times New Roman" w:eastAsia="Arial MT" w:hAnsi="Times New Roman" w:cs="Times New Roman"/>
          <w:sz w:val="24"/>
          <w:szCs w:val="24"/>
        </w:rPr>
        <w:t>El Programa Estatal de Economía Circular contendrá ejes, líneas de acción e indicadores de seguimiento y evaluación, con un enfoque transversal y sustentable, basado en los principios y criterios establecidos en la Ley General de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Como mínimo, contendrá los siguientes ejes:</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Consumo responsable;</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Aprovechamiento y valorización de residuos;</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Educación y economía circular;</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Apoyo a grupos de personas acopiadoras y recicladores;</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Mercados circulares;</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Inversiones, infraestructura y desarrollo económico;</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026445">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Uso eficiente de agua y energía.</w:t>
      </w:r>
    </w:p>
    <w:p w:rsidR="002B30EE" w:rsidRPr="006A4BCA" w:rsidRDefault="002B30EE" w:rsidP="0002644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16. </w:t>
      </w:r>
      <w:r w:rsidRPr="006A4BCA">
        <w:rPr>
          <w:rFonts w:ascii="Times New Roman" w:eastAsia="Arial MT" w:hAnsi="Times New Roman" w:cs="Times New Roman"/>
          <w:sz w:val="24"/>
          <w:szCs w:val="24"/>
        </w:rPr>
        <w:t>El Programa Estatal de Economía Circular será elaborado de manera conjunta por la Secretaría de Desarrollo Económico y la Secretaría de Medio Ambiente y Desarrollo Sostenible.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Para su elaboración, se considerará la participación de las dependencias del Estado, organismos operadores, quienes deberán emitir sus propuestas y recomendaciones de acciones que, con base </w:t>
      </w:r>
      <w:r w:rsidRPr="006A4BCA">
        <w:rPr>
          <w:rFonts w:ascii="Times New Roman" w:eastAsia="Arial MT" w:hAnsi="Times New Roman" w:cs="Times New Roman"/>
          <w:sz w:val="24"/>
          <w:szCs w:val="24"/>
        </w:rPr>
        <w:lastRenderedPageBreak/>
        <w:t>en sus atribuciones y responsabilidades, impulsen la implementación de la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Dicho programa deberá incluir como mínimo lo siguiente:</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Diagnóstico integral de circularidad en la entidad;</w:t>
      </w:r>
    </w:p>
    <w:p w:rsidR="002B30EE" w:rsidRPr="006A4BCA" w:rsidRDefault="002B30EE" w:rsidP="00F70F85">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Estrategia integral para la prevención de destrucción de valor económico, ambiental y social;</w:t>
      </w:r>
    </w:p>
    <w:p w:rsidR="002B30EE" w:rsidRPr="006A4BCA" w:rsidRDefault="002B30EE" w:rsidP="00F70F85">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Estrategia de vinculación entre los diferentes órdenes de gobierno y los diferentes organismos públicos y privados para coadyuvar en la implementación y ejecución de los programas;</w:t>
      </w:r>
    </w:p>
    <w:p w:rsidR="002B30EE" w:rsidRPr="006A4BCA" w:rsidRDefault="002B30EE" w:rsidP="00F70F85">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Estrategia de mitigación de huella ambiental y destrucción de valor, así como la de restitución del valor;</w:t>
      </w:r>
    </w:p>
    <w:p w:rsidR="002B30EE" w:rsidRPr="006A4BCA" w:rsidRDefault="002B30EE" w:rsidP="00F70F85">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Definición de objetivos, metas cuantitativas y líneas de acción;</w:t>
      </w:r>
    </w:p>
    <w:p w:rsidR="002B30EE" w:rsidRPr="006A4BCA" w:rsidRDefault="002B30EE" w:rsidP="00F70F85">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Mecanismos de actualización;</w:t>
      </w:r>
    </w:p>
    <w:p w:rsidR="002B30EE" w:rsidRPr="006A4BCA" w:rsidRDefault="002B30EE" w:rsidP="00F70F85">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Generación institucional de información e indicadores estadísticos, de control y de mejora, en materia de Economía Circular;</w:t>
      </w:r>
    </w:p>
    <w:p w:rsidR="002B30EE" w:rsidRPr="006A4BCA" w:rsidRDefault="002B30EE" w:rsidP="00F70F85">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Las demás que disponga la Secretaría.</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Para el desarrollo de indicadores, tanto la Secretaría de Desarrollo Económico como la Secretaría de Medio Ambiente y Desarrollo Sostenible considerarán mesas de trabajo con la participación del sector empresarial, social y académico, incluyendo representantes de las cadenas productivas. Dichos indicadores estarán basados en la información que actualmente se genera en la entidad, así como en estándares, buenas prácticas o lineamientos internacionales o certificaciones que permitan impulsar los criterios y principios de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Programa de Economía Circular del Estado de México será actualizado y aprobado cada seis años por la persona titular del Poder Ejecutivo y estará sometido a un proceso continuo de control y evaluación.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Podrá ser modificado o adicionado cuando se considere conveniente a propuesta de las dependencias involucradas en su elaboración, previa justificación.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SECCIÓN SEGUNDA</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 LA EVALUACIÓN DE CIRCULARIDAD ESTATAL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17. </w:t>
      </w:r>
      <w:r w:rsidRPr="006A4BCA">
        <w:rPr>
          <w:rFonts w:ascii="Times New Roman" w:eastAsia="Arial MT" w:hAnsi="Times New Roman" w:cs="Times New Roman"/>
          <w:sz w:val="24"/>
          <w:szCs w:val="24"/>
        </w:rPr>
        <w:t>La Evaluación de Circularidad Estatal es el instrumento técnico de medición del desempeño ambiental para las unidades económicas, instituciones públicas y municipios, respecto del uso eficiente de materiales, prevención de residuos, valorización, restauración del capital natural y trazabilidad.</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Evaluación tendrá carácter complementario al sistema nacional y no sustituirá certificaciones federales obligatorias.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18. </w:t>
      </w:r>
      <w:r w:rsidRPr="006A4BCA">
        <w:rPr>
          <w:rFonts w:ascii="Times New Roman" w:eastAsia="Arial MT" w:hAnsi="Times New Roman" w:cs="Times New Roman"/>
          <w:sz w:val="24"/>
          <w:szCs w:val="24"/>
        </w:rPr>
        <w:t>La Evaluación de Circularidad considerará al menos las siguientes dimensiones:</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Eficiencia material y uso de insumos reciclados;</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Prevención y reducción de residuos;</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Reutilización, reparación y remanufactura;</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Valorización y reciclaje;</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Eficiencia energética e hídrica;</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Restauración y compensación ambiental;</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Digitalización y reducción de consumo de papel.</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19. </w:t>
      </w:r>
      <w:r w:rsidRPr="006A4BCA">
        <w:rPr>
          <w:rFonts w:ascii="Times New Roman" w:eastAsia="Arial MT" w:hAnsi="Times New Roman" w:cs="Times New Roman"/>
          <w:sz w:val="24"/>
          <w:szCs w:val="24"/>
        </w:rPr>
        <w:t>Una vez presentada la solicitud de Evaluación de Circularidad, conforme a las bases, requisitos, formalidades, procedimientos y mecanismos que para tales efectos emita la Secretaría de Medio Ambiente y Desarrollo Sostenible, se dará a conocer a la unidad económica, institución pública o municipio interesado el grado de cumplimiento obtenido con base en las dimensiones de Circularidad establecidos por la misma Secretaría.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20. </w:t>
      </w:r>
      <w:r w:rsidRPr="006A4BCA">
        <w:rPr>
          <w:rFonts w:ascii="Times New Roman" w:eastAsia="Arial MT" w:hAnsi="Times New Roman" w:cs="Times New Roman"/>
          <w:sz w:val="24"/>
          <w:szCs w:val="24"/>
        </w:rPr>
        <w:t>Atendiendo el grado de cumplimiento de las dimensiones de circularidad, las unidades económicas, instituciones públicas o municipios interesados podrán ser candidatas a utilizar el distintivo de circularidad estatal.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21. </w:t>
      </w:r>
      <w:r w:rsidRPr="006A4BCA">
        <w:rPr>
          <w:rFonts w:ascii="Times New Roman" w:eastAsia="Arial MT" w:hAnsi="Times New Roman" w:cs="Times New Roman"/>
          <w:sz w:val="24"/>
          <w:szCs w:val="24"/>
        </w:rPr>
        <w:t>La Secretaría del Medio Ambiente y Desarrollo Sostenible podrá dar seguimiento a la información declarada por las unidades económicas, instituciones públicas o municipios interesados respecto al cumplimiento de las dimensiones de circularidad por parte de los procesos, productos y servicios que desarrollan, distribuyen o comercializan en el territorio del Estado en los términos establecidos por las disposiciones correspondientes.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22. </w:t>
      </w:r>
      <w:r w:rsidRPr="006A4BCA">
        <w:rPr>
          <w:rFonts w:ascii="Times New Roman" w:eastAsia="Arial MT" w:hAnsi="Times New Roman" w:cs="Times New Roman"/>
          <w:sz w:val="24"/>
          <w:szCs w:val="24"/>
        </w:rPr>
        <w:t>En aquellos casos que, por negligencia, dolo o mala fe, las unidades económicas, instituciones públicas o municipios interesados proporcionen información falsa en su evaluación, la misma quedará sin efecto, al igual que el distintivo que en su caso hubieran obtenido.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SECCIÓN TERCERA</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DISTINTIVO DE CIRCULARIDAD ESTATAL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23. </w:t>
      </w:r>
      <w:r w:rsidRPr="006A4BCA">
        <w:rPr>
          <w:rFonts w:ascii="Times New Roman" w:eastAsia="Arial MT" w:hAnsi="Times New Roman" w:cs="Times New Roman"/>
          <w:sz w:val="24"/>
          <w:szCs w:val="24"/>
        </w:rPr>
        <w:t>Las unidades económicas, instituciones públicas o municipios interesados y que se hayan sometido a la Evaluación de Circularidad Estatal y cuenten con los niveles de cumplimiento que para tal efecto se establezcan, podrán hacer uso del distintivo de circularidad estatal, colocándolo de manera visible en los procesos, productos y servicios evaluados, previa autorización de la autoridad correspondiente.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El Distintivo tendrá carácter voluntario y complementario al distintivo nacional.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24. </w:t>
      </w:r>
      <w:r w:rsidRPr="006A4BCA">
        <w:rPr>
          <w:rFonts w:ascii="Times New Roman" w:eastAsia="Arial MT" w:hAnsi="Times New Roman" w:cs="Times New Roman"/>
          <w:sz w:val="24"/>
          <w:szCs w:val="24"/>
        </w:rPr>
        <w:t>El distintivo de circularidad estatal contendrá el número de registro otorgado y la información que permita conocer el nivel de cumplimiento, con la finalidad de que sea fácilmente identificable por su potencial consumidor o usuario.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El Distintivo podrá otorgarse en los siguientes niveles:</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Nivel Básico;</w:t>
      </w:r>
    </w:p>
    <w:p w:rsidR="002B30EE" w:rsidRPr="006A4BCA" w:rsidRDefault="002B30EE" w:rsidP="00F70F85">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Nivel Avanzado;</w:t>
      </w:r>
    </w:p>
    <w:p w:rsidR="002B30EE" w:rsidRPr="006A4BCA" w:rsidRDefault="002B30EE" w:rsidP="00F70F85">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Nivel Excelencia Circular.</w:t>
      </w:r>
    </w:p>
    <w:p w:rsidR="002B30EE" w:rsidRPr="006A4BCA" w:rsidRDefault="002B30EE" w:rsidP="00F70F85">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Los rangos de puntuación serán establecidos reglamentariamente y deberán garantizar criterios objetivos y verificables.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El Distintivo no exime del cumplimiento de obligaciones ambientales.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25. </w:t>
      </w:r>
      <w:r w:rsidRPr="006A4BCA">
        <w:rPr>
          <w:rFonts w:ascii="Times New Roman" w:eastAsia="Arial MT" w:hAnsi="Times New Roman" w:cs="Times New Roman"/>
          <w:sz w:val="24"/>
          <w:szCs w:val="24"/>
        </w:rPr>
        <w:t>La vigencia de los distintivos de circularidad será de tres años, con posibilidad de renovarse, y estos no podrán ser empleados para fines distintos a los establecidos en la presente Ley u otra disposición aplicable.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SECCIÓN CUARTA</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PLANES DE RESPONSABILIDAD COMPARTIDA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26. </w:t>
      </w:r>
      <w:r w:rsidRPr="006A4BCA">
        <w:rPr>
          <w:rFonts w:ascii="Times New Roman" w:eastAsia="Arial MT" w:hAnsi="Times New Roman" w:cs="Times New Roman"/>
          <w:sz w:val="24"/>
          <w:szCs w:val="24"/>
        </w:rPr>
        <w:t>El Plan de Responsabilidad Compartida es el instrumento programático mediante el cual las unidades económicas que operen en el Estado de México, así como dependencias y entidades públicas estatales y municipales, establecerán acciones específicas para prevenir la generación de residuos, conservar el valor de materiales, fomentar la reutilización y valorización, y coadyuvar en la transición hacia la economía circular, en el ámbito de sus competencias y sin sustituir las obligaciones de responsabilidad extendida del productor previstas en la legislación federal.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27. </w:t>
      </w:r>
      <w:r w:rsidRPr="006A4BCA">
        <w:rPr>
          <w:rFonts w:ascii="Times New Roman" w:eastAsia="Arial MT" w:hAnsi="Times New Roman" w:cs="Times New Roman"/>
          <w:sz w:val="24"/>
          <w:szCs w:val="24"/>
        </w:rPr>
        <w:t>Estarán obligadas a presentar el Plan:</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F70F85">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unidades económicas clasificadas como grandes generadoras de residuos sólidos urbanos o de manejo especial en la entidad;</w:t>
      </w:r>
    </w:p>
    <w:p w:rsidR="002B30EE" w:rsidRPr="006A4BCA" w:rsidRDefault="002B30EE" w:rsidP="00F70F85">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unidades económicas cuya actividad productiva genere flujos prioritarios definidos por la Secretaría de Medio Ambiente y Desarrollo Sostenible;</w:t>
      </w:r>
    </w:p>
    <w:p w:rsidR="002B30EE" w:rsidRPr="006A4BCA" w:rsidRDefault="002B30EE" w:rsidP="00F70F85">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Los establecimientos industriales, comerciales o de servicios con impacto ambiental significativo conforme a lo establecido por la Secretaría de Medio Ambiente y Desarrollo Sostenible;</w:t>
      </w:r>
    </w:p>
    <w:p w:rsidR="002B30EE" w:rsidRPr="006A4BCA" w:rsidRDefault="002B30EE" w:rsidP="00F70F85">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Aquellas que voluntariamente deseen acceder a incentivos estatales de economía circular;</w:t>
      </w:r>
    </w:p>
    <w:p w:rsidR="002B30EE" w:rsidRPr="006A4BCA" w:rsidRDefault="002B30EE" w:rsidP="00F70F85">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Municipios en el ámbito de sus competencias;</w:t>
      </w:r>
    </w:p>
    <w:p w:rsidR="002B30EE" w:rsidRPr="006A4BCA" w:rsidRDefault="002B30EE" w:rsidP="00F70F85">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Dependencias y entidades públicas estatales.</w:t>
      </w:r>
    </w:p>
    <w:p w:rsidR="002B30EE" w:rsidRPr="006A4BCA" w:rsidRDefault="002B30EE" w:rsidP="00F70F85">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28. </w:t>
      </w:r>
      <w:r w:rsidRPr="006A4BCA">
        <w:rPr>
          <w:rFonts w:ascii="Times New Roman" w:eastAsia="Arial MT" w:hAnsi="Times New Roman" w:cs="Times New Roman"/>
          <w:sz w:val="24"/>
          <w:szCs w:val="24"/>
        </w:rPr>
        <w:t>La responsabilidad compartida abarcará:</w:t>
      </w:r>
    </w:p>
    <w:p w:rsidR="00F70F85" w:rsidRPr="006A4BCA" w:rsidRDefault="00F70F85" w:rsidP="00ED181A">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ED181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Prevención en el diseño de productos;</w:t>
      </w:r>
    </w:p>
    <w:p w:rsidR="002B30EE" w:rsidRPr="006A4BCA" w:rsidRDefault="002B30EE" w:rsidP="00ED181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Minimización de residuos;</w:t>
      </w:r>
    </w:p>
    <w:p w:rsidR="002B30EE" w:rsidRPr="006A4BCA" w:rsidRDefault="002B30EE" w:rsidP="00ED181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Separación en fuente;</w:t>
      </w:r>
    </w:p>
    <w:p w:rsidR="002B30EE" w:rsidRPr="006A4BCA" w:rsidRDefault="002B30EE" w:rsidP="00ED181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Reutilización y reparación;</w:t>
      </w:r>
    </w:p>
    <w:p w:rsidR="002B30EE" w:rsidRPr="006A4BCA" w:rsidRDefault="002B30EE" w:rsidP="00ED181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Valorización y reciclaje;</w:t>
      </w:r>
    </w:p>
    <w:p w:rsidR="002B30EE" w:rsidRPr="006A4BCA" w:rsidRDefault="002B30EE" w:rsidP="00ED181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Restauración ambiental cuando proceda;</w:t>
      </w:r>
    </w:p>
    <w:p w:rsidR="002B30EE" w:rsidRPr="006A4BCA" w:rsidRDefault="002B30EE" w:rsidP="00ED181A">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Información veraz al consumidor.</w:t>
      </w:r>
    </w:p>
    <w:p w:rsidR="002B30EE" w:rsidRPr="006A4BCA" w:rsidRDefault="002B30EE" w:rsidP="00ED181A">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29. </w:t>
      </w:r>
      <w:r w:rsidRPr="006A4BCA">
        <w:rPr>
          <w:rFonts w:ascii="Times New Roman" w:eastAsia="Arial MT" w:hAnsi="Times New Roman" w:cs="Times New Roman"/>
          <w:sz w:val="24"/>
          <w:szCs w:val="24"/>
        </w:rPr>
        <w:t>También deberán presentar el Plan de Responsabilidad Compartida aquellas personas físicas o morales que tengan como actividad la construcción, la demolición o que en su proceso generen residuos catalogados como residuos de la construcción de acuerdo con la normatividad aplicable.</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30. </w:t>
      </w:r>
      <w:r w:rsidRPr="006A4BCA">
        <w:rPr>
          <w:rFonts w:ascii="Times New Roman" w:eastAsia="Arial MT" w:hAnsi="Times New Roman" w:cs="Times New Roman"/>
          <w:sz w:val="24"/>
          <w:szCs w:val="24"/>
        </w:rPr>
        <w:t xml:space="preserve">Los Planes de responsabilidad compartida deben contener propuestas de mejora y </w:t>
      </w:r>
      <w:r w:rsidRPr="006A4BCA">
        <w:rPr>
          <w:rFonts w:ascii="Times New Roman" w:eastAsia="Arial MT" w:hAnsi="Times New Roman" w:cs="Times New Roman"/>
          <w:sz w:val="24"/>
          <w:szCs w:val="24"/>
        </w:rPr>
        <w:lastRenderedPageBreak/>
        <w:t>compensación ambiental, de activación económica, así como de acción social.</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Dichas propuestas deberán considerar como medios de incidencia en el sector, entre otros:</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Remediación de sitios contaminados;</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Implementación de infraestructura;</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Recuperación de espacios públicos;</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Remediación de sitios no controlados de disposición de residuos, en coordinación con las autoridades competentes en la materia.</w:t>
      </w:r>
    </w:p>
    <w:p w:rsidR="002B30EE" w:rsidRPr="006A4BCA" w:rsidRDefault="002B30EE" w:rsidP="00ED181A">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Apoyo para completar cadenas económicas mediante el desarrollo de tecnología, de redes logísticas o de centros de acopio;</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creación de mercados de subproductos; y</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Sistemas individuales de recuperación</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Metas verificables de recolección y valorización.</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31. </w:t>
      </w:r>
      <w:r w:rsidRPr="006A4BCA">
        <w:rPr>
          <w:rFonts w:ascii="Times New Roman" w:eastAsia="Arial MT" w:hAnsi="Times New Roman" w:cs="Times New Roman"/>
          <w:sz w:val="24"/>
          <w:szCs w:val="24"/>
        </w:rPr>
        <w:t>Las personas consumidoras deberán:</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numPr>
          <w:ilvl w:val="0"/>
          <w:numId w:val="43"/>
        </w:numPr>
        <w:autoSpaceDE w:val="0"/>
        <w:autoSpaceDN w:val="0"/>
        <w:spacing w:after="0" w:line="240" w:lineRule="auto"/>
        <w:ind w:left="851" w:hanging="85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Separar residuos en origen conforme a lo establecido en el Código Administrativo del Estado de México y la normativa municipal:</w:t>
      </w:r>
    </w:p>
    <w:p w:rsidR="002B30EE" w:rsidRPr="006A4BCA" w:rsidRDefault="002B30EE" w:rsidP="00ED181A">
      <w:pPr>
        <w:widowControl w:val="0"/>
        <w:numPr>
          <w:ilvl w:val="0"/>
          <w:numId w:val="43"/>
        </w:numPr>
        <w:autoSpaceDE w:val="0"/>
        <w:autoSpaceDN w:val="0"/>
        <w:spacing w:after="0" w:line="240" w:lineRule="auto"/>
        <w:ind w:left="851" w:hanging="85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Participar en sistemas de devolución cuanto existan;</w:t>
      </w:r>
    </w:p>
    <w:p w:rsidR="002B30EE" w:rsidRPr="006A4BCA" w:rsidRDefault="002B30EE" w:rsidP="00ED181A">
      <w:pPr>
        <w:widowControl w:val="0"/>
        <w:numPr>
          <w:ilvl w:val="0"/>
          <w:numId w:val="43"/>
        </w:numPr>
        <w:autoSpaceDE w:val="0"/>
        <w:autoSpaceDN w:val="0"/>
        <w:spacing w:after="0" w:line="240" w:lineRule="auto"/>
        <w:ind w:left="851" w:hanging="85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Adoptar prácticas de consumo responsable;</w:t>
      </w:r>
    </w:p>
    <w:p w:rsidR="002B30EE" w:rsidRPr="006A4BCA" w:rsidRDefault="002B30EE" w:rsidP="00ED181A">
      <w:pPr>
        <w:widowControl w:val="0"/>
        <w:numPr>
          <w:ilvl w:val="0"/>
          <w:numId w:val="43"/>
        </w:numPr>
        <w:autoSpaceDE w:val="0"/>
        <w:autoSpaceDN w:val="0"/>
        <w:spacing w:after="0" w:line="240" w:lineRule="auto"/>
        <w:ind w:left="851" w:hanging="851"/>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Evitar el abandono de residuos en espacios públicos.</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autoridad desarrollará campañas permanentes de educación ambiental.</w:t>
      </w:r>
    </w:p>
    <w:p w:rsidR="002B30EE" w:rsidRPr="006A4BCA" w:rsidRDefault="002B30EE" w:rsidP="00ED181A">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32. </w:t>
      </w:r>
      <w:r w:rsidRPr="006A4BCA">
        <w:rPr>
          <w:rFonts w:ascii="Times New Roman" w:eastAsia="Arial MT" w:hAnsi="Times New Roman" w:cs="Times New Roman"/>
          <w:sz w:val="24"/>
          <w:szCs w:val="24"/>
        </w:rPr>
        <w:t>Los municipios deberán:</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Implementar sistemas de separación obligatoria;</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Desarrollar infraestructura de reciclaje;</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Integrar centros de acopio;</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Incorporar metas de valorización en sus programas de gestión;</w:t>
      </w:r>
    </w:p>
    <w:p w:rsidR="005F2C33" w:rsidRPr="006A4BCA" w:rsidRDefault="005F2C33"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Reportar indicadores al sistema estatal de información de circularidad.</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SECCIÓN QUINTA</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 LA AUDITORÍA AMBIENTAL CIRCULAR</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33. </w:t>
      </w:r>
      <w:r w:rsidRPr="006A4BCA">
        <w:rPr>
          <w:rFonts w:ascii="Times New Roman" w:eastAsia="Arial MT" w:hAnsi="Times New Roman" w:cs="Times New Roman"/>
          <w:sz w:val="24"/>
          <w:szCs w:val="24"/>
        </w:rPr>
        <w:t>La Auditoría Ambiental Circular es el procedimiento técnico de verificación del cumplimiento de los indicadores de la Evaluación de Circularidad. La cual tendrá carácter:</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lastRenderedPageBreak/>
        <w:t>Voluntario en general;</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Obligatorio para grandes generadores de residuos sólidos urbanos, de manejo especial y para los gobiernos municipales;</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Condicionante para acceder a incentivos estatales.</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34. </w:t>
      </w:r>
      <w:r w:rsidRPr="006A4BCA">
        <w:rPr>
          <w:rFonts w:ascii="Times New Roman" w:eastAsia="Arial MT" w:hAnsi="Times New Roman" w:cs="Times New Roman"/>
          <w:sz w:val="24"/>
          <w:szCs w:val="24"/>
        </w:rPr>
        <w:t>La Auditoría podrá evaluar: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Trazabilidad de materiales;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Cumplimiento de metas de valorización;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Reducción progresiva de disposición final;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Implementación de planes de responsabilidad compartida en materias estatales;</w:t>
      </w:r>
    </w:p>
    <w:p w:rsidR="005F2C33" w:rsidRPr="006A4BCA" w:rsidRDefault="005F2C33" w:rsidP="005F2C33">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Sistemas de separación en origen.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No podrá invadir competencias federales en materia de residuos peligrosos ni sustituir auditorías federales obligatorias.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35. </w:t>
      </w:r>
      <w:r w:rsidRPr="006A4BCA">
        <w:rPr>
          <w:rFonts w:ascii="Times New Roman" w:eastAsia="Arial MT" w:hAnsi="Times New Roman" w:cs="Times New Roman"/>
          <w:sz w:val="24"/>
          <w:szCs w:val="24"/>
        </w:rPr>
        <w:t>La Auditoría deberá:</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Realizarse por auditores acreditados ante la Secretaría de Medio Ambiente y Desarrollo Sostenible;</w:t>
      </w:r>
    </w:p>
    <w:p w:rsidR="002B30EE" w:rsidRPr="006A4BCA" w:rsidRDefault="002B30EE" w:rsidP="002B30EE">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Garantizar derecho de audiencia;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Emitir dictamen técnico fundado y motivado;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Ser susceptible de recurso administrativo.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36. </w:t>
      </w:r>
      <w:r w:rsidRPr="006A4BCA">
        <w:rPr>
          <w:rFonts w:ascii="Times New Roman" w:eastAsia="Arial MT" w:hAnsi="Times New Roman" w:cs="Times New Roman"/>
          <w:sz w:val="24"/>
          <w:szCs w:val="24"/>
        </w:rPr>
        <w:t>La Evaluación de Circularidad Estatal y la Auditoría Ambiental Circular tendrán carácter complementario a las disposiciones federales y no podrán interpretarse como sustitución de las obligaciones previstas en la legislación general.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auditoría podrá verificar la trazabilidad digital de los materiales y residuos mediante el uso de manifiestos electrónicos registrados en el Sistema Estatal de Trazabilidad.</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SECCIÓN SEXTA</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 LOS PLANES DE MANEJO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37. </w:t>
      </w:r>
      <w:r w:rsidRPr="006A4BCA">
        <w:rPr>
          <w:rFonts w:ascii="Times New Roman" w:eastAsia="Arial MT" w:hAnsi="Times New Roman" w:cs="Times New Roman"/>
          <w:sz w:val="24"/>
          <w:szCs w:val="24"/>
        </w:rPr>
        <w:t>Los Planes de Manejo, al ser un instrumento cuyo objetivo es minimizar la generación y maximizar la valorización de residuos sólidos urbanos, residuos de manejo especial y residuos peligrosos específicos, bajo criterios de eficiencia ambiental, tecnológica, económica y social y diseñado bajo principios de responsabilidad compartida, se considera que impulsa y promueve la Economía Circular en la entidad.</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38. </w:t>
      </w:r>
      <w:r w:rsidRPr="006A4BCA">
        <w:rPr>
          <w:rFonts w:ascii="Times New Roman" w:eastAsia="Arial MT" w:hAnsi="Times New Roman" w:cs="Times New Roman"/>
          <w:sz w:val="24"/>
          <w:szCs w:val="24"/>
        </w:rPr>
        <w:t xml:space="preserve">Su registro, contenido y utilización se regirá bajo la normatividad aplicable en la </w:t>
      </w:r>
      <w:r w:rsidRPr="006A4BCA">
        <w:rPr>
          <w:rFonts w:ascii="Times New Roman" w:eastAsia="Arial MT" w:hAnsi="Times New Roman" w:cs="Times New Roman"/>
          <w:sz w:val="24"/>
          <w:szCs w:val="24"/>
        </w:rPr>
        <w:lastRenderedPageBreak/>
        <w:t>materia y se identificará su relación con los principios de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39. </w:t>
      </w:r>
      <w:r w:rsidRPr="006A4BCA">
        <w:rPr>
          <w:rFonts w:ascii="Times New Roman" w:eastAsia="Arial MT" w:hAnsi="Times New Roman" w:cs="Times New Roman"/>
          <w:sz w:val="24"/>
          <w:szCs w:val="24"/>
        </w:rPr>
        <w:t>La Secretaría brindará acceso a la información e instrumentos de Economía Circular contenidos en la presente Ley a los locatarios y/u oferentes de los Mercados Públicos, Mercados sobre Ruedas y Mercados Móviles en su modalidad de Tianguis, Bazares y complementarios.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40. </w:t>
      </w:r>
      <w:r w:rsidRPr="006A4BCA">
        <w:rPr>
          <w:rFonts w:ascii="Times New Roman" w:eastAsia="Arial MT" w:hAnsi="Times New Roman" w:cs="Times New Roman"/>
          <w:sz w:val="24"/>
          <w:szCs w:val="24"/>
        </w:rPr>
        <w:t>Las Dependencias y los municipios, en el ámbito de sus respectivas competencias, promoverán el desarrollo del mercado del reciclaje y generarán mecanismos para incrementar las tasas de recuperación de materiales reciclables, a través de la capacitación, otorgamiento de incentivos, profesionalización, entre otros.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41. </w:t>
      </w:r>
      <w:r w:rsidRPr="006A4BCA">
        <w:rPr>
          <w:rFonts w:ascii="Times New Roman" w:eastAsia="Arial MT" w:hAnsi="Times New Roman" w:cs="Times New Roman"/>
          <w:sz w:val="24"/>
          <w:szCs w:val="24"/>
        </w:rPr>
        <w:t>Los municipios en su ámbito territorial, en coordinación con las dependencias competentes, así como, en su caso, con el sector privado, deberán promover la creación de una red de recicladores, la cual será difundida entre la ciudadanía para el desarrollo del mercado del reciclaje.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CAPÍTULO IV</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 LA CULTURA DE LA ECONOMÍA CIRCULAR</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42. </w:t>
      </w:r>
      <w:r w:rsidRPr="006A4BCA">
        <w:rPr>
          <w:rFonts w:ascii="Times New Roman" w:eastAsia="Arial MT" w:hAnsi="Times New Roman" w:cs="Times New Roman"/>
          <w:sz w:val="24"/>
          <w:szCs w:val="24"/>
        </w:rPr>
        <w:t>El Gobierno del Estado y los municipios promoverán la participación de las personas físicas y morales para adoptar patrones de consumo sostenibles, incluyendo el consumo de bienes y productos susceptibles de ser reparados, remanufacturados, reutilizados, reciclados y aprovechados.</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43. </w:t>
      </w:r>
      <w:r w:rsidRPr="006A4BCA">
        <w:rPr>
          <w:rFonts w:ascii="Times New Roman" w:eastAsia="Arial MT" w:hAnsi="Times New Roman" w:cs="Times New Roman"/>
          <w:sz w:val="24"/>
          <w:szCs w:val="24"/>
        </w:rPr>
        <w:t>El Gobierno del Estado y los municipios, en coordinación con la Secretaría de Medio Ambiente y Desarrollo Sostenible, promoverán la transición de plásticos de un solo uso al uso de productos y materiales reciclables, reutilizables, compostables y aprovechables, incluyendo programas permanentes de separación y acopio de residuos.</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Del mismo modo, se implementarán campañas que promuevan la eficiencia en el uso de recursos como eficiencia energética, optimización de procesos y uso responsable del agua.</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Todas las dependencias del Estado deberán elaborar programas, proyectos o acciones que fomenten en la ciudadanía una cultura de Economía Circular, como el desarrollo de herramientas de información y capacitación a servidores públicos y públicos en general.</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44. </w:t>
      </w:r>
      <w:r w:rsidRPr="006A4BCA">
        <w:rPr>
          <w:rFonts w:ascii="Times New Roman" w:eastAsia="Arial MT" w:hAnsi="Times New Roman" w:cs="Times New Roman"/>
          <w:sz w:val="24"/>
          <w:szCs w:val="24"/>
        </w:rPr>
        <w:t>En la labor de comunicación y difusión de los instrumentos y acciones contempladas en esta Ley, la Secretaría de Medio Ambiente divulgará entre la población los beneficios, alcances y compromisos que implica la implementación de la Economía Circular en la entidad.</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45. </w:t>
      </w:r>
      <w:r w:rsidRPr="006A4BCA">
        <w:rPr>
          <w:rFonts w:ascii="Times New Roman" w:eastAsia="Arial MT" w:hAnsi="Times New Roman" w:cs="Times New Roman"/>
          <w:sz w:val="24"/>
          <w:szCs w:val="24"/>
        </w:rPr>
        <w:t>Al interior de la entidad, se promoverá el uso de las materias primas secundarias en procesos productivos de bienes o productos.</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46. </w:t>
      </w:r>
      <w:r w:rsidRPr="006A4BCA">
        <w:rPr>
          <w:rFonts w:ascii="Times New Roman" w:eastAsia="Arial MT" w:hAnsi="Times New Roman" w:cs="Times New Roman"/>
          <w:sz w:val="24"/>
          <w:szCs w:val="24"/>
        </w:rPr>
        <w:t>Los productos o subproductos que no sean susceptibles de reutilización, reparación, compostaje, reciclaje o de reincorporación a cadenas de valor, podrán utilizarse para transformarse en energía a través de procesos de valorización, conforme a la normatividad aplicable.</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47. </w:t>
      </w:r>
      <w:r w:rsidRPr="006A4BCA">
        <w:rPr>
          <w:rFonts w:ascii="Times New Roman" w:eastAsia="Arial MT" w:hAnsi="Times New Roman" w:cs="Times New Roman"/>
          <w:sz w:val="24"/>
          <w:szCs w:val="24"/>
        </w:rPr>
        <w:t xml:space="preserve">El Gobierno del Estado, sus dependencias y los Municipios podrán celebrar convenios y acuerdos con instituciones de Educación Superior públicas y privadas, centros de investigación, </w:t>
      </w:r>
      <w:r w:rsidRPr="006A4BCA">
        <w:rPr>
          <w:rFonts w:ascii="Times New Roman" w:eastAsia="Arial MT" w:hAnsi="Times New Roman" w:cs="Times New Roman"/>
          <w:sz w:val="24"/>
          <w:szCs w:val="24"/>
        </w:rPr>
        <w:lastRenderedPageBreak/>
        <w:t>organismos del sector público, social y privado, organizaciones no gubernamentales, así como especialistas en la materia, con el fin de desarrollar estudios e investigaciones que permitan eficientar los procesos de producción dentro de la economía circular.</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CAPÍTULO V</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SISTEMA DE INFORMACIÓN PÚBLICA DE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48. </w:t>
      </w:r>
      <w:r w:rsidRPr="006A4BCA">
        <w:rPr>
          <w:rFonts w:ascii="Times New Roman" w:eastAsia="Arial MT" w:hAnsi="Times New Roman" w:cs="Times New Roman"/>
          <w:sz w:val="24"/>
          <w:szCs w:val="24"/>
        </w:rPr>
        <w:t>Se crea el Sistema Estatal de Trazabilidad de Materiales y Residuos como una plataforma digital para el registro, seguimiento y validación de los flujos de materiales y residuos generados en el territorio del Estado de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Sistema tendrá por objeto:</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Garantizar la trazabilidad desde la generación, transporte, acopio, reciclaje, valorización o disposición final de los materiales o residuos.</w:t>
      </w:r>
    </w:p>
    <w:p w:rsidR="005F2C33" w:rsidRPr="006A4BCA" w:rsidRDefault="005F2C33"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Permitir la emisión y registro de manifiestos digitales de traslado de residuos.</w:t>
      </w:r>
    </w:p>
    <w:p w:rsidR="005F2C33" w:rsidRPr="006A4BCA" w:rsidRDefault="005F2C33"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Integrar información ambiental, estadística y de desempeño de circularidad.</w:t>
      </w:r>
    </w:p>
    <w:p w:rsidR="005F2C33" w:rsidRPr="006A4BCA" w:rsidRDefault="005F2C33" w:rsidP="005F2C3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5F2C3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Facilitar la verificación del cumplimiento de metas de valorización establecidas en la presente Ley.</w:t>
      </w:r>
    </w:p>
    <w:p w:rsidR="005F2C33" w:rsidRPr="006A4BCA" w:rsidRDefault="005F2C33" w:rsidP="005F2C33">
      <w:pPr>
        <w:pStyle w:val="Prrafodelista"/>
        <w:rPr>
          <w:rFonts w:ascii="Times New Roman" w:eastAsia="Arial MT" w:hAnsi="Times New Roman" w:cs="Times New Roman"/>
          <w:sz w:val="24"/>
          <w:szCs w:val="24"/>
        </w:rPr>
      </w:pPr>
    </w:p>
    <w:p w:rsidR="002B30EE" w:rsidRPr="006A4BCA" w:rsidRDefault="002B30EE" w:rsidP="005F2C3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Fortalecer la transparencia en la gestión de residuos y materias primas secundarias.</w:t>
      </w:r>
    </w:p>
    <w:p w:rsidR="002B30EE" w:rsidRPr="006A4BCA" w:rsidRDefault="002B30EE" w:rsidP="005F2C33">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49. </w:t>
      </w:r>
      <w:r w:rsidRPr="006A4BCA">
        <w:rPr>
          <w:rFonts w:ascii="Times New Roman" w:eastAsia="Arial MT" w:hAnsi="Times New Roman" w:cs="Times New Roman"/>
          <w:sz w:val="24"/>
          <w:szCs w:val="24"/>
        </w:rPr>
        <w:t>La Secretaría de Medio Ambiente y Desarrollo Sostenible podrá establecer mecanismos de interoperabilidad entre el Sistema Estatal de Trazabilidad y otras plataformas digitales federales o estatales.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Para efectos de trazabilidad de materiales, el sistema podrá vincularse con:</w:t>
      </w:r>
    </w:p>
    <w:p w:rsidR="002B30EE" w:rsidRPr="006A4BCA" w:rsidRDefault="002B30EE"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Sistemas de facturación electrónica o comprobantes fiscales digitales por internet (CFDI);</w:t>
      </w:r>
    </w:p>
    <w:p w:rsidR="00CC6B78" w:rsidRPr="006A4BCA" w:rsidRDefault="00CC6B78"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Registros de transporte o traslado de materiales;</w:t>
      </w:r>
    </w:p>
    <w:p w:rsidR="00CC6B78" w:rsidRPr="006A4BCA" w:rsidRDefault="00CC6B78"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Sistemas federales de información ambiental;</w:t>
      </w:r>
    </w:p>
    <w:p w:rsidR="00CC6B78" w:rsidRPr="006A4BCA" w:rsidRDefault="00CC6B78"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Registros de manejo, reciclaje o valorización de residuos.</w:t>
      </w:r>
    </w:p>
    <w:p w:rsidR="002B30EE" w:rsidRPr="006A4BCA" w:rsidRDefault="002B30EE"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Dicha interoperabilidad tendrá por objeto fortalecer la verificación del destino final de los materiales y evitar la simulación en la gestión de residuos.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50. </w:t>
      </w:r>
      <w:r w:rsidRPr="006A4BCA">
        <w:rPr>
          <w:rFonts w:ascii="Times New Roman" w:eastAsia="Arial MT" w:hAnsi="Times New Roman" w:cs="Times New Roman"/>
          <w:sz w:val="24"/>
          <w:szCs w:val="24"/>
        </w:rPr>
        <w:t>El Certificado de Valorización Circular es el documento electrónico mediante el cual se acredita que un material o residuo ha sido sometido a procesos de reutilización, reciclaje, regeneración o valorización que permiten su reincorporación como materia prima secundaria.</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Este certificado deberá:</w:t>
      </w:r>
    </w:p>
    <w:p w:rsidR="00CC6B78" w:rsidRPr="006A4BCA" w:rsidRDefault="00CC6B78"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Emitirse por prestadores de servicios autorizados.</w:t>
      </w:r>
    </w:p>
    <w:p w:rsidR="00CC6B78" w:rsidRPr="006A4BCA" w:rsidRDefault="00CC6B78"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Registrarse en el Sistema Estatal de Trazabilidad.</w:t>
      </w:r>
    </w:p>
    <w:p w:rsidR="00CC6B78" w:rsidRPr="006A4BCA" w:rsidRDefault="00CC6B78"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Permitir verificar el volumen de materiales valorizados.</w:t>
      </w:r>
    </w:p>
    <w:p w:rsidR="00CC6B78" w:rsidRPr="006A4BCA" w:rsidRDefault="00CC6B78" w:rsidP="00CC6B78">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C6B7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Servir como evidencia para acceder a incentivos o programas de economía circular.</w:t>
      </w:r>
    </w:p>
    <w:p w:rsidR="002B30EE" w:rsidRPr="006A4BCA" w:rsidRDefault="002B30EE" w:rsidP="00CC6B78">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CAPÍTULO VI</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 LA RESPONSABILIDAD SOCIAL</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51. </w:t>
      </w:r>
      <w:r w:rsidRPr="006A4BCA">
        <w:rPr>
          <w:rFonts w:ascii="Times New Roman" w:eastAsia="Arial MT" w:hAnsi="Times New Roman" w:cs="Times New Roman"/>
          <w:sz w:val="24"/>
          <w:szCs w:val="24"/>
        </w:rPr>
        <w:t>La población deberá, en la medida de lo posible, realizar lo siguiente:</w:t>
      </w:r>
    </w:p>
    <w:p w:rsidR="002B30EE" w:rsidRPr="006A4BCA" w:rsidRDefault="002B30EE"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Priorizar el reúso, reparación, restauración, remanufactura y reciclaje de los productos, sobre la disposición final de los mismos;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Realizar un consumo responsable, informado y sostenible de productos, prefiriendo aquellos que sean duraderos y promuevan el uso eficiente del agua y la energía, y evitando aquellos de un solo uso;</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Reducir la generación de residuos y el desperdicio de agua, de energía, productos y alimentos;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Optar por esquemas de adopción de modelos de servicio y mercados de reúso e intercambio, y</w:t>
      </w:r>
    </w:p>
    <w:p w:rsidR="00C61949" w:rsidRPr="006A4BCA" w:rsidRDefault="00C61949" w:rsidP="00C61949">
      <w:pPr>
        <w:pStyle w:val="Prrafodelista"/>
        <w:rPr>
          <w:rFonts w:ascii="Times New Roman" w:eastAsia="Arial MT" w:hAnsi="Times New Roman" w:cs="Times New Roman"/>
          <w:sz w:val="24"/>
          <w:szCs w:val="24"/>
        </w:rPr>
      </w:pP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Aprovechar al máximo los materiales y residuos, mediante procesos como el compostaje, entre otros.</w:t>
      </w:r>
    </w:p>
    <w:p w:rsidR="002B30EE" w:rsidRPr="006A4BCA" w:rsidRDefault="002B30EE"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52. </w:t>
      </w:r>
      <w:r w:rsidRPr="006A4BCA">
        <w:rPr>
          <w:rFonts w:ascii="Times New Roman" w:eastAsia="Arial MT" w:hAnsi="Times New Roman" w:cs="Times New Roman"/>
          <w:sz w:val="24"/>
          <w:szCs w:val="24"/>
        </w:rPr>
        <w:t>Los sectores productivos promoverán, en la medida de sus posibilidades, dentro de sus actividades: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Evitar la destrucción de valor en las cadenas económicas;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Incrementar la eficiencia para producir más, con menos recursos;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Disminuir la huella ecológica; reduciendo el uso de recursos naturales, energía y generación de residuos, en sus procesos y productos;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el análisis del ciclo de vida de los productos y la incorporación de los principios, objetivos y enfoques de diseño en materia de economía circular;</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Disminuir la presencia y uso de sustancias nocivas en la fabricación de productos;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Facilitar la adecuada separación de los bienes una vez terminada su vida útil y fomentar su valorización;</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Poner a disposición de la población sistemas que faciliten la recuperación de productos y </w:t>
      </w:r>
      <w:r w:rsidRPr="006A4BCA">
        <w:rPr>
          <w:rFonts w:ascii="Times New Roman" w:eastAsia="Arial MT" w:hAnsi="Times New Roman" w:cs="Times New Roman"/>
          <w:sz w:val="24"/>
          <w:szCs w:val="24"/>
        </w:rPr>
        <w:lastRenderedPageBreak/>
        <w:t>subproductos para reincorporarlos a sus cadenas de valor o, en su caso, para garantizar su adecuado manejo, bajo el principio de responsabilidad compartida;</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Incorporar criterios de ecodiseño para propiciar el encadenamiento productivo, disminuyendo el uso de sustancias o materiales nocivos;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Impulsar la integración de cadenas económicas y productivas a través de plataformas de coordinación y alianzas entre empresas e iniciativas;</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Fomentar la generación de empleos verdes e impulsar un modelo de consumo responsable y sustentable;</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Propiciar acciones para difundir los beneficios de la circularidad;</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y difundir información relacionada con la aplicación de la economía circular dentro de sus procesos o servicios, y</w:t>
      </w:r>
    </w:p>
    <w:p w:rsidR="00C61949" w:rsidRPr="006A4BCA" w:rsidRDefault="00C61949" w:rsidP="00C61949">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C61949">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plataformas o sistemas digitales que faciliten la oferta y demanda de materias primas secundarias.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CAPÍTULO VII</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SANCIONES E INFRACCIONES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53. </w:t>
      </w:r>
      <w:r w:rsidRPr="006A4BCA">
        <w:rPr>
          <w:rFonts w:ascii="Times New Roman" w:eastAsia="Arial MT" w:hAnsi="Times New Roman" w:cs="Times New Roman"/>
          <w:sz w:val="24"/>
          <w:szCs w:val="24"/>
        </w:rPr>
        <w:t>Constituyen infracciones a la presente Ley:</w:t>
      </w:r>
    </w:p>
    <w:p w:rsidR="002B30EE" w:rsidRPr="006A4BCA" w:rsidRDefault="002B30EE"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Incumplir con las obligaciones derivadas del Programa Estatal de Economía Circular cuando resulten obligatorias;</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Utilizar indebidamente el Distintivo de Circularidad o hacer uso del mismo sin contar con la autorización correspondiente;</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Incumplir los compromisos establecidos en los Planes de Responsabilidad Compartida;</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Incumplir metas, obligaciones o acciones previstas en los Planes de Manejo;</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Falsear información, datos técnicos o reportes relacionados con indicadores de circularidad;</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Mezclar</w:t>
      </w:r>
      <w:r w:rsidR="004C3223"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sz w:val="24"/>
          <w:szCs w:val="24"/>
        </w:rPr>
        <w:t>residuos</w:t>
      </w:r>
      <w:r w:rsidR="004C3223"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sz w:val="24"/>
          <w:szCs w:val="24"/>
        </w:rPr>
        <w:t>previamente</w:t>
      </w:r>
      <w:r w:rsidR="004C3223"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sz w:val="24"/>
          <w:szCs w:val="24"/>
        </w:rPr>
        <w:t>separados</w:t>
      </w:r>
      <w:r w:rsidR="004C3223"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sz w:val="24"/>
          <w:szCs w:val="24"/>
        </w:rPr>
        <w:t>cuando</w:t>
      </w:r>
      <w:r w:rsidR="004C3223"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sz w:val="24"/>
          <w:szCs w:val="24"/>
        </w:rPr>
        <w:t>ello</w:t>
      </w:r>
      <w:r w:rsidR="004C3223"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sz w:val="24"/>
          <w:szCs w:val="24"/>
        </w:rPr>
        <w:t>contravenga disposiciones de la presente Ley;</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Incumplir metas de valorización establecidas en autorizaciones o instrumentos administrativos;</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Obstaculizar las labores de inspección y vigilancia;</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Incumplir medidas correctivas ordenadas por la autoridad competente.</w:t>
      </w:r>
    </w:p>
    <w:p w:rsidR="002B30EE" w:rsidRPr="006A4BCA" w:rsidRDefault="002B30EE"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54. </w:t>
      </w:r>
      <w:r w:rsidRPr="006A4BCA">
        <w:rPr>
          <w:rFonts w:ascii="Times New Roman" w:eastAsia="Arial MT" w:hAnsi="Times New Roman" w:cs="Times New Roman"/>
          <w:sz w:val="24"/>
          <w:szCs w:val="24"/>
        </w:rPr>
        <w:t>Las infracciones serán sancionadas con:</w:t>
      </w:r>
    </w:p>
    <w:p w:rsidR="002B30EE" w:rsidRPr="006A4BCA" w:rsidRDefault="002B30EE"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lastRenderedPageBreak/>
        <w:t>Amonestación con apercibimiento;</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Multa, según la gravedad de la infracción establecida en las diversas disposiciones relacionadas con la materia;</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Clausura temporal, parcial o total;</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Suspensión o revocación del Distintivo de Circularidad;</w:t>
      </w:r>
    </w:p>
    <w:p w:rsidR="004C3223" w:rsidRPr="006A4BCA" w:rsidRDefault="004C3223"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Suspensión temporal de actividades relacionadas con el incumplimiento;</w:t>
      </w:r>
    </w:p>
    <w:p w:rsidR="007F0273" w:rsidRPr="006A4BCA" w:rsidRDefault="007F0273" w:rsidP="007F0273">
      <w:pPr>
        <w:widowControl w:val="0"/>
        <w:autoSpaceDE w:val="0"/>
        <w:autoSpaceDN w:val="0"/>
        <w:spacing w:after="0" w:line="240" w:lineRule="auto"/>
        <w:jc w:val="both"/>
        <w:rPr>
          <w:rFonts w:ascii="Times New Roman" w:eastAsia="Arial MT" w:hAnsi="Times New Roman" w:cs="Times New Roman"/>
          <w:sz w:val="24"/>
          <w:szCs w:val="24"/>
        </w:rPr>
      </w:pPr>
    </w:p>
    <w:p w:rsidR="004C3223" w:rsidRPr="006A4BCA" w:rsidRDefault="002B30EE" w:rsidP="004C322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Reparación integral del daño ambiental;</w:t>
      </w:r>
    </w:p>
    <w:p w:rsidR="007F0273" w:rsidRPr="006A4BCA" w:rsidRDefault="007F0273" w:rsidP="007F027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4C322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Obligación de implementar programas correctivos o compensatorios.</w:t>
      </w:r>
    </w:p>
    <w:p w:rsidR="002B30EE" w:rsidRPr="006A4BCA" w:rsidRDefault="002B30EE" w:rsidP="004C3223">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SEGUNDO. </w:t>
      </w:r>
      <w:r w:rsidRPr="006A4BCA">
        <w:rPr>
          <w:rFonts w:ascii="Times New Roman" w:eastAsia="Arial MT" w:hAnsi="Times New Roman" w:cs="Times New Roman"/>
          <w:sz w:val="24"/>
          <w:szCs w:val="24"/>
        </w:rPr>
        <w:t>Se reforman los artículos 2.177, 2.181, 2.229 bis, fracción IV del artículo 2.229 Quater, el nombre del libro cuarto, los artículos 4.1, 4.43, 4.68, 4.73, 4.76 y se adicionan una fracción XII al artículo 1.2, un inciso f a la fracción IV del artículo 2.266, unas fracciones II, III, IV, V, XIX al artículo 4.7, recorriéndose los subsecuentes, un segundo párrafo y las fracciones I, II y III al artículo 4.25, todos del Código para la Biodiversidad del Estado de México, para quedar como sigue:</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CÓDIGO PARA LA BIODIVERSIDAD DEL ESTADO DE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1.2. </w:t>
      </w:r>
      <w:r w:rsidRPr="006A4BCA">
        <w:rPr>
          <w:rFonts w:ascii="Times New Roman" w:eastAsia="Arial MT" w:hAnsi="Times New Roman" w:cs="Times New Roman"/>
          <w:sz w:val="24"/>
          <w:szCs w:val="24"/>
        </w:rPr>
        <w:t>Son objetivos generales del presente Código: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 al X. …</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XII. Establecer las bases jurídicas para la incorporación del enfoque de economía circular en la política ambiental del Estado de México, promoviendo la eficiencia en el uso de materiales, la restauración del capital natural, la valorización de residuos y la reducción progresiva de la disposición final.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2.177. </w:t>
      </w:r>
      <w:r w:rsidRPr="006A4BCA">
        <w:rPr>
          <w:rFonts w:ascii="Times New Roman" w:eastAsia="Arial MT" w:hAnsi="Times New Roman" w:cs="Times New Roman"/>
          <w:sz w:val="24"/>
          <w:szCs w:val="24"/>
        </w:rPr>
        <w:t xml:space="preserve">La Secretaría emitirá las normas técnicas estatales, que regularán la localización, instalación y funcionamiento de los sistemas de recolección, transporte, almacenamiento, manejo, separación, </w:t>
      </w:r>
      <w:r w:rsidRPr="006A4BCA">
        <w:rPr>
          <w:rFonts w:ascii="Times New Roman" w:eastAsia="Arial MT" w:hAnsi="Times New Roman" w:cs="Times New Roman"/>
          <w:b/>
          <w:sz w:val="24"/>
          <w:szCs w:val="24"/>
        </w:rPr>
        <w:t xml:space="preserve">recuperación, </w:t>
      </w:r>
      <w:r w:rsidRPr="006A4BCA">
        <w:rPr>
          <w:rFonts w:ascii="Times New Roman" w:eastAsia="Arial MT" w:hAnsi="Times New Roman" w:cs="Times New Roman"/>
          <w:sz w:val="24"/>
          <w:szCs w:val="24"/>
        </w:rPr>
        <w:t>tratamiento, procesamiento, transformación, disposición final de residuos sólidos urbanos y de manejo especial.</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2.181. </w:t>
      </w:r>
      <w:r w:rsidRPr="006A4BCA">
        <w:rPr>
          <w:rFonts w:ascii="Times New Roman" w:eastAsia="Arial MT" w:hAnsi="Times New Roman" w:cs="Times New Roman"/>
          <w:sz w:val="24"/>
          <w:szCs w:val="24"/>
        </w:rPr>
        <w:t xml:space="preserve">Para la localización, instalación y funcionamiento de sistemas de manejo, separación, </w:t>
      </w:r>
      <w:r w:rsidRPr="006A4BCA">
        <w:rPr>
          <w:rFonts w:ascii="Times New Roman" w:eastAsia="Arial MT" w:hAnsi="Times New Roman" w:cs="Times New Roman"/>
          <w:b/>
          <w:sz w:val="24"/>
          <w:szCs w:val="24"/>
        </w:rPr>
        <w:t xml:space="preserve">recuperación, </w:t>
      </w:r>
      <w:r w:rsidRPr="006A4BCA">
        <w:rPr>
          <w:rFonts w:ascii="Times New Roman" w:eastAsia="Arial MT" w:hAnsi="Times New Roman" w:cs="Times New Roman"/>
          <w:sz w:val="24"/>
          <w:szCs w:val="24"/>
        </w:rPr>
        <w:t>tratamiento, transformación y disposición final de residuos sólidos urbanos y de manejo especial se tomarán en cuenta el Libro Cuarto del presente Código, la legislación estatal aplicable, las normas oficiales mexicanas, las normas técnicas estatales, los criterios, ordenamientos ecológicos, los planes estatales y municipales de desarrollo urbano.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Artículo 2.229 Bis</w:t>
      </w:r>
      <w:r w:rsidRPr="006A4BCA">
        <w:rPr>
          <w:rFonts w:ascii="Times New Roman" w:eastAsia="Arial MT" w:hAnsi="Times New Roman" w:cs="Times New Roman"/>
          <w:sz w:val="24"/>
          <w:szCs w:val="24"/>
        </w:rPr>
        <w:t>. La autorregulación y las auditorías ambientales tienen como objetivo que los procesos productivos y de generación de servicios de las unidades económicas, así como las dependencias, entidades e instituciones de los sectores público, privado y social con incidencia ambiental, sean sustentables, eficientes</w:t>
      </w:r>
      <w:r w:rsidRPr="006A4BCA">
        <w:rPr>
          <w:rFonts w:ascii="Times New Roman" w:eastAsia="Arial MT" w:hAnsi="Times New Roman" w:cs="Times New Roman"/>
          <w:b/>
          <w:sz w:val="24"/>
          <w:szCs w:val="24"/>
        </w:rPr>
        <w:t xml:space="preserve">, </w:t>
      </w:r>
      <w:r w:rsidRPr="006A4BCA">
        <w:rPr>
          <w:rFonts w:ascii="Times New Roman" w:eastAsia="Arial MT" w:hAnsi="Times New Roman" w:cs="Times New Roman"/>
          <w:sz w:val="24"/>
          <w:szCs w:val="24"/>
        </w:rPr>
        <w:t xml:space="preserve">amigables con el medio ambiente </w:t>
      </w:r>
      <w:r w:rsidRPr="006A4BCA">
        <w:rPr>
          <w:rFonts w:ascii="Times New Roman" w:eastAsia="Arial MT" w:hAnsi="Times New Roman" w:cs="Times New Roman"/>
          <w:b/>
          <w:sz w:val="24"/>
          <w:szCs w:val="24"/>
        </w:rPr>
        <w:t xml:space="preserve">y transiten hacia </w:t>
      </w:r>
      <w:r w:rsidRPr="006A4BCA">
        <w:rPr>
          <w:rFonts w:ascii="Times New Roman" w:eastAsia="Arial MT" w:hAnsi="Times New Roman" w:cs="Times New Roman"/>
          <w:b/>
          <w:sz w:val="24"/>
          <w:szCs w:val="24"/>
        </w:rPr>
        <w:lastRenderedPageBreak/>
        <w:t>modelos de economía circular</w:t>
      </w:r>
      <w:r w:rsidRPr="006A4BCA">
        <w:rPr>
          <w:rFonts w:ascii="Times New Roman" w:eastAsia="Arial MT" w:hAnsi="Times New Roman" w:cs="Times New Roman"/>
          <w:sz w:val="24"/>
          <w:szCs w:val="24"/>
        </w:rPr>
        <w:t>, respetando la legislación y normatividad vigente que le aplique, se adopten normas complementarias o más estrictas, mediante la adopción de tecnologías y procesos industriales limpios y ambientalmente racionales, para lo cual observarán los principios de política ambiental contenidos en este Código y en la Ley General.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w:t>
      </w:r>
    </w:p>
    <w:p w:rsidR="007F0273" w:rsidRPr="006A4BCA" w:rsidRDefault="007F0273"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2.229 Quater. </w:t>
      </w: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 al III. …</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IV. Determinación de indicadores de desempeño ambiental, tales como eficiencia en el uso de recursos, reducción de emisiones, </w:t>
      </w:r>
      <w:r w:rsidRPr="006A4BCA">
        <w:rPr>
          <w:rFonts w:ascii="Times New Roman" w:eastAsia="Arial MT" w:hAnsi="Times New Roman" w:cs="Times New Roman"/>
          <w:b/>
          <w:sz w:val="24"/>
          <w:szCs w:val="24"/>
        </w:rPr>
        <w:t xml:space="preserve">reducción progresiva y </w:t>
      </w:r>
      <w:r w:rsidRPr="006A4BCA">
        <w:rPr>
          <w:rFonts w:ascii="Times New Roman" w:eastAsia="Arial MT" w:hAnsi="Times New Roman" w:cs="Times New Roman"/>
          <w:sz w:val="24"/>
          <w:szCs w:val="24"/>
        </w:rPr>
        <w:t xml:space="preserve">adecuado manejo </w:t>
      </w:r>
      <w:r w:rsidRPr="006A4BCA">
        <w:rPr>
          <w:rFonts w:ascii="Times New Roman" w:eastAsia="Arial MT" w:hAnsi="Times New Roman" w:cs="Times New Roman"/>
          <w:b/>
          <w:sz w:val="24"/>
          <w:szCs w:val="24"/>
        </w:rPr>
        <w:t>de residuos</w:t>
      </w:r>
      <w:r w:rsidRPr="006A4BCA">
        <w:rPr>
          <w:rFonts w:ascii="Times New Roman" w:eastAsia="Arial MT" w:hAnsi="Times New Roman" w:cs="Times New Roman"/>
          <w:sz w:val="24"/>
          <w:szCs w:val="24"/>
        </w:rPr>
        <w:t>, cumplimiento regulatorio y acciones de mejora continua;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V. al VI. …</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2.266. </w:t>
      </w: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I al IV…</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 a 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 xml:space="preserve">f). </w:t>
      </w:r>
      <w:r w:rsidRPr="006A4BCA">
        <w:rPr>
          <w:rFonts w:ascii="Times New Roman" w:eastAsia="Arial MT" w:hAnsi="Times New Roman" w:cs="Times New Roman"/>
          <w:b/>
          <w:sz w:val="24"/>
          <w:szCs w:val="24"/>
        </w:rPr>
        <w:t>No cumpla con los programas, planes o instrumentos de prevención, reducción, minimización, reutilización, reparación, remanufactura, reciclaje, valorización, tratamiento, recuperación y disposición final de contaminantes y residuos, cuando éstos se requieran por la cantidad, volumen, características o naturaleza de los materiales o residuos generados, de conformidad con la jerarquía de gestión establecida en este Código y las normas ambientales aplicables.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g) a i)…</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VII a IX…</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LIBRO CUARTO</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sz w:val="24"/>
          <w:szCs w:val="24"/>
        </w:rPr>
        <w:t>DE LA PREVENCION</w:t>
      </w:r>
      <w:r w:rsidRPr="006A4BCA">
        <w:rPr>
          <w:rFonts w:ascii="Times New Roman" w:eastAsia="Arial MT" w:hAnsi="Times New Roman" w:cs="Times New Roman"/>
          <w:b/>
          <w:sz w:val="24"/>
          <w:szCs w:val="24"/>
        </w:rPr>
        <w:t xml:space="preserve">, </w:t>
      </w:r>
      <w:r w:rsidRPr="006A4BCA">
        <w:rPr>
          <w:rFonts w:ascii="Times New Roman" w:eastAsia="Arial MT" w:hAnsi="Times New Roman" w:cs="Times New Roman"/>
          <w:sz w:val="24"/>
          <w:szCs w:val="24"/>
        </w:rPr>
        <w:t xml:space="preserve">GESTION INTEGRAL DE RESIDUOS </w:t>
      </w:r>
      <w:r w:rsidRPr="006A4BCA">
        <w:rPr>
          <w:rFonts w:ascii="Times New Roman" w:eastAsia="Arial MT" w:hAnsi="Times New Roman" w:cs="Times New Roman"/>
          <w:b/>
          <w:sz w:val="24"/>
          <w:szCs w:val="24"/>
        </w:rPr>
        <w:t>Y ECONOMIA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4.1. </w:t>
      </w:r>
      <w:r w:rsidRPr="006A4BCA">
        <w:rPr>
          <w:rFonts w:ascii="Times New Roman" w:eastAsia="Arial MT" w:hAnsi="Times New Roman" w:cs="Times New Roman"/>
          <w:sz w:val="24"/>
          <w:szCs w:val="24"/>
        </w:rPr>
        <w:t xml:space="preserve">El presente Libro tiene por objeto garantizar el derecho de toda persona a un medio ambiente adecuado y propiciar el desarrollo sostenible, regular la prevención de la generación, el aprovechamiento, </w:t>
      </w:r>
      <w:r w:rsidRPr="006A4BCA">
        <w:rPr>
          <w:rFonts w:ascii="Times New Roman" w:eastAsia="Arial MT" w:hAnsi="Times New Roman" w:cs="Times New Roman"/>
          <w:b/>
          <w:sz w:val="24"/>
          <w:szCs w:val="24"/>
        </w:rPr>
        <w:t xml:space="preserve">recuperación, </w:t>
      </w:r>
      <w:r w:rsidRPr="006A4BCA">
        <w:rPr>
          <w:rFonts w:ascii="Times New Roman" w:eastAsia="Arial MT" w:hAnsi="Times New Roman" w:cs="Times New Roman"/>
          <w:sz w:val="24"/>
          <w:szCs w:val="24"/>
        </w:rPr>
        <w:t>la valorización y la gestión segura e integral de los residuos sólidos urbanos y de manejo especial que no estén expresamente atribuidos a la Federación, regular aquellos productos de plástico de un solo uso, fomentar la reducción, reutilización y reciclado, así como la prevención de la contaminación, la remediación, rehabilitación, recuperación y restauración de suelos contaminados con residuos de conformidad con lo que establece la Ley General para la Prevención y Gestión Integral de los Residuos.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4.7. </w:t>
      </w:r>
      <w:r w:rsidRPr="006A4BCA">
        <w:rPr>
          <w:rFonts w:ascii="Times New Roman" w:eastAsia="Arial MT" w:hAnsi="Times New Roman" w:cs="Times New Roman"/>
          <w:sz w:val="24"/>
          <w:szCs w:val="24"/>
        </w:rPr>
        <w:t>Corresponde a las autoridades municipales el ejercicio de las facultades respecto al objeto del presente Libro previstas en la Ley General, así como las siguientes: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Promover el establecimiento de programas de minimización y gestión integral de los residuos producidos por los grandes generadores de su Municipio;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Implementar la separación en la fuente de los residuos a través de programas graduales y diferenciados desde el generador, y los mecanismos para promover la valorización, recuperación y su aprovechamiento energético;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Capacitar a los sectores de la población sobre la prevención de la generación, economía circular, gestión y manejo integral de los residuos;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Orientar a la población sobre las prácticas de separación en la fuente, recuperación, aprovechamiento y valorización de los residuos;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Participar y aplicar, en colaboración con el gobierno estatal, instrumentos económicos que incentiven el desarrollo, adopción y despliegue de tecnología y materiales según los principios de la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Fomentar el desarrollo de mercados para el reciclaje de residuos sólidos urbanos y de manejo especial que no estén expresamente atribuidos a la Federación o al Estado;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Concertar con los sectores corresponsables el establecimiento de planes de manejo para tipos de residuos sólidos urbanos y de manejo especial de su competencia susceptibles de aprovechamiento de conformidad con las disposiciones de este Libro y en coordinación con la Secretaría; para lo cual los municipios podrán fomentar el establecimiento de centros de acopio y clasificación de los Residuos Sólidos Urbanos en los municipios para su aprovechamiento y reincorporación en los procesos productivos favoreciendo una economía circular;</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Elaborar inventarios de residuos sólidos urbanos y de manejo especial a través de los estudios de generación y caracterización de residuos y los muestreos aleatorios de cantidad y calidad de los residuos en las localidades en coordinación con la Secretaría y las autoridades ambientales del Gobierno Federal, así como con el apoyo de los diversos sectores sociales de su localidad para sustentar con base en ellos la formulación de los sistemas para su gestión integral;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Determinar los costos de las distintas etapas de la operación de los servicios de limpia y definir los mecanismos a través de los cuales se establecerá el sistema de cobro y tarifas correspondientes en función del volumen y características de los residuos recolectados, así como del tipo de generadores y hacer del conocimiento público la información sobre todos estos aspectos;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Organizar e implantar los esquemas administrativos requeridos para recabar el pago por los servicios de recolección, transporte, tratamiento y eliminación o disposición final de los residuos sólidos urbanos y de manejo especial que no estén expresamente atribuidos a la Federación o al Estado y la aplicación de los recursos resultantes al fortalecimiento de los sistemas de limpia, así como hacerlos del conocimiento público;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 xml:space="preserve">Definir los criterios generales de carácter obligatorio para la prestación del servicio de </w:t>
      </w:r>
      <w:r w:rsidRPr="006A4BCA">
        <w:rPr>
          <w:rFonts w:ascii="Times New Roman" w:eastAsia="Arial MT" w:hAnsi="Times New Roman" w:cs="Times New Roman"/>
          <w:sz w:val="24"/>
          <w:szCs w:val="24"/>
        </w:rPr>
        <w:lastRenderedPageBreak/>
        <w:t xml:space="preserve">limpia y aseo público de su competencia con base en las normas oficiales mexicanas, </w:t>
      </w:r>
      <w:r w:rsidRPr="006A4BCA">
        <w:rPr>
          <w:rFonts w:ascii="Times New Roman" w:eastAsia="Arial MT" w:hAnsi="Times New Roman" w:cs="Times New Roman"/>
        </w:rPr>
        <w:t>normas técnicas estatales y el Programa para la Prevención y Gestión Integral de Residuos Sólidos Urbanos y de Manejo Especial del Estado de México y aplicar los instrumentos de política previstos en el presente Libro;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Organizar y operar la prestación del servicio de limpia y aseo público de su competencia y supervisar la prestación del servicio concesionado;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Realizar controles sobre las concesiones para garantizar la competencia, transparencia y evitar monopolios;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1"/>
          <w:numId w:val="15"/>
        </w:numPr>
        <w:autoSpaceDE w:val="0"/>
        <w:autoSpaceDN w:val="0"/>
        <w:spacing w:after="0" w:line="240" w:lineRule="auto"/>
        <w:ind w:left="0" w:firstLine="0"/>
        <w:rPr>
          <w:rFonts w:ascii="Times New Roman" w:eastAsia="Arial MT" w:hAnsi="Times New Roman" w:cs="Times New Roman"/>
          <w:b/>
          <w:sz w:val="24"/>
          <w:szCs w:val="24"/>
        </w:rPr>
      </w:pPr>
      <w:r w:rsidRPr="006A4BCA">
        <w:rPr>
          <w:rFonts w:ascii="Times New Roman" w:eastAsia="Arial MT" w:hAnsi="Times New Roman" w:cs="Times New Roman"/>
          <w:sz w:val="24"/>
          <w:szCs w:val="24"/>
        </w:rPr>
        <w:t>Llevar un registro y control de empresas y particulares concesionarios dedicados a la prestación del servicio de limpia de su competencia;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Conservar y dar mantenimiento al equipamiento e infraestructura urbana de su competencia y de todos aquellos elementos que determinen el funcionamiento e imagen urbana relacionados con la prestación del servicio de limpia;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Registrar y autorizar las obras y actividades relacionadas con la instalación, infraestructura y operación de sitios de disposición final, así como para el traslado de residuos sólidos;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Establecer convenios con las autoridades estatales y federales competentes para llevar a cabo el control de los residuos peligrosos generados a nivel domiciliario y por los establecimientos micro generadores de este tipo de residuos;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Realizar las actividades de inspección para verificar el cumplimiento de los ordenamientos jurídicos en la materia de su competencia e imponer las sanciones que corresponda;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C</w:t>
      </w:r>
      <w:r w:rsidRPr="006A4BCA">
        <w:rPr>
          <w:rFonts w:ascii="Times New Roman" w:eastAsia="Arial MT" w:hAnsi="Times New Roman" w:cs="Times New Roman"/>
          <w:b/>
          <w:sz w:val="24"/>
          <w:szCs w:val="24"/>
        </w:rPr>
        <w:t>uando la recolección de residuos sólidos urbanos se realice a través de un tercero, deberá establecer en el convenio con el prestador de servicios, de forma clara y precisa, la obligatoriedad de la separación de los residuos desde su origen y en su recolección, los costos por servicio, los alcances de volumen y el tiempo de operación. Dichos convenios deberán ser presentados previamente a la Secretaría para su validación;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Atender los demás asuntos que en materia de residuos sólidos urbanos y de manejo especial, de servicios de limpia, así como de prevención de la contaminación por residuos y la remediación de sitios contaminados con residuos que se les conceda en el presente Libro;</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Instalar de forma individual o regional o a través de concesiones con el sector privado, sitios de disposición final de residuos sólidos urbanos o de manejo especial que no estén expresamente atribuidos a la Federación o al Estado; y</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Otros asuntos que no estén expresamente atribuidos a la Federación o a otras dependencias o entidades de la administración pública del Estado de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5"/>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Coadyuvar, en el ámbito de su competencia, con las autoridades estatales para identificar tiraderos a cielo abierto y sitios donde se han abandonado clandestinamente residuos de diferente índole.</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TITULO SEGUNDO</w:t>
      </w: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lastRenderedPageBreak/>
        <w:t>DE LA CLASIFICACION DE LOS RESIDUOS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4.25. </w:t>
      </w: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Para garantizar su adecuada valorización, reducción de disposición final y transición hacia un modelo de economía circular, los residuos sólidos urbanos deberán clasificarse obligatoriamente en: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0"/>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Orgánicos, susceptibles de aprovechamiento biológico, compostaje o biodigestión;</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0"/>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Inorgánicos reciclables, susceptibles de reincorporación a procesos productivos mediante reciclaje, reutilización o remanufactura;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0"/>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Inorgánicos no reciclables, aquellos que no cuenten con viabilidad técnica o económica para su valorización y deban destinarse a tratamiento o disposición final controlada.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4.43. </w:t>
      </w: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sz w:val="24"/>
          <w:szCs w:val="24"/>
        </w:rPr>
        <w:t>Es obligación de todo generador de residuos urbanos separarlos en orgánicos</w:t>
      </w:r>
      <w:r w:rsidRPr="006A4BCA">
        <w:rPr>
          <w:rFonts w:ascii="Times New Roman" w:eastAsia="Arial MT" w:hAnsi="Times New Roman" w:cs="Times New Roman"/>
          <w:b/>
          <w:sz w:val="24"/>
          <w:szCs w:val="24"/>
        </w:rPr>
        <w:t>, inorgánicos reciclables e inorgánicos no reciclables.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4.68. </w:t>
      </w:r>
      <w:r w:rsidRPr="006A4BCA">
        <w:rPr>
          <w:rFonts w:ascii="Times New Roman" w:eastAsia="Arial MT" w:hAnsi="Times New Roman" w:cs="Times New Roman"/>
          <w:sz w:val="24"/>
          <w:szCs w:val="24"/>
        </w:rPr>
        <w:t xml:space="preserve">La recolección domiciliaria regular de los residuos sólidos urbanos correspondientes a los pequeños generadores por los servicios de limpia se realizará </w:t>
      </w:r>
      <w:r w:rsidRPr="006A4BCA">
        <w:rPr>
          <w:rFonts w:ascii="Times New Roman" w:eastAsia="Arial MT" w:hAnsi="Times New Roman" w:cs="Times New Roman"/>
          <w:b/>
          <w:sz w:val="24"/>
          <w:szCs w:val="24"/>
        </w:rPr>
        <w:t>bajo un esquema de recolección selectiva diferenciada</w:t>
      </w:r>
      <w:r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b/>
          <w:sz w:val="24"/>
          <w:szCs w:val="24"/>
        </w:rPr>
        <w:t xml:space="preserve">de conformidad </w:t>
      </w:r>
      <w:r w:rsidRPr="006A4BCA">
        <w:rPr>
          <w:rFonts w:ascii="Times New Roman" w:eastAsia="Arial MT" w:hAnsi="Times New Roman" w:cs="Times New Roman"/>
          <w:sz w:val="24"/>
          <w:szCs w:val="24"/>
        </w:rPr>
        <w:t xml:space="preserve">con planes previamente establecidos </w:t>
      </w:r>
      <w:r w:rsidRPr="006A4BCA">
        <w:rPr>
          <w:rFonts w:ascii="Times New Roman" w:eastAsia="Arial MT" w:hAnsi="Times New Roman" w:cs="Times New Roman"/>
          <w:b/>
          <w:sz w:val="24"/>
          <w:szCs w:val="24"/>
        </w:rPr>
        <w:t>por los municipios</w:t>
      </w:r>
      <w:r w:rsidRPr="006A4BCA">
        <w:rPr>
          <w:rFonts w:ascii="Times New Roman" w:eastAsia="Arial MT" w:hAnsi="Times New Roman" w:cs="Times New Roman"/>
          <w:sz w:val="24"/>
          <w:szCs w:val="24"/>
        </w:rPr>
        <w:t>, en los cuales se definirá:</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numPr>
          <w:ilvl w:val="1"/>
          <w:numId w:val="14"/>
        </w:numPr>
        <w:autoSpaceDE w:val="0"/>
        <w:autoSpaceDN w:val="0"/>
        <w:spacing w:after="0" w:line="240" w:lineRule="auto"/>
        <w:ind w:left="0" w:firstLine="0"/>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periodicidad específica para cada categoría de residuos;</w:t>
      </w:r>
    </w:p>
    <w:p w:rsidR="00874204" w:rsidRPr="006A4BCA" w:rsidRDefault="00874204" w:rsidP="00874204">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1"/>
          <w:numId w:val="14"/>
        </w:numPr>
        <w:autoSpaceDE w:val="0"/>
        <w:autoSpaceDN w:val="0"/>
        <w:spacing w:after="0" w:line="240" w:lineRule="auto"/>
        <w:ind w:left="0" w:firstLine="0"/>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Los horarios y días diferenciados de recolección;</w:t>
      </w:r>
    </w:p>
    <w:p w:rsidR="00874204" w:rsidRPr="006A4BCA" w:rsidRDefault="00874204" w:rsidP="00874204">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1"/>
          <w:numId w:val="14"/>
        </w:numPr>
        <w:autoSpaceDE w:val="0"/>
        <w:autoSpaceDN w:val="0"/>
        <w:spacing w:after="0" w:line="240" w:lineRule="auto"/>
        <w:ind w:left="0" w:firstLine="0"/>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Las rutas y puntos de entrega;</w:t>
      </w:r>
    </w:p>
    <w:p w:rsidR="00874204" w:rsidRPr="006A4BCA" w:rsidRDefault="00874204" w:rsidP="00874204">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1"/>
          <w:numId w:val="14"/>
        </w:numPr>
        <w:autoSpaceDE w:val="0"/>
        <w:autoSpaceDN w:val="0"/>
        <w:spacing w:after="0" w:line="240" w:lineRule="auto"/>
        <w:ind w:left="0" w:firstLine="0"/>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Los mecanismos de supervisión para evitar la mezcla posterior de residuos previamente separados.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Para efectos del presente artículo, la recolección deberá organizarse, como mínimo, en las siguientes categorías:</w:t>
      </w:r>
    </w:p>
    <w:p w:rsidR="007F0273" w:rsidRPr="006A4BCA" w:rsidRDefault="007F0273"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2"/>
          <w:numId w:val="14"/>
        </w:numPr>
        <w:autoSpaceDE w:val="0"/>
        <w:autoSpaceDN w:val="0"/>
        <w:spacing w:after="0" w:line="240" w:lineRule="auto"/>
        <w:ind w:left="0" w:firstLine="0"/>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Residuos orgánicos;</w:t>
      </w:r>
    </w:p>
    <w:p w:rsidR="002B30EE" w:rsidRPr="006A4BCA" w:rsidRDefault="002B30EE" w:rsidP="002B30EE">
      <w:pPr>
        <w:widowControl w:val="0"/>
        <w:numPr>
          <w:ilvl w:val="2"/>
          <w:numId w:val="14"/>
        </w:numPr>
        <w:autoSpaceDE w:val="0"/>
        <w:autoSpaceDN w:val="0"/>
        <w:spacing w:after="0" w:line="240" w:lineRule="auto"/>
        <w:ind w:left="0" w:firstLine="0"/>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Residuos inorgánicos reciclables;</w:t>
      </w:r>
    </w:p>
    <w:p w:rsidR="002B30EE" w:rsidRPr="006A4BCA" w:rsidRDefault="002B30EE" w:rsidP="002B30EE">
      <w:pPr>
        <w:widowControl w:val="0"/>
        <w:numPr>
          <w:ilvl w:val="2"/>
          <w:numId w:val="14"/>
        </w:numPr>
        <w:autoSpaceDE w:val="0"/>
        <w:autoSpaceDN w:val="0"/>
        <w:spacing w:after="0" w:line="240" w:lineRule="auto"/>
        <w:ind w:left="0" w:firstLine="0"/>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Residuos inorgánicos no reciclables.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Los planes de recolección deberán incorporar progresivamente infraestructura y logística que garantice el transporte segregado y la trazabilidad de los residuos hasta su destino final o centro de valorización.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lastRenderedPageBreak/>
        <w:t>Los planes a que se refiere el presente artículo deberán hacerse del conocimiento público mediante medios accesibles y digitales, indicando a los interesados: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numPr>
          <w:ilvl w:val="3"/>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forma obligatoria de separación y entrega de los residuos conforme a las categorías señaladas;</w:t>
      </w:r>
    </w:p>
    <w:p w:rsidR="00874204" w:rsidRPr="006A4BCA" w:rsidRDefault="00874204" w:rsidP="00874204">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3"/>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cantidad máxima que se recibirá en cada entrega;</w:t>
      </w:r>
    </w:p>
    <w:p w:rsidR="00874204" w:rsidRPr="006A4BCA" w:rsidRDefault="00874204" w:rsidP="00874204">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3"/>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Los residuos voluminosos o de manejo especial que no podrán ser recolectados por el servicio regular y los mecanismos alternativos para su recepción;</w:t>
      </w:r>
    </w:p>
    <w:p w:rsidR="00874204" w:rsidRPr="006A4BCA" w:rsidRDefault="00874204" w:rsidP="00874204">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3"/>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Los incentivos o descuentos aplicables a quienes acrediten separación adecuada y constante;</w:t>
      </w:r>
    </w:p>
    <w:p w:rsidR="00874204" w:rsidRPr="006A4BCA" w:rsidRDefault="00874204" w:rsidP="00874204">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3"/>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El costo del servicio conforme al tipo de generador y al cumplimiento de separación;</w:t>
      </w:r>
    </w:p>
    <w:p w:rsidR="00874204" w:rsidRPr="006A4BCA" w:rsidRDefault="00874204" w:rsidP="00874204">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3"/>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forma en que se realizará el pago del servicio;</w:t>
      </w:r>
    </w:p>
    <w:p w:rsidR="00874204" w:rsidRPr="006A4BCA" w:rsidRDefault="00874204" w:rsidP="00874204">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numPr>
          <w:ilvl w:val="3"/>
          <w:numId w:val="14"/>
        </w:numPr>
        <w:autoSpaceDE w:val="0"/>
        <w:autoSpaceDN w:val="0"/>
        <w:spacing w:after="0" w:line="240" w:lineRule="auto"/>
        <w:ind w:left="0" w:firstLine="0"/>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Los mecanismos de denuncia por incumplimiento del servicio o por mezcla indebida de residuos separados.</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Los municipios podrán establecer esquemas de recolección diferenciada por días alternos o mediante sistemas de identificación visual, códigos de color o dispositivos tecnológicos que faciliten la segregación.</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 xml:space="preserve">Artículo 4.73. </w:t>
      </w:r>
      <w:r w:rsidRPr="006A4BCA">
        <w:rPr>
          <w:rFonts w:ascii="Times New Roman" w:eastAsia="Arial MT" w:hAnsi="Times New Roman" w:cs="Times New Roman"/>
          <w:sz w:val="24"/>
          <w:szCs w:val="24"/>
        </w:rPr>
        <w:t xml:space="preserve">Las actividades de separación </w:t>
      </w:r>
      <w:r w:rsidRPr="006A4BCA">
        <w:rPr>
          <w:rFonts w:ascii="Times New Roman" w:eastAsia="Arial MT" w:hAnsi="Times New Roman" w:cs="Times New Roman"/>
          <w:b/>
          <w:sz w:val="24"/>
          <w:szCs w:val="24"/>
        </w:rPr>
        <w:t xml:space="preserve">y clasificación </w:t>
      </w:r>
      <w:r w:rsidRPr="006A4BCA">
        <w:rPr>
          <w:rFonts w:ascii="Times New Roman" w:eastAsia="Arial MT" w:hAnsi="Times New Roman" w:cs="Times New Roman"/>
          <w:sz w:val="24"/>
          <w:szCs w:val="24"/>
        </w:rPr>
        <w:t xml:space="preserve">de residuos sólidos recolectados por el servicio público de limpia </w:t>
      </w:r>
      <w:r w:rsidRPr="006A4BCA">
        <w:rPr>
          <w:rFonts w:ascii="Times New Roman" w:eastAsia="Arial MT" w:hAnsi="Times New Roman" w:cs="Times New Roman"/>
          <w:b/>
          <w:sz w:val="24"/>
          <w:szCs w:val="24"/>
        </w:rPr>
        <w:t>deberán realizarse prioritariamente en plantas de selección o centros autorizados que cuenten con condiciones técnicas, sanitarias y ambientales adecuadas. La separación en fuente realizada por los generadores conforme a los programas municipales de recolección selectiva no se considerará actividad prohibida, siempre que se efectúe en el domicilio o establecimiento correspondiente y se entregue conforme a los lineamientos establecidos.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Queda prohibida la separación informal de residuos sólidos urbanos en la vía pública, áreas comunes, estaciones de transferencia o en cualquier otro sitio no autorizado, cuando ello implique riesgos sanitarios, dispersión de residuos, afectación a la movilidad urbana o deterioro ambiental.</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4.76. </w:t>
      </w:r>
      <w:r w:rsidRPr="006A4BCA">
        <w:rPr>
          <w:rFonts w:ascii="Times New Roman" w:eastAsia="Arial MT" w:hAnsi="Times New Roman" w:cs="Times New Roman"/>
          <w:sz w:val="24"/>
          <w:szCs w:val="24"/>
        </w:rPr>
        <w:t>Los vehículos utilizados en la recolección de residuos sujetos a esquemas de separación en la fuente deberán contar con contenedores distintos que permitan el acopio por separado de los mismos</w:t>
      </w:r>
      <w:r w:rsidRPr="006A4BCA">
        <w:rPr>
          <w:rFonts w:ascii="Times New Roman" w:eastAsia="Arial MT" w:hAnsi="Times New Roman" w:cs="Times New Roman"/>
          <w:b/>
          <w:sz w:val="24"/>
          <w:szCs w:val="24"/>
        </w:rPr>
        <w:t xml:space="preserve">, o en su caso, realizar la recolección por días diferenciados para evitar la mezcla de desechos, </w:t>
      </w:r>
      <w:r w:rsidRPr="006A4BCA">
        <w:rPr>
          <w:rFonts w:ascii="Times New Roman" w:eastAsia="Arial MT" w:hAnsi="Times New Roman" w:cs="Times New Roman"/>
          <w:sz w:val="24"/>
          <w:szCs w:val="24"/>
        </w:rPr>
        <w:t>permaneciendo cerrado su contenedor durante el traslado de dichos residuos hacia las plantas de selección, estaciones de transferencia o los sitios de disposición final.</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TRANSITORIOS</w:t>
      </w:r>
    </w:p>
    <w:p w:rsidR="002B30EE" w:rsidRPr="006A4BCA" w:rsidRDefault="002B30EE" w:rsidP="002B30EE">
      <w:pPr>
        <w:widowControl w:val="0"/>
        <w:autoSpaceDE w:val="0"/>
        <w:autoSpaceDN w:val="0"/>
        <w:spacing w:after="0" w:line="240" w:lineRule="auto"/>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PRIMERO. </w:t>
      </w:r>
      <w:r w:rsidRPr="006A4BCA">
        <w:rPr>
          <w:rFonts w:ascii="Times New Roman" w:eastAsia="Arial MT" w:hAnsi="Times New Roman" w:cs="Times New Roman"/>
          <w:sz w:val="24"/>
          <w:szCs w:val="24"/>
        </w:rPr>
        <w:t>Publíquese el presente Decreto en el Periódico Oficial “Gaceta de Gobierno”.</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lastRenderedPageBreak/>
        <w:t xml:space="preserve">ARTÍCULO SEGUNDO. </w:t>
      </w:r>
      <w:r w:rsidRPr="006A4BCA">
        <w:rPr>
          <w:rFonts w:ascii="Times New Roman" w:eastAsia="Arial MT" w:hAnsi="Times New Roman" w:cs="Times New Roman"/>
          <w:sz w:val="24"/>
          <w:szCs w:val="24"/>
        </w:rPr>
        <w:t>El presente decreto entrará en vigor el día siguiente al de su publicación en el Periódico Oficial “Gaceta de Gobierno”, Gobierno del Estado Libre y Soberano de México”.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TERCERO. </w:t>
      </w:r>
      <w:r w:rsidRPr="006A4BCA">
        <w:rPr>
          <w:rFonts w:ascii="Times New Roman" w:eastAsia="Arial MT" w:hAnsi="Times New Roman" w:cs="Times New Roman"/>
          <w:sz w:val="24"/>
          <w:szCs w:val="24"/>
        </w:rPr>
        <w:t>El Poder Ejecutivo contará con 180 días para emitir reglamentos y lineamientos operativos de esta Ley.</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CUARTO. </w:t>
      </w:r>
      <w:r w:rsidRPr="006A4BCA">
        <w:rPr>
          <w:rFonts w:ascii="Times New Roman" w:eastAsia="Arial MT" w:hAnsi="Times New Roman" w:cs="Times New Roman"/>
          <w:sz w:val="24"/>
          <w:szCs w:val="24"/>
        </w:rPr>
        <w:t>Los municipios deberán alinear sus reglamentos y programas de manejo de residuos con esta Ley en un plazo no mayor a un año.</w:t>
      </w: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b/>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ARTÍCULO QUINTO</w:t>
      </w:r>
      <w:r w:rsidRPr="006A4BCA">
        <w:rPr>
          <w:rFonts w:ascii="Times New Roman" w:eastAsia="Arial MT" w:hAnsi="Times New Roman" w:cs="Times New Roman"/>
          <w:sz w:val="24"/>
          <w:szCs w:val="24"/>
        </w:rPr>
        <w:t>. Se derogan todas aquellas disposiciones que contravengan al presente Decreto.</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persona titular del Poder Ejecutivo lo tendrá por entendido, haciendo que se publique y se cumpla.</w:t>
      </w:r>
    </w:p>
    <w:p w:rsidR="002B30EE" w:rsidRPr="006A4BCA" w:rsidRDefault="002B30EE" w:rsidP="002B30EE">
      <w:pPr>
        <w:widowControl w:val="0"/>
        <w:autoSpaceDE w:val="0"/>
        <w:autoSpaceDN w:val="0"/>
        <w:spacing w:after="0" w:line="240" w:lineRule="auto"/>
        <w:rPr>
          <w:rFonts w:ascii="Times New Roman" w:eastAsia="Arial MT" w:hAnsi="Times New Roman" w:cs="Times New Roman"/>
          <w:sz w:val="24"/>
          <w:szCs w:val="24"/>
        </w:rPr>
      </w:pPr>
    </w:p>
    <w:p w:rsidR="002B30EE" w:rsidRPr="006A4BCA" w:rsidRDefault="002B30EE" w:rsidP="002B30E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Dado en el Palacio del Poder Legislativo, en la Ciudad de Toluca, Capital del Estado de México, a los </w:t>
      </w:r>
      <w:r w:rsidRPr="006A4BCA">
        <w:rPr>
          <w:rFonts w:ascii="Times New Roman" w:eastAsia="Arial MT" w:hAnsi="Times New Roman" w:cs="Times New Roman"/>
          <w:sz w:val="24"/>
          <w:szCs w:val="24"/>
          <w:u w:val="single"/>
        </w:rPr>
        <w:t xml:space="preserve">  </w:t>
      </w:r>
      <w:r w:rsidRPr="006A4BCA">
        <w:rPr>
          <w:rFonts w:ascii="Times New Roman" w:eastAsia="Arial MT" w:hAnsi="Times New Roman" w:cs="Times New Roman"/>
          <w:sz w:val="24"/>
          <w:szCs w:val="24"/>
        </w:rPr>
        <w:t xml:space="preserve"> días del mes </w:t>
      </w:r>
      <w:r w:rsidRPr="006A4BCA">
        <w:rPr>
          <w:rFonts w:ascii="Times New Roman" w:eastAsia="Arial MT" w:hAnsi="Times New Roman" w:cs="Times New Roman"/>
          <w:sz w:val="24"/>
          <w:szCs w:val="24"/>
          <w:u w:val="single"/>
        </w:rPr>
        <w:t xml:space="preserve">  </w:t>
      </w:r>
      <w:r w:rsidRPr="006A4BCA">
        <w:rPr>
          <w:rFonts w:ascii="Times New Roman" w:eastAsia="Arial MT" w:hAnsi="Times New Roman" w:cs="Times New Roman"/>
          <w:sz w:val="24"/>
          <w:szCs w:val="24"/>
        </w:rPr>
        <w:t xml:space="preserve"> del año dos mil veintiséis.</w:t>
      </w:r>
    </w:p>
    <w:p w:rsidR="00842FF0" w:rsidRPr="006A4BCA" w:rsidRDefault="00842FF0" w:rsidP="002B30EE">
      <w:pPr>
        <w:spacing w:after="0" w:line="240" w:lineRule="auto"/>
        <w:jc w:val="center"/>
        <w:rPr>
          <w:rFonts w:ascii="Times New Roman" w:hAnsi="Times New Roman"/>
          <w:sz w:val="24"/>
          <w:szCs w:val="24"/>
        </w:rPr>
      </w:pPr>
    </w:p>
    <w:p w:rsidR="00842FF0" w:rsidRPr="006A4BCA" w:rsidRDefault="00842FF0" w:rsidP="002B30EE">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842FF0" w:rsidRPr="006A4BCA" w:rsidRDefault="00842FF0" w:rsidP="002B30EE">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PRESIDENTA DIP. MARTHA AZUCENA CAMACHO REYNOSO. Gracias diputado Carlos Alberto López Imm.</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Se registra la iniciativa y se remite a las Comisiones Legislativas de Desarrollo Económico, Industrial, Comercial y Minero y de Protección Ambiental y Cambio Climático para su estudio y dictamen.</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Para atender al punto número 15, la diputada Alejandra Figueroa Adame presenta, en nombre del Grupo Parlamentario del Partido Verde Ecologista de México, iniciativa con Proyecto de Decreto por el que se instruye al Mérito Deportivo del Poder Legislativo del Estado de México, como un reconocimiento honorífico que otorga la Honorable Legislatura. </w:t>
      </w:r>
    </w:p>
    <w:p w:rsidR="004A7076" w:rsidRPr="006A4BCA" w:rsidRDefault="004A7076" w:rsidP="004A7076">
      <w:pPr>
        <w:pStyle w:val="Sinespaciad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DIP. ALEJANDRA FIGUEROA ADAME. Con la venia Presidenta.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Saludo con mucho gusto a mis compañeras y compañeros de la Mesa Directiva.</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Muy buenas tardes, diputadas, diputade, diputados, envío un respetuoso saludo a los medios de comunicación que nos acompañan y a las y los mexiquenses que nos siguen en redes sociales y de manera virtual.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“El deporte tiene el poder de cambiar el mundo”. Nelson Mandela.</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En el Estado de México, el deporte ha sido un vehículo de cohesión comunitaria y un espacio de encuentro, así lo vemos cada semana con el futbol llanero o en los encuentros deportivos cotidianos en los patios de las escuelas, en donde se practica también basquetbol y voleibol. </w:t>
      </w:r>
    </w:p>
    <w:p w:rsidR="004A7076" w:rsidRPr="006A4BCA" w:rsidRDefault="004A7076" w:rsidP="004A7076">
      <w:pPr>
        <w:pStyle w:val="Sinespaciado"/>
        <w:ind w:firstLine="708"/>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 xml:space="preserve">Como deportista he visto de cerca cómo el deporte en nuestra Entidad, fortalece el trabajo en equipo y se convierte en un referente de valores inquebrantables como la disciplina y la perseverancia, desde lo social </w:t>
      </w:r>
      <w:r w:rsidRPr="006A4BCA">
        <w:rPr>
          <w:rFonts w:ascii="Times New Roman" w:hAnsi="Times New Roman" w:cs="Times New Roman"/>
          <w:sz w:val="24"/>
          <w:szCs w:val="24"/>
        </w:rPr>
        <w:t xml:space="preserve">vemos el deporte desde la solidaridad y el compañerismo; sin embargo, desde las instituciones y el enfoque, debe ser diferente, el deporte debe ser visto como una política pública transversal. </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t>Hoy sabemos que la actividad deportiva, sobre todo de equipos, incide directamente en la prevención de conductas de riesgo, promueve estilos de vidas saludables y lo más importante, para una sociedad que se considera democrática, construye ciudadanía.</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La iniciativa que hoy presento en la “Casa del Pueblo”, busca institucionalizar un reconocimiento permanente para aquellas personas que se dedican a fomentar los valores deportivos en nuestro querido Estado de México; además en un acto de justicia social y de </w:t>
      </w:r>
      <w:r w:rsidRPr="006A4BCA">
        <w:rPr>
          <w:rFonts w:ascii="Times New Roman" w:hAnsi="Times New Roman" w:cs="Times New Roman"/>
          <w:sz w:val="24"/>
          <w:szCs w:val="24"/>
        </w:rPr>
        <w:lastRenderedPageBreak/>
        <w:t>reconocimiento a las actividades deportivas fomentadas desde el Gobierno del Estado de México que encabeza nuestra querida Gobernadora, la Maestra Delfina Gómez Álvarez, propongo que la primera edición de este mérito deportivo, se otorgue a las mujeres que llegar</w:t>
      </w:r>
      <w:r w:rsidR="00E811AA" w:rsidRPr="006A4BCA">
        <w:rPr>
          <w:rFonts w:ascii="Times New Roman" w:hAnsi="Times New Roman" w:cs="Times New Roman"/>
          <w:sz w:val="24"/>
          <w:szCs w:val="24"/>
        </w:rPr>
        <w:t>a</w:t>
      </w:r>
      <w:r w:rsidRPr="006A4BCA">
        <w:rPr>
          <w:rFonts w:ascii="Times New Roman" w:hAnsi="Times New Roman" w:cs="Times New Roman"/>
          <w:sz w:val="24"/>
          <w:szCs w:val="24"/>
        </w:rPr>
        <w:t xml:space="preserve">n a la final de la </w:t>
      </w:r>
      <w:r w:rsidR="007017A9" w:rsidRPr="006A4BCA">
        <w:rPr>
          <w:rFonts w:ascii="Times New Roman" w:hAnsi="Times New Roman" w:cs="Times New Roman"/>
          <w:sz w:val="24"/>
          <w:szCs w:val="24"/>
        </w:rPr>
        <w:t>Copa Colibrí</w:t>
      </w:r>
      <w:r w:rsidRPr="006A4BCA">
        <w:rPr>
          <w:rFonts w:ascii="Times New Roman" w:hAnsi="Times New Roman" w:cs="Times New Roman"/>
          <w:sz w:val="24"/>
          <w:szCs w:val="24"/>
        </w:rPr>
        <w:t xml:space="preserve"> 2025-2026, este torneo que reunió a más de mil jugadoras y jugadores de 25 dependencias, es el ejemplo vivo de que el deporte en las instituciones está más vigente que nunca.</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t>Propongo que se otorgue esta distinción, porque en el marco del “Día Internacional de la Mujer”, vale pena reconocer el esfuerzo de las jugadoras; muchas de ellas hicieron un triple esfuerzo al ser servidoras públicas, madres de familia y deportistas.</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t>Reconocer ese esfuerzo, es fortalecer la participación de un sector que se ha ganado con creces un reconocimiento.</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t>Hoy, las mujeres estamos llegando a lugares que hace una década nos parecían lejanos, por ejemplo, los juegos olímpicos de parís en el 2024, marcaron un hecho histórico, porque fueron los primeros con paridad de género total y en el caso de nuestras representantes nacionales, la delegación mexicana de mujeres fue más numerosa que la de los varones; pero es necesario decirlo, ganar un espacio en competiciones, no ha sido gratuito, las estadísticas recientes nos dicen que durante 2025, el 51% de las deportistas mexicanas con resultados sobresalientes en competencias mundiales, fueron mujeres, esto se suma a la tendencia de las ultimas 7 ediciones de los Juegos Olímpicos, donde las mujeres mexicanas han conquistado la mayor parte de las medallas del país.</w:t>
      </w:r>
    </w:p>
    <w:p w:rsidR="004A7076" w:rsidRPr="006A4BCA" w:rsidRDefault="004A7076" w:rsidP="004A7076">
      <w:pPr>
        <w:spacing w:after="0" w:line="240" w:lineRule="auto"/>
        <w:ind w:firstLine="708"/>
        <w:jc w:val="both"/>
        <w:rPr>
          <w:rFonts w:ascii="Times New Roman" w:hAnsi="Times New Roman" w:cs="Times New Roman"/>
          <w:sz w:val="24"/>
          <w:szCs w:val="24"/>
        </w:rPr>
      </w:pPr>
      <w:r w:rsidRPr="006A4BCA">
        <w:rPr>
          <w:rFonts w:ascii="Times New Roman" w:hAnsi="Times New Roman" w:cs="Times New Roman"/>
          <w:sz w:val="24"/>
          <w:szCs w:val="24"/>
        </w:rPr>
        <w:t>Sin embargo, a pesar de estos éxitos comprobables para los equipos femeninos, la desigualdad y las brechas de género, siguen siendo un reto que debemos atender.</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La tasa de abandono deportivo a los 14 años es 2 veces mayor en las niñas que en los niños y al llegar a la adultez las mujeres tienen menos tiempo para desarrollar actividad física que los hombres y las brechas salariales alcanzan hasta 700% en disciplinas como el futbol, desde el Partido Verde, estamos convencidas de que instaurar un reconocimiento al mérito deportivo desde el Congreso del Estado de México y otorgarlo en su primera edición a las mujeres que llegaron a la final de este Torneo Colibrí es enviar un mensaje claro de que esta Legislatura valora las acciones que fortalecen el orgullo y la cohesión de las y los mexiquenses.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Es cuanto Presidenta, muchas gracias.</w:t>
      </w:r>
    </w:p>
    <w:p w:rsidR="00907874" w:rsidRPr="006A4BCA" w:rsidRDefault="00907874" w:rsidP="00A60CD6">
      <w:pPr>
        <w:pStyle w:val="Sinespaciado"/>
        <w:jc w:val="both"/>
        <w:rPr>
          <w:rFonts w:ascii="Times New Roman" w:hAnsi="Times New Roman" w:cs="Times New Roman"/>
          <w:sz w:val="24"/>
          <w:szCs w:val="24"/>
        </w:rPr>
      </w:pPr>
    </w:p>
    <w:p w:rsidR="00907874" w:rsidRPr="006A4BCA" w:rsidRDefault="00907874" w:rsidP="00A60CD6">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907874" w:rsidRPr="006A4BCA" w:rsidRDefault="00907874" w:rsidP="00A60CD6">
      <w:pPr>
        <w:spacing w:after="0" w:line="240" w:lineRule="auto"/>
        <w:jc w:val="center"/>
        <w:rPr>
          <w:rFonts w:ascii="Times New Roman" w:hAnsi="Times New Roman"/>
          <w:sz w:val="24"/>
          <w:szCs w:val="24"/>
        </w:rPr>
      </w:pPr>
    </w:p>
    <w:p w:rsidR="00B87D76" w:rsidRPr="006A4BCA" w:rsidRDefault="00B87D76" w:rsidP="00B87D76">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GRUPO PARLAMENTARIO DEL PARTIDO VERDE ECOLOGISTA DE MEXICO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“2026. Año del Humanismo Mexicano en el Estado de México”.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right"/>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Toluca de Lerdo, Estado de México, a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de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de 2026.</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MARTHA AZUCENA CAMACHO REYNOSO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PRESIDENTA DE LA MESA DIRECTIVA</w:t>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LXII LEGISLATURA DEL H. PODER LEGISLATIVO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ESTADO LIBRE Y SOBERANO DE MÉXICO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 R E S E N T E</w:t>
      </w:r>
    </w:p>
    <w:p w:rsidR="00B87D76" w:rsidRPr="006A4BCA" w:rsidRDefault="00B87D76" w:rsidP="00B87D76">
      <w:pPr>
        <w:widowControl w:val="0"/>
        <w:autoSpaceDE w:val="0"/>
        <w:autoSpaceDN w:val="0"/>
        <w:spacing w:after="0" w:line="240" w:lineRule="auto"/>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Honorable Asamblea:</w:t>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Quienes suscriben </w:t>
      </w:r>
      <w:r w:rsidRPr="006A4BCA">
        <w:rPr>
          <w:rFonts w:ascii="Times New Roman" w:eastAsia="Arial MT" w:hAnsi="Times New Roman" w:cs="Times New Roman"/>
          <w:b/>
          <w:sz w:val="24"/>
          <w:szCs w:val="24"/>
        </w:rPr>
        <w:t>JOSÉ ALBERTO COUTTOLENC BUENTELLO</w:t>
      </w:r>
      <w:r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w:t>
      </w:r>
      <w:r w:rsidRPr="006A4BCA">
        <w:rPr>
          <w:rFonts w:ascii="Times New Roman" w:eastAsia="Arial MT" w:hAnsi="Times New Roman" w:cs="Times New Roman"/>
          <w:b/>
          <w:sz w:val="24"/>
          <w:szCs w:val="24"/>
        </w:rPr>
        <w:lastRenderedPageBreak/>
        <w:t xml:space="preserve">MATA </w:t>
      </w:r>
      <w:r w:rsidRPr="006A4BCA">
        <w:rPr>
          <w:rFonts w:ascii="Times New Roman" w:eastAsia="Arial MT" w:hAnsi="Times New Roman" w:cs="Times New Roman"/>
          <w:sz w:val="24"/>
          <w:szCs w:val="24"/>
        </w:rPr>
        <w:t xml:space="preserve">diputadas y diputados integrantes del </w:t>
      </w:r>
      <w:r w:rsidRPr="006A4BCA">
        <w:rPr>
          <w:rFonts w:ascii="Times New Roman" w:eastAsia="Arial MT" w:hAnsi="Times New Roman" w:cs="Times New Roman"/>
          <w:b/>
          <w:sz w:val="24"/>
          <w:szCs w:val="24"/>
        </w:rPr>
        <w:t xml:space="preserve">GRUPO PARLAMENTARIO DEL PARTIDO VERDE ECOLOGISTA DE MÉXICO </w:t>
      </w:r>
      <w:r w:rsidRPr="006A4BCA">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6A4BCA">
        <w:rPr>
          <w:rFonts w:ascii="Times New Roman" w:eastAsia="Arial MT" w:hAnsi="Times New Roman" w:cs="Times New Roman"/>
          <w:b/>
          <w:sz w:val="24"/>
          <w:szCs w:val="24"/>
        </w:rPr>
        <w:t xml:space="preserve">INICIATIVA CON PROYECTO DE DECRETO POR EL QUE SE INSTITUYE EL MÉRITO DEPORTIVO DEL PODER LEGISLATIVO DEL ESTADO DE MÉXICO COMO UN RECONOCIMIENTO HONORÍFICO QUE OTORGARÁ LA H. LEGISLATURA, </w:t>
      </w:r>
      <w:r w:rsidRPr="006A4BCA">
        <w:rPr>
          <w:rFonts w:ascii="Times New Roman" w:eastAsia="Arial MT" w:hAnsi="Times New Roman" w:cs="Times New Roman"/>
          <w:sz w:val="24"/>
          <w:szCs w:val="24"/>
        </w:rPr>
        <w:t>con sustento en la siguiente:</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EXPOSICIÓN DE MOTIVOS</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deporte no es únicamente una actividad física o un espectáculo competitivo; es un fenómeno social que articula identidad, pertenencia y aspiraciones colectivas. En el Estado de México, el deporte ha sido históricamente un vehículo de cohesión comunitaria, un espacio de encuentro entre generaciones y un referente de valores como la disciplina, el trabajo en equipo y la perseverancia. En este contexto, el Poder Legislativo, como órgano representativo de la pluralidad social, tiene la responsabilidad de reconocer aquellas trayectorias que han contribuido de manera sustantiva al fortalecimiento del tejido social mexiquense.</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este contexto, la creación del Mérito Deportivo del Poder Legislativo del Estado de México responde a la necesidad de institucionalizar un reconocimiento permanente a quienes, mediante el deporte, contribuyen al prestigio, cohesión e identidad de nuestra entidad. El Congreso mexiquense, como representación democrática de la ciudadanía, tiene la facultad moral y política de honrar trayectorias que han fortalecido el orgullo colectivo y proyectado positivamente el nombre del Estado de México.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un momento histórico en el que resulta indispensable fortalecer los referentes positivos y reconstruir espacios de convivencia social, el reconocimiento a instituciones o deportistas que han contribuido de manera consistente al bienestar comunitario adquiere una dimensión estratégica. El deporte, entendido como política pública transversal, incide en la prevención de conductas de riesgo, en la promoción de estilos de vida saludables y en la construcción de ciudadanía.</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 bien la Ley Orgánica del Poder Legislativo del Estado Libre y Soberano contempla, en su artículo 62, fracción XVIII, externa que:</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i/>
          <w:sz w:val="24"/>
          <w:szCs w:val="24"/>
        </w:rPr>
      </w:pPr>
      <w:r w:rsidRPr="006A4BCA">
        <w:rPr>
          <w:rFonts w:ascii="Times New Roman" w:eastAsia="Arial MT" w:hAnsi="Times New Roman" w:cs="Times New Roman"/>
          <w:i/>
          <w:sz w:val="24"/>
          <w:szCs w:val="24"/>
        </w:rPr>
        <w:t>Por conducto de la Junta de Coordinación Política se podrá otorgar de manera anual, en representación de la Legislatura, durante el mes de septiembre, la Orden Mexiquense de la Medalla de Honor “José María Luis Mora”, al o a los mexiquenses que se hayan distinguido por sus méritos en el ámbito cultural, académico, artístico, deportivo, científico, social, económico o político; para lo cual se observará lo dispuesto en el Decreto que crea dicho reconocimiento.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i/>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59 Legislatura mexiquense otorgó la Orden Mexiquense de la Medalla de Honor “José María Luis Mora”, instituida a propuesta de la Junta de Coordinación Política (Jucopo), a los dos medallistas paralímpicos Edgar Cesáreo Navarro Sánchez y Jesús Hernández Hernández, además de un estímulo económico también otorgado a los integrantes de la delegación mexiquense participante en los Juegos Paralímpicos Río 2016.</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lastRenderedPageBreak/>
        <w:t>Por ello, la instauración del Mérito Deportivo del Poder Legislativo no solo representa un acto simbólico, sino la consolidación de una política de reconocimiento institucional alineada con los principios de promoción del deporte y fortalecimiento del tejido social. Otorgar esta primera distinción a los equipos de futbol femenil del Poder Legislativo, ‘Iniciativas F.C.’ y ‘Potras’ de la Universidad Autónoma del Estado de México (UAEMéx), que llegaron a la final del primer torneo llamado “Copa Colibrí 2025-2026”, resulta pertinente y legítimo.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Cabe señalar que este torneo deportivo fue organizado por el Voluntariado de la Secretaría del Bienestar del Gobierno del Estado de México y reunió a 55 equipos de 25 dependencias públicas, así como a mil 50 jugadoras y jugadores.</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consecuencia, la presente iniciativa busca honrar, en el marco del 8 de marzo, que los equipos femeniles han trascendido lo deportivo para convertirse en parte de una transformación cultural en la que las mujeres ocupan cada día más espacios deportivos.</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Así lo reconoce ONU Mujeres al señalar que los Juegos Olímpicos de París representaron la mayor paridad de género en la historia. No sólo eso, el deporte en la formación de las mujeres resulta cada día más importante y tiene beneficios tangibles para ellas. Los datos disponibles nos dicen que las niñas que practican deportes desarrollan la autoestima, la confianza y la resiliencia, además de trabajar mejor en equipo, en consecuencia, tienen trayectorias académicas más largas; también postergan su primer embarazo y consiguen mejores empleos. Otro dato que reconoce la importancia del deporte en el desarrollo integral de las mujeres es que el 80% de las empresarias en la lista Fortune 500 practicó algún deporte durante su etapa formativa. A pesar de estos beneficios, la tasa de abandono del deporte a los 14 años es dos veces mayor en el caso de las niñas que en el de los niños</w:t>
      </w:r>
      <w:r w:rsidRPr="006A4BCA">
        <w:rPr>
          <w:rFonts w:ascii="Times New Roman" w:eastAsia="Arial MT" w:hAnsi="Times New Roman" w:cs="Times New Roman"/>
          <w:sz w:val="24"/>
          <w:szCs w:val="24"/>
          <w:vertAlign w:val="superscript"/>
        </w:rPr>
        <w:t>1</w:t>
      </w:r>
      <w:r w:rsidRPr="006A4BCA">
        <w:rPr>
          <w:rFonts w:ascii="Times New Roman" w:eastAsia="Arial MT" w:hAnsi="Times New Roman" w:cs="Times New Roman"/>
          <w:sz w:val="24"/>
          <w:szCs w:val="24"/>
        </w:rPr>
        <w:t>.</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Reconocer a las y los deportistas mexiquenses, empresarios que apuestan por el deporte en nuestra entidad e instituciones que fortalecen la práctica deportiva mediante la creación y entrega del Mérito Deportivo del Poder Legislativo del Estado de México, constituye un acto de justicia institucional y un mensaje claro de que el Congreso mexiquense reconoce y valora aquellas acciones que fortalecen la identidad, el orgullo y la cohesión social de nuestro pueblo.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sz w:val="24"/>
          <w:szCs w:val="24"/>
        </w:rPr>
        <w:t xml:space="preserve">Por lo anteriormente expuesto, fundamentado y motivado, se somete a consideración de este H. Congreso para su análisis, discusión y, en su caso, aprobación, la presente: </w:t>
      </w:r>
      <w:r w:rsidRPr="006A4BCA">
        <w:rPr>
          <w:rFonts w:ascii="Times New Roman" w:eastAsia="Arial MT" w:hAnsi="Times New Roman" w:cs="Times New Roman"/>
          <w:b/>
          <w:sz w:val="24"/>
          <w:szCs w:val="24"/>
        </w:rPr>
        <w:t>INICIATIVA CON PROYECTO DE DECRETO POR EL QUE SE INSTITUYE EL MÉRITO DEPORTIVO DEL PODER LEGISLATIVO DEL ESTADO DE MÉXICO COMO UN RECONOCIMIENTO HONORÍFICO QUE OTORGARÁ LA H. LEGISLATURA.</w:t>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p>
    <w:p w:rsidR="00B87D76" w:rsidRPr="006A4BCA" w:rsidRDefault="00B87D76" w:rsidP="00B87D76">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 T E N T A M E N T E</w:t>
      </w:r>
    </w:p>
    <w:p w:rsidR="00B87D76" w:rsidRPr="006A4BCA" w:rsidRDefault="00B87D76" w:rsidP="00B87D76">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JOSÉ ALBERTO COUTTOLENC BUENTELLO</w:t>
      </w:r>
    </w:p>
    <w:p w:rsidR="00B87D76" w:rsidRPr="006A4BCA" w:rsidRDefault="00B87D76" w:rsidP="00B87D76">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COORDINADOR DEL GRUPO PARLAMENTARIO DEL</w:t>
      </w:r>
    </w:p>
    <w:p w:rsidR="00B87D76" w:rsidRPr="006A4BCA" w:rsidRDefault="00B87D76" w:rsidP="00B87D76">
      <w:pPr>
        <w:widowControl w:val="0"/>
        <w:autoSpaceDE w:val="0"/>
        <w:autoSpaceDN w:val="0"/>
        <w:spacing w:after="0" w:line="240" w:lineRule="auto"/>
        <w:jc w:val="center"/>
        <w:rPr>
          <w:rFonts w:ascii="Times New Roman" w:eastAsia="Arial MT" w:hAnsi="Times New Roman" w:cs="Times New Roman"/>
          <w:sz w:val="24"/>
          <w:szCs w:val="24"/>
        </w:rPr>
      </w:pPr>
      <w:r w:rsidRPr="006A4BCA">
        <w:rPr>
          <w:rFonts w:ascii="Times New Roman" w:eastAsia="Arial MT" w:hAnsi="Times New Roman" w:cs="Times New Roman"/>
          <w:sz w:val="24"/>
          <w:szCs w:val="24"/>
        </w:rPr>
        <w:t>PARTIDO VERDE ECOLOGISTA DE MÉXICO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w:t>
      </w:r>
      <w:r w:rsidRPr="006A4BCA">
        <w:rPr>
          <w:rFonts w:ascii="Times New Roman" w:eastAsia="Arial MT" w:hAnsi="Times New Roman" w:cs="Times New Roman"/>
          <w:sz w:val="20"/>
          <w:szCs w:val="24"/>
        </w:rPr>
        <w:t xml:space="preserve"> ONU mujeres. (s/f). Datos y cifras: mujeres en el deporte. Véase en: </w:t>
      </w:r>
      <w:r w:rsidRPr="006A4BCA">
        <w:rPr>
          <w:rFonts w:ascii="Times New Roman" w:eastAsia="Arial MT" w:hAnsi="Times New Roman" w:cs="Times New Roman"/>
          <w:sz w:val="20"/>
          <w:szCs w:val="24"/>
          <w:u w:val="single" w:color="0000FF"/>
        </w:rPr>
        <w:t>https://</w:t>
      </w:r>
      <w:hyperlink r:id="rId14">
        <w:r w:rsidRPr="006A4BCA">
          <w:rPr>
            <w:rFonts w:ascii="Times New Roman" w:eastAsia="Arial MT" w:hAnsi="Times New Roman" w:cs="Times New Roman"/>
            <w:sz w:val="20"/>
            <w:szCs w:val="24"/>
            <w:u w:val="single" w:color="0000FF"/>
          </w:rPr>
          <w:t>www.unwomen.org/es/juegos-olimpicos-de-paris-2024-</w:t>
        </w:r>
      </w:hyperlink>
      <w:r w:rsidRPr="006A4BCA">
        <w:rPr>
          <w:rFonts w:ascii="Times New Roman" w:eastAsia="Arial MT" w:hAnsi="Times New Roman" w:cs="Times New Roman"/>
          <w:sz w:val="20"/>
          <w:szCs w:val="24"/>
        </w:rPr>
        <w:t xml:space="preserve"> </w:t>
      </w:r>
      <w:r w:rsidRPr="006A4BCA">
        <w:rPr>
          <w:rFonts w:ascii="Times New Roman" w:eastAsia="Arial MT" w:hAnsi="Times New Roman" w:cs="Times New Roman"/>
          <w:sz w:val="20"/>
          <w:szCs w:val="24"/>
          <w:u w:val="single" w:color="0000FF"/>
        </w:rPr>
        <w:t>una-nueva-era-para-las-mujeres-en-el-deporte/datos-y-cifras-las-mujeres-en-el-deporte</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DECRETO NÚMERO </w:t>
      </w:r>
      <w:r w:rsidRPr="006A4BCA">
        <w:rPr>
          <w:rFonts w:ascii="Times New Roman" w:eastAsia="Arial MT" w:hAnsi="Times New Roman" w:cs="Times New Roman"/>
          <w:sz w:val="24"/>
          <w:szCs w:val="24"/>
          <w:u w:val="thick"/>
        </w:rPr>
        <w:tab/>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lastRenderedPageBreak/>
        <w:t>LA LXII LEGISLATURA DEL ESTADO DE MÉXICO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DECRETA:</w:t>
      </w:r>
    </w:p>
    <w:p w:rsidR="00B87D76" w:rsidRPr="006A4BCA" w:rsidRDefault="00B87D76" w:rsidP="00B87D76">
      <w:pPr>
        <w:widowControl w:val="0"/>
        <w:autoSpaceDE w:val="0"/>
        <w:autoSpaceDN w:val="0"/>
        <w:spacing w:after="0" w:line="240" w:lineRule="auto"/>
        <w:rPr>
          <w:rFonts w:ascii="Times New Roman" w:eastAsia="Arial MT" w:hAnsi="Times New Roman" w:cs="Times New Roman"/>
          <w:b/>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ÚNICO. </w:t>
      </w:r>
      <w:r w:rsidRPr="006A4BCA">
        <w:rPr>
          <w:rFonts w:ascii="Times New Roman" w:eastAsia="Arial MT" w:hAnsi="Times New Roman" w:cs="Times New Roman"/>
          <w:sz w:val="24"/>
          <w:szCs w:val="24"/>
        </w:rPr>
        <w:t>Se instituye el Mérito Deportivo del Poder Legislativo del Estado Libre y Soberano de México como un reconocimiento honorífico anual que otorgará la H. Legislatura a personas físicas, asociaciones, instituciones o equipos que se hayan distinguido por su trayectoria sobresaliente, excelencia competitiva o contribución relevante al desarrollo del deporte en la entidad.</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SEGUNDO. </w:t>
      </w:r>
      <w:r w:rsidRPr="006A4BCA">
        <w:rPr>
          <w:rFonts w:ascii="Times New Roman" w:eastAsia="Arial MT" w:hAnsi="Times New Roman" w:cs="Times New Roman"/>
          <w:sz w:val="24"/>
          <w:szCs w:val="24"/>
        </w:rPr>
        <w:t>El Mérito Deportivo del Poder Legislativo del Estado de México consistirá en:</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Un reconocimiento oficial expedido por la H. Legislatura.</w:t>
      </w:r>
    </w:p>
    <w:p w:rsidR="00B87D76" w:rsidRPr="006A4BCA" w:rsidRDefault="00B87D76" w:rsidP="00B87D76">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Una medalla o presea conmemorativa.</w:t>
      </w:r>
    </w:p>
    <w:p w:rsidR="00B87D76" w:rsidRPr="006A4BCA" w:rsidRDefault="00B87D76" w:rsidP="00B87D76">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6A4BCA">
        <w:rPr>
          <w:rFonts w:ascii="Times New Roman" w:eastAsia="Arial MT" w:hAnsi="Times New Roman" w:cs="Times New Roman"/>
          <w:sz w:val="24"/>
          <w:szCs w:val="24"/>
        </w:rPr>
        <w:t>La inscripción del nombre del galardonado en el registro oficial de distinciones del Poder Legislativo.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TERCERO. </w:t>
      </w:r>
      <w:r w:rsidRPr="006A4BCA">
        <w:rPr>
          <w:rFonts w:ascii="Times New Roman" w:eastAsia="Arial MT" w:hAnsi="Times New Roman" w:cs="Times New Roman"/>
          <w:sz w:val="24"/>
          <w:szCs w:val="24"/>
        </w:rPr>
        <w:t>El otorgamiento del Mérito Deportivo será aprobado por el Pleno de la Legislatura, previa propuesta de la Junta de Coordinación Política o de la Comisión Legislativa competente en materia de deporte, conforme a los lineamientos que para tal efecto se emitan.</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CUARTO. </w:t>
      </w:r>
      <w:r w:rsidRPr="006A4BCA">
        <w:rPr>
          <w:rFonts w:ascii="Times New Roman" w:eastAsia="Arial MT" w:hAnsi="Times New Roman" w:cs="Times New Roman"/>
          <w:sz w:val="24"/>
          <w:szCs w:val="24"/>
        </w:rPr>
        <w:t>En su primera edición, el Mérito Deportivo del Poder Legislativo del Estado de México se otorga al Club “Iniciativas F.C.” y ‘Potras’ de la Universidad Autónoma del Estado de México (UAEMéx), que llegaron a la final del primer torneo llamado “Copa Colibrí 2025-2026”.</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QUINTO. </w:t>
      </w:r>
      <w:r w:rsidRPr="006A4BCA">
        <w:rPr>
          <w:rFonts w:ascii="Times New Roman" w:eastAsia="Arial MT" w:hAnsi="Times New Roman" w:cs="Times New Roman"/>
          <w:sz w:val="24"/>
          <w:szCs w:val="24"/>
        </w:rPr>
        <w:t>La entrega del Mérito Deportivo se realizará en Sesión Solemne de la H. Legislatura del Congreso del Estado Libre y Soberano de México, en la fecha que determine la Junta de Coordinación Política.</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TRANSITORIOS</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PRIMERO. </w:t>
      </w:r>
      <w:r w:rsidRPr="006A4BCA">
        <w:rPr>
          <w:rFonts w:ascii="Times New Roman" w:eastAsia="Arial MT" w:hAnsi="Times New Roman" w:cs="Times New Roman"/>
          <w:sz w:val="24"/>
          <w:szCs w:val="24"/>
        </w:rPr>
        <w:t>Publíquese el presente Decreto en el Periódico Oficial “Gaceta de Gobierno”.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SEGUNDO. </w:t>
      </w:r>
      <w:r w:rsidRPr="006A4BCA">
        <w:rPr>
          <w:rFonts w:ascii="Times New Roman" w:eastAsia="Arial MT" w:hAnsi="Times New Roman" w:cs="Times New Roman"/>
          <w:sz w:val="24"/>
          <w:szCs w:val="24"/>
        </w:rPr>
        <w:t>El presente decreto entrará en vigor el día siguiente al de su publicación en el Periódico Oficial “Gaceta de Gobierno”, Gobierno del Estado Libre y Soberano de México”.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TERCERO. </w:t>
      </w:r>
      <w:r w:rsidRPr="006A4BCA">
        <w:rPr>
          <w:rFonts w:ascii="Times New Roman" w:eastAsia="Arial MT" w:hAnsi="Times New Roman" w:cs="Times New Roman"/>
          <w:sz w:val="24"/>
          <w:szCs w:val="24"/>
        </w:rPr>
        <w:t>La Junta de Coordinación Política emitirá, dentro de los sesenta días naturales siguientes, los lineamientos correspondientes para la entrega del Mérito Deportivo del Poder Legislativo del Estado de México.</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persona titular del Poder Ejecutivo lo tendrá por entendido, haciendo que se publique y se cumpla.</w:t>
      </w:r>
    </w:p>
    <w:p w:rsidR="00B87D76" w:rsidRPr="006A4BCA" w:rsidRDefault="00B87D76" w:rsidP="00B87D76">
      <w:pPr>
        <w:widowControl w:val="0"/>
        <w:autoSpaceDE w:val="0"/>
        <w:autoSpaceDN w:val="0"/>
        <w:spacing w:after="0" w:line="240" w:lineRule="auto"/>
        <w:rPr>
          <w:rFonts w:ascii="Times New Roman" w:eastAsia="Arial MT" w:hAnsi="Times New Roman" w:cs="Times New Roman"/>
          <w:sz w:val="24"/>
          <w:szCs w:val="24"/>
        </w:rPr>
      </w:pPr>
    </w:p>
    <w:p w:rsidR="00B87D76" w:rsidRPr="006A4BCA" w:rsidRDefault="00B87D76" w:rsidP="00B87D76">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Dado en el Palacio del Poder Legislativo, en la Ciudad de Toluca, Capital del Estado de México, a los </w:t>
      </w:r>
      <w:r w:rsidRPr="006A4BCA">
        <w:rPr>
          <w:rFonts w:ascii="Times New Roman" w:eastAsia="Arial MT" w:hAnsi="Times New Roman" w:cs="Times New Roman"/>
          <w:sz w:val="24"/>
          <w:szCs w:val="24"/>
          <w:u w:val="single"/>
        </w:rPr>
        <w:t xml:space="preserve">  </w:t>
      </w:r>
      <w:r w:rsidRPr="006A4BCA">
        <w:rPr>
          <w:rFonts w:ascii="Times New Roman" w:eastAsia="Arial MT" w:hAnsi="Times New Roman" w:cs="Times New Roman"/>
          <w:sz w:val="24"/>
          <w:szCs w:val="24"/>
        </w:rPr>
        <w:t xml:space="preserve"> días del mes </w:t>
      </w:r>
      <w:r w:rsidRPr="006A4BCA">
        <w:rPr>
          <w:rFonts w:ascii="Times New Roman" w:eastAsia="Arial MT" w:hAnsi="Times New Roman" w:cs="Times New Roman"/>
          <w:sz w:val="24"/>
          <w:szCs w:val="24"/>
          <w:u w:val="single"/>
        </w:rPr>
        <w:t xml:space="preserve">  </w:t>
      </w:r>
      <w:r w:rsidRPr="006A4BCA">
        <w:rPr>
          <w:rFonts w:ascii="Times New Roman" w:eastAsia="Arial MT" w:hAnsi="Times New Roman" w:cs="Times New Roman"/>
          <w:sz w:val="24"/>
          <w:szCs w:val="24"/>
        </w:rPr>
        <w:t xml:space="preserve"> del año dos mil veintiséis.</w:t>
      </w:r>
    </w:p>
    <w:p w:rsidR="00907874" w:rsidRPr="006A4BCA" w:rsidRDefault="00907874" w:rsidP="00A60CD6">
      <w:pPr>
        <w:spacing w:after="0" w:line="240" w:lineRule="auto"/>
        <w:jc w:val="center"/>
        <w:rPr>
          <w:rFonts w:ascii="Times New Roman" w:hAnsi="Times New Roman"/>
          <w:sz w:val="24"/>
          <w:szCs w:val="24"/>
        </w:rPr>
      </w:pPr>
    </w:p>
    <w:p w:rsidR="00907874" w:rsidRPr="006A4BCA" w:rsidRDefault="00907874" w:rsidP="00A60CD6">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907874" w:rsidRPr="006A4BCA" w:rsidRDefault="00907874" w:rsidP="00A60CD6">
      <w:pPr>
        <w:spacing w:after="0" w:line="240" w:lineRule="auto"/>
        <w:jc w:val="center"/>
        <w:rPr>
          <w:rFonts w:ascii="Times New Roman" w:hAnsi="Times New Roman"/>
          <w:sz w:val="24"/>
          <w:szCs w:val="24"/>
        </w:rPr>
      </w:pP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diputada Alejandra Figueroa Adame.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registra la iniciativa y se remite a las Comisiones Legislativas de Gobernación y Puntos Constitucionales y de la Juventud y el Deporte para su estudio y dictamen.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cuanto al punto número 16, la diputada Yareli Anaí Esparza Acevedo, presenta en nombre del Grupo Parlamentario del Partido del Trabajo, iniciativa con proyecto de decreto, mediante el cual se reforma la fracción XI del artículo 4.200 del Código Civil del Estado de México, en materia de Bienestar Digital de niñas, niños en su primera infancia desde la crianza responsable.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 YARELI ANAI ESPARZA ACEVEDO. Muchas gracias Presidenta, con su venia.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Saludo gratamente a mis compañeras, compañere y compañeros legisladores, a los medios de comunicación, así como a la ciudadanía que nos acompaña a través de las plataformas digitales.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Los primeros seis años de vida, son cruciales para el desarrollo del cerebro humano, para la motricidad; así como para las características psicoemocionales que definirán gran parte del rumbo que tomaremos a lo largo de nuestra vida. Cada cultura tiene sus principios y bases fundamentales en cuanto a crianza respecta; sin embargo, la mayoría de ellas, se sustentan en la actividad física constante, la interacción e inclusión en sistemas sociales adicionales a las redes familiares y en lo general, todo lo necesario para preparar a las niñas y niños a la vida en sociedad. Este principio, que es el derecho a cuidar y ser cuidado, es base de toda comunidad, pues de él devienen las relaciones familiares, los vínculos amistosos y en lo general todo lo relativo a la socialización.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Este derecho también está reconocido en la Constitución Política del Estado Libre y Soberano de México, vivimos en la época de un auge de la globalización y de la expansión de las Tecnologías de la Información y la Comunicación, las cuales ya son universalmente presentes en todos los grupos sociales, incluidas las infancias.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Diversos estudios exponen que el uso inadecuado de pantallas puede conducir a una serie de problemas de aprendizaje y socialización en niñas y niños. Se ha encontrado que en menores de seis años una elevada exposición a la televisión se relaciona con alteraciones de las habilidades de motricidad gruesa; el tiempo de uso pasivo de pantallas está asociado negativamente con la función ejecutiva, las habilidades sociales y el rendimiento escolar en matemáticas y ciencias.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En este contexto, el uso de dispositivos electrónicos requiere que los niños se involucren pasivamente con su entorno, lo que no es propicio para la progresión en el aprendizaje y el desarrollo.</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En las últimas décadas, el avance tecnológico ha transformado radicalmente las dinámicas sociales y educativas. Si bien el acceso a las tecnologías de la información y la comunicación representa una herramienta invaluable para fortalecer el aprendizaje, su uso inadecuado o en infancias tempranas resulta más perjudicial que benéfico.</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En el estudio “Efectos deletéreos en el desarrollo de los niños a causa de la exposición temprana a pantallas” de Médicas UIS devela una serie de datos importantes sobre la correlación entre deficiencias del desarrollo cognitivo y el uso de dispositivos electrónicos de comunicación; dificultad en el aprendizaje de nuevos idiomas, entorpecimiento de la socialización, alteración de los patrones del sueño, así como una falta de entendimiento de las emociones de otras personas.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Ante este panorama, es apremiante que desde el marco jurídico mexiquense se reconozca la procuración del bienestar digital como instrumento del cuidado con un sujeto obligado para tales efectos. Si bien el Estado, a través de sus instituciones de interés social, está facultado para salvaguardar la integridad de las infancias, el primer vínculo de protección a los menores en su seno familiar, es si seno familiar</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En este sentido, es responsabilidad de los tutores, así como de las personas que tengan bajo su cuidado a niñas, niños y adolescentes procurar su bienestar digital y desconexión con el propósito de fomentar la socialización con sus congéneres.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lastRenderedPageBreak/>
        <w:t xml:space="preserve">El Código Civil del Estado de México, en su artículo 4.200 bis establece las obligaciones de quienes ejercen la patria potestad; garantizar sus alimentos, educación, recreación y correcto desarrollo. La familia es el núcleo formador del ser humano, donde aprende a comprender los valores y principios de la moral media de la población. La familia es el núcleo donde se gesta el derecho a ser cuidado, protegido y encaminado a ser ciudadano de bien.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Como evidencia de la importancia de esta garantía del derecho a ser cuidado podríamos referir una conferencia de la antropóloga Margaret Mead. En ella, esta antropóloga fue cuestionada sobre cuál fue la primera evidencia de civilización, a lo que refirió la existencia de un fósil de un fémur roto de algún ser humano que habitó la tierra hace miles de años. Explicó que, en el reino animal si te rompes una pierna mueres. Pues no puedes procurarte comida o agua, ni huir del peligro, así que eres presa fácil de las bestias que rondan por ahí y ningún animal con una extremidad inferior rota sobrevive el tiempo suficiente para que el hueso sane por sí solo. De modo que un fémur quebrado que se curó evidencia que alguien se quedó con quien se lo rompió y que le vendó e inmovilizó la fractura. Es decir, que lo cuidó.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Las formas de cuidado evolucionan en conjunto con las necesidades a nuevas necesidades, nuevas formas de cuidado. Actualmente, en un mundo hiperconectado es prioritario refrendar el compromiso al cuidado y bienestar de las infancias con respecto a su bienestar digital, con el propósito de que en el Estado de México se gesten las condiciones necesarias para lidiar con los efectos colaterales de la era digital desde el seno familiar.</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Uno de los emblemas de la Cuarta Transformación y que ha sido también refrendado por nuestra Presidenta, la Doctora Claudia Sheinbaum Pardo, es la atención a las causas. Una niña o niño que pasa exacerbados periodos de tiempo frente a una pantalla antes que convivir con propios, no es el problema per se, es un síntoma de un problema más profundo, uno que resuelve mediante el tiempo de calidad en el hogar.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Por lo anteriormente expuesto, desde el Grupo Parlamentario del Partido del Trabajo someto a consideración de esta Honorable Asamblea establecer como obligación de quienes detentan la patria potestad, tutela o guarda y custodia de menores, a procurar un uso moderado, sano y responsable de dispositivos electrónicos.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Las niñas y niños son el futuro; sin embargo, deben de ser procurado desde el presente.</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Es cuanto Presidenta. Muchas gracias. </w:t>
      </w:r>
    </w:p>
    <w:p w:rsidR="00AA3C5B" w:rsidRPr="006A4BCA" w:rsidRDefault="00AA3C5B" w:rsidP="00A60CD6">
      <w:pPr>
        <w:pStyle w:val="Sinespaciado"/>
        <w:jc w:val="both"/>
        <w:rPr>
          <w:rFonts w:ascii="Times New Roman" w:hAnsi="Times New Roman" w:cs="Times New Roman"/>
          <w:sz w:val="24"/>
          <w:szCs w:val="24"/>
        </w:rPr>
      </w:pPr>
    </w:p>
    <w:p w:rsidR="00AA3C5B" w:rsidRPr="006A4BCA" w:rsidRDefault="00AA3C5B" w:rsidP="00A60CD6">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AA3C5B" w:rsidRPr="006A4BCA" w:rsidRDefault="00AA3C5B" w:rsidP="00A60CD6">
      <w:pPr>
        <w:spacing w:after="0" w:line="240" w:lineRule="auto"/>
        <w:jc w:val="center"/>
        <w:rPr>
          <w:rFonts w:ascii="Times New Roman" w:hAnsi="Times New Roman"/>
          <w:sz w:val="24"/>
          <w:szCs w:val="24"/>
        </w:rPr>
      </w:pP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DIP. YARELI ANAI ESPARZA ACEVEDO</w:t>
      </w: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Presidenta de la Comisión Legislativa de Apoyo y Atención a las Personas Migrantes</w:t>
      </w: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“2026. Año del Humanismo Mexicano en el Estado de México”.</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jc w:val="right"/>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 xml:space="preserve">Toluca de Lerdo, México, </w:t>
      </w:r>
      <w:r w:rsidRPr="006A4BCA">
        <w:rPr>
          <w:rFonts w:ascii="Times New Roman" w:eastAsia="Times New Roman" w:hAnsi="Times New Roman" w:cs="Times New Roman"/>
          <w:b/>
          <w:sz w:val="24"/>
          <w:szCs w:val="24"/>
          <w:u w:val="single"/>
        </w:rPr>
        <w:tab/>
      </w:r>
      <w:r w:rsidRPr="006A4BCA">
        <w:rPr>
          <w:rFonts w:ascii="Times New Roman" w:eastAsia="Times New Roman" w:hAnsi="Times New Roman" w:cs="Times New Roman"/>
          <w:b/>
          <w:sz w:val="24"/>
          <w:szCs w:val="24"/>
        </w:rPr>
        <w:t xml:space="preserve">de </w:t>
      </w:r>
      <w:r w:rsidRPr="006A4BCA">
        <w:rPr>
          <w:rFonts w:ascii="Times New Roman" w:eastAsia="Times New Roman" w:hAnsi="Times New Roman" w:cs="Times New Roman"/>
          <w:b/>
          <w:sz w:val="24"/>
          <w:szCs w:val="24"/>
          <w:u w:val="single"/>
        </w:rPr>
        <w:tab/>
      </w:r>
      <w:r w:rsidRPr="006A4BCA">
        <w:rPr>
          <w:rFonts w:ascii="Times New Roman" w:eastAsia="Times New Roman" w:hAnsi="Times New Roman" w:cs="Times New Roman"/>
          <w:b/>
          <w:sz w:val="24"/>
          <w:szCs w:val="24"/>
        </w:rPr>
        <w:t>del 2026.</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DIP. MARTHA AZUCENA CAMACHO REYNOSO</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PRESIDENTA</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DE LA MESA DIRECTIVA DE LA</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H. LXII LEGISLATURA DEL ESTADO</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LIBRE Y SOBERANO DE MÉXICO</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P R E S E N T E .</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 xml:space="preserve">DIPUTADA YARELI ANAI ESPARZA ACEVEDO, </w:t>
      </w:r>
      <w:r w:rsidRPr="006A4BCA">
        <w:rPr>
          <w:rFonts w:ascii="Times New Roman" w:eastAsia="Times New Roman" w:hAnsi="Times New Roman" w:cs="Times New Roman"/>
          <w:sz w:val="24"/>
          <w:szCs w:val="24"/>
        </w:rPr>
        <w:t xml:space="preserve">integrante del Grupo Parlamentario del Partido del Trabajo de la H. “LXII” Legislatura del Estado Libre y Soberano de México, con </w:t>
      </w:r>
      <w:r w:rsidRPr="006A4BCA">
        <w:rPr>
          <w:rFonts w:ascii="Times New Roman" w:eastAsia="Times New Roman" w:hAnsi="Times New Roman" w:cs="Times New Roman"/>
          <w:sz w:val="24"/>
          <w:szCs w:val="24"/>
        </w:rPr>
        <w:lastRenderedPageBreak/>
        <w:t xml:space="preserve">fundamento en los derechos y facultades que me confiere el artículo 32 del Reglamento del Poder Legislativo del Estado Libre y Soberano de México, presento a esta H. Asamblea la presente </w:t>
      </w:r>
      <w:r w:rsidRPr="006A4BCA">
        <w:rPr>
          <w:rFonts w:ascii="Times New Roman" w:eastAsia="Times New Roman" w:hAnsi="Times New Roman" w:cs="Times New Roman"/>
          <w:b/>
          <w:sz w:val="24"/>
          <w:szCs w:val="24"/>
        </w:rPr>
        <w:t>INICIATIVA CON PROYECTO DE DECRETO mediante la cual se reforma la fracción XI Artículo 4.200 del Código Civil del Estado de México en Materia de Bienestar Digital de niñas y niños en su primera infancia desde la crianza responsable para quedar como sigue:</w:t>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EXPOSICIÓN DE MOTIVOS</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Los primeros seis años de vida son cruciales para el desarrollo del cerebro humano, para la motricidad, así como para las características psicoemocionales que definirán gran parte del rumbo que tomaremos a lo largo de nuestra vida. Cada cultura tiene sus principios y bases fundamentales en cuanto a crianza respecta, sin embargo, la mayoría de ellas se sustentan en la actividad física constante, la interacción e inclusión en sistemas sociales adicionales a las redes familiares, y en lo general todo lo necesario para preparar a las niñas y niños a la vida. Este principio, que es el derecho a cuidar y ser cuidado, es base de toda comunidad, pues de él devienen las relaciones familiares, los vínculos amistosos, y en lo general todo lo relativo a la socialización.</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Sin embargo, en la época de la globalización y expansión de las Tecnologías de la Información y la Comunicación, diversos estudios exponen que el uso inadecuado de pantallas puede conducir a problemas en el desarrollo cognitivo de los niños. Se ha encontrado que en menores de 6 años una elevada exposición a la televisión se relaciona con alteraciones de las habilidades de motricidad gruesa; el tiempo de uso pasivo de pantallas (incluye ver TV o videos en cualquier dispositivo) está asociado negativamente con la función ejecutiva, las habilidades sociales, y el rendimiento escolar en matemáticas y ciencias.</w:t>
      </w:r>
      <w:r w:rsidRPr="006A4BCA">
        <w:rPr>
          <w:rFonts w:ascii="Times New Roman" w:eastAsia="Times New Roman" w:hAnsi="Times New Roman" w:cs="Times New Roman"/>
          <w:sz w:val="24"/>
          <w:szCs w:val="24"/>
          <w:vertAlign w:val="superscript"/>
        </w:rPr>
        <w:t>1</w:t>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Las tecnologías de la Información y de la Comunicación mal enfocadas entorpecen el desarrollo integral cuando se es usado por niñas y niños en su primera infancia.</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0"/>
          <w:szCs w:val="24"/>
        </w:rPr>
      </w:pPr>
      <w:r w:rsidRPr="006A4BCA">
        <w:rPr>
          <w:rFonts w:ascii="Times New Roman" w:eastAsia="Times New Roman" w:hAnsi="Times New Roman" w:cs="Times New Roman"/>
          <w:sz w:val="20"/>
          <w:szCs w:val="24"/>
          <w:vertAlign w:val="superscript"/>
        </w:rPr>
        <w:t>1</w:t>
      </w:r>
      <w:r w:rsidRPr="006A4BCA">
        <w:rPr>
          <w:rFonts w:ascii="Times New Roman" w:eastAsia="Times New Roman" w:hAnsi="Times New Roman" w:cs="Times New Roman"/>
          <w:sz w:val="20"/>
          <w:szCs w:val="24"/>
        </w:rPr>
        <w:t xml:space="preserve"> GARAVITO-SANABRIA, Paula Samantha et al. Efectos deletéreos en el desarrollo de los niños a causa de la exposición temprana a pantallas: revisión de la literatura. </w:t>
      </w:r>
      <w:r w:rsidRPr="006A4BCA">
        <w:rPr>
          <w:rFonts w:ascii="Times New Roman" w:eastAsia="Times New Roman" w:hAnsi="Times New Roman" w:cs="Times New Roman"/>
          <w:i/>
          <w:sz w:val="20"/>
          <w:szCs w:val="24"/>
        </w:rPr>
        <w:t xml:space="preserve">Medicas UIS </w:t>
      </w:r>
      <w:r w:rsidRPr="006A4BCA">
        <w:rPr>
          <w:rFonts w:ascii="Times New Roman" w:eastAsia="Times New Roman" w:hAnsi="Times New Roman" w:cs="Times New Roman"/>
          <w:sz w:val="20"/>
          <w:szCs w:val="24"/>
        </w:rPr>
        <w:t xml:space="preserve">[online]. 2022, vol.35, n.3 [cited 2026- 03-02], pp.105-115. Disponible en: </w:t>
      </w:r>
      <w:hyperlink r:id="rId15">
        <w:r w:rsidRPr="006A4BCA">
          <w:rPr>
            <w:rFonts w:ascii="Times New Roman" w:eastAsia="Times New Roman" w:hAnsi="Times New Roman" w:cs="Times New Roman"/>
            <w:sz w:val="20"/>
            <w:szCs w:val="24"/>
            <w:u w:val="single" w:color="1153CC"/>
          </w:rPr>
          <w:t>http://www.scielo.org.co/</w:t>
        </w:r>
      </w:hyperlink>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En este contexto el uso de dispositivos electrónicos requiere que los niños se involucren pasivamente con su entorno, lo que no es propicio para la progresión en el aprendizaje y el desarrollo.</w:t>
      </w:r>
      <w:r w:rsidRPr="006A4BCA">
        <w:rPr>
          <w:rFonts w:ascii="Times New Roman" w:eastAsia="Times New Roman" w:hAnsi="Times New Roman" w:cs="Times New Roman"/>
          <w:sz w:val="24"/>
          <w:szCs w:val="24"/>
          <w:vertAlign w:val="superscript"/>
        </w:rPr>
        <w:t>2</w:t>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En las últimas décadas, el avance tecnológico ha transformado radicalmente las dinámicas sociales y educativas. Si bien el acceso a tecnologías de la información y la comunicación representa una herramienta invaluable para fortalecer el aprendizaje, su uso inadecuado o en infancias tempranas resulta más perjudicial que benéfico.</w:t>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 xml:space="preserve">El estudio </w:t>
      </w:r>
      <w:r w:rsidRPr="006A4BCA">
        <w:rPr>
          <w:rFonts w:ascii="Times New Roman" w:eastAsia="Times New Roman" w:hAnsi="Times New Roman" w:cs="Times New Roman"/>
          <w:i/>
          <w:sz w:val="24"/>
          <w:szCs w:val="24"/>
        </w:rPr>
        <w:t xml:space="preserve">“Efectos deletéreos en el desarrollo de los niños a causa de la exposición temprana a pantallas” </w:t>
      </w:r>
      <w:r w:rsidRPr="006A4BCA">
        <w:rPr>
          <w:rFonts w:ascii="Times New Roman" w:eastAsia="Times New Roman" w:hAnsi="Times New Roman" w:cs="Times New Roman"/>
          <w:sz w:val="24"/>
          <w:szCs w:val="24"/>
        </w:rPr>
        <w:t>de Medicas UIS devela una serie de datos importantes sobre la correlación entre deficiencias del desarrollo cognitivo y el uso de dispositivos electrónicos de comunicación; dificultad en el aprendizaje de nuevos idiomas, entorpecimiento de la socialización, alteración de los patrones del sueño, así como de una falta de entendimiento de las emociones de otras personas.</w:t>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 xml:space="preserve">Ante este panorama es apremiante que, desde el marco jurídico mexiquense se reconozca la procuración del bienestar digital como instrumento de cuidado con un sujeto obligado para tales efectos. Si bien el Estado a través de sus instituciones de interés social está facultado para </w:t>
      </w:r>
      <w:r w:rsidRPr="006A4BCA">
        <w:rPr>
          <w:rFonts w:ascii="Times New Roman" w:eastAsia="Times New Roman" w:hAnsi="Times New Roman" w:cs="Times New Roman"/>
          <w:sz w:val="24"/>
          <w:szCs w:val="24"/>
        </w:rPr>
        <w:lastRenderedPageBreak/>
        <w:t>salvaguardar la integridad de las infancias, el primer vínculo de protección a los menores es su seno familiar.</w:t>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El Código Civil del Estado de México en su artículo 4.200 bis establece las obligaciones de quienes ejercen la patria potestad; garantizar sus alimentos, educación, recreación y correcto desarrollo. La familia es el núcleo formador del ser humano, donde aprende a comprender los valores y principios de la moral media de la población. La familia es el núcleo dónde se gesta el derecho a ser cuidado, protegido y encaminado a ser un ciudadano de bien.</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0"/>
          <w:szCs w:val="24"/>
        </w:rPr>
      </w:pPr>
      <w:r w:rsidRPr="006A4BCA">
        <w:rPr>
          <w:rFonts w:ascii="Times New Roman" w:eastAsia="Times New Roman" w:hAnsi="Times New Roman" w:cs="Times New Roman"/>
          <w:sz w:val="20"/>
          <w:szCs w:val="24"/>
          <w:vertAlign w:val="superscript"/>
        </w:rPr>
        <w:t>2</w:t>
      </w:r>
      <w:r w:rsidRPr="006A4BCA">
        <w:rPr>
          <w:rFonts w:ascii="Times New Roman" w:eastAsia="Times New Roman" w:hAnsi="Times New Roman" w:cs="Times New Roman"/>
          <w:sz w:val="20"/>
          <w:szCs w:val="24"/>
        </w:rPr>
        <w:t xml:space="preserve"> Gago-Galvagno LG, Elgier AM, Tabullo AJ, Huaire-Inacio EJ, Herrera-Alvarez AM, Zambrano- Villalba C, et al. (2025) Uso de pantallas, libros e interacciones de adultos en el lenguaje y las habilidades motoras de los niños pequeños: Un estudio transcultural entre 19 países latinoamericanos de diferentes NSE. PLoS ONE 20(2): e0314569. Disponible en </w:t>
      </w:r>
      <w:hyperlink r:id="rId16">
        <w:r w:rsidRPr="006A4BCA">
          <w:rPr>
            <w:rFonts w:ascii="Times New Roman" w:eastAsia="Times New Roman" w:hAnsi="Times New Roman" w:cs="Times New Roman"/>
            <w:sz w:val="20"/>
            <w:szCs w:val="24"/>
            <w:u w:val="single" w:color="0000FF"/>
          </w:rPr>
          <w:t>https://journals.plos.org/plosone/</w:t>
        </w:r>
      </w:hyperlink>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Como evidencia de la importancia de esta garantía del derecho a ser cuidado podríamos referir una conferencia de la antropóloga Margaret Mead. En una conferencia esta antropóloga fue cuestionada sobre cuál fue la primera evidencia de civilización, a lo que refirió la existencia de un fósil de un fémur roto de algún ser humano que habitó la tierra hace miles de años. Explicó que, en el reino animal, si te rompes una pierna, mueres. Pues no puedes procurarte comida o agua, ni huir del peligro, así que eres presa fácil de las bestias que rondan por ahí. Y ningún animal con una extremidad inferior rota sobrevive el tiempo suficiente para que el hueso sane por sí sólo. De modo que un fémur quebrado y que se curó evidencia que alguien se quedó con quien se lo rompió, y que le vendó e inmovilizó la fractura. Es decir, que lo cuidó.</w:t>
      </w:r>
      <w:r w:rsidRPr="006A4BCA">
        <w:rPr>
          <w:rFonts w:ascii="Times New Roman" w:eastAsia="Times New Roman" w:hAnsi="Times New Roman" w:cs="Times New Roman"/>
          <w:sz w:val="24"/>
          <w:szCs w:val="24"/>
          <w:vertAlign w:val="superscript"/>
        </w:rPr>
        <w:t>3</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Las formas de cuidado evolucionan en conjunto con las necesidades: a nuevas necesidades, nuevas formas de cuidado. Actualmente, en un mundo hiperconectado es prioritario refrendar el compromiso al cuidado y bienestar de las infancias con respecto a su bienestar digital, con el propósito de que en el Estado de México se gesten las condiciones necesarias para lidiar con los efectos colaterales de la era digital desde el seno familiar.</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Por lo anteriormente expuesto, desde el Grupo Parlamentario del Partido del Trabajo someto a consideración de esta H. Asamblea establecer como obligación de quienes detenten la patria potestad, tutela o guarda y custodia de menores, a procurar un uso moderado, sano y responsable de dispositivos electrónicos. Las niñas y niños son el futuro, sin embargo, deben ser procurados desde el presente.</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0"/>
          <w:szCs w:val="24"/>
        </w:rPr>
      </w:pPr>
      <w:r w:rsidRPr="006A4BCA">
        <w:rPr>
          <w:rFonts w:ascii="Times New Roman" w:eastAsia="Times New Roman" w:hAnsi="Times New Roman" w:cs="Times New Roman"/>
          <w:sz w:val="20"/>
          <w:szCs w:val="24"/>
          <w:vertAlign w:val="superscript"/>
        </w:rPr>
        <w:t>3</w:t>
      </w:r>
      <w:r w:rsidRPr="006A4BCA">
        <w:rPr>
          <w:rFonts w:ascii="Times New Roman" w:eastAsia="Times New Roman" w:hAnsi="Times New Roman" w:cs="Times New Roman"/>
          <w:sz w:val="20"/>
          <w:szCs w:val="24"/>
        </w:rPr>
        <w:t xml:space="preserve"> Silvano Calderón Sotelo. Famvin. </w:t>
      </w:r>
      <w:r w:rsidRPr="006A4BCA">
        <w:rPr>
          <w:rFonts w:ascii="Times New Roman" w:eastAsia="Times New Roman" w:hAnsi="Times New Roman" w:cs="Times New Roman"/>
          <w:i/>
          <w:sz w:val="20"/>
          <w:szCs w:val="24"/>
        </w:rPr>
        <w:t xml:space="preserve">Historia de un Fémur Roto. </w:t>
      </w:r>
      <w:r w:rsidRPr="006A4BCA">
        <w:rPr>
          <w:rFonts w:ascii="Times New Roman" w:eastAsia="Times New Roman" w:hAnsi="Times New Roman" w:cs="Times New Roman"/>
          <w:sz w:val="20"/>
          <w:szCs w:val="24"/>
        </w:rPr>
        <w:t xml:space="preserve">Disponible en: </w:t>
      </w:r>
      <w:hyperlink r:id="rId17">
        <w:r w:rsidRPr="006A4BCA">
          <w:rPr>
            <w:rFonts w:ascii="Times New Roman" w:eastAsia="Times New Roman" w:hAnsi="Times New Roman" w:cs="Times New Roman"/>
            <w:sz w:val="20"/>
            <w:szCs w:val="24"/>
            <w:u w:val="single" w:color="1153CC"/>
          </w:rPr>
          <w:t>https://famvin.org/es/2022/02/01/historia-de-un-femur-roto/</w:t>
        </w:r>
      </w:hyperlink>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19"/>
        <w:gridCol w:w="4421"/>
      </w:tblGrid>
      <w:tr w:rsidR="00AA3C5B" w:rsidRPr="006A4BCA" w:rsidTr="00A60CD6">
        <w:trPr>
          <w:trHeight w:val="20"/>
          <w:jc w:val="center"/>
        </w:trPr>
        <w:tc>
          <w:tcPr>
            <w:tcW w:w="8840" w:type="dxa"/>
            <w:gridSpan w:val="2"/>
            <w:tcBorders>
              <w:bottom w:val="nil"/>
            </w:tcBorders>
            <w:shd w:val="clear" w:color="auto" w:fill="FF0000"/>
          </w:tcPr>
          <w:p w:rsidR="00AA3C5B" w:rsidRPr="006A4BCA" w:rsidRDefault="00AA3C5B" w:rsidP="00AA3C5B">
            <w:pPr>
              <w:spacing w:line="240" w:lineRule="auto"/>
              <w:jc w:val="center"/>
              <w:rPr>
                <w:rFonts w:ascii="Times New Roman" w:eastAsia="Times New Roman" w:hAnsi="Times New Roman" w:cs="Times New Roman"/>
                <w:b/>
                <w:sz w:val="24"/>
                <w:szCs w:val="24"/>
                <w:lang w:val="es-MX"/>
              </w:rPr>
            </w:pPr>
            <w:r w:rsidRPr="006A4BCA">
              <w:rPr>
                <w:rFonts w:ascii="Times New Roman" w:eastAsia="Times New Roman" w:hAnsi="Times New Roman" w:cs="Times New Roman"/>
                <w:b/>
                <w:sz w:val="24"/>
                <w:szCs w:val="24"/>
                <w:lang w:val="es-MX"/>
              </w:rPr>
              <w:t>CÓDIGO CIVIL DEL ESTADO DE MÉXICO</w:t>
            </w:r>
          </w:p>
        </w:tc>
      </w:tr>
      <w:tr w:rsidR="00AA3C5B" w:rsidRPr="006A4BCA" w:rsidTr="00A60CD6">
        <w:trPr>
          <w:trHeight w:val="20"/>
          <w:jc w:val="center"/>
        </w:trPr>
        <w:tc>
          <w:tcPr>
            <w:tcW w:w="4419" w:type="dxa"/>
            <w:tcBorders>
              <w:top w:val="nil"/>
              <w:bottom w:val="nil"/>
              <w:right w:val="nil"/>
            </w:tcBorders>
            <w:shd w:val="clear" w:color="auto" w:fill="000000"/>
          </w:tcPr>
          <w:p w:rsidR="00AA3C5B" w:rsidRPr="006A4BCA" w:rsidRDefault="00AA3C5B" w:rsidP="00AA3C5B">
            <w:pPr>
              <w:spacing w:line="240" w:lineRule="auto"/>
              <w:jc w:val="center"/>
              <w:rPr>
                <w:rFonts w:ascii="Times New Roman" w:eastAsia="Times New Roman" w:hAnsi="Times New Roman" w:cs="Times New Roman"/>
                <w:b/>
                <w:sz w:val="24"/>
                <w:szCs w:val="24"/>
                <w:lang w:val="es-MX"/>
              </w:rPr>
            </w:pPr>
            <w:r w:rsidRPr="006A4BCA">
              <w:rPr>
                <w:rFonts w:ascii="Times New Roman" w:eastAsia="Times New Roman" w:hAnsi="Times New Roman" w:cs="Times New Roman"/>
                <w:b/>
                <w:sz w:val="24"/>
                <w:szCs w:val="24"/>
                <w:lang w:val="es-MX"/>
              </w:rPr>
              <w:t>VIGENTE</w:t>
            </w:r>
          </w:p>
        </w:tc>
        <w:tc>
          <w:tcPr>
            <w:tcW w:w="4421" w:type="dxa"/>
            <w:tcBorders>
              <w:top w:val="nil"/>
              <w:left w:val="nil"/>
              <w:bottom w:val="nil"/>
            </w:tcBorders>
            <w:shd w:val="clear" w:color="auto" w:fill="000000"/>
          </w:tcPr>
          <w:p w:rsidR="00AA3C5B" w:rsidRPr="006A4BCA" w:rsidRDefault="00AA3C5B" w:rsidP="00AA3C5B">
            <w:pPr>
              <w:spacing w:line="240" w:lineRule="auto"/>
              <w:jc w:val="center"/>
              <w:rPr>
                <w:rFonts w:ascii="Times New Roman" w:eastAsia="Times New Roman" w:hAnsi="Times New Roman" w:cs="Times New Roman"/>
                <w:b/>
                <w:sz w:val="24"/>
                <w:szCs w:val="24"/>
                <w:lang w:val="es-MX"/>
              </w:rPr>
            </w:pPr>
            <w:r w:rsidRPr="006A4BCA">
              <w:rPr>
                <w:rFonts w:ascii="Times New Roman" w:eastAsia="Times New Roman" w:hAnsi="Times New Roman" w:cs="Times New Roman"/>
                <w:b/>
                <w:sz w:val="24"/>
                <w:szCs w:val="24"/>
                <w:lang w:val="es-MX"/>
              </w:rPr>
              <w:t>PROPUESTA</w:t>
            </w:r>
          </w:p>
        </w:tc>
      </w:tr>
      <w:tr w:rsidR="00AA3C5B" w:rsidRPr="006A4BCA" w:rsidTr="00A60CD6">
        <w:trPr>
          <w:trHeight w:val="20"/>
          <w:jc w:val="center"/>
        </w:trPr>
        <w:tc>
          <w:tcPr>
            <w:tcW w:w="4419" w:type="dxa"/>
            <w:tcBorders>
              <w:top w:val="nil"/>
            </w:tcBorders>
          </w:tcPr>
          <w:p w:rsidR="00AA3C5B" w:rsidRPr="006A4BCA" w:rsidRDefault="00AA3C5B" w:rsidP="00AA3C5B">
            <w:pPr>
              <w:spacing w:line="240" w:lineRule="auto"/>
              <w:jc w:val="both"/>
              <w:rPr>
                <w:rFonts w:ascii="Times New Roman" w:eastAsia="Times New Roman" w:hAnsi="Times New Roman" w:cs="Times New Roman"/>
                <w:sz w:val="24"/>
                <w:szCs w:val="24"/>
                <w:lang w:val="es-MX"/>
              </w:rPr>
            </w:pPr>
            <w:r w:rsidRPr="006A4BCA">
              <w:rPr>
                <w:rFonts w:ascii="Times New Roman" w:eastAsia="Times New Roman" w:hAnsi="Times New Roman" w:cs="Times New Roman"/>
                <w:b/>
                <w:sz w:val="24"/>
                <w:szCs w:val="24"/>
                <w:lang w:val="es-MX"/>
              </w:rPr>
              <w:t xml:space="preserve">Artículo 4.200. Bis. </w:t>
            </w:r>
            <w:r w:rsidRPr="006A4BCA">
              <w:rPr>
                <w:rFonts w:ascii="Times New Roman" w:eastAsia="Times New Roman" w:hAnsi="Times New Roman" w:cs="Times New Roman"/>
                <w:sz w:val="24"/>
                <w:szCs w:val="24"/>
                <w:lang w:val="es-MX"/>
              </w:rPr>
              <w:t>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o privadas, conforme a su ámbito de competencia, las siguientes:</w:t>
            </w:r>
          </w:p>
          <w:p w:rsidR="00471831" w:rsidRPr="006A4BCA" w:rsidRDefault="00471831" w:rsidP="00AA3C5B">
            <w:pPr>
              <w:spacing w:line="240" w:lineRule="auto"/>
              <w:jc w:val="both"/>
              <w:rPr>
                <w:rFonts w:ascii="Times New Roman" w:eastAsia="Times New Roman" w:hAnsi="Times New Roman" w:cs="Times New Roman"/>
                <w:sz w:val="24"/>
                <w:szCs w:val="24"/>
                <w:lang w:val="es-MX"/>
              </w:rPr>
            </w:pPr>
          </w:p>
          <w:p w:rsidR="00AA3C5B" w:rsidRPr="006A4BCA" w:rsidRDefault="00AA3C5B" w:rsidP="00AA3C5B">
            <w:pPr>
              <w:spacing w:line="240" w:lineRule="auto"/>
              <w:rPr>
                <w:rFonts w:ascii="Times New Roman" w:eastAsia="Times New Roman" w:hAnsi="Times New Roman" w:cs="Times New Roman"/>
                <w:sz w:val="24"/>
                <w:szCs w:val="24"/>
                <w:lang w:val="es-MX"/>
              </w:rPr>
            </w:pPr>
            <w:r w:rsidRPr="006A4BCA">
              <w:rPr>
                <w:rFonts w:ascii="Times New Roman" w:eastAsia="Times New Roman" w:hAnsi="Times New Roman" w:cs="Times New Roman"/>
                <w:sz w:val="24"/>
                <w:szCs w:val="24"/>
                <w:lang w:val="es-MX"/>
              </w:rPr>
              <w:t>…</w:t>
            </w:r>
          </w:p>
          <w:p w:rsidR="00471831" w:rsidRPr="006A4BCA" w:rsidRDefault="00471831" w:rsidP="00AA3C5B">
            <w:pPr>
              <w:spacing w:line="240" w:lineRule="auto"/>
              <w:rPr>
                <w:rFonts w:ascii="Times New Roman" w:eastAsia="Times New Roman" w:hAnsi="Times New Roman" w:cs="Times New Roman"/>
                <w:sz w:val="24"/>
                <w:szCs w:val="24"/>
                <w:lang w:val="es-MX"/>
              </w:rPr>
            </w:pPr>
          </w:p>
          <w:p w:rsidR="00AA3C5B" w:rsidRPr="006A4BCA" w:rsidRDefault="00AA3C5B" w:rsidP="00AA3C5B">
            <w:pPr>
              <w:spacing w:line="240" w:lineRule="auto"/>
              <w:jc w:val="both"/>
              <w:rPr>
                <w:rFonts w:ascii="Times New Roman" w:eastAsia="Times New Roman" w:hAnsi="Times New Roman" w:cs="Times New Roman"/>
                <w:sz w:val="24"/>
                <w:szCs w:val="24"/>
                <w:lang w:val="es-MX"/>
              </w:rPr>
            </w:pPr>
            <w:r w:rsidRPr="006A4BCA">
              <w:rPr>
                <w:rFonts w:ascii="Times New Roman" w:eastAsia="Times New Roman" w:hAnsi="Times New Roman" w:cs="Times New Roman"/>
                <w:sz w:val="24"/>
                <w:szCs w:val="24"/>
                <w:lang w:val="es-MX"/>
              </w:rPr>
              <w:t>XI. Educar en el conocimiento y uso responsable de las tecnologías de la información y comunicación</w:t>
            </w:r>
          </w:p>
        </w:tc>
        <w:tc>
          <w:tcPr>
            <w:tcW w:w="4421" w:type="dxa"/>
            <w:tcBorders>
              <w:top w:val="nil"/>
            </w:tcBorders>
          </w:tcPr>
          <w:p w:rsidR="00AA3C5B" w:rsidRPr="006A4BCA" w:rsidRDefault="00AA3C5B" w:rsidP="00AA3C5B">
            <w:pPr>
              <w:spacing w:line="240" w:lineRule="auto"/>
              <w:jc w:val="both"/>
              <w:rPr>
                <w:rFonts w:ascii="Times New Roman" w:eastAsia="Times New Roman" w:hAnsi="Times New Roman" w:cs="Times New Roman"/>
                <w:sz w:val="24"/>
                <w:szCs w:val="24"/>
                <w:lang w:val="es-MX"/>
              </w:rPr>
            </w:pPr>
            <w:r w:rsidRPr="006A4BCA">
              <w:rPr>
                <w:rFonts w:ascii="Times New Roman" w:eastAsia="Times New Roman" w:hAnsi="Times New Roman" w:cs="Times New Roman"/>
                <w:b/>
                <w:sz w:val="24"/>
                <w:szCs w:val="24"/>
                <w:lang w:val="es-MX"/>
              </w:rPr>
              <w:lastRenderedPageBreak/>
              <w:t xml:space="preserve">Artículo 4.200. Bis. </w:t>
            </w:r>
            <w:r w:rsidRPr="006A4BCA">
              <w:rPr>
                <w:rFonts w:ascii="Times New Roman" w:eastAsia="Times New Roman" w:hAnsi="Times New Roman" w:cs="Times New Roman"/>
                <w:sz w:val="24"/>
                <w:szCs w:val="24"/>
                <w:lang w:val="es-MX"/>
              </w:rPr>
              <w:t>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o privadas, conforme a su ámbito de competencia, las siguientes:</w:t>
            </w:r>
          </w:p>
          <w:p w:rsidR="00471831" w:rsidRPr="006A4BCA" w:rsidRDefault="00471831" w:rsidP="00AA3C5B">
            <w:pPr>
              <w:spacing w:line="240" w:lineRule="auto"/>
              <w:jc w:val="both"/>
              <w:rPr>
                <w:rFonts w:ascii="Times New Roman" w:eastAsia="Times New Roman" w:hAnsi="Times New Roman" w:cs="Times New Roman"/>
                <w:sz w:val="24"/>
                <w:szCs w:val="24"/>
                <w:lang w:val="es-MX"/>
              </w:rPr>
            </w:pPr>
          </w:p>
          <w:p w:rsidR="00AA3C5B" w:rsidRPr="006A4BCA" w:rsidRDefault="00AA3C5B" w:rsidP="00AA3C5B">
            <w:pPr>
              <w:spacing w:line="240" w:lineRule="auto"/>
              <w:rPr>
                <w:rFonts w:ascii="Times New Roman" w:eastAsia="Times New Roman" w:hAnsi="Times New Roman" w:cs="Times New Roman"/>
                <w:sz w:val="24"/>
                <w:szCs w:val="24"/>
                <w:lang w:val="es-MX"/>
              </w:rPr>
            </w:pPr>
            <w:r w:rsidRPr="006A4BCA">
              <w:rPr>
                <w:rFonts w:ascii="Times New Roman" w:eastAsia="Times New Roman" w:hAnsi="Times New Roman" w:cs="Times New Roman"/>
                <w:sz w:val="24"/>
                <w:szCs w:val="24"/>
                <w:lang w:val="es-MX"/>
              </w:rPr>
              <w:t>…</w:t>
            </w:r>
          </w:p>
          <w:p w:rsidR="00471831" w:rsidRPr="006A4BCA" w:rsidRDefault="00471831" w:rsidP="00AA3C5B">
            <w:pPr>
              <w:spacing w:line="240" w:lineRule="auto"/>
              <w:rPr>
                <w:rFonts w:ascii="Times New Roman" w:eastAsia="Times New Roman" w:hAnsi="Times New Roman" w:cs="Times New Roman"/>
                <w:sz w:val="24"/>
                <w:szCs w:val="24"/>
                <w:lang w:val="es-MX"/>
              </w:rPr>
            </w:pPr>
          </w:p>
          <w:p w:rsidR="00AA3C5B" w:rsidRPr="006A4BCA" w:rsidRDefault="00AA3C5B" w:rsidP="00AA3C5B">
            <w:pPr>
              <w:spacing w:line="240" w:lineRule="auto"/>
              <w:jc w:val="both"/>
              <w:rPr>
                <w:rFonts w:ascii="Times New Roman" w:eastAsia="Times New Roman" w:hAnsi="Times New Roman" w:cs="Times New Roman"/>
                <w:b/>
                <w:sz w:val="24"/>
                <w:szCs w:val="24"/>
                <w:lang w:val="es-MX"/>
              </w:rPr>
            </w:pPr>
            <w:r w:rsidRPr="006A4BCA">
              <w:rPr>
                <w:rFonts w:ascii="Times New Roman" w:eastAsia="Times New Roman" w:hAnsi="Times New Roman" w:cs="Times New Roman"/>
                <w:sz w:val="24"/>
                <w:szCs w:val="24"/>
                <w:lang w:val="es-MX"/>
              </w:rPr>
              <w:t xml:space="preserve">XI. Educar en el conocimiento y uso responsable de las tecnologías de la información y comunicación, </w:t>
            </w:r>
            <w:r w:rsidRPr="006A4BCA">
              <w:rPr>
                <w:rFonts w:ascii="Times New Roman" w:eastAsia="Times New Roman" w:hAnsi="Times New Roman" w:cs="Times New Roman"/>
                <w:b/>
                <w:sz w:val="24"/>
                <w:szCs w:val="24"/>
                <w:lang w:val="es-MX"/>
              </w:rPr>
              <w:t>garantizando que tengan un acceso y uso moderado que no perjudique sus capacidades motoras y de aprendizaje, así como de concientizarlos en la importancia de la convivencia con sus congéneres.</w:t>
            </w:r>
          </w:p>
        </w:tc>
      </w:tr>
    </w:tbl>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A T E N T A M E N T E</w:t>
      </w: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DIP. YARELI ANAI ESPARZA ACEVEDO</w:t>
      </w: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GRUPO PARLAMENTARIO DEL PARTIDO DEL TRABAJO</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 xml:space="preserve">DECRETO NÚMERO: </w:t>
      </w:r>
      <w:r w:rsidRPr="006A4BCA">
        <w:rPr>
          <w:rFonts w:ascii="Times New Roman" w:eastAsia="Times New Roman" w:hAnsi="Times New Roman" w:cs="Times New Roman"/>
          <w:b/>
          <w:sz w:val="24"/>
          <w:szCs w:val="24"/>
          <w:u w:val="single"/>
        </w:rPr>
        <w:tab/>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LA H. "LXII" LEGISLATURA DEL ESTADO DE MÉXICO DECRETA</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b/>
          <w:sz w:val="24"/>
          <w:szCs w:val="24"/>
        </w:rPr>
        <w:t xml:space="preserve">ARTÍCULO PRIMERO. </w:t>
      </w:r>
      <w:r w:rsidRPr="006A4BCA">
        <w:rPr>
          <w:rFonts w:ascii="Times New Roman" w:eastAsia="Times New Roman" w:hAnsi="Times New Roman" w:cs="Times New Roman"/>
          <w:sz w:val="24"/>
          <w:szCs w:val="24"/>
        </w:rPr>
        <w:t>Se añaden las fracciones XIII y XIV del Artículo 4.200 bis del Código Civil del Estado de México para quedar como sigue:</w:t>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b/>
          <w:sz w:val="24"/>
          <w:szCs w:val="24"/>
        </w:rPr>
        <w:t xml:space="preserve">Artículo 4.200. Bis. </w:t>
      </w:r>
      <w:r w:rsidRPr="006A4BCA">
        <w:rPr>
          <w:rFonts w:ascii="Times New Roman" w:eastAsia="Times New Roman" w:hAnsi="Times New Roman" w:cs="Times New Roman"/>
          <w:sz w:val="24"/>
          <w:szCs w:val="24"/>
        </w:rPr>
        <w:t>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o privadas, conforme a su ámbito de competencia, las siguientes:</w:t>
      </w: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b/>
          <w:sz w:val="24"/>
          <w:szCs w:val="24"/>
        </w:rPr>
      </w:pPr>
      <w:r w:rsidRPr="006A4BCA">
        <w:rPr>
          <w:rFonts w:ascii="Times New Roman" w:eastAsia="Times New Roman" w:hAnsi="Times New Roman" w:cs="Times New Roman"/>
          <w:sz w:val="24"/>
          <w:szCs w:val="24"/>
        </w:rPr>
        <w:t xml:space="preserve">XI. Educar en el conocimiento y uso responsable de las tecnologías de la información y comunicación, </w:t>
      </w:r>
      <w:r w:rsidRPr="006A4BCA">
        <w:rPr>
          <w:rFonts w:ascii="Times New Roman" w:eastAsia="Times New Roman" w:hAnsi="Times New Roman" w:cs="Times New Roman"/>
          <w:b/>
          <w:sz w:val="24"/>
          <w:szCs w:val="24"/>
        </w:rPr>
        <w:t>garantizando que tengan un acceso y uso moderado que no perjudique sus capacidades motoras y de aprendizaje, así como de concientizarlos en la importancia de la convivencia con sus congéneres.</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jc w:val="center"/>
        <w:rPr>
          <w:rFonts w:ascii="Times New Roman" w:eastAsia="Times New Roman" w:hAnsi="Times New Roman" w:cs="Times New Roman"/>
          <w:b/>
          <w:sz w:val="24"/>
          <w:szCs w:val="24"/>
        </w:rPr>
      </w:pPr>
      <w:r w:rsidRPr="006A4BCA">
        <w:rPr>
          <w:rFonts w:ascii="Times New Roman" w:eastAsia="Times New Roman" w:hAnsi="Times New Roman" w:cs="Times New Roman"/>
          <w:b/>
          <w:sz w:val="24"/>
          <w:szCs w:val="24"/>
        </w:rPr>
        <w:t>TRANSITORIOS</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r w:rsidRPr="006A4BCA">
        <w:rPr>
          <w:rFonts w:ascii="Times New Roman" w:eastAsia="Times New Roman" w:hAnsi="Times New Roman" w:cs="Times New Roman"/>
          <w:b/>
          <w:sz w:val="24"/>
          <w:szCs w:val="24"/>
        </w:rPr>
        <w:t xml:space="preserve">PRIMERO. </w:t>
      </w:r>
      <w:r w:rsidRPr="006A4BCA">
        <w:rPr>
          <w:rFonts w:ascii="Times New Roman" w:eastAsia="Times New Roman" w:hAnsi="Times New Roman" w:cs="Times New Roman"/>
          <w:sz w:val="24"/>
          <w:szCs w:val="24"/>
        </w:rPr>
        <w:t>Publíquese el presente Decreto en el periódico oficial "Gaceta del Gobierno".</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b/>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b/>
          <w:sz w:val="24"/>
          <w:szCs w:val="24"/>
        </w:rPr>
        <w:t>SEGUNDO</w:t>
      </w:r>
      <w:r w:rsidRPr="006A4BCA">
        <w:rPr>
          <w:rFonts w:ascii="Times New Roman" w:eastAsia="Times New Roman" w:hAnsi="Times New Roman" w:cs="Times New Roman"/>
          <w:sz w:val="24"/>
          <w:szCs w:val="24"/>
        </w:rPr>
        <w:t>. El presente Decreto entrará en vigor al día siguiente de su publicación en el periódico oficial "Gaceta del Gobierno".</w:t>
      </w:r>
    </w:p>
    <w:p w:rsidR="00AA3C5B" w:rsidRPr="006A4BCA" w:rsidRDefault="00AA3C5B" w:rsidP="00AA3C5B">
      <w:pPr>
        <w:widowControl w:val="0"/>
        <w:autoSpaceDE w:val="0"/>
        <w:autoSpaceDN w:val="0"/>
        <w:spacing w:after="0" w:line="240" w:lineRule="auto"/>
        <w:rPr>
          <w:rFonts w:ascii="Times New Roman" w:eastAsia="Times New Roman" w:hAnsi="Times New Roman" w:cs="Times New Roman"/>
          <w:sz w:val="24"/>
          <w:szCs w:val="24"/>
        </w:rPr>
      </w:pPr>
    </w:p>
    <w:p w:rsidR="00AA3C5B" w:rsidRPr="006A4BCA" w:rsidRDefault="00AA3C5B" w:rsidP="00AA3C5B">
      <w:pPr>
        <w:widowControl w:val="0"/>
        <w:autoSpaceDE w:val="0"/>
        <w:autoSpaceDN w:val="0"/>
        <w:spacing w:after="0" w:line="240" w:lineRule="auto"/>
        <w:jc w:val="both"/>
        <w:rPr>
          <w:rFonts w:ascii="Times New Roman" w:eastAsia="Times New Roman" w:hAnsi="Times New Roman" w:cs="Times New Roman"/>
          <w:sz w:val="24"/>
          <w:szCs w:val="24"/>
        </w:rPr>
      </w:pPr>
      <w:r w:rsidRPr="006A4BCA">
        <w:rPr>
          <w:rFonts w:ascii="Times New Roman" w:eastAsia="Times New Roman" w:hAnsi="Times New Roman" w:cs="Times New Roman"/>
          <w:sz w:val="24"/>
          <w:szCs w:val="24"/>
        </w:rPr>
        <w:t xml:space="preserve">Dado en el Palacio del Poder Legislativo en Toluca de Lerdo, Estado de México a los </w:t>
      </w:r>
      <w:r w:rsidRPr="006A4BCA">
        <w:rPr>
          <w:rFonts w:ascii="Times New Roman" w:eastAsia="Times New Roman" w:hAnsi="Times New Roman" w:cs="Times New Roman"/>
          <w:sz w:val="24"/>
          <w:szCs w:val="24"/>
          <w:u w:val="single"/>
        </w:rPr>
        <w:tab/>
      </w:r>
      <w:r w:rsidRPr="006A4BCA">
        <w:rPr>
          <w:rFonts w:ascii="Times New Roman" w:eastAsia="Times New Roman" w:hAnsi="Times New Roman" w:cs="Times New Roman"/>
          <w:sz w:val="24"/>
          <w:szCs w:val="24"/>
        </w:rPr>
        <w:t xml:space="preserve">días del mes de </w:t>
      </w:r>
      <w:r w:rsidRPr="006A4BCA">
        <w:rPr>
          <w:rFonts w:ascii="Times New Roman" w:eastAsia="Times New Roman" w:hAnsi="Times New Roman" w:cs="Times New Roman"/>
          <w:sz w:val="24"/>
          <w:szCs w:val="24"/>
          <w:u w:val="single"/>
        </w:rPr>
        <w:tab/>
      </w:r>
      <w:r w:rsidRPr="006A4BCA">
        <w:rPr>
          <w:rFonts w:ascii="Times New Roman" w:eastAsia="Times New Roman" w:hAnsi="Times New Roman" w:cs="Times New Roman"/>
          <w:sz w:val="24"/>
          <w:szCs w:val="24"/>
        </w:rPr>
        <w:t>del año dos mil veintiséis.</w:t>
      </w:r>
    </w:p>
    <w:p w:rsidR="00AA3C5B" w:rsidRPr="006A4BCA" w:rsidRDefault="00AA3C5B" w:rsidP="00A60CD6">
      <w:pPr>
        <w:spacing w:after="0" w:line="240" w:lineRule="auto"/>
        <w:jc w:val="center"/>
        <w:rPr>
          <w:rFonts w:ascii="Times New Roman" w:hAnsi="Times New Roman"/>
          <w:sz w:val="24"/>
          <w:szCs w:val="24"/>
        </w:rPr>
      </w:pPr>
    </w:p>
    <w:p w:rsidR="00AA3C5B" w:rsidRPr="006A4BCA" w:rsidRDefault="00AA3C5B" w:rsidP="00A60CD6">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AA3C5B" w:rsidRPr="006A4BCA" w:rsidRDefault="00AA3C5B" w:rsidP="00A60CD6">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Gracias Diputada Yareli Anaí Esparza Acevedo.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Se registra la iniciativa y se remite a las Comisiones Legislativas de Procuración y Administración de Justicia y de Protección de los Derechos de las Niñas, Niños, Adolescentes y la Primera Infancia, para su estudio y dictamen.</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Para tramitar el punto número 17, el diputado Eduardo Zarzosa Sánchez presenta, en nombre del Grupo Parlamentario del Partido Revolucionario Institucional, Iniciativa con Proyecto de Decreto por el que se reforma y adicionan diversas disposiciones de la Ley de Vivienda del Estado de México para los pueblos y comunidades indígenas y afromexicanas que tengan acceso equitativo a la vivienda.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EDUARDO ZARZOSA SÁNCHEZ. Querida Presidenta, con el permiso de los integrantes de la Mesa Directiva, compañeras y compañeros diputados, pueblo del Estado de México, que nos ve y nos escucha por los diferentes medios y las redes sociales.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Hoy presento una iniciativa, que es parte de una convicción profunda y que ha sido piedra fundamental del trabajo que como partido en el Gobierno realizamos desde hace muchos años, el acceso a una vivienda digna, que hay que decirlo, es un derecho humano y no un privilegio, y por esa razón el Estado tiene la obligación de garantizarlo sin distinciones ni exclusiones.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La vivienda constituye en más de un sentido un elemento indispensable para garantizar condiciones mínimas de vida digna el acceso efectivo a otros derechos humanos y al pleno desarrollo personal y familiar, precisamente el Derecho a la Vivienda adecuada es uno de los derechos fundamentales consagrados tanto en la Constitución Federal como en la particular del Estado de México, así como en diversos instrumentos internacionales, dado que esta constituye una necesidad básica para la supervivencia y el bienestar de todas las personas.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En esos términos lo reconoce la Declaración Universal de los Derechos Humanos en su artículo 25, al establecer que toda persona tiene derecho a un nivel de vida adecuado que asegure la salud y el bienestar propios y familiares, incluyendo alimentación, vestido, vivienda, asistencia médica, servicios sociales y seguridad en caso de desempleo o invalidez, con protección especial para maternidad y la infancia.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En el mismo sentido, el Pacto Internacional de Derechos Económicos, Sociales y Culturales consagra en su artículo 11 que los Estados, en parte reconocen el derecho de toda persona a un nivel de vida adecuado para sí y su familia, incluso alimentación, vestido y vivienda adecuada y una mejora continua de las condiciones de existencia.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Es importante señalar que ONU Hábitat, el programa de la ONU para los asentamientos humanos, ha precisado que para considerar una vivienda como adecuada debe cumplirse con siete condiciones específicas seguridad de la tenencia, disponibilidad de servicios, materiales, instalaciones e infraestructura, asequibilidad, habitabilidad, accesibilidad, ubicación y adecuación cultural. Para fines de la presente iniciativa, es pertinente señalar que el derecho a una vivienda digna para los pueblos y comunidades indígenas está reconocido de manera expresa y particular, no solo en el ámbito convencional, sino también en el entramado jurídico federal y estatal, así, la Declaración de las Naciones Unidas sobre los Derechos de los Pueblos Indígenas consagra que los pueblos indígenas tienen derecho a mejorar progresivamente sus condiciones económicas y sociales, entre las que se incluye la vivienda y establece la obligación de los Estados de adoptar medidas eficaces y cuando proceda, medidas especiales para atender sus necesidades con especial la atención ancianos, mujeres, jóvenes, niños y personas con discapacidades. </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En el plano nacional la Constitución Política de los Estados Unidos Mexicanos contempla en su artículo 2, Apartado B la obligación de los tres ámbitos de gobiernos de establecer instituciones y definir políticas públicas que garanticen el ejercicio efectivo de sus derechos, entre dichas obligaciones se incluye la promoción de acciones que aseguren el acceso a financiamiento para la construcción y el mejoramiento de la vivienda en armonía con su entorno natural y cultural.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De manera complementaria, el artículo 17 de la Constitución del Estado de México obliga a las autoridades a promover el bienestar de los pueblos indígenas mediante acciones orientadas, </w:t>
      </w:r>
      <w:r w:rsidRPr="006A4BCA">
        <w:rPr>
          <w:rFonts w:ascii="Times New Roman" w:hAnsi="Times New Roman" w:cs="Times New Roman"/>
          <w:sz w:val="24"/>
          <w:szCs w:val="24"/>
        </w:rPr>
        <w:lastRenderedPageBreak/>
        <w:t xml:space="preserve">entre otras materias, a la vivienda, garantizando su participación en el desarrollo estatal en condiciones de igualdad y con pleno respeto a sus expresiones culturales. Este panorama normativo evidencia que el derecho a la vivienda adecuada para los pueblos originarios no solo está reconocido, sino que constituye una obligación permanente del Estado en todos sus ámbitos. El diagnóstico presentado permite dimensionar la urgencia de implementar y fortalecer medidas que garanticen el derecho a una vivienda adecuada para las personas pertinentes de los pertenecientes a los pueblos originarios y comunidades afromexicanas. En este sentido, se propone reformar la Ley de Vivienda del Estado de México Para Garantizar su Acceso Equitativo a la Vivienda, reconociendo los expresamente como sujetos de atención prioritaria y personas en situación de vulnerabilidad, si bien la ley vigente contempla la obligación del Gobierno estatal de promover programas y acciones de vivienda para la población que se encuentren en situación de riesgo, pobreza, vulnerabilidad o marginación, no les otorga suficiente visibilidad ni el enfoque diferenciado que se requiere, y aquí quiero recalcar, no les otorga suficiente visibilidad ni el enfoque diferenciado que se requiere. </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Esta reforma permitirá fortalecer el diseño e implementación de las políticas estatal y municipales de vivienda, incorporando criterios que faciliten su acceso mediante esquemas de subsidio, financiamiento y crédito, con un enfoque inclusivo y de justicia social que atienda de manera efectiva sus carencias, garantizando viviendas adecuadas para los pueblos y comunidades indígenas y afromexicanas, no solo mejorará la calidad de vida, sino que fortalecerá su identidad cultural, promoverá la cohesión comunitaria y ampliará el ejercicio efectivo de otros derechos fundamentales como la salud y la educación, para que puedan vivir con dignidad.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No olvidemos que fueron en los gobiernos donde gobernó el PRI cuando se creó el Infonavit y se generaron los primeros programas de pie de casa y se impulsó de la misma manera la construcción de unidades habitacionales, por eso el día de hoy es tiempo de impulsar una reforma que garantice vivienda para todas las familias mexiquenses. De acuerdo con la </w:t>
      </w:r>
      <w:r w:rsidRPr="006A4BCA">
        <w:rPr>
          <w:rFonts w:ascii="Times New Roman" w:hAnsi="Times New Roman" w:cs="Times New Roman"/>
          <w:sz w:val="24"/>
          <w:szCs w:val="24"/>
          <w:shd w:val="clear" w:color="auto" w:fill="FFFFFF"/>
        </w:rPr>
        <w:t>COESFO</w:t>
      </w:r>
      <w:r w:rsidRPr="006A4BCA">
        <w:rPr>
          <w:rFonts w:ascii="Times New Roman" w:hAnsi="Times New Roman" w:cs="Times New Roman"/>
          <w:sz w:val="24"/>
          <w:szCs w:val="24"/>
        </w:rPr>
        <w:t xml:space="preserve"> 417 mil 603 personas son habitantes de alguna lengua indígena en nuestro estado y casi el 70% de ellas y ellos viven en condiciones de pobreza o pobreza extrema, esto, desafortunadamente incluye que habiten en viviendas que se encuentran en situación de rezago, ya sea por estar construidas con materiales precarios, carecer de servicios básicos o presentar condiciones de hacinamiento, estas condiciones no solo afectan su calidad de vida, sino que limitan el ejercicio de otros derechos fundamentales como la salud, la educación y el desarrollo comunitario.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El Estado de México es una entidad diversa, pluricultural y multiétnica, sin embargo, hasta ahora esa riqueza cultural no se ha traducido en igualdad de oportunidades, hasta hoy los pueblos originarios y las comunidades afromexicanas han sido en muchos casos marginados en el diseño de las políticas públicas, particularmente en materia de vivienda, por eso esta iniciativa no solamente es una reforma </w:t>
      </w:r>
      <w:r w:rsidRPr="006A4BCA">
        <w:rPr>
          <w:rFonts w:ascii="Times New Roman" w:hAnsi="Times New Roman" w:cs="Times New Roman"/>
          <w:sz w:val="24"/>
        </w:rPr>
        <w:t xml:space="preserve"> legal, es un llamado a asumir con seriedad la responsabilidad del Estado frente a estas comunidades, lo que proponemos es reforzar la obligación gubernamental, darles mayor visibilidad en la ley y establecer un enfoque diferenciado que reconozca sus contextos sociales, culturales y económicos, esta reforma permitirá que las políticas estatales y municipales de vivienda incorporen criterios claros de inclusión y justicia social, facultando su acceso a programas, subsidios, financiamiento y créditos para que puedan construir, mejorar o ampliar sus viviendas en condiciones dignas y acordes a su entorno y cultura, porque nadie puede vivir con dignidad si no tiene un hogar digno.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Garantizar viviendas seguras, habitables y culturalmente pertinentes no solo mejora la calidad de vida, también fortalece la cohesión comunitaria, preserva la identidad cultural y genera mejores condiciones para el desarrollo de las familias.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En el Grupo Parlamentario del PRI creemos en un Estado que no deje a nadie atrás y esta iniciativa refleja ese compromiso, hoy más que nunca buscamos cerrar brechas, combatir desigualdades históricas y avanzar hacia un Estado de México más justo, incluyente y solidario.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lastRenderedPageBreak/>
        <w:t>Es cuanto, señora Presidenta.</w:t>
      </w:r>
    </w:p>
    <w:p w:rsidR="007172CA" w:rsidRPr="006A4BCA" w:rsidRDefault="007172CA" w:rsidP="00A60CD6">
      <w:pPr>
        <w:pStyle w:val="Sinespaciado"/>
        <w:jc w:val="both"/>
        <w:rPr>
          <w:rFonts w:ascii="Times New Roman" w:hAnsi="Times New Roman" w:cs="Times New Roman"/>
          <w:sz w:val="24"/>
          <w:szCs w:val="24"/>
        </w:rPr>
      </w:pPr>
    </w:p>
    <w:p w:rsidR="007172CA" w:rsidRPr="006A4BCA" w:rsidRDefault="007172CA" w:rsidP="00A60CD6">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7172CA" w:rsidRPr="006A4BCA" w:rsidRDefault="007172CA" w:rsidP="00A60CD6">
      <w:pPr>
        <w:spacing w:after="0" w:line="240" w:lineRule="auto"/>
        <w:jc w:val="center"/>
        <w:rPr>
          <w:rFonts w:ascii="Times New Roman" w:hAnsi="Times New Roman"/>
          <w:sz w:val="24"/>
          <w:szCs w:val="24"/>
        </w:rPr>
      </w:pPr>
    </w:p>
    <w:p w:rsidR="007172CA" w:rsidRPr="006A4BCA" w:rsidRDefault="007172CA" w:rsidP="007172CA">
      <w:pPr>
        <w:widowControl w:val="0"/>
        <w:autoSpaceDE w:val="0"/>
        <w:autoSpaceDN w:val="0"/>
        <w:spacing w:after="0" w:line="240" w:lineRule="auto"/>
        <w:jc w:val="center"/>
        <w:rPr>
          <w:rFonts w:ascii="Times New Roman" w:eastAsia="Arial MT" w:hAnsi="Times New Roman" w:cs="Times New Roman"/>
          <w:b/>
          <w:noProof/>
          <w:sz w:val="24"/>
          <w:szCs w:val="24"/>
        </w:rPr>
      </w:pPr>
      <w:r w:rsidRPr="006A4BCA">
        <w:rPr>
          <w:rFonts w:ascii="Times New Roman" w:eastAsia="Arial MT" w:hAnsi="Times New Roman" w:cs="Times New Roman"/>
          <w:b/>
          <w:noProof/>
          <w:sz w:val="24"/>
          <w:szCs w:val="24"/>
        </w:rPr>
        <w:t>Dip. Eduardo Zarzosa Sánchez</w:t>
      </w:r>
    </w:p>
    <w:p w:rsidR="007172CA" w:rsidRPr="006A4BCA" w:rsidRDefault="007172CA" w:rsidP="007172CA">
      <w:pPr>
        <w:widowControl w:val="0"/>
        <w:autoSpaceDE w:val="0"/>
        <w:autoSpaceDN w:val="0"/>
        <w:spacing w:after="0" w:line="240" w:lineRule="auto"/>
        <w:ind w:left="4089"/>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ind w:left="4089"/>
        <w:rPr>
          <w:rFonts w:ascii="Times New Roman" w:eastAsia="Arial MT" w:hAnsi="Times New Roman" w:cs="Times New Roman"/>
          <w:sz w:val="24"/>
          <w:szCs w:val="24"/>
        </w:rPr>
      </w:pPr>
      <w:r w:rsidRPr="006A4BCA">
        <w:rPr>
          <w:rFonts w:ascii="Times New Roman" w:eastAsia="Arial MT" w:hAnsi="Times New Roman" w:cs="Times New Roman"/>
          <w:sz w:val="24"/>
          <w:szCs w:val="24"/>
        </w:rPr>
        <w:t>Toluca, Estado de México, a 4 de marzo de 2026.</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DIPUTADA MARTHA AZUCENA CAMACHO REYNOSO</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PRESIDENTA DE LA H. “LXII” LEGISLATURA DEL</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CONGRESO DEL ESTADO DE MÉXICO</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 R E S E N T E</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El que suscribe, </w:t>
      </w:r>
      <w:r w:rsidRPr="006A4BCA">
        <w:rPr>
          <w:rFonts w:ascii="Times New Roman" w:eastAsia="Arial MT" w:hAnsi="Times New Roman" w:cs="Times New Roman"/>
          <w:b/>
          <w:sz w:val="24"/>
          <w:szCs w:val="24"/>
        </w:rPr>
        <w:t xml:space="preserve">diputado Eduardo Zarzosa Sánchez, integrante del Grupo Parlamentario del Partido Revolucionario Institucional </w:t>
      </w:r>
      <w:r w:rsidRPr="006A4BCA">
        <w:rPr>
          <w:rFonts w:ascii="Times New Roman" w:eastAsia="Arial MT"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6A4BCA">
        <w:rPr>
          <w:rFonts w:ascii="Times New Roman" w:eastAsia="Arial MT" w:hAnsi="Times New Roman" w:cs="Times New Roman"/>
          <w:b/>
          <w:sz w:val="24"/>
          <w:szCs w:val="24"/>
        </w:rPr>
        <w:t>Iniciativa con proyecto de decreto por la que se reforman y adicionan diversas disposiciones de la Ley de Vivienda del Estado de México, para que los pueblos y comunidades indígenas y afromexicanas tengan acceso equitativo a la vivienda</w:t>
      </w:r>
      <w:r w:rsidRPr="006A4BCA">
        <w:rPr>
          <w:rFonts w:ascii="Times New Roman" w:eastAsia="Arial MT" w:hAnsi="Times New Roman" w:cs="Times New Roman"/>
          <w:sz w:val="24"/>
          <w:szCs w:val="24"/>
        </w:rPr>
        <w:t>, conforme a la siguiente:</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 X P O S I C I Ó N D E M O T I V O 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numPr>
          <w:ilvl w:val="0"/>
          <w:numId w:val="46"/>
        </w:numPr>
        <w:autoSpaceDE w:val="0"/>
        <w:autoSpaceDN w:val="0"/>
        <w:spacing w:after="0" w:line="240" w:lineRule="auto"/>
        <w:ind w:left="265" w:hanging="265"/>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El derecho humano a la vivienda</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vivienda constituye, en más de un sentido, un elemento indispensable para garantizar condiciones mínimas de vida digna, el acceso efectivo a otros derechos humanos y al pleno desarrollo personal y familiar. Precisamente, el derecho a la vivienda adecuada es uno de los derechos fundamentales consagrados tanto en la Constitución Federal como en la particular del Estado de México, así como en diversos instrumentos internacionales, dado que ésta constituye una necesidad básica para la supervivencia y el bienestar de todas las personas.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estos términos lo reconoce la Declaración Universal de los Derechos Humanos, en su artículo 25, al establecer que toda persona tiene derecho a un nivel de vida adecuado que asegure la salud y el bienestar propios y familiares, incluyendo alimentación, vestido, vivienda, asistencia médica, servicios sociales y seguridad en caso de desempleo o invalidez, con protección especial para maternidad y la infancia.</w:t>
      </w:r>
      <w:r w:rsidRPr="006A4BCA">
        <w:rPr>
          <w:rFonts w:ascii="Times New Roman" w:eastAsia="Arial MT" w:hAnsi="Times New Roman" w:cs="Times New Roman"/>
          <w:sz w:val="24"/>
          <w:szCs w:val="24"/>
          <w:vertAlign w:val="superscript"/>
        </w:rPr>
        <w:t>1</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el mismo sentido, el Pacto Internacional de Derechos Económicos, Sociales y Culturales consagra, en su artículo 11, que los Estados Parte reconocen el derecho de toda persona a un nivel de vida adecuado para sí y su familia, incluso alimentación, vestido y vivienda adecuada, y a una mejora continua de las condiciones de existencia.</w:t>
      </w:r>
      <w:r w:rsidRPr="006A4BCA">
        <w:rPr>
          <w:rFonts w:ascii="Times New Roman" w:eastAsia="Arial MT" w:hAnsi="Times New Roman" w:cs="Times New Roman"/>
          <w:sz w:val="24"/>
          <w:szCs w:val="24"/>
          <w:vertAlign w:val="superscript"/>
        </w:rPr>
        <w:t>2</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Finalmente es importante señalar que ONU-HABITAT, el programa de las Naciones Unidas para los asentamientos humanos, ha precisado que, para considerar una vivienda como adecuada, deben cumplirse siete condiciones específicas: seguridad de la tenencia; disponibilidad de servicios, </w:t>
      </w:r>
      <w:r w:rsidRPr="006A4BCA">
        <w:rPr>
          <w:rFonts w:ascii="Times New Roman" w:eastAsia="Arial MT" w:hAnsi="Times New Roman" w:cs="Times New Roman"/>
          <w:sz w:val="24"/>
          <w:szCs w:val="24"/>
        </w:rPr>
        <w:lastRenderedPageBreak/>
        <w:t>materiales, instalaciones e infraestructura; asequibilidad; habitabilidad; accesibilidad; ubicación; y adecuación cultural.</w:t>
      </w:r>
      <w:r w:rsidRPr="006A4BCA">
        <w:rPr>
          <w:rFonts w:ascii="Times New Roman" w:eastAsia="Arial MT" w:hAnsi="Times New Roman" w:cs="Times New Roman"/>
          <w:sz w:val="24"/>
          <w:szCs w:val="24"/>
          <w:vertAlign w:val="superscript"/>
        </w:rPr>
        <w:t>3</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numPr>
          <w:ilvl w:val="0"/>
          <w:numId w:val="46"/>
        </w:numPr>
        <w:autoSpaceDE w:val="0"/>
        <w:autoSpaceDN w:val="0"/>
        <w:spacing w:after="0" w:line="240" w:lineRule="auto"/>
        <w:ind w:left="265" w:hanging="265"/>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El derecho a una vivienda adecuada de los pueblos y comunidades indígenas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Para fines de la presente iniciativa, es pertinente señalar que el derecho a una vivienda adecuada para los pueblos y comunidades indígenas está reconocido, de manera expresa y particular, no sólo en el ámbito convencional, sino también en el entramado jurídico federal y estatal. Así, la Declaración de las Naciones Unidas sobre los Derechos de los Pueblos Indígenas consagra que los pueblos indígenas tienen derecho a mejorar progresivamente sus condiciones económicas y sociales, entre las que se incluye la vivienda, y establece la obligación de los Estados de adoptar medidas eficaces y, cuando proceda, medidas especiales para atender sus necesidades, con especial atención a ancianos, mujeres, jóvenes, niños y personas con discapacidades.</w:t>
      </w:r>
      <w:r w:rsidRPr="006A4BCA">
        <w:rPr>
          <w:rFonts w:ascii="Times New Roman" w:eastAsia="Arial MT" w:hAnsi="Times New Roman" w:cs="Times New Roman"/>
          <w:sz w:val="24"/>
          <w:szCs w:val="24"/>
          <w:vertAlign w:val="superscript"/>
        </w:rPr>
        <w:t>4</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w:t>
      </w:r>
      <w:r w:rsidRPr="006A4BCA">
        <w:rPr>
          <w:rFonts w:ascii="Times New Roman" w:eastAsia="Arial MT" w:hAnsi="Times New Roman" w:cs="Times New Roman"/>
          <w:sz w:val="20"/>
          <w:szCs w:val="24"/>
        </w:rPr>
        <w:t xml:space="preserve"> Declaración Universal de los Derechos Humanos.</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2</w:t>
      </w:r>
      <w:r w:rsidRPr="006A4BCA">
        <w:rPr>
          <w:rFonts w:ascii="Times New Roman" w:eastAsia="Arial MT" w:hAnsi="Times New Roman" w:cs="Times New Roman"/>
          <w:sz w:val="20"/>
          <w:szCs w:val="24"/>
        </w:rPr>
        <w:t xml:space="preserve"> OHCHR. (s/f). Pacto Internacional de Derechos Económicos, Sociales y Culturales.</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3</w:t>
      </w:r>
      <w:r w:rsidRPr="006A4BCA">
        <w:rPr>
          <w:rFonts w:ascii="Times New Roman" w:eastAsia="Arial MT" w:hAnsi="Times New Roman" w:cs="Times New Roman"/>
          <w:sz w:val="20"/>
          <w:szCs w:val="24"/>
        </w:rPr>
        <w:t xml:space="preserve"> Elementos de una vivienda adecuada. https://onu-habitat.org/index.php/elementos-de-una-vivienda- adecuada</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el plano nacional, la Constitución Política de los Estados Unidos Mexicanos contempla, en su artículo 2º, apartado B, fracción VII, la obligación de los tres ámbitos de gobierno de establecer instituciones y definir políticas públicas que garanticen el ejercicio efectivo a sus derechos. Entre dichas obligaciones se incluye la promoción de acciones que aseguren el acceso a financiamiento para la construcción y el mejoramiento de la vivienda, en armonía con su entorno natural y cultural.</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manera complementaria, el artículo 17 de la Constitución del Estado de México obliga a las autoridades a promover el bienestar de los pueblos indígenas, mediante acciones orientadas, entre otras materias, a la vivienda, garantizando su participación en el desarrollo estatal en condiciones de igualdad y con pleno respeto a sus expresiones culturales. Este panorama normativo evidencia que el derecho a una vivienda adecuada para los pueblos originarios no sólo está reconocido, sino que constituye una obligación permanente del Estado en todos sus ámbitos.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4</w:t>
      </w:r>
      <w:r w:rsidRPr="006A4BCA">
        <w:rPr>
          <w:rFonts w:ascii="Times New Roman" w:eastAsia="Arial MT" w:hAnsi="Times New Roman" w:cs="Times New Roman"/>
          <w:sz w:val="20"/>
          <w:szCs w:val="24"/>
        </w:rPr>
        <w:t xml:space="preserve"> Artículo 21 de la Declaración de las Naciones Unidas sobre los Derechos de los Pueblos Indígenas.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numPr>
          <w:ilvl w:val="0"/>
          <w:numId w:val="46"/>
        </w:numPr>
        <w:autoSpaceDE w:val="0"/>
        <w:autoSpaceDN w:val="0"/>
        <w:spacing w:after="0" w:line="240" w:lineRule="auto"/>
        <w:ind w:hanging="266"/>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Pueblos y comunidades indígenas y afromexicanas, riqueza y desafíos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México es un país pluriétnico y pluricultural cuya riqueza se sustenta en la grandeza de sus pueblos y culturas,</w:t>
      </w:r>
      <w:r w:rsidRPr="006A4BCA">
        <w:rPr>
          <w:rFonts w:ascii="Times New Roman" w:eastAsia="Arial MT" w:hAnsi="Times New Roman" w:cs="Times New Roman"/>
          <w:sz w:val="24"/>
          <w:szCs w:val="24"/>
          <w:vertAlign w:val="superscript"/>
        </w:rPr>
        <w:t>5</w:t>
      </w:r>
      <w:r w:rsidRPr="006A4BCA">
        <w:rPr>
          <w:rFonts w:ascii="Times New Roman" w:eastAsia="Arial MT" w:hAnsi="Times New Roman" w:cs="Times New Roman"/>
          <w:sz w:val="24"/>
          <w:szCs w:val="24"/>
        </w:rPr>
        <w:t xml:space="preserve"> y se expresa en múltiples tradiciones y costumbres milenarias que forman parte esencial de nuestro legado. En consecuencia, su preservación resulta fundamental para fortalecer el sentido de pertenencia y la identidad colectiva de nuestra Nación.</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acuerdo con el INEGI, alrededor de 23.2 millones de personas se autoidentifican como indígenas.</w:t>
      </w:r>
      <w:r w:rsidRPr="006A4BCA">
        <w:rPr>
          <w:rFonts w:ascii="Times New Roman" w:eastAsia="Arial MT" w:hAnsi="Times New Roman" w:cs="Times New Roman"/>
          <w:sz w:val="24"/>
          <w:szCs w:val="24"/>
          <w:vertAlign w:val="superscript"/>
        </w:rPr>
        <w:t>6</w:t>
      </w:r>
      <w:r w:rsidRPr="006A4BCA">
        <w:rPr>
          <w:rFonts w:ascii="Times New Roman" w:eastAsia="Arial MT" w:hAnsi="Times New Roman" w:cs="Times New Roman"/>
          <w:sz w:val="24"/>
          <w:szCs w:val="24"/>
        </w:rPr>
        <w:t xml:space="preserve"> Además, con datos de la Encuesta Nacional de la Dinámica Demográfica (ENADID), 7.4 millones de personas de tres años y más son hablantes de lengua indígena, y 3.1 millones son personas afromexicanas; esto es, 5.9% y 2.4% de la población total del país, respectivamente.</w:t>
      </w:r>
      <w:r w:rsidRPr="006A4BCA">
        <w:rPr>
          <w:rFonts w:ascii="Times New Roman" w:eastAsia="Arial MT" w:hAnsi="Times New Roman" w:cs="Times New Roman"/>
          <w:sz w:val="24"/>
          <w:szCs w:val="24"/>
          <w:vertAlign w:val="superscript"/>
        </w:rPr>
        <w:t>7</w:t>
      </w:r>
      <w:r w:rsidRPr="006A4BCA">
        <w:rPr>
          <w:rFonts w:ascii="Times New Roman" w:eastAsia="Arial MT" w:hAnsi="Times New Roman" w:cs="Times New Roman"/>
          <w:sz w:val="24"/>
          <w:szCs w:val="24"/>
        </w:rPr>
        <w:t xml:space="preserve"> Según el Programa Institucional del Instituto Nacional de los Pueblos Indígenas 2025-2030, a febrero de 2025 se identificaron 70 Pueblos Indígenas y el Pueblo Afromexicano, distribuidos en 16,114 comunidades ubicadas en 1,393 municipios de 28 entidades federativas.</w:t>
      </w:r>
      <w:r w:rsidRPr="006A4BCA">
        <w:rPr>
          <w:rFonts w:ascii="Times New Roman" w:eastAsia="Arial MT" w:hAnsi="Times New Roman" w:cs="Times New Roman"/>
          <w:sz w:val="24"/>
          <w:szCs w:val="24"/>
          <w:vertAlign w:val="superscript"/>
        </w:rPr>
        <w:t>8</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En el Estado de México, según la propia ENADID 2023, el 2.6% de la población total habla alguna </w:t>
      </w:r>
      <w:r w:rsidRPr="006A4BCA">
        <w:rPr>
          <w:rFonts w:ascii="Times New Roman" w:eastAsia="Arial MT" w:hAnsi="Times New Roman" w:cs="Times New Roman"/>
          <w:sz w:val="24"/>
          <w:szCs w:val="24"/>
        </w:rPr>
        <w:lastRenderedPageBreak/>
        <w:t>lengua indígena, cifra que coincide con los datos del Centro Estatal de Población (COESPO), que reporta 417,603 personas de tres años y más hablantes de alguna lengua indígena.</w:t>
      </w:r>
      <w:r w:rsidRPr="006A4BCA">
        <w:rPr>
          <w:rFonts w:ascii="Times New Roman" w:eastAsia="Arial MT" w:hAnsi="Times New Roman" w:cs="Times New Roman"/>
          <w:sz w:val="24"/>
          <w:szCs w:val="24"/>
          <w:vertAlign w:val="superscript"/>
        </w:rPr>
        <w:t>9</w:t>
      </w:r>
      <w:r w:rsidRPr="006A4BCA">
        <w:rPr>
          <w:rFonts w:ascii="Times New Roman" w:eastAsia="Arial MT" w:hAnsi="Times New Roman" w:cs="Times New Roman"/>
          <w:sz w:val="24"/>
          <w:szCs w:val="24"/>
        </w:rPr>
        <w:t xml:space="preserve"> La presencia originaria en nuestra entidad está conformada por los pueblos Matlatzinca, Mazahua, Nahua, Otomí y Tlahuica; de ellos, los pueblos Nahua y Otomí concentran el 73.35% de las comunidades registradas.</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5</w:t>
      </w:r>
      <w:r w:rsidRPr="006A4BCA">
        <w:rPr>
          <w:rFonts w:ascii="Times New Roman" w:eastAsia="Arial MT" w:hAnsi="Times New Roman" w:cs="Times New Roman"/>
          <w:sz w:val="20"/>
          <w:szCs w:val="24"/>
        </w:rPr>
        <w:t xml:space="preserve"> Artículo 2 de la Constitución Política de los Estado Unidos Mexicanos.</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6</w:t>
      </w:r>
      <w:r w:rsidRPr="006A4BCA">
        <w:rPr>
          <w:rFonts w:ascii="Times New Roman" w:eastAsia="Arial MT" w:hAnsi="Times New Roman" w:cs="Times New Roman"/>
          <w:sz w:val="20"/>
          <w:szCs w:val="24"/>
        </w:rPr>
        <w:t xml:space="preserve"> Censo de Población y Vivienda 2020.</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7</w:t>
      </w:r>
      <w:r w:rsidRPr="006A4BCA">
        <w:rPr>
          <w:rFonts w:ascii="Times New Roman" w:eastAsia="Arial MT" w:hAnsi="Times New Roman" w:cs="Times New Roman"/>
          <w:sz w:val="20"/>
          <w:szCs w:val="24"/>
        </w:rPr>
        <w:t xml:space="preserve"> INEGI. (6 de agosto de 2025). Estadísticas a propósito del Día Internacional de los Pueblos Indígenas (9</w:t>
      </w:r>
      <w:r w:rsidRPr="006A4BCA">
        <w:rPr>
          <w:rFonts w:ascii="Times New Roman" w:eastAsia="Arial MT" w:hAnsi="Times New Roman" w:cs="Times New Roman"/>
          <w:sz w:val="20"/>
          <w:szCs w:val="24"/>
        </w:rPr>
        <w:tab/>
        <w:t>de</w:t>
      </w:r>
      <w:r w:rsidRPr="006A4BCA">
        <w:rPr>
          <w:rFonts w:ascii="Times New Roman" w:eastAsia="Arial MT" w:hAnsi="Times New Roman" w:cs="Times New Roman"/>
          <w:sz w:val="20"/>
          <w:szCs w:val="24"/>
        </w:rPr>
        <w:tab/>
        <w:t>agosto).</w:t>
      </w:r>
      <w:r w:rsidRPr="006A4BCA">
        <w:rPr>
          <w:rFonts w:ascii="Times New Roman" w:eastAsia="Arial MT" w:hAnsi="Times New Roman" w:cs="Times New Roman"/>
          <w:sz w:val="20"/>
          <w:szCs w:val="24"/>
        </w:rPr>
        <w:tab/>
        <w:t>Consultado</w:t>
      </w:r>
      <w:r w:rsidRPr="006A4BCA">
        <w:rPr>
          <w:rFonts w:ascii="Times New Roman" w:eastAsia="Arial MT" w:hAnsi="Times New Roman" w:cs="Times New Roman"/>
          <w:sz w:val="20"/>
          <w:szCs w:val="24"/>
        </w:rPr>
        <w:tab/>
        <w:t>en: https://</w:t>
      </w:r>
      <w:hyperlink r:id="rId18">
        <w:r w:rsidRPr="006A4BCA">
          <w:rPr>
            <w:rFonts w:ascii="Times New Roman" w:eastAsia="Arial MT" w:hAnsi="Times New Roman" w:cs="Times New Roman"/>
            <w:sz w:val="20"/>
            <w:szCs w:val="24"/>
          </w:rPr>
          <w:t>www.inegi.org.mx/contenidos/saladeprensa/aproposito/2025/EAP_PuebIndig_25.pdf</w:t>
        </w:r>
      </w:hyperlink>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8</w:t>
      </w:r>
      <w:r w:rsidRPr="006A4BCA">
        <w:rPr>
          <w:rFonts w:ascii="Times New Roman" w:eastAsia="Arial MT" w:hAnsi="Times New Roman" w:cs="Times New Roman"/>
          <w:sz w:val="20"/>
          <w:szCs w:val="24"/>
        </w:rPr>
        <w:t xml:space="preserve"> INPI. (s/f). Programa Institucional del Instituto Nacional de los Pueblos Indígenas 2025-2030. Consultado en: https://</w:t>
      </w:r>
      <w:hyperlink r:id="rId19">
        <w:r w:rsidRPr="006A4BCA">
          <w:rPr>
            <w:rFonts w:ascii="Times New Roman" w:eastAsia="Arial MT" w:hAnsi="Times New Roman" w:cs="Times New Roman"/>
            <w:sz w:val="20"/>
            <w:szCs w:val="24"/>
          </w:rPr>
          <w:t>www.gob.mx/cms/uploads/attachment/file/1019468/Programa-Institucional-del-</w:t>
        </w:r>
      </w:hyperlink>
      <w:r w:rsidRPr="006A4BCA">
        <w:rPr>
          <w:rFonts w:ascii="Times New Roman" w:eastAsia="Arial MT" w:hAnsi="Times New Roman" w:cs="Times New Roman"/>
          <w:sz w:val="20"/>
          <w:szCs w:val="24"/>
        </w:rPr>
        <w:t xml:space="preserve"> Instituto-Nacional-de-los-Pueblos-Indigenas-2025-2030.pdf</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9</w:t>
      </w:r>
      <w:r w:rsidRPr="006A4BCA">
        <w:rPr>
          <w:rFonts w:ascii="Times New Roman" w:eastAsia="Arial MT" w:hAnsi="Times New Roman" w:cs="Times New Roman"/>
          <w:sz w:val="20"/>
          <w:szCs w:val="24"/>
        </w:rPr>
        <w:t xml:space="preserve"> COESPO. (s/f). Indígenas. Población hablante de lengua indígena. Consultado en: https://coespo.edomex.gob.mx/indigenas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Sin embargo, a pesar de su importancia cultural, social y demográfica, nuestros pueblos originarios enfrentan desigualdades históricas y estructurales que condicionan su acceso efectivo a oportunidades, servicios y derechos, en función de factores como la clase social, el género, la religión, la situación socioeconómica y, desde luego, el origen étnico.</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vulnerabilidad en la que viven se refleja con claridad en la medición multidimensional de la pobreza presentada por el INEGI, que indica que el 61% de la población indígena en el país se encuentra en situación de pobreza, frente al 26% de la población no indígena; es decir, existe una brecha de 2.3 veces. Desafortunadamente, la desigualdad se acentúa en el caso de la pobreza extrema, que afecta al 23% de la población indígena.</w:t>
      </w:r>
      <w:r w:rsidRPr="006A4BCA">
        <w:rPr>
          <w:rFonts w:ascii="Times New Roman" w:eastAsia="Arial MT" w:hAnsi="Times New Roman" w:cs="Times New Roman"/>
          <w:sz w:val="24"/>
          <w:szCs w:val="24"/>
          <w:vertAlign w:val="superscript"/>
        </w:rPr>
        <w:t>10</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el Estado de México, según la Secretaría del Bienestar estatal, al menos el 57.6% de la población indígena reporta vivir en condición de pobreza, mientras que el 15.3% se encuentra en situación de pobreza extrema.</w:t>
      </w:r>
      <w:r w:rsidRPr="006A4BCA">
        <w:rPr>
          <w:rFonts w:ascii="Times New Roman" w:eastAsia="Arial MT" w:hAnsi="Times New Roman" w:cs="Times New Roman"/>
          <w:sz w:val="24"/>
          <w:szCs w:val="24"/>
          <w:vertAlign w:val="superscript"/>
        </w:rPr>
        <w:t>11</w:t>
      </w:r>
      <w:r w:rsidRPr="006A4BCA">
        <w:rPr>
          <w:rFonts w:ascii="Times New Roman" w:eastAsia="Arial MT" w:hAnsi="Times New Roman" w:cs="Times New Roman"/>
          <w:sz w:val="24"/>
          <w:szCs w:val="24"/>
        </w:rPr>
        <w:t xml:space="preserve"> Estos datos permiten comprobar que nuestros pueblos originarios presentan niveles elevados de desigualdad social en relación con el resto de la sociedad, y, por tanto, enfrentan condiciones mucho más adversas para ejercer plenamente sus derechos, incluido el de vivienda.</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10</w:t>
      </w:r>
      <w:r w:rsidRPr="006A4BCA">
        <w:rPr>
          <w:rFonts w:ascii="Times New Roman" w:eastAsia="Arial MT" w:hAnsi="Times New Roman" w:cs="Times New Roman"/>
          <w:sz w:val="20"/>
          <w:szCs w:val="24"/>
        </w:rPr>
        <w:t xml:space="preserve"> Acción Ciudadana Frente a la Pobreza. Concentra pobreza población indígena y rural; Economía Social, vía para superarla. Disponible en: https://</w:t>
      </w:r>
      <w:hyperlink r:id="rId20">
        <w:r w:rsidRPr="006A4BCA">
          <w:rPr>
            <w:rFonts w:ascii="Times New Roman" w:eastAsia="Arial MT" w:hAnsi="Times New Roman" w:cs="Times New Roman"/>
            <w:sz w:val="20"/>
            <w:szCs w:val="24"/>
          </w:rPr>
          <w:t>www.frentealapobreza.mx/post/com-2512</w:t>
        </w:r>
      </w:hyperlink>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11</w:t>
      </w:r>
      <w:r w:rsidRPr="006A4BCA">
        <w:rPr>
          <w:rFonts w:ascii="Times New Roman" w:eastAsia="Arial MT" w:hAnsi="Times New Roman" w:cs="Times New Roman"/>
          <w:sz w:val="20"/>
          <w:szCs w:val="24"/>
        </w:rPr>
        <w:t xml:space="preserve"> EL UNIVERSAL, citando al informe Cifras que Transforman Bienestar para Todos, elaborado por la Secretaría del Bienestar del Estado de México, Viven en pobreza 57 por ciento de personas indígenas del Edomex: Mazahuas y otomíes, los más afectados, 2026. Disponible en: https://</w:t>
      </w:r>
      <w:hyperlink r:id="rId21">
        <w:r w:rsidRPr="006A4BCA">
          <w:rPr>
            <w:rFonts w:ascii="Times New Roman" w:eastAsia="Arial MT" w:hAnsi="Times New Roman" w:cs="Times New Roman"/>
            <w:sz w:val="20"/>
            <w:szCs w:val="24"/>
          </w:rPr>
          <w:t>www.eluniversaledomex.com.mx/valle-de-toluca/viven-en-pobreza-57-por-ciento-de-los-pueblos-</w:t>
        </w:r>
      </w:hyperlink>
      <w:r w:rsidRPr="006A4BCA">
        <w:rPr>
          <w:rFonts w:ascii="Times New Roman" w:eastAsia="Arial MT" w:hAnsi="Times New Roman" w:cs="Times New Roman"/>
          <w:sz w:val="20"/>
          <w:szCs w:val="24"/>
        </w:rPr>
        <w:t xml:space="preserve"> indigenas-del-edomex-mazahuas-y-otomies-los-mas-afectados/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numPr>
          <w:ilvl w:val="0"/>
          <w:numId w:val="46"/>
        </w:numPr>
        <w:autoSpaceDE w:val="0"/>
        <w:autoSpaceDN w:val="0"/>
        <w:spacing w:after="0" w:line="240" w:lineRule="auto"/>
        <w:ind w:hanging="266"/>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Comunidades indígenas y vivienda</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Históricamente, uno de los desafíos más importantes para los gobiernos ha sido garantizar el acceso a una vivienda adecuada, especialmente para las comunidades indígenas y afromexicanas. En este rubro, dichos pueblos enfrentan un rezago significativo respecto al resto de la población: según estimaciones del extinto CONEVAL, alrededor del 40% de la población indígena en el país presenta carencias asociadas con el acceso a los servicios básicos de la vivienda, lo que evidencia una brecha persistente en el ejercicio de este derecho humano.</w:t>
      </w:r>
      <w:r w:rsidRPr="006A4BCA">
        <w:rPr>
          <w:rFonts w:ascii="Times New Roman" w:eastAsia="Arial MT" w:hAnsi="Times New Roman" w:cs="Times New Roman"/>
          <w:sz w:val="24"/>
          <w:szCs w:val="24"/>
          <w:vertAlign w:val="superscript"/>
        </w:rPr>
        <w:t>12</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Según el INEGI, con base en la Encuesta Nacional de Ingresos y Gastos de los Hogares (ENIGH), </w:t>
      </w:r>
      <w:r w:rsidRPr="006A4BCA">
        <w:rPr>
          <w:rFonts w:ascii="Times New Roman" w:eastAsia="Arial MT" w:hAnsi="Times New Roman" w:cs="Times New Roman"/>
          <w:sz w:val="24"/>
          <w:szCs w:val="24"/>
        </w:rPr>
        <w:lastRenderedPageBreak/>
        <w:t>las personas indígenas “residen en 10.9 millones de viviendas que representan 29.7% del parque habitacional.” No obstante, estimaciones de la Comisión Nacional de Vivienda (CONAVI) indican que poco menos de 4 millones de estas viviendas se encuentran en situación de rezago, ya sea por estar construidas con materiales precarios, carecer de servicios básicos o presentar condiciones de hacinamiento.</w:t>
      </w:r>
      <w:r w:rsidRPr="006A4BCA">
        <w:rPr>
          <w:rFonts w:ascii="Times New Roman" w:eastAsia="Arial MT" w:hAnsi="Times New Roman" w:cs="Times New Roman"/>
          <w:sz w:val="24"/>
          <w:szCs w:val="24"/>
          <w:vertAlign w:val="superscript"/>
        </w:rPr>
        <w:t>13</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numPr>
          <w:ilvl w:val="0"/>
          <w:numId w:val="46"/>
        </w:numPr>
        <w:autoSpaceDE w:val="0"/>
        <w:autoSpaceDN w:val="0"/>
        <w:spacing w:after="0" w:line="240" w:lineRule="auto"/>
        <w:ind w:hanging="266"/>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Viviendas adecuadas para pueblos originarios y comunidades afromexicanas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diagnóstico presentado permite dimensionar la urgencia de implementar y fortalecer medidas que garanticen el derecho a una vivienda adecuada para las personas pertenecientes a los pueblos originarios y comunidades afromexicanas. En ese sentido, se propone reformar la Ley de Vivienda del Estado de México para garantizar su acceso equitativo a la vivienda, reconociéndolos expresamente como sujetos de atención prioritaria y personas en situación de vulnerabilidad. Si bien la Ley vigente contempla la obligación del gobierno estatal de promover programas y acciones de vivienda para la población que se encuentre en situación de riesgo, pobreza, vulnerabilidad o marginación, no les otorga suficiente visibilidad ni el enfoque diferenciado que se requiere.</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12</w:t>
      </w:r>
      <w:r w:rsidRPr="006A4BCA">
        <w:rPr>
          <w:rFonts w:ascii="Times New Roman" w:eastAsia="Arial MT" w:hAnsi="Times New Roman" w:cs="Times New Roman"/>
          <w:sz w:val="20"/>
          <w:szCs w:val="24"/>
        </w:rPr>
        <w:t xml:space="preserve"> CONEVAL. (s/f). ACUERDO por el que se expide el Programa Institucional del Instituto Nacional de los Pueblos Indígenas 2025-2030. Consultado en: https://</w:t>
      </w:r>
      <w:hyperlink r:id="rId22">
        <w:r w:rsidRPr="006A4BCA">
          <w:rPr>
            <w:rFonts w:ascii="Times New Roman" w:eastAsia="Arial MT" w:hAnsi="Times New Roman" w:cs="Times New Roman"/>
            <w:sz w:val="20"/>
            <w:szCs w:val="24"/>
          </w:rPr>
          <w:t>www.coneval.org.mx/coordinacion/IMPPS/Documents/Fichas_PND_2023/Especial_Indigenas_Afr</w:t>
        </w:r>
      </w:hyperlink>
      <w:r w:rsidRPr="006A4BCA">
        <w:rPr>
          <w:rFonts w:ascii="Times New Roman" w:eastAsia="Arial MT" w:hAnsi="Times New Roman" w:cs="Times New Roman"/>
          <w:sz w:val="20"/>
          <w:szCs w:val="24"/>
        </w:rPr>
        <w:t xml:space="preserve"> omexicano_Ficha_2023.pdf</w:t>
      </w: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13</w:t>
      </w:r>
      <w:r w:rsidRPr="006A4BCA">
        <w:rPr>
          <w:rFonts w:ascii="Times New Roman" w:eastAsia="Arial MT" w:hAnsi="Times New Roman" w:cs="Times New Roman"/>
          <w:sz w:val="20"/>
          <w:szCs w:val="24"/>
        </w:rPr>
        <w:t xml:space="preserve"> Secretaría de Desarrollo Territorial, Agrario y Urbano. Aspectos de la atención a la población indígena, CONAVI 2019-2024. Disponible en: https://siesco.conavi.gob.mx/doc/analisis/2024/Aspectos_atenci%C3%B3n_poblaci%C3%B3n_ind%C3% ADgena_Conavi_2019-2024.pdf</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Esta reforma permitirá fortalecer el diseño e implementación de las políticas estatal y municipales de vivienda, incorporando criterios que faciliten su acceso mediante esquemas de subsidio, financiamiento y crédito, con un enfoque inclusivo y de justicia social que atienda de manera efectiva sus carencias. Garantizar viviendas adecuadas para los pueblos y comunidades indígenas y afromexicanas no sólo mejorará su calidad de vida, sino que fortalecerá su identidad cultural, promoverá la cohesión comunitaria y ampliará el ejercicio efectivo de otros derechos fundamentales como la salud y la educación, para que puedan vivir con dignidad.</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lo expuesto, someto a consideración de este órgano legislativo, la iniciativa con proyecto de decreto que se acompaña.</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ind w:left="5"/>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 T E N T A M E N T E</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ind w:left="5"/>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PROYECTO DE DECRETO</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 xml:space="preserve">DECRETO NÚMERO: </w:t>
      </w:r>
      <w:r w:rsidRPr="006A4BCA">
        <w:rPr>
          <w:rFonts w:ascii="Times New Roman" w:eastAsia="Arial MT" w:hAnsi="Times New Roman" w:cs="Times New Roman"/>
          <w:b/>
          <w:sz w:val="24"/>
          <w:szCs w:val="24"/>
          <w:u w:val="single"/>
        </w:rPr>
        <w:tab/>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H. “LXII” LEGISLATURA DEL ESTADO DE MÉXICO DECRETA:</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ARTÍCULO ÚNICA.- </w:t>
      </w:r>
      <w:r w:rsidRPr="006A4BCA">
        <w:rPr>
          <w:rFonts w:ascii="Times New Roman" w:eastAsia="Arial MT" w:hAnsi="Times New Roman" w:cs="Times New Roman"/>
          <w:sz w:val="24"/>
          <w:szCs w:val="24"/>
        </w:rPr>
        <w:t>Se reforma la fracción XIII, del artículo 10, y se adicionan las fracciones XII y XV, al mismo artículo, recorriéndose en su orden las subsecuentes, de la Ley de Vivienda del Estado de México, para quedar como sigue:</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Artículo 10</w:t>
      </w:r>
      <w:r w:rsidRPr="006A4BCA">
        <w:rPr>
          <w:rFonts w:ascii="Times New Roman" w:eastAsia="Arial MT" w:hAnsi="Times New Roman" w:cs="Times New Roman"/>
          <w:sz w:val="24"/>
          <w:szCs w:val="24"/>
        </w:rPr>
        <w:t>.- ...</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 a XI. ...</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numPr>
          <w:ilvl w:val="0"/>
          <w:numId w:val="45"/>
        </w:numPr>
        <w:autoSpaceDE w:val="0"/>
        <w:autoSpaceDN w:val="0"/>
        <w:spacing w:after="0" w:line="240" w:lineRule="auto"/>
        <w:ind w:firstLine="0"/>
        <w:jc w:val="both"/>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Población afromexicana: las personas que se autoadscriben, bajo diversas denominaciones, como descendientes de poblaciones africanas, que cuentan con formas propias de organización social, económica, política y cultural, comparten aspiraciones comunes y afirman libremente su existencia como colectividades culturalmente diferenciadas.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numPr>
          <w:ilvl w:val="0"/>
          <w:numId w:val="45"/>
        </w:numPr>
        <w:autoSpaceDE w:val="0"/>
        <w:autoSpaceDN w:val="0"/>
        <w:spacing w:after="0" w:line="240" w:lineRule="auto"/>
        <w:ind w:firstLine="0"/>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Población en situación de marginación o vulnerabilidad: las personas que se encuentran fuera del acceso y disponibilidad de bienes, servicios y opciones para el desarrollo social</w:t>
      </w:r>
      <w:r w:rsidRPr="006A4BCA">
        <w:rPr>
          <w:rFonts w:ascii="Times New Roman" w:eastAsia="Arial" w:hAnsi="Times New Roman" w:cs="Times New Roman"/>
          <w:b/>
          <w:sz w:val="24"/>
          <w:szCs w:val="24"/>
        </w:rPr>
        <w:t>, incluida la población indígena y afromexicana</w:t>
      </w:r>
      <w:r w:rsidRPr="006A4BCA">
        <w:rPr>
          <w:rFonts w:ascii="Times New Roman" w:eastAsia="Arial" w:hAnsi="Times New Roman" w:cs="Times New Roman"/>
          <w:sz w:val="24"/>
          <w:szCs w:val="24"/>
        </w:rPr>
        <w:t>.</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numPr>
          <w:ilvl w:val="0"/>
          <w:numId w:val="45"/>
        </w:numPr>
        <w:autoSpaceDE w:val="0"/>
        <w:autoSpaceDN w:val="0"/>
        <w:spacing w:after="0" w:line="240" w:lineRule="auto"/>
        <w:ind w:left="519" w:hanging="519"/>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numPr>
          <w:ilvl w:val="0"/>
          <w:numId w:val="45"/>
        </w:numPr>
        <w:autoSpaceDE w:val="0"/>
        <w:autoSpaceDN w:val="0"/>
        <w:spacing w:after="0" w:line="240" w:lineRule="auto"/>
        <w:ind w:firstLine="0"/>
        <w:jc w:val="both"/>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Población indígena: las personas que se reconocen y se definen en los párrafos segundo, tercero y cuarto del artículo 2 de la Constitución Política de los Estados Unidos Mexicanos.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numPr>
          <w:ilvl w:val="0"/>
          <w:numId w:val="45"/>
        </w:numPr>
        <w:autoSpaceDE w:val="0"/>
        <w:autoSpaceDN w:val="0"/>
        <w:spacing w:after="0" w:line="240" w:lineRule="auto"/>
        <w:ind w:left="519" w:hanging="519"/>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a XXV. ...</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T R A N S I T O R I O S</w:t>
      </w:r>
    </w:p>
    <w:p w:rsidR="007172CA" w:rsidRPr="006A4BCA" w:rsidRDefault="007172CA" w:rsidP="007172CA">
      <w:pPr>
        <w:widowControl w:val="0"/>
        <w:autoSpaceDE w:val="0"/>
        <w:autoSpaceDN w:val="0"/>
        <w:spacing w:after="0" w:line="240" w:lineRule="auto"/>
        <w:rPr>
          <w:rFonts w:ascii="Times New Roman" w:eastAsia="Arial MT" w:hAnsi="Times New Roman" w:cs="Times New Roman"/>
          <w:b/>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PRIMERO.- </w:t>
      </w:r>
      <w:r w:rsidRPr="006A4BCA">
        <w:rPr>
          <w:rFonts w:ascii="Times New Roman" w:eastAsia="Arial MT" w:hAnsi="Times New Roman" w:cs="Times New Roman"/>
          <w:sz w:val="24"/>
          <w:szCs w:val="24"/>
        </w:rPr>
        <w:t>Publíquese el presente Decreto en el Periódico Oficial "Gaceta del Gobierno" del Estado de México.</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SEGUNDO.- </w:t>
      </w:r>
      <w:r w:rsidRPr="006A4BCA">
        <w:rPr>
          <w:rFonts w:ascii="Times New Roman" w:eastAsia="Arial MT" w:hAnsi="Times New Roman" w:cs="Times New Roman"/>
          <w:sz w:val="24"/>
          <w:szCs w:val="24"/>
        </w:rPr>
        <w:t>El presente Decreto entrará en vigor al día siguiente al de su publicación en el Periódico Oficial "Gaceta del Gobierno" del Estado de México.</w:t>
      </w:r>
    </w:p>
    <w:p w:rsidR="007172CA" w:rsidRPr="006A4BCA" w:rsidRDefault="007172CA" w:rsidP="007172CA">
      <w:pPr>
        <w:widowControl w:val="0"/>
        <w:autoSpaceDE w:val="0"/>
        <w:autoSpaceDN w:val="0"/>
        <w:spacing w:after="0" w:line="240" w:lineRule="auto"/>
        <w:rPr>
          <w:rFonts w:ascii="Times New Roman" w:eastAsia="Arial MT" w:hAnsi="Times New Roman" w:cs="Times New Roman"/>
          <w:sz w:val="24"/>
          <w:szCs w:val="24"/>
        </w:rPr>
      </w:pPr>
    </w:p>
    <w:p w:rsidR="007172CA" w:rsidRPr="006A4BCA" w:rsidRDefault="007172CA" w:rsidP="007172CA">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Dado en el Palacio del Poder Legislativo, en la ciudad de Toluca de Lerdo, capital del Estado de México, a los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días del mes de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 del año </w:t>
      </w:r>
      <w:r w:rsidRPr="006A4BCA">
        <w:rPr>
          <w:rFonts w:ascii="Times New Roman" w:eastAsia="Arial MT" w:hAnsi="Times New Roman" w:cs="Times New Roman"/>
          <w:sz w:val="24"/>
          <w:szCs w:val="24"/>
          <w:u w:val="single"/>
        </w:rPr>
        <w:tab/>
      </w:r>
    </w:p>
    <w:p w:rsidR="007172CA" w:rsidRPr="006A4BCA" w:rsidRDefault="007172CA" w:rsidP="00A60CD6">
      <w:pPr>
        <w:spacing w:after="0" w:line="240" w:lineRule="auto"/>
        <w:jc w:val="center"/>
        <w:rPr>
          <w:rFonts w:ascii="Times New Roman" w:hAnsi="Times New Roman"/>
          <w:sz w:val="24"/>
          <w:szCs w:val="24"/>
        </w:rPr>
      </w:pPr>
    </w:p>
    <w:p w:rsidR="007172CA" w:rsidRPr="006A4BCA" w:rsidRDefault="007172CA" w:rsidP="00A60CD6">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7172CA" w:rsidRPr="006A4BCA" w:rsidRDefault="007172CA" w:rsidP="00A60CD6">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 xml:space="preserve">PRESIDENTA DIP. MARTHA AZUCENA CAMACHO REYNOSO. Muchas gracias, diputado Eduardo Zarza Sánchez.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Se registra la iniciativa y se remite a las Comisiones Legislativas de Desarrollo Urbano y de Asuntos Indígenas para su estudio y dictamen.</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Para desahogar el punto 18, la diputada Krishna Karina Romero Velázquez leerá la Iniciativa con Proyecto de Decreto por el que se adicionan diversas disposiciones del Código Administrativo del Estado de México en materia de salud digital, presentada por la diputada Krishna Karina Romero Velázquez y el diputado Pablo Fernández de Cevallos González, en nombre del Grupo Parlamentario del Partido Acción Nacional.</w:t>
      </w: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 xml:space="preserve">DIP. KRISHNA ROMERO VELÁZQUEZ. Muchas gracias, diputada Presidenta con tu venia.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Hablar de salud es hablar de vida, es hablar de la tranquilidad de una madre que sabe que su hijo será atendido cuando se enferma, es hablar del adulto mayor que necesita seguimiento para su tratamiento, es hablar de la confianza que debe tener cualquier persona, de que cuando su salud esté en riesgo, encontrará atención médica oportuna, cercana y de calidad, la salud es un derecho humano que protege lo más valioso que tenemos, que es la vida misma; sin embargo, la realidad </w:t>
      </w:r>
      <w:r w:rsidRPr="006A4BCA">
        <w:rPr>
          <w:rFonts w:ascii="Times New Roman" w:hAnsi="Times New Roman" w:cs="Times New Roman"/>
          <w:sz w:val="24"/>
        </w:rPr>
        <w:lastRenderedPageBreak/>
        <w:t xml:space="preserve">en el Estado de México nos muestra que este derecho muchas veces se convierte en un desafío cotidiano. De acuerdo con el informe sobre la situación de Pobreza y Rezago Social 2026 de la Secretaría de Bienestar, el 48.8% de la población mexiquense carece de acceso a la seguridad social, esto significa que alrededor de 8.6 millones de personas no cuentan con un sistema institucional que garantice su atención médica, además, 7.1 millones de mexiquenses presentan carencia por accesos de servicio a la salud, esto equivale a cuatro de cada diez habitantes en el Estado de México, por detrás de estos números hay historias reales hay pacientes con diabetes que no pueden dar seguimiento a su tratamiento, hay mujeres embarazadas que deben recorrer kilómetros para una revisión, hay adultos mayores que dejan de consultar al médico porque el traslado es complicado o porque el sistema está simplemente saturado y a esto se suma otro desafío la falta de médicos especialistas.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México cuenta con aproximadamente 2.5 médicos por cada mil habitantes, una cifra inferior al promedio de los países de la OCDE que es de 3.7 médicos por cada mil habitantes. El modelo tradicional de atención médica basado exclusivamente en la consulta presencial ya no es suficiente para responder a las necesidades actuales.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Compañeros legisladores, el mundo ha cambiado la tecnología ha transformado la forma en que estudiamos, trabajamos y nos comunicamos y también la forma en que podemos cuidar de nuestra salud, por eso, el pasado quince de enero de 2026 se publicó en el Diario Oficial de la Federación una reforma trascendental a la Ley General de Salud, mediante la cual se incorporó de manera expresa la </w:t>
      </w:r>
      <w:r w:rsidRPr="006A4BCA">
        <w:rPr>
          <w:rFonts w:ascii="Times New Roman" w:hAnsi="Times New Roman" w:cs="Times New Roman"/>
          <w:sz w:val="24"/>
          <w:szCs w:val="24"/>
        </w:rPr>
        <w:t>salud digital como materia de salubridad general, esto significa reconocer que herramientas como la tele salud, la telemedicina, los expedientes clínicos electrónicos y el monitoreo remoto de pacientes son hoy instrumentos fundamentales para fortalecer el derecho a la protección de la salud. Sin embargo, mientras el país avance en esta dirección, el Estado de México aún no cuenta con un marco jurídico que regule e impulse de manera clara la salud digital y eso es precisamente lo que esta iniciativa busca corregir, por ello, nuestra iniciativa propone incorporar la salud digital como parte de los servicios de salud que presta el Estado, crear un capítulo específico sobre salud digital y establecer las bases para desarrollar tele salud, telemedicina, expedientes clínicos electrónicos e interoperabilidad de información médica, garantizando siempre la seguridad y protección de los datos de los pacientes.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Permítanme poner un ejemplo muy concreto, imaginemos a una persona que vive en una comunidad alejada del Valle de México o Toluca y necesita una consulta con un especialista en cardiología o en alguna otra especialidad, hoy esa persona considerando el tráfico que hay todos los días tendría que trasladarse durante horas hasta un hospital de alta especialidad, gastar en transporte, perder un día de trabajo y esperar un turno que llegará muy tarde, con un sistema de tele salud esa misma personas podría acudir a su centro de salud local o desde su domicilio y a través de una plataforma digital recibir una consulta a distancia con un especialista, revisar sus estudios clínicos en línea, recibir indicaciones médicas sin tener que recorrer grandes distancias.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Eso significa menos gastos para las familias mexiquenses, menos saturación en los hospitales y más acceso a atención médica oportuna, pero también significa algo más importante, salvar vidas a tiempo porque cuando la atención médica llega tarde las consecuencias pueden ser irreversibles, la tecnología no debe ser un privilegio, debe ser una herramienta para cerrar brechas y garantizar derechos.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Desde el Grupo Parlamentario del Partido Acción Nacional estamos convencidos de algo muy claro, la innovación tecnológica debe estar al servicio de las personas, impulsar la salud digital no significa, significa acercar servicios médicos a comunidades donde hoy no llegan los especialistas, significa apoyar al personal médico con mejores herramientas de salud y significa modernizar nuestro sistema para que responda a las necesidades del siglo XXI.</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Significa garantizar que ningún mexiquense tenga que poner en riesgo su salud por falta de atención médica o por vivir lejos de algún hospital, pero sobre todo significa avanzar en la construcción de un sistema de salud que verdaderamente esté a la altura del Estado de México.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Es cuanto, muchas gracias Presidenta.</w:t>
      </w:r>
    </w:p>
    <w:p w:rsidR="00A60CD6" w:rsidRPr="006A4BCA" w:rsidRDefault="00A60CD6" w:rsidP="00A60CD6">
      <w:pPr>
        <w:pStyle w:val="Sinespaciado"/>
        <w:jc w:val="both"/>
        <w:rPr>
          <w:rFonts w:ascii="Times New Roman" w:hAnsi="Times New Roman" w:cs="Times New Roman"/>
          <w:sz w:val="24"/>
          <w:szCs w:val="24"/>
        </w:rPr>
      </w:pPr>
    </w:p>
    <w:p w:rsidR="00A60CD6" w:rsidRPr="006A4BCA" w:rsidRDefault="00A60CD6" w:rsidP="00A60CD6">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A60CD6" w:rsidRPr="006A4BCA" w:rsidRDefault="00A60CD6" w:rsidP="00A60CD6">
      <w:pPr>
        <w:spacing w:after="0" w:line="240" w:lineRule="auto"/>
        <w:jc w:val="center"/>
        <w:rPr>
          <w:rFonts w:ascii="Times New Roman" w:hAnsi="Times New Roman"/>
          <w:sz w:val="24"/>
          <w:szCs w:val="24"/>
        </w:rPr>
      </w:pPr>
    </w:p>
    <w:p w:rsidR="00A60CD6" w:rsidRPr="006A4BCA" w:rsidRDefault="00A60CD6" w:rsidP="00A60CD6">
      <w:pPr>
        <w:autoSpaceDE w:val="0"/>
        <w:autoSpaceDN w:val="0"/>
        <w:adjustRightInd w:val="0"/>
        <w:spacing w:after="0" w:line="240" w:lineRule="auto"/>
        <w:jc w:val="both"/>
        <w:rPr>
          <w:rFonts w:ascii="Times New Roman" w:eastAsia="Aptos" w:hAnsi="Times New Roman" w:cs="Times New Roman"/>
          <w:b/>
          <w:bCs/>
          <w:sz w:val="24"/>
          <w:szCs w:val="24"/>
        </w:rPr>
      </w:pPr>
      <w:bookmarkStart w:id="13" w:name="_Hlk85342040"/>
      <w:r w:rsidRPr="006A4BCA">
        <w:rPr>
          <w:rFonts w:ascii="Times New Roman" w:eastAsia="Aptos" w:hAnsi="Times New Roman" w:cs="Times New Roman"/>
          <w:b/>
          <w:bCs/>
          <w:sz w:val="24"/>
          <w:szCs w:val="24"/>
        </w:rPr>
        <w:t>CONGRESO</w:t>
      </w:r>
    </w:p>
    <w:p w:rsidR="00A60CD6" w:rsidRPr="006A4BCA" w:rsidRDefault="00A60CD6" w:rsidP="00A60CD6">
      <w:pPr>
        <w:autoSpaceDE w:val="0"/>
        <w:autoSpaceDN w:val="0"/>
        <w:adjustRightInd w:val="0"/>
        <w:spacing w:after="0" w:line="240" w:lineRule="auto"/>
        <w:jc w:val="both"/>
        <w:rPr>
          <w:rFonts w:ascii="Times New Roman" w:eastAsia="Aptos" w:hAnsi="Times New Roman" w:cs="Times New Roman"/>
          <w:b/>
          <w:bCs/>
          <w:sz w:val="24"/>
          <w:szCs w:val="24"/>
        </w:rPr>
      </w:pPr>
      <w:r w:rsidRPr="006A4BCA">
        <w:rPr>
          <w:rFonts w:ascii="Times New Roman" w:eastAsia="Aptos" w:hAnsi="Times New Roman" w:cs="Times New Roman"/>
          <w:b/>
          <w:bCs/>
          <w:sz w:val="24"/>
          <w:szCs w:val="24"/>
        </w:rPr>
        <w:t>ESTADO DE MÉXICO</w:t>
      </w:r>
    </w:p>
    <w:p w:rsidR="00A60CD6" w:rsidRPr="006A4BCA" w:rsidRDefault="00A60CD6" w:rsidP="00A60CD6">
      <w:pPr>
        <w:spacing w:after="0" w:line="240" w:lineRule="auto"/>
        <w:rPr>
          <w:rFonts w:ascii="Times New Roman" w:eastAsia="Aptos" w:hAnsi="Times New Roman" w:cs="Times New Roman"/>
          <w:b/>
          <w:sz w:val="24"/>
          <w:szCs w:val="24"/>
        </w:rPr>
      </w:pPr>
    </w:p>
    <w:p w:rsidR="00A60CD6" w:rsidRPr="006A4BCA" w:rsidRDefault="00A60CD6" w:rsidP="00A60CD6">
      <w:pPr>
        <w:spacing w:after="0" w:line="240" w:lineRule="auto"/>
        <w:jc w:val="center"/>
        <w:rPr>
          <w:rFonts w:ascii="Times New Roman" w:eastAsia="Times New Roman" w:hAnsi="Times New Roman" w:cs="Times New Roman"/>
          <w:b/>
          <w:sz w:val="24"/>
          <w:szCs w:val="24"/>
          <w:lang w:eastAsia="es-MX"/>
        </w:rPr>
      </w:pPr>
      <w:r w:rsidRPr="006A4BCA">
        <w:rPr>
          <w:rFonts w:ascii="Times New Roman" w:eastAsia="Times New Roman" w:hAnsi="Times New Roman" w:cs="Times New Roman"/>
          <w:b/>
          <w:sz w:val="24"/>
          <w:szCs w:val="24"/>
          <w:lang w:eastAsia="es-MX"/>
        </w:rPr>
        <w:t>Grupo Parlamentario del Partido Acción Nacional</w:t>
      </w:r>
    </w:p>
    <w:p w:rsidR="00A60CD6" w:rsidRPr="006A4BCA" w:rsidRDefault="00A60CD6" w:rsidP="00A60CD6">
      <w:pPr>
        <w:spacing w:after="0" w:line="240" w:lineRule="auto"/>
        <w:jc w:val="center"/>
        <w:rPr>
          <w:rFonts w:ascii="Times New Roman" w:eastAsia="Times New Roman" w:hAnsi="Times New Roman" w:cs="Times New Roman"/>
          <w:sz w:val="24"/>
          <w:szCs w:val="24"/>
          <w:lang w:eastAsia="es-MX"/>
        </w:rPr>
      </w:pPr>
    </w:p>
    <w:p w:rsidR="00A60CD6" w:rsidRPr="006A4BCA" w:rsidRDefault="00A60CD6" w:rsidP="00A60CD6">
      <w:pPr>
        <w:spacing w:after="0" w:line="240" w:lineRule="auto"/>
        <w:jc w:val="center"/>
        <w:rPr>
          <w:rFonts w:ascii="Times New Roman" w:eastAsia="Times New Roman" w:hAnsi="Times New Roman" w:cs="Times New Roman"/>
          <w:sz w:val="24"/>
          <w:szCs w:val="24"/>
          <w:lang w:eastAsia="es-MX"/>
        </w:rPr>
      </w:pPr>
      <w:r w:rsidRPr="006A4BCA">
        <w:rPr>
          <w:rFonts w:ascii="Times New Roman" w:eastAsia="Times New Roman" w:hAnsi="Times New Roman" w:cs="Times New Roman"/>
          <w:sz w:val="24"/>
          <w:szCs w:val="24"/>
          <w:lang w:eastAsia="es-MX"/>
        </w:rPr>
        <w:t>“2025. Bicentenario de la Vida Municipal en el Estado de México”</w:t>
      </w:r>
    </w:p>
    <w:p w:rsidR="00A60CD6" w:rsidRPr="006A4BCA" w:rsidRDefault="00A60CD6" w:rsidP="00A60CD6">
      <w:pPr>
        <w:spacing w:after="0" w:line="240" w:lineRule="auto"/>
        <w:rPr>
          <w:rFonts w:ascii="Times New Roman" w:eastAsia="Aptos" w:hAnsi="Times New Roman" w:cs="Times New Roman"/>
          <w:b/>
          <w:sz w:val="24"/>
          <w:szCs w:val="24"/>
        </w:rPr>
      </w:pPr>
    </w:p>
    <w:p w:rsidR="00A60CD6" w:rsidRPr="006A4BCA" w:rsidRDefault="00A60CD6" w:rsidP="00A60CD6">
      <w:pPr>
        <w:spacing w:after="0" w:line="240" w:lineRule="auto"/>
        <w:jc w:val="right"/>
        <w:rPr>
          <w:rFonts w:ascii="Times New Roman" w:eastAsia="Aptos" w:hAnsi="Times New Roman" w:cs="Times New Roman"/>
          <w:b/>
          <w:sz w:val="24"/>
          <w:szCs w:val="24"/>
        </w:rPr>
      </w:pPr>
      <w:r w:rsidRPr="006A4BCA">
        <w:rPr>
          <w:rFonts w:ascii="Times New Roman" w:eastAsia="Aptos" w:hAnsi="Times New Roman" w:cs="Times New Roman"/>
          <w:b/>
          <w:sz w:val="24"/>
          <w:szCs w:val="24"/>
        </w:rPr>
        <w:t xml:space="preserve">Toluca de Lerdo, Capital del Estado de México, </w:t>
      </w:r>
    </w:p>
    <w:p w:rsidR="00A60CD6" w:rsidRPr="006A4BCA" w:rsidRDefault="00A60CD6" w:rsidP="00A60CD6">
      <w:pPr>
        <w:spacing w:after="0" w:line="240" w:lineRule="auto"/>
        <w:jc w:val="right"/>
        <w:rPr>
          <w:rFonts w:ascii="Times New Roman" w:eastAsia="Aptos" w:hAnsi="Times New Roman" w:cs="Times New Roman"/>
          <w:b/>
          <w:sz w:val="24"/>
          <w:szCs w:val="24"/>
        </w:rPr>
      </w:pPr>
      <w:r w:rsidRPr="006A4BCA">
        <w:rPr>
          <w:rFonts w:ascii="Times New Roman" w:eastAsia="Aptos" w:hAnsi="Times New Roman" w:cs="Times New Roman"/>
          <w:b/>
          <w:sz w:val="24"/>
          <w:szCs w:val="24"/>
        </w:rPr>
        <w:t>11 de marzo del 2026.</w:t>
      </w:r>
    </w:p>
    <w:p w:rsidR="00A60CD6" w:rsidRPr="006A4BCA" w:rsidRDefault="00A60CD6" w:rsidP="00A60CD6">
      <w:pPr>
        <w:spacing w:after="0" w:line="240" w:lineRule="auto"/>
        <w:jc w:val="right"/>
        <w:rPr>
          <w:rFonts w:ascii="Times New Roman" w:eastAsia="Aptos" w:hAnsi="Times New Roman" w:cs="Times New Roman"/>
          <w:b/>
          <w:sz w:val="24"/>
          <w:szCs w:val="24"/>
        </w:rPr>
      </w:pPr>
    </w:p>
    <w:p w:rsidR="00A60CD6" w:rsidRPr="006A4BCA" w:rsidRDefault="00A60CD6" w:rsidP="00A60CD6">
      <w:pPr>
        <w:spacing w:after="0" w:line="240" w:lineRule="auto"/>
        <w:rPr>
          <w:rFonts w:ascii="Times New Roman" w:eastAsia="Aptos" w:hAnsi="Times New Roman" w:cs="Times New Roman"/>
          <w:b/>
          <w:bCs/>
          <w:sz w:val="24"/>
          <w:szCs w:val="24"/>
        </w:rPr>
      </w:pPr>
      <w:r w:rsidRPr="006A4BCA">
        <w:rPr>
          <w:rFonts w:ascii="Times New Roman" w:eastAsia="Aptos" w:hAnsi="Times New Roman" w:cs="Times New Roman"/>
          <w:b/>
          <w:sz w:val="24"/>
          <w:szCs w:val="24"/>
        </w:rPr>
        <w:t xml:space="preserve">DIPUTADA </w:t>
      </w:r>
      <w:r w:rsidRPr="006A4BCA">
        <w:rPr>
          <w:rFonts w:ascii="Times New Roman" w:eastAsia="Aptos" w:hAnsi="Times New Roman" w:cs="Times New Roman"/>
          <w:b/>
          <w:bCs/>
          <w:sz w:val="24"/>
          <w:szCs w:val="24"/>
        </w:rPr>
        <w:t>MARTHA AZUCENA CAMACHO REYNOSO</w:t>
      </w:r>
    </w:p>
    <w:p w:rsidR="00A60CD6" w:rsidRPr="006A4BCA" w:rsidRDefault="00A60CD6" w:rsidP="00A60CD6">
      <w:pPr>
        <w:spacing w:after="0" w:line="240" w:lineRule="auto"/>
        <w:rPr>
          <w:rFonts w:ascii="Times New Roman" w:eastAsia="Aptos" w:hAnsi="Times New Roman" w:cs="Times New Roman"/>
          <w:b/>
          <w:sz w:val="24"/>
          <w:szCs w:val="24"/>
        </w:rPr>
      </w:pPr>
      <w:r w:rsidRPr="006A4BCA">
        <w:rPr>
          <w:rFonts w:ascii="Times New Roman" w:eastAsia="Aptos" w:hAnsi="Times New Roman" w:cs="Times New Roman"/>
          <w:b/>
          <w:sz w:val="24"/>
          <w:szCs w:val="24"/>
        </w:rPr>
        <w:t>PRESIDENTA DE LA MESA DIRECTIVA DE LA</w:t>
      </w:r>
    </w:p>
    <w:p w:rsidR="00A60CD6" w:rsidRPr="006A4BCA" w:rsidRDefault="00A60CD6" w:rsidP="00A60CD6">
      <w:pPr>
        <w:spacing w:after="0" w:line="240" w:lineRule="auto"/>
        <w:rPr>
          <w:rFonts w:ascii="Times New Roman" w:eastAsia="Aptos" w:hAnsi="Times New Roman" w:cs="Times New Roman"/>
          <w:b/>
          <w:sz w:val="24"/>
          <w:szCs w:val="24"/>
        </w:rPr>
      </w:pPr>
      <w:r w:rsidRPr="006A4BCA">
        <w:rPr>
          <w:rFonts w:ascii="Times New Roman" w:eastAsia="Aptos" w:hAnsi="Times New Roman" w:cs="Times New Roman"/>
          <w:b/>
          <w:sz w:val="24"/>
          <w:szCs w:val="24"/>
        </w:rPr>
        <w:t>LXII LEGISLATURA DEL ESTADO LIBRE Y</w:t>
      </w:r>
    </w:p>
    <w:p w:rsidR="00A60CD6" w:rsidRPr="006A4BCA" w:rsidRDefault="00A60CD6" w:rsidP="00A60CD6">
      <w:pPr>
        <w:spacing w:after="0" w:line="240" w:lineRule="auto"/>
        <w:rPr>
          <w:rFonts w:ascii="Times New Roman" w:eastAsia="Aptos" w:hAnsi="Times New Roman" w:cs="Times New Roman"/>
          <w:b/>
          <w:sz w:val="24"/>
          <w:szCs w:val="24"/>
        </w:rPr>
      </w:pPr>
      <w:r w:rsidRPr="006A4BCA">
        <w:rPr>
          <w:rFonts w:ascii="Times New Roman" w:eastAsia="Aptos" w:hAnsi="Times New Roman" w:cs="Times New Roman"/>
          <w:b/>
          <w:sz w:val="24"/>
          <w:szCs w:val="24"/>
        </w:rPr>
        <w:t>SOBERANO DE MÉXICO</w:t>
      </w:r>
    </w:p>
    <w:p w:rsidR="00A60CD6" w:rsidRPr="006A4BCA" w:rsidRDefault="00A60CD6" w:rsidP="00A60CD6">
      <w:pPr>
        <w:spacing w:after="0" w:line="240" w:lineRule="auto"/>
        <w:rPr>
          <w:rFonts w:ascii="Times New Roman" w:eastAsia="Aptos" w:hAnsi="Times New Roman" w:cs="Times New Roman"/>
          <w:b/>
          <w:sz w:val="24"/>
          <w:szCs w:val="24"/>
        </w:rPr>
      </w:pPr>
      <w:r w:rsidRPr="006A4BCA">
        <w:rPr>
          <w:rFonts w:ascii="Times New Roman" w:eastAsia="Aptos" w:hAnsi="Times New Roman" w:cs="Times New Roman"/>
          <w:b/>
          <w:sz w:val="24"/>
          <w:szCs w:val="24"/>
        </w:rPr>
        <w:t>P R E S E N T E.</w:t>
      </w:r>
    </w:p>
    <w:p w:rsidR="00A60CD6" w:rsidRPr="006A4BCA" w:rsidRDefault="00A60CD6" w:rsidP="00A60CD6">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bookmarkStart w:id="14" w:name="_Hlk177980751"/>
    </w:p>
    <w:p w:rsidR="00A60CD6" w:rsidRPr="006A4BCA" w:rsidRDefault="00A60CD6" w:rsidP="00A60CD6">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A4BCA">
        <w:rPr>
          <w:rFonts w:ascii="Times New Roman" w:eastAsia="Times New Roman" w:hAnsi="Times New Roman" w:cs="Times New Roman"/>
          <w:sz w:val="24"/>
          <w:szCs w:val="24"/>
          <w:shd w:val="clear" w:color="auto" w:fill="FFFFFF"/>
          <w:lang w:eastAsia="es-MX"/>
        </w:rPr>
        <w:t xml:space="preserve">Quienes suscriben, Diputados </w:t>
      </w:r>
      <w:r w:rsidRPr="006A4BCA">
        <w:rPr>
          <w:rFonts w:ascii="Times New Roman" w:eastAsia="Times New Roman" w:hAnsi="Times New Roman" w:cs="Times New Roman"/>
          <w:b/>
          <w:bCs/>
          <w:sz w:val="24"/>
          <w:szCs w:val="24"/>
          <w:lang w:eastAsia="es-MX"/>
        </w:rPr>
        <w:t>Krishna Karina Romero Velázquez</w:t>
      </w:r>
      <w:bookmarkEnd w:id="14"/>
      <w:r w:rsidRPr="006A4BCA">
        <w:rPr>
          <w:rFonts w:ascii="Times New Roman" w:eastAsia="Times New Roman" w:hAnsi="Times New Roman" w:cs="Times New Roman"/>
          <w:b/>
          <w:bCs/>
          <w:sz w:val="24"/>
          <w:szCs w:val="24"/>
          <w:lang w:eastAsia="es-MX"/>
        </w:rPr>
        <w:t xml:space="preserve"> y Pablo Fernández de Cevallos González</w:t>
      </w:r>
      <w:r w:rsidRPr="006A4BCA">
        <w:rPr>
          <w:rFonts w:ascii="Times New Roman" w:eastAsia="Times New Roman" w:hAnsi="Times New Roman" w:cs="Times New Roman"/>
          <w:sz w:val="24"/>
          <w:szCs w:val="24"/>
          <w:shd w:val="clear" w:color="auto" w:fill="FFFFFF"/>
          <w:lang w:eastAsia="es-MX"/>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6A4BCA">
        <w:rPr>
          <w:rFonts w:ascii="Times New Roman" w:eastAsia="Times New Roman" w:hAnsi="Times New Roman" w:cs="Times New Roman"/>
          <w:b/>
          <w:sz w:val="24"/>
          <w:szCs w:val="24"/>
          <w:shd w:val="clear" w:color="auto" w:fill="FFFFFF"/>
          <w:lang w:eastAsia="es-MX"/>
        </w:rPr>
        <w:t>Iniciativa con Proyecto de Decreto por el que se adicionan diversas disposiciones del Código Administrativo del Estado de México, en materia salud digital,</w:t>
      </w:r>
      <w:r w:rsidRPr="006A4BCA">
        <w:rPr>
          <w:rFonts w:ascii="Times New Roman" w:eastAsia="Times New Roman" w:hAnsi="Times New Roman" w:cs="Times New Roman"/>
          <w:sz w:val="24"/>
          <w:szCs w:val="24"/>
          <w:shd w:val="clear" w:color="auto" w:fill="FFFFFF"/>
          <w:lang w:eastAsia="es-MX"/>
        </w:rPr>
        <w:t xml:space="preserve"> con sustento en la siguiente:</w:t>
      </w:r>
    </w:p>
    <w:p w:rsidR="00A60CD6" w:rsidRPr="006A4BCA" w:rsidRDefault="00A60CD6" w:rsidP="00A60CD6">
      <w:pPr>
        <w:shd w:val="clear" w:color="auto" w:fill="FFFFFF"/>
        <w:spacing w:after="0" w:line="240" w:lineRule="auto"/>
        <w:jc w:val="both"/>
        <w:rPr>
          <w:rFonts w:ascii="Times New Roman" w:eastAsia="Times New Roman" w:hAnsi="Times New Roman" w:cs="Times New Roman"/>
          <w:b/>
          <w:sz w:val="24"/>
          <w:szCs w:val="24"/>
          <w:shd w:val="clear" w:color="auto" w:fill="FFFFFF"/>
          <w:lang w:eastAsia="es-MX"/>
        </w:rPr>
      </w:pPr>
    </w:p>
    <w:p w:rsidR="00A60CD6" w:rsidRPr="006A4BCA" w:rsidRDefault="00A60CD6" w:rsidP="00A60CD6">
      <w:pPr>
        <w:spacing w:after="0" w:line="240" w:lineRule="auto"/>
        <w:jc w:val="center"/>
        <w:rPr>
          <w:rFonts w:ascii="Times New Roman" w:eastAsia="Aptos" w:hAnsi="Times New Roman" w:cs="Times New Roman"/>
          <w:b/>
          <w:bCs/>
          <w:sz w:val="24"/>
          <w:szCs w:val="24"/>
        </w:rPr>
      </w:pPr>
      <w:r w:rsidRPr="006A4BCA">
        <w:rPr>
          <w:rFonts w:ascii="Times New Roman" w:eastAsia="Aptos" w:hAnsi="Times New Roman" w:cs="Times New Roman"/>
          <w:b/>
          <w:bCs/>
          <w:sz w:val="24"/>
          <w:szCs w:val="24"/>
        </w:rPr>
        <w:t>Exposición De Motivos</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El pasado 15 de enero del presente año 2026 fue publicado en el Diario Oficial de la Federación (DOF) el Decreto por el que se reforman, adicionan y derogan diversas disposiciones de la Ley General de Salud, mediante el cual se incorporó de manera expresa la Salud Digital como materia de salubridad general.</w:t>
      </w:r>
      <w:r w:rsidRPr="006A4BCA">
        <w:rPr>
          <w:rFonts w:ascii="Times New Roman" w:eastAsia="Times New Roman" w:hAnsi="Times New Roman" w:cs="Times New Roman"/>
          <w:bCs/>
          <w:sz w:val="24"/>
          <w:szCs w:val="24"/>
          <w:vertAlign w:val="superscript"/>
          <w:lang w:eastAsia="es-MX"/>
        </w:rPr>
        <w:footnoteReference w:id="1"/>
      </w:r>
      <w:r w:rsidRPr="006A4BCA">
        <w:rPr>
          <w:rFonts w:ascii="Times New Roman" w:eastAsia="Times New Roman" w:hAnsi="Times New Roman" w:cs="Times New Roman"/>
          <w:bCs/>
          <w:sz w:val="24"/>
          <w:szCs w:val="24"/>
          <w:lang w:eastAsia="es-MX"/>
        </w:rPr>
        <w:t xml:space="preserve"> </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 xml:space="preserve">Con esta reforma se reconoce que la aplicación de las Tecnologías de la Información y la Comunicación (TIC) en los servicios de salud, como la telesalud, la telemedicina, la salud móvil, los registros electrónicos de salud y los dispositivos portátiles, constituye hoy un componente </w:t>
      </w:r>
      <w:r w:rsidRPr="006A4BCA">
        <w:rPr>
          <w:rFonts w:ascii="Times New Roman" w:eastAsia="Times New Roman" w:hAnsi="Times New Roman" w:cs="Times New Roman"/>
          <w:bCs/>
          <w:sz w:val="24"/>
          <w:szCs w:val="24"/>
          <w:lang w:eastAsia="es-MX"/>
        </w:rPr>
        <w:lastRenderedPageBreak/>
        <w:t>fundamental para fortalecer el derecho a la protección de la salud en condiciones de accesibilidad, oportunidad, continuidad y calidad.</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 xml:space="preserve">Dicho decreto federal establece como finalidades centrales de la salud digital facilitar la prestación de servicios médicos a distancia, optimizar el uso de los recursos humanos y tecnológicos del sistema sanitario y ampliar la cobertura de los servicios de salud, especialmente en comunidades con acceso limitado a infraestructura médica tradicional. </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Con ello, se reconoció que los sistemas de salud contemporáneos deben incorporar herramientas tecnológicas que permitan responder de manera más eficiente a los retos de cobertura, oportunidad y calidad en la atención médica.</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 xml:space="preserve">Este reconocimiento normativo no surge de manera fortuita, responde a una realidad social en la que los modelos tradicionales de atención, basados exclusivamente en la presencialidad, han demostrado ser insuficientes para garantizar el ejercicio efectivo del derecho a la protección de la salud, particularmente en contextos de alta demanda, desigualdad territorial y limitaciones estructurales. </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La incorporación de la salud digital en la Ley General de Salud representa un avance trascendental en la modernización del sistema sanitario mexicano, pero también implica una responsabilidad para las entidades federativas, quienes deben armonizar su legislación local para garantizar que los beneficios derivados de esta innovación normativa se materialicen de manera efectiva en todo el territorio nacional. La falta de armonización legislativa podría generar desigualdades territoriales en el acceso a servicios de salud, limitando el alcance de los avances tecnológicos que hoy forman parte de las mejores prácticas internacionales en materia sanitaria.</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En este contexto, el Estado de México, como la entidad federativa con mayor población del país, enfrenta desafíos particularmente relevantes en materia de acceso a los servicios de salud. Según datos del Informe Anual sobre la Situación de Pobreza y Rezago Social 2026, de la Secretaría de Bienestar, el 48.8% de la población mexiquense carece de acceso a la seguridad social, lo que representa aproximadamente 8.6 millones de personas que no cuentan con este mecanismo de protección institucional.</w:t>
      </w:r>
      <w:r w:rsidRPr="006A4BCA">
        <w:rPr>
          <w:rFonts w:ascii="Times New Roman" w:eastAsia="Times New Roman" w:hAnsi="Times New Roman" w:cs="Times New Roman"/>
          <w:bCs/>
          <w:sz w:val="24"/>
          <w:szCs w:val="24"/>
          <w:vertAlign w:val="superscript"/>
          <w:lang w:eastAsia="es-MX"/>
        </w:rPr>
        <w:footnoteReference w:id="2"/>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Asimismo, dicho informe indica que 7.1 millones de mexiquenses presentan carencia por acceso a servicios de salud, equivalente al 40.2% de la población estatal. Esta situación evidencia brechas estructurales que afectan con mayor intensidad a comunidades rurales, zonas periurbanas y sectores en situación de vulnerabilidad, donde los tiempos de traslado, la disponibilidad de médicos especialistas y la saturación de unidades médicas constituyen obstáculos reales para el ejercicio efectivo del derecho a la salud.</w:t>
      </w:r>
      <w:r w:rsidRPr="006A4BCA">
        <w:rPr>
          <w:rFonts w:ascii="Times New Roman" w:eastAsia="Times New Roman" w:hAnsi="Times New Roman" w:cs="Times New Roman"/>
          <w:bCs/>
          <w:sz w:val="24"/>
          <w:szCs w:val="24"/>
          <w:vertAlign w:val="superscript"/>
          <w:lang w:eastAsia="es-MX"/>
        </w:rPr>
        <w:footnoteReference w:id="3"/>
      </w:r>
      <w:r w:rsidRPr="006A4BCA">
        <w:rPr>
          <w:rFonts w:ascii="Times New Roman" w:eastAsia="Times New Roman" w:hAnsi="Times New Roman" w:cs="Times New Roman"/>
          <w:bCs/>
          <w:sz w:val="24"/>
          <w:szCs w:val="24"/>
          <w:lang w:eastAsia="es-MX"/>
        </w:rPr>
        <w:t xml:space="preserve"> </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 xml:space="preserve">A lo anterior se suma un contexto de saturación, falta de especialistas y accesibilidad limitada, dado que el 31% de las y los mexiquenses reporta dificultades para recibir atención médica debido a la distancia, la saturación de servicios o la falta de especialistas. </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lastRenderedPageBreak/>
        <w:t>Estas condiciones se agravan si se considera que México cuenta con aproximadamente 2.5 médicos en ejercicio por cada mil habitantes, cifra inferior al promedio de 3.7 médicos por cada mil habitantes registrados por los países de la Organización para la Cooperación y el Desarrollo Económicos (OCDE). Este déficit evidencia que el modelo tradicional de atención presencial resulta insuficiente para garantizar la cobertura universal de los servicios de salud.</w:t>
      </w:r>
      <w:r w:rsidRPr="006A4BCA">
        <w:rPr>
          <w:rFonts w:ascii="Times New Roman" w:eastAsia="Times New Roman" w:hAnsi="Times New Roman" w:cs="Times New Roman"/>
          <w:bCs/>
          <w:sz w:val="24"/>
          <w:szCs w:val="24"/>
          <w:vertAlign w:val="superscript"/>
          <w:lang w:eastAsia="es-MX"/>
        </w:rPr>
        <w:footnoteReference w:id="4"/>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Estas cifras representan realidades cotidianas para miles de familias mexiquenses, personas que deben recorrer largas distancias para recibir atención médica, pacientes que retrasan consultas por la saturación de servicios, o enfermos crónicos que enfrentan dificultades para dar seguimiento continuo a sus tratamientos. El acceso efectivo a la salud no se limita a la existencia de hospitales o clínicas; implica la posibilidad real de recibir atención médica cuando se necesita, con calidad, oportunidad y continuidad.</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Frente a este panorama, la salud digital se presenta como una herramienta estratégica para fortalecer los sistemas de salud, al permitir esquemas de atención médica a distancia, interconsultas entre profesionales, monitoreo remoto de pacientes, uso de expedientes clínicos electrónicos y una mejor integración de la información sanitaria. La Organización Mundial de la Salud ha señalado que la incorporación de tecnologías digitales en los sistemas sanitarios contribuye a mejorar la eficiencia diagnóstica, fortalecer la continuidad de tratamientos y ampliar la cobertura de servicios en poblaciones con acceso limitado a infraestructura médica.</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 xml:space="preserve">En el ámbito nacional, la implementación de programas de telemedicina ha demostrado resultados positivos en diversas entidades federativas que los han impulsado. </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No obstante, en el Estado de México el marco jurídico vigente no contempla disposiciones específicas que reconozcan de manera expresa la salud digital como parte de los servicios de salud que presta el Estado en materia de salubridad general. El Libro Segundo del Código Administrativo del Estado de México, encargado de regular integralmente los servicios de salud en la entidad, no incorpora actualmente definiciones, objetivos ni mecanismos de implementación relacionados con el uso de tecnologías digitales en la atención médica.</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Esta ausencia normativa limita la consolidación de estrategias que ya comienzan a desarrollarse en la práctica institucional, particularmente en el ámbito de la telemedicina y la digitalización de información clínica. Sin un respaldo legal claro, estos esfuerzos dependen exclusivamente de lineamientos administrativos o decisiones operativas, lo que dificulta su expansión, continuidad y evaluación.</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En este sentido, el objetivo de la presente iniciativa es incorporar expresamente la salud digital como parte de los servicios de salud que presta el Estado en materia de salubridad general, mediante la adición de una fracción específica al artículo 2.16 del Código Administrativo del Estado de México, así como establecer las bases normativas para su desarrollo dentro del Sistema Estatal de Salud.</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lastRenderedPageBreak/>
        <w:t>Asimismo, la iniciativa tiene como propósito crear un marco jurídico que permita regular la implementación de los servicios de salud digital, definiendo sus alcances, finalidades y condiciones de operación, así como fortalecer las atribuciones de la Secretaría de Salud del Estado para promover el uso responsable, seguro y eficiente de las tecnologías de la información y la comunicación en los servicios de salud.</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Para ello, se propone adicionar un Capítulo Octavo denominado “De la Salud Digital” al Título Tercero del Libro Segundo del Código Administrativo del Estado de México, estableciendo disposiciones relativas a su definición, finalidades, lineamientos de implementación, condiciones para la prestación de servicios de telesalud y criterios para garantizar la interoperabilidad de los registros médicos electrónicos.</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Estas disposiciones permitirán fortalecer la planeación y operación del Sistema Estatal de Salud, promoviendo el uso estratégico de la tecnología para ampliar la cobertura de los servicios médicos, mejorar la continuidad de la atención, optimizar recursos humanos y tecnológicos, y garantizar la protección de la información clínica de las personas usuarias.</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Desde el Grupo Parlamentario del Partido Acción Nacional, sostenemos que la salud digital debe ser una herramienta al servicio de las personas, orientada a fortalecer el derecho humano a la protección de la salud, reducir desigualdades territoriales y mejorar la capacidad de respuesta del sistema sanitario. Impulsar la salud digital significa acercar los servicios médicos a quienes más lo necesitan, apoyar al personal de salud en su labor cotidiana y garantizar que la innovación tecnológica contribuya a salvar vidas y mejorar la calidad de la atención médica.</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r w:rsidRPr="006A4BCA">
        <w:rPr>
          <w:rFonts w:ascii="Times New Roman" w:eastAsia="Times New Roman" w:hAnsi="Times New Roman" w:cs="Times New Roman"/>
          <w:bCs/>
          <w:sz w:val="24"/>
          <w:szCs w:val="24"/>
          <w:lang w:eastAsia="es-MX"/>
        </w:rPr>
        <w:t>El Estado de México no puede permanecer rezagado frente a los avances normativos, tecnológicos y sociales que hoy transforman los sistemas de salud en el mundo. Armonizar nuestra legislación con la reforma federal en materia de salud digital constituye una decisión responsable y necesaria para modernizar el sistema sanitario estatal, fortalecer la atención médica y garantizar que millones de mexiquenses puedan ejercer plenamente su derecho a la salud.</w:t>
      </w:r>
    </w:p>
    <w:p w:rsidR="00A60CD6" w:rsidRPr="006A4BCA" w:rsidRDefault="00A60CD6" w:rsidP="00A60CD6">
      <w:pPr>
        <w:spacing w:after="0" w:line="240" w:lineRule="auto"/>
        <w:jc w:val="both"/>
        <w:rPr>
          <w:rFonts w:ascii="Times New Roman" w:eastAsia="Times New Roman" w:hAnsi="Times New Roman" w:cs="Times New Roman"/>
          <w:bCs/>
          <w:sz w:val="24"/>
          <w:szCs w:val="24"/>
          <w:lang w:eastAsia="es-MX"/>
        </w:rPr>
      </w:pPr>
    </w:p>
    <w:p w:rsidR="00A60CD6" w:rsidRPr="006A4BCA" w:rsidRDefault="00A60CD6" w:rsidP="00A60CD6">
      <w:pPr>
        <w:spacing w:after="0" w:line="240" w:lineRule="auto"/>
        <w:jc w:val="both"/>
        <w:rPr>
          <w:rFonts w:ascii="Times New Roman" w:eastAsia="Times New Roman" w:hAnsi="Times New Roman" w:cs="Times New Roman"/>
          <w:sz w:val="24"/>
          <w:szCs w:val="24"/>
          <w:lang w:eastAsia="es-MX"/>
        </w:rPr>
      </w:pPr>
      <w:r w:rsidRPr="006A4BCA">
        <w:rPr>
          <w:rFonts w:ascii="Times New Roman" w:eastAsia="Times New Roman" w:hAnsi="Times New Roman" w:cs="Times New Roman"/>
          <w:bCs/>
          <w:sz w:val="24"/>
          <w:szCs w:val="24"/>
          <w:lang w:eastAsia="es-MX"/>
        </w:rPr>
        <w:t>Por lo anteriormente expuesto</w:t>
      </w:r>
      <w:r w:rsidRPr="006A4BCA">
        <w:rPr>
          <w:rFonts w:ascii="Times New Roman" w:eastAsia="Times New Roman" w:hAnsi="Times New Roman" w:cs="Times New Roman"/>
          <w:sz w:val="24"/>
          <w:szCs w:val="24"/>
          <w:lang w:eastAsia="es-MX"/>
        </w:rPr>
        <w:t>, fundamentado y motivado se somete a la consideración de ésta H. Soberanía, el siguiente:</w:t>
      </w:r>
    </w:p>
    <w:p w:rsidR="00A60CD6" w:rsidRPr="006A4BCA" w:rsidRDefault="00A60CD6" w:rsidP="00A60CD6">
      <w:pPr>
        <w:spacing w:after="0" w:line="240" w:lineRule="auto"/>
        <w:jc w:val="center"/>
        <w:rPr>
          <w:rFonts w:ascii="Times New Roman" w:eastAsia="Aptos" w:hAnsi="Times New Roman" w:cs="Times New Roman"/>
          <w:b/>
          <w:bCs/>
          <w:sz w:val="24"/>
          <w:szCs w:val="24"/>
        </w:rPr>
      </w:pPr>
    </w:p>
    <w:p w:rsidR="00A60CD6" w:rsidRPr="006A4BCA" w:rsidRDefault="00A60CD6" w:rsidP="00A60CD6">
      <w:pPr>
        <w:spacing w:after="0" w:line="240" w:lineRule="auto"/>
        <w:rPr>
          <w:rFonts w:ascii="Times New Roman" w:eastAsia="Aptos" w:hAnsi="Times New Roman" w:cs="Times New Roman"/>
          <w:b/>
          <w:sz w:val="24"/>
          <w:szCs w:val="24"/>
        </w:rPr>
      </w:pPr>
    </w:p>
    <w:p w:rsidR="00A60CD6" w:rsidRPr="006A4BCA" w:rsidRDefault="00A60CD6" w:rsidP="00A60CD6">
      <w:pPr>
        <w:spacing w:after="0" w:line="240" w:lineRule="auto"/>
        <w:jc w:val="center"/>
        <w:rPr>
          <w:rFonts w:ascii="Times New Roman" w:eastAsia="Aptos" w:hAnsi="Times New Roman" w:cs="Times New Roman"/>
          <w:b/>
          <w:sz w:val="24"/>
          <w:szCs w:val="24"/>
        </w:rPr>
      </w:pPr>
      <w:r w:rsidRPr="006A4BCA">
        <w:rPr>
          <w:rFonts w:ascii="Times New Roman" w:eastAsia="Aptos" w:hAnsi="Times New Roman" w:cs="Times New Roman"/>
          <w:b/>
          <w:sz w:val="24"/>
          <w:szCs w:val="24"/>
        </w:rPr>
        <w:t>PROYECTO DE DECRETO</w:t>
      </w:r>
    </w:p>
    <w:p w:rsidR="00A60CD6" w:rsidRPr="006A4BCA" w:rsidRDefault="00A60CD6" w:rsidP="00A60CD6">
      <w:pPr>
        <w:spacing w:after="0" w:line="240" w:lineRule="auto"/>
        <w:jc w:val="both"/>
        <w:rPr>
          <w:rFonts w:ascii="Times New Roman" w:eastAsia="Aptos" w:hAnsi="Times New Roman" w:cs="Times New Roman"/>
          <w:b/>
          <w:sz w:val="24"/>
          <w:szCs w:val="24"/>
        </w:rPr>
      </w:pPr>
      <w:r w:rsidRPr="006A4BCA">
        <w:rPr>
          <w:rFonts w:ascii="Times New Roman" w:eastAsia="Aptos" w:hAnsi="Times New Roman" w:cs="Times New Roman"/>
          <w:b/>
          <w:sz w:val="24"/>
          <w:szCs w:val="24"/>
        </w:rPr>
        <w:t>DECRETO NÚMERO__</w:t>
      </w:r>
    </w:p>
    <w:p w:rsidR="00A60CD6" w:rsidRPr="006A4BCA" w:rsidRDefault="00A60CD6" w:rsidP="00A60CD6">
      <w:pPr>
        <w:spacing w:after="0" w:line="240" w:lineRule="auto"/>
        <w:jc w:val="both"/>
        <w:rPr>
          <w:rFonts w:ascii="Times New Roman" w:eastAsia="Aptos" w:hAnsi="Times New Roman" w:cs="Times New Roman"/>
          <w:b/>
          <w:sz w:val="24"/>
          <w:szCs w:val="24"/>
        </w:rPr>
      </w:pPr>
      <w:r w:rsidRPr="006A4BCA">
        <w:rPr>
          <w:rFonts w:ascii="Times New Roman" w:eastAsia="Aptos" w:hAnsi="Times New Roman" w:cs="Times New Roman"/>
          <w:b/>
          <w:sz w:val="24"/>
          <w:szCs w:val="24"/>
        </w:rPr>
        <w:t>LA H. “LXII” LEGISLATURA DEL ESTADO DE MÉXICO</w:t>
      </w:r>
    </w:p>
    <w:p w:rsidR="00A60CD6" w:rsidRPr="006A4BCA" w:rsidRDefault="00A60CD6" w:rsidP="00A60CD6">
      <w:pPr>
        <w:spacing w:after="0" w:line="240" w:lineRule="auto"/>
        <w:jc w:val="both"/>
        <w:rPr>
          <w:rFonts w:ascii="Times New Roman" w:eastAsia="Aptos" w:hAnsi="Times New Roman" w:cs="Times New Roman"/>
          <w:b/>
          <w:sz w:val="24"/>
          <w:szCs w:val="24"/>
        </w:rPr>
      </w:pPr>
    </w:p>
    <w:p w:rsidR="00A60CD6" w:rsidRPr="006A4BCA" w:rsidRDefault="00A60CD6" w:rsidP="00A60CD6">
      <w:pPr>
        <w:spacing w:after="0" w:line="240" w:lineRule="auto"/>
        <w:jc w:val="both"/>
        <w:rPr>
          <w:rFonts w:ascii="Times New Roman" w:eastAsia="Aptos" w:hAnsi="Times New Roman" w:cs="Times New Roman"/>
          <w:b/>
          <w:sz w:val="24"/>
          <w:szCs w:val="24"/>
        </w:rPr>
      </w:pPr>
      <w:r w:rsidRPr="006A4BCA">
        <w:rPr>
          <w:rFonts w:ascii="Times New Roman" w:eastAsia="Aptos" w:hAnsi="Times New Roman" w:cs="Times New Roman"/>
          <w:b/>
          <w:sz w:val="24"/>
          <w:szCs w:val="24"/>
        </w:rPr>
        <w:t>DECRETA:</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r w:rsidRPr="006A4BCA">
        <w:rPr>
          <w:rFonts w:ascii="Times New Roman" w:eastAsia="Aptos" w:hAnsi="Times New Roman" w:cs="Times New Roman"/>
          <w:b/>
          <w:sz w:val="24"/>
          <w:szCs w:val="24"/>
          <w:shd w:val="clear" w:color="auto" w:fill="FFFFFF"/>
        </w:rPr>
        <w:t xml:space="preserve">Artículo Único. </w:t>
      </w:r>
      <w:r w:rsidRPr="006A4BCA">
        <w:rPr>
          <w:rFonts w:ascii="Times New Roman" w:eastAsia="Aptos" w:hAnsi="Times New Roman" w:cs="Times New Roman"/>
          <w:bCs/>
          <w:sz w:val="24"/>
          <w:szCs w:val="24"/>
          <w:shd w:val="clear" w:color="auto" w:fill="FFFFFF"/>
        </w:rPr>
        <w:t>Se adicionan la fracción XXIII al artículo 2.16, recorriéndose las subsecuentes en su orden; la fracción VII Bis al artículo 2.22; y un Capítulo Octavo denominado “De la Salud Digital” al Título Tercero, integrado por los artículos 2.48 Quinquiesvicies, 2.48 Sexiesvicies, 2.48 Septiesvicies, 2.48 Octiesvicies y 2.48 Noniesvicies, todos del Libro Segundo del Código Administrativo del Estado de México, para quedar como sigue:</w:t>
      </w: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r w:rsidRPr="006A4BCA">
        <w:rPr>
          <w:rFonts w:ascii="Times New Roman" w:eastAsia="Aptos" w:hAnsi="Times New Roman" w:cs="Times New Roman"/>
          <w:b/>
          <w:bCs/>
          <w:sz w:val="24"/>
          <w:szCs w:val="24"/>
          <w:shd w:val="clear" w:color="auto" w:fill="FFFFFF"/>
        </w:rPr>
        <w:t>Artículo 2.16.-</w:t>
      </w:r>
      <w:r w:rsidRPr="006A4BCA">
        <w:rPr>
          <w:rFonts w:ascii="Times New Roman" w:eastAsia="Aptos" w:hAnsi="Times New Roman" w:cs="Times New Roman"/>
          <w:bCs/>
          <w:sz w:val="24"/>
          <w:szCs w:val="24"/>
          <w:shd w:val="clear" w:color="auto" w:fill="FFFFFF"/>
        </w:rPr>
        <w:t xml:space="preserve"> Los servicios de salud que presta el Estado en materia de salubridad general son:</w:t>
      </w: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r w:rsidRPr="006A4BCA">
        <w:rPr>
          <w:rFonts w:ascii="Times New Roman" w:eastAsia="Aptos" w:hAnsi="Times New Roman" w:cs="Times New Roman"/>
          <w:bCs/>
          <w:sz w:val="24"/>
          <w:szCs w:val="24"/>
          <w:shd w:val="clear" w:color="auto" w:fill="FFFFFF"/>
        </w:rPr>
        <w:t>I a la XXII. …</w:t>
      </w: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bCs/>
          <w:sz w:val="24"/>
          <w:szCs w:val="24"/>
          <w:shd w:val="clear" w:color="auto" w:fill="FFFFFF"/>
        </w:rPr>
      </w:pPr>
      <w:r w:rsidRPr="006A4BCA">
        <w:rPr>
          <w:rFonts w:ascii="Times New Roman" w:eastAsia="Aptos" w:hAnsi="Times New Roman" w:cs="Times New Roman"/>
          <w:b/>
          <w:bCs/>
          <w:sz w:val="24"/>
          <w:szCs w:val="24"/>
          <w:shd w:val="clear" w:color="auto" w:fill="FFFFFF"/>
        </w:rPr>
        <w:t>XXIII. La salud digital;</w:t>
      </w:r>
    </w:p>
    <w:p w:rsidR="00A60CD6" w:rsidRPr="006A4BCA" w:rsidRDefault="00A60CD6" w:rsidP="00A60CD6">
      <w:pPr>
        <w:spacing w:after="0" w:line="240" w:lineRule="auto"/>
        <w:jc w:val="both"/>
        <w:rPr>
          <w:rFonts w:ascii="Times New Roman" w:eastAsia="Aptos" w:hAnsi="Times New Roman" w:cs="Times New Roman"/>
          <w:b/>
          <w:bCs/>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sz w:val="24"/>
          <w:szCs w:val="24"/>
          <w:shd w:val="clear" w:color="auto" w:fill="FFFFFF"/>
        </w:rPr>
      </w:pPr>
      <w:r w:rsidRPr="006A4BCA">
        <w:rPr>
          <w:rFonts w:ascii="Times New Roman" w:eastAsia="Aptos" w:hAnsi="Times New Roman" w:cs="Times New Roman"/>
          <w:b/>
          <w:bCs/>
          <w:sz w:val="24"/>
          <w:szCs w:val="24"/>
          <w:shd w:val="clear" w:color="auto" w:fill="FFFFFF"/>
        </w:rPr>
        <w:t xml:space="preserve">XXIV. </w:t>
      </w:r>
      <w:r w:rsidRPr="006A4BCA">
        <w:rPr>
          <w:rFonts w:ascii="Times New Roman" w:eastAsia="Aptos" w:hAnsi="Times New Roman" w:cs="Times New Roman"/>
          <w:sz w:val="24"/>
          <w:szCs w:val="24"/>
          <w:shd w:val="clear" w:color="auto" w:fill="FFFFFF"/>
        </w:rPr>
        <w:t>Los demás que se establezcan en la Ley General de Salud y otras disposiciones aplicables.</w:t>
      </w:r>
    </w:p>
    <w:p w:rsidR="00A60CD6" w:rsidRPr="006A4BCA" w:rsidRDefault="00A60CD6" w:rsidP="00A60CD6">
      <w:pPr>
        <w:spacing w:after="0" w:line="240" w:lineRule="auto"/>
        <w:jc w:val="both"/>
        <w:rPr>
          <w:rFonts w:ascii="Times New Roman" w:eastAsia="Aptos" w:hAnsi="Times New Roman" w:cs="Times New Roman"/>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r w:rsidRPr="006A4BCA">
        <w:rPr>
          <w:rFonts w:ascii="Times New Roman" w:eastAsia="Aptos" w:hAnsi="Times New Roman" w:cs="Times New Roman"/>
          <w:b/>
          <w:bCs/>
          <w:sz w:val="24"/>
          <w:szCs w:val="24"/>
          <w:shd w:val="clear" w:color="auto" w:fill="FFFFFF"/>
        </w:rPr>
        <w:t>Artículo 2.22.-</w:t>
      </w:r>
      <w:r w:rsidRPr="006A4BCA">
        <w:rPr>
          <w:rFonts w:ascii="Times New Roman" w:eastAsia="Aptos" w:hAnsi="Times New Roman" w:cs="Times New Roman"/>
          <w:bCs/>
          <w:sz w:val="24"/>
          <w:szCs w:val="24"/>
          <w:shd w:val="clear" w:color="auto" w:fill="FFFFFF"/>
        </w:rPr>
        <w:t xml:space="preserve"> La coordinación del sistema estatal de salud estará a cargo de la Secretaría de Salud, quien tendrá las atribuciones siguientes:</w:t>
      </w: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r w:rsidRPr="006A4BCA">
        <w:rPr>
          <w:rFonts w:ascii="Times New Roman" w:eastAsia="Aptos" w:hAnsi="Times New Roman" w:cs="Times New Roman"/>
          <w:bCs/>
          <w:sz w:val="24"/>
          <w:szCs w:val="24"/>
          <w:shd w:val="clear" w:color="auto" w:fill="FFFFFF"/>
        </w:rPr>
        <w:t>I a la VII. …</w:t>
      </w:r>
    </w:p>
    <w:p w:rsidR="00A60CD6" w:rsidRPr="006A4BCA" w:rsidRDefault="00A60CD6" w:rsidP="00A60CD6">
      <w:pPr>
        <w:spacing w:after="0" w:line="240" w:lineRule="auto"/>
        <w:jc w:val="both"/>
        <w:rPr>
          <w:rFonts w:ascii="Times New Roman" w:eastAsia="Aptos" w:hAnsi="Times New Roman" w:cs="Times New Roman"/>
          <w:bCs/>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bCs/>
          <w:sz w:val="24"/>
          <w:szCs w:val="24"/>
          <w:shd w:val="clear" w:color="auto" w:fill="FFFFFF"/>
        </w:rPr>
      </w:pPr>
      <w:r w:rsidRPr="006A4BCA">
        <w:rPr>
          <w:rFonts w:ascii="Times New Roman" w:eastAsia="Aptos" w:hAnsi="Times New Roman" w:cs="Times New Roman"/>
          <w:b/>
          <w:bCs/>
          <w:sz w:val="24"/>
          <w:szCs w:val="24"/>
          <w:shd w:val="clear" w:color="auto" w:fill="FFFFFF"/>
        </w:rPr>
        <w:t>VII Bis. Promover, impulsar y coordinar la incorporación, desarrollo y aprovechamiento de las tecnologías de la información y la comunicación en los servicios de salud, incluyendo, entre otros, la telesalud, la telemedicina, la salud móvil, los registros médicos o de salud electrónicos y el uso de dispositivos portátiles para la atención médica, con el propósito de ampliar la cobertura, mejorar la calidad de la atención y fortalecer la continuidad de los servicios de salud;</w:t>
      </w:r>
      <w:r w:rsidRPr="006A4BCA">
        <w:rPr>
          <w:rFonts w:ascii="Times New Roman" w:eastAsia="Aptos" w:hAnsi="Times New Roman" w:cs="Times New Roman"/>
          <w:b/>
          <w:bCs/>
          <w:sz w:val="24"/>
          <w:szCs w:val="24"/>
          <w:shd w:val="clear" w:color="auto" w:fill="FFFFFF"/>
        </w:rPr>
        <w:cr/>
      </w:r>
    </w:p>
    <w:p w:rsidR="00A60CD6" w:rsidRPr="006A4BCA" w:rsidRDefault="00A60CD6" w:rsidP="00A60CD6">
      <w:pPr>
        <w:spacing w:after="0" w:line="240" w:lineRule="auto"/>
        <w:jc w:val="both"/>
        <w:rPr>
          <w:rFonts w:ascii="Times New Roman" w:eastAsia="Aptos" w:hAnsi="Times New Roman" w:cs="Times New Roman"/>
          <w:b/>
          <w:bCs/>
          <w:sz w:val="24"/>
          <w:szCs w:val="24"/>
          <w:shd w:val="clear" w:color="auto" w:fill="FFFFFF"/>
        </w:rPr>
      </w:pPr>
      <w:r w:rsidRPr="006A4BCA">
        <w:rPr>
          <w:rFonts w:ascii="Times New Roman" w:eastAsia="Aptos" w:hAnsi="Times New Roman" w:cs="Times New Roman"/>
          <w:b/>
          <w:bCs/>
          <w:sz w:val="24"/>
          <w:szCs w:val="24"/>
          <w:shd w:val="clear" w:color="auto" w:fill="FFFFFF"/>
        </w:rPr>
        <w:t>VIII a la XXI. …</w:t>
      </w:r>
    </w:p>
    <w:p w:rsidR="00A60CD6" w:rsidRPr="006A4BCA" w:rsidRDefault="00A60CD6" w:rsidP="00A60CD6">
      <w:pPr>
        <w:spacing w:after="0" w:line="240" w:lineRule="auto"/>
        <w:jc w:val="both"/>
        <w:rPr>
          <w:rFonts w:ascii="Times New Roman" w:eastAsia="Aptos" w:hAnsi="Times New Roman" w:cs="Times New Roman"/>
          <w:b/>
          <w:bCs/>
          <w:sz w:val="24"/>
          <w:szCs w:val="24"/>
          <w:shd w:val="clear" w:color="auto" w:fill="FFFFFF"/>
        </w:rPr>
      </w:pPr>
    </w:p>
    <w:p w:rsidR="00A60CD6" w:rsidRPr="006A4BCA" w:rsidRDefault="00A60CD6" w:rsidP="00A60CD6">
      <w:pPr>
        <w:spacing w:after="0" w:line="240" w:lineRule="auto"/>
        <w:jc w:val="center"/>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TITULO TERCERO</w:t>
      </w:r>
    </w:p>
    <w:p w:rsidR="00A60CD6" w:rsidRPr="006A4BCA" w:rsidRDefault="00A60CD6" w:rsidP="00A60CD6">
      <w:pPr>
        <w:spacing w:after="0" w:line="240" w:lineRule="auto"/>
        <w:jc w:val="center"/>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 xml:space="preserve">CAPÍTULO OCTAVO </w:t>
      </w:r>
    </w:p>
    <w:p w:rsidR="00A60CD6" w:rsidRPr="006A4BCA" w:rsidRDefault="00A60CD6" w:rsidP="00A60CD6">
      <w:pPr>
        <w:spacing w:after="0" w:line="240" w:lineRule="auto"/>
        <w:jc w:val="center"/>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De la Salud Digital</w:t>
      </w:r>
    </w:p>
    <w:p w:rsidR="00A60CD6" w:rsidRPr="006A4BCA" w:rsidRDefault="00A60CD6" w:rsidP="00A60CD6">
      <w:pPr>
        <w:spacing w:after="0" w:line="240" w:lineRule="auto"/>
        <w:jc w:val="center"/>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Artículo 2.48 Quinquiesvicies. Para efectos del presente Libro, la Salud Digital se refiere a la aplicación de las tecnologías de la información y la comunicación en los servicios de salud, como es el caso, entre otros, de la telesalud, la telemedicina, la salud móvil, los registros médicos o de salud electrónicos y los dispositivos portátiles, con el propósito de fortalecer el acceso, la oportunidad, la continuidad y la calidad de la atención médica.</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Artículo 2.48 Sexiesvicies. La Salud Digital tendrá, entre otras, las finalidades siguientes: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 Facilitar la prestación de servicios médicos a distancia, para permitir la atención de la población sin necesidad de desplazamientos físicos;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II. Optimizar el uso de recursos humanos y tecnológicos en la atención sanitaria y de infraestructura del sistema de salud;</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III. Ampliar la cobertura de los servicios de salud, especialmente en comunidades con acceso limitado a infraestructura médica;</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IV. Brindar apoyo y asesoría a profesionales de la salud mediante interconsultas con especialistas;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V. Impulsar programas de educación y prevención mediante herramientas digitales dirigidos al personal de salud y a la población en general;</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VI. Digitalizar la información médica para facilitar el acceso, actualización y el intercambio seguro de datos, a fin de dar continuidad a la atención; y</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lastRenderedPageBreak/>
        <w:t>VII. Fortalecer el análisis de información para mejorar diagnósticos, tratamientos y la gestión de los servicios.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 xml:space="preserve">Artículo 2.48 </w:t>
      </w:r>
      <w:r w:rsidRPr="006A4BCA">
        <w:rPr>
          <w:rFonts w:ascii="Times New Roman" w:eastAsia="Aptos" w:hAnsi="Times New Roman" w:cs="Times New Roman"/>
          <w:b/>
          <w:bCs/>
          <w:sz w:val="24"/>
          <w:szCs w:val="24"/>
          <w:shd w:val="clear" w:color="auto" w:fill="FFFFFF"/>
        </w:rPr>
        <w:t>Septiesvicies</w:t>
      </w:r>
      <w:r w:rsidRPr="006A4BCA">
        <w:rPr>
          <w:rFonts w:ascii="Times New Roman" w:eastAsia="Aptos" w:hAnsi="Times New Roman" w:cs="Times New Roman"/>
          <w:b/>
          <w:sz w:val="24"/>
          <w:szCs w:val="24"/>
          <w:shd w:val="clear" w:color="auto" w:fill="FFFFFF"/>
        </w:rPr>
        <w:t>. La Secretaría de Salud del Estado, en el ámbito de su competencia, emitirá los lineamientos para la implementación, supervisión y mejora continua de los servicios de Salud Digital en las instituciones públicas del Sistema Estatal de Salud, considerando al menos: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 Requerimientos mínimos de infraestructura tecnológica y conectividad, conforme a las necesidades y condiciones regionales;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II. Capacitación continua del personal de salud para el uso adecuado de herramientas digitales;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III. Guías y criterios para la atención mediante telemedicina y otras modalidades, asegurando calidad y seguridad;</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IV. Protocolos de seguridad para la confidencialidad de la información clínica y la protección de datos personales;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V. Mecanismos de seguimiento y evaluación con indicadores de desempeño e impacto; y</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VI. Acciones para promover inclusión digital y reducir brechas tecnológicas en la población usuaria.</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 xml:space="preserve">Artículo 2.48 </w:t>
      </w:r>
      <w:r w:rsidRPr="006A4BCA">
        <w:rPr>
          <w:rFonts w:ascii="Times New Roman" w:eastAsia="Aptos" w:hAnsi="Times New Roman" w:cs="Times New Roman"/>
          <w:b/>
          <w:bCs/>
          <w:sz w:val="24"/>
          <w:szCs w:val="24"/>
          <w:shd w:val="clear" w:color="auto" w:fill="FFFFFF"/>
        </w:rPr>
        <w:t>Octiesvicies</w:t>
      </w:r>
      <w:r w:rsidRPr="006A4BCA">
        <w:rPr>
          <w:rFonts w:ascii="Times New Roman" w:eastAsia="Aptos" w:hAnsi="Times New Roman" w:cs="Times New Roman"/>
          <w:b/>
          <w:sz w:val="24"/>
          <w:szCs w:val="24"/>
          <w:shd w:val="clear" w:color="auto" w:fill="FFFFFF"/>
        </w:rPr>
        <w:t>. Los servicios de telesalud que se presten en el Sistema Estatal de Salud deberán cumplir, como mínimo, con las condiciones siguientes: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 Ser proporcionados por personal designado y capacitado;</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II. Utilizar sistemas seguros que garanticen confidencialidad, integridad, disponibilidad y acceso autorizado a la información;</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III. Incorporar mecanismos para obtener el consentimiento informado cuando corresponda; y</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IV. Asegurar la adecuada documentación y registro de la atención brindada mediante plataformas digitales, conforme a las disposiciones aplicables.</w:t>
      </w: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p>
    <w:p w:rsidR="00A60CD6" w:rsidRPr="006A4BCA" w:rsidRDefault="00A60CD6" w:rsidP="00A60CD6">
      <w:pPr>
        <w:spacing w:after="0" w:line="240" w:lineRule="auto"/>
        <w:jc w:val="both"/>
        <w:rPr>
          <w:rFonts w:ascii="Times New Roman" w:eastAsia="Aptos" w:hAnsi="Times New Roman" w:cs="Times New Roman"/>
          <w:b/>
          <w:sz w:val="24"/>
          <w:szCs w:val="24"/>
          <w:shd w:val="clear" w:color="auto" w:fill="FFFFFF"/>
        </w:rPr>
      </w:pPr>
      <w:r w:rsidRPr="006A4BCA">
        <w:rPr>
          <w:rFonts w:ascii="Times New Roman" w:eastAsia="Aptos" w:hAnsi="Times New Roman" w:cs="Times New Roman"/>
          <w:b/>
          <w:sz w:val="24"/>
          <w:szCs w:val="24"/>
          <w:shd w:val="clear" w:color="auto" w:fill="FFFFFF"/>
        </w:rPr>
        <w:t xml:space="preserve">Artículo 2.48 </w:t>
      </w:r>
      <w:r w:rsidRPr="006A4BCA">
        <w:rPr>
          <w:rFonts w:ascii="Times New Roman" w:eastAsia="Aptos" w:hAnsi="Times New Roman" w:cs="Times New Roman"/>
          <w:b/>
          <w:bCs/>
          <w:sz w:val="24"/>
          <w:szCs w:val="24"/>
          <w:shd w:val="clear" w:color="auto" w:fill="FFFFFF"/>
        </w:rPr>
        <w:t>Noniesvicies</w:t>
      </w:r>
      <w:r w:rsidRPr="006A4BCA">
        <w:rPr>
          <w:rFonts w:ascii="Times New Roman" w:eastAsia="Aptos" w:hAnsi="Times New Roman" w:cs="Times New Roman"/>
          <w:b/>
          <w:sz w:val="24"/>
          <w:szCs w:val="24"/>
          <w:shd w:val="clear" w:color="auto" w:fill="FFFFFF"/>
        </w:rPr>
        <w:t>. La implementación de Salud Digital deberá promover la interoperabilidad y el uso responsable de registros médicos o de salud electrónicos, a fin de fortalecer la continuidad de la atención, evitando duplicidades, mejorando referencias y contrarreferencias y privilegiando la seguridad de la información.</w:t>
      </w:r>
    </w:p>
    <w:p w:rsidR="00A60CD6" w:rsidRPr="006A4BCA" w:rsidRDefault="00A60CD6" w:rsidP="00A60CD6">
      <w:pPr>
        <w:spacing w:after="0" w:line="240" w:lineRule="auto"/>
        <w:rPr>
          <w:rFonts w:ascii="Times New Roman" w:eastAsia="Arial" w:hAnsi="Times New Roman" w:cs="Times New Roman"/>
          <w:b/>
          <w:bCs/>
          <w:sz w:val="24"/>
          <w:szCs w:val="24"/>
          <w:lang w:eastAsia="es-ES"/>
        </w:rPr>
      </w:pPr>
    </w:p>
    <w:p w:rsidR="00A60CD6" w:rsidRPr="006A4BCA" w:rsidRDefault="00A60CD6" w:rsidP="00A60CD6">
      <w:pPr>
        <w:spacing w:after="0" w:line="240" w:lineRule="auto"/>
        <w:jc w:val="center"/>
        <w:rPr>
          <w:rFonts w:ascii="Times New Roman" w:eastAsia="Arial" w:hAnsi="Times New Roman" w:cs="Times New Roman"/>
          <w:b/>
          <w:bCs/>
          <w:sz w:val="24"/>
          <w:szCs w:val="24"/>
          <w:lang w:eastAsia="es-ES"/>
        </w:rPr>
      </w:pPr>
      <w:r w:rsidRPr="006A4BCA">
        <w:rPr>
          <w:rFonts w:ascii="Times New Roman" w:eastAsia="Arial" w:hAnsi="Times New Roman" w:cs="Times New Roman"/>
          <w:b/>
          <w:bCs/>
          <w:sz w:val="24"/>
          <w:szCs w:val="24"/>
          <w:lang w:eastAsia="es-ES"/>
        </w:rPr>
        <w:t>ARTÍCULOS TRANSITORIOS</w:t>
      </w:r>
    </w:p>
    <w:p w:rsidR="00A60CD6" w:rsidRPr="006A4BCA" w:rsidRDefault="00A60CD6" w:rsidP="00A60CD6">
      <w:pPr>
        <w:spacing w:after="0" w:line="240" w:lineRule="auto"/>
        <w:jc w:val="center"/>
        <w:rPr>
          <w:rFonts w:ascii="Times New Roman" w:eastAsia="Times New Roman" w:hAnsi="Times New Roman" w:cs="Times New Roman"/>
          <w:sz w:val="24"/>
          <w:szCs w:val="24"/>
          <w:lang w:eastAsia="es-ES"/>
        </w:rPr>
      </w:pPr>
    </w:p>
    <w:p w:rsidR="00A60CD6" w:rsidRPr="006A4BCA" w:rsidRDefault="00A60CD6" w:rsidP="00A60CD6">
      <w:pPr>
        <w:shd w:val="clear" w:color="auto" w:fill="FFFFFF"/>
        <w:spacing w:after="0" w:line="240" w:lineRule="auto"/>
        <w:contextualSpacing/>
        <w:jc w:val="both"/>
        <w:rPr>
          <w:rFonts w:ascii="Times New Roman" w:eastAsia="Arial" w:hAnsi="Times New Roman" w:cs="Times New Roman"/>
          <w:bCs/>
          <w:sz w:val="24"/>
          <w:szCs w:val="24"/>
        </w:rPr>
      </w:pPr>
      <w:r w:rsidRPr="006A4BCA">
        <w:rPr>
          <w:rFonts w:ascii="Times New Roman" w:eastAsia="Arial" w:hAnsi="Times New Roman" w:cs="Times New Roman"/>
          <w:b/>
          <w:bCs/>
          <w:sz w:val="24"/>
          <w:szCs w:val="24"/>
        </w:rPr>
        <w:t xml:space="preserve">PRIMERO. </w:t>
      </w:r>
      <w:r w:rsidRPr="006A4BCA">
        <w:rPr>
          <w:rFonts w:ascii="Times New Roman" w:eastAsia="Arial" w:hAnsi="Times New Roman" w:cs="Times New Roman"/>
          <w:bCs/>
          <w:sz w:val="24"/>
          <w:szCs w:val="24"/>
        </w:rPr>
        <w:t>Publíquese el presente Decreto en el periódico oficial “Gaceta del Gobierno”.</w:t>
      </w:r>
    </w:p>
    <w:p w:rsidR="00A60CD6" w:rsidRPr="006A4BCA" w:rsidRDefault="00A60CD6" w:rsidP="00A60CD6">
      <w:pPr>
        <w:shd w:val="clear" w:color="auto" w:fill="FFFFFF"/>
        <w:spacing w:after="0" w:line="240" w:lineRule="auto"/>
        <w:contextualSpacing/>
        <w:jc w:val="both"/>
        <w:rPr>
          <w:rFonts w:ascii="Times New Roman" w:eastAsia="Arial" w:hAnsi="Times New Roman" w:cs="Times New Roman"/>
          <w:bCs/>
          <w:sz w:val="24"/>
          <w:szCs w:val="24"/>
        </w:rPr>
      </w:pPr>
    </w:p>
    <w:p w:rsidR="00A60CD6" w:rsidRPr="006A4BCA" w:rsidRDefault="00A60CD6" w:rsidP="00A60CD6">
      <w:pPr>
        <w:shd w:val="clear" w:color="auto" w:fill="FFFFFF"/>
        <w:spacing w:after="0" w:line="240" w:lineRule="auto"/>
        <w:contextualSpacing/>
        <w:jc w:val="both"/>
        <w:rPr>
          <w:rFonts w:ascii="Times New Roman" w:eastAsia="Arial" w:hAnsi="Times New Roman" w:cs="Times New Roman"/>
          <w:bCs/>
          <w:sz w:val="24"/>
          <w:szCs w:val="24"/>
        </w:rPr>
      </w:pPr>
      <w:r w:rsidRPr="006A4BCA">
        <w:rPr>
          <w:rFonts w:ascii="Times New Roman" w:eastAsia="Arial" w:hAnsi="Times New Roman" w:cs="Times New Roman"/>
          <w:b/>
          <w:bCs/>
          <w:sz w:val="24"/>
          <w:szCs w:val="24"/>
        </w:rPr>
        <w:t xml:space="preserve">SEGUNDO. </w:t>
      </w:r>
      <w:r w:rsidRPr="006A4BCA">
        <w:rPr>
          <w:rFonts w:ascii="Times New Roman" w:eastAsia="Arial" w:hAnsi="Times New Roman" w:cs="Times New Roman"/>
          <w:bCs/>
          <w:sz w:val="24"/>
          <w:szCs w:val="24"/>
        </w:rPr>
        <w:t>El presente Decreto entrará en vigor al día siguiente de su publicación.</w:t>
      </w:r>
    </w:p>
    <w:p w:rsidR="00A60CD6" w:rsidRPr="006A4BCA" w:rsidRDefault="00A60CD6" w:rsidP="00A60CD6">
      <w:pPr>
        <w:shd w:val="clear" w:color="auto" w:fill="FFFFFF"/>
        <w:spacing w:after="0" w:line="240" w:lineRule="auto"/>
        <w:contextualSpacing/>
        <w:jc w:val="both"/>
        <w:rPr>
          <w:rFonts w:ascii="Times New Roman" w:eastAsia="Arial" w:hAnsi="Times New Roman" w:cs="Times New Roman"/>
          <w:bCs/>
          <w:sz w:val="24"/>
          <w:szCs w:val="24"/>
        </w:rPr>
      </w:pPr>
    </w:p>
    <w:p w:rsidR="00A60CD6" w:rsidRPr="006A4BCA" w:rsidRDefault="00A60CD6" w:rsidP="00A60CD6">
      <w:pPr>
        <w:spacing w:after="0" w:line="240" w:lineRule="auto"/>
        <w:jc w:val="both"/>
        <w:rPr>
          <w:rFonts w:ascii="Times New Roman" w:eastAsia="Arial" w:hAnsi="Times New Roman" w:cs="Times New Roman"/>
          <w:bCs/>
          <w:sz w:val="24"/>
          <w:szCs w:val="24"/>
          <w:lang w:eastAsia="es-MX"/>
        </w:rPr>
      </w:pPr>
      <w:r w:rsidRPr="006A4BCA">
        <w:rPr>
          <w:rFonts w:ascii="Times New Roman" w:eastAsia="Arial" w:hAnsi="Times New Roman" w:cs="Times New Roman"/>
          <w:b/>
          <w:sz w:val="24"/>
          <w:szCs w:val="24"/>
          <w:lang w:eastAsia="es-MX"/>
        </w:rPr>
        <w:t xml:space="preserve">TERCERO. </w:t>
      </w:r>
      <w:r w:rsidRPr="006A4BCA">
        <w:rPr>
          <w:rFonts w:ascii="Times New Roman" w:eastAsia="Arial" w:hAnsi="Times New Roman" w:cs="Times New Roman"/>
          <w:bCs/>
          <w:sz w:val="24"/>
          <w:szCs w:val="24"/>
          <w:lang w:eastAsia="es-MX"/>
        </w:rPr>
        <w:t>La Secretaría de Salud del Estado de México deberá emitir los lineamientos a que se refiere el artículo 2.48 Septiesvicies dentro de los ciento ochenta días naturales siguientes a la entrada en vigor del presente Decreto.</w:t>
      </w:r>
    </w:p>
    <w:p w:rsidR="00A60CD6" w:rsidRPr="006A4BCA" w:rsidRDefault="00A60CD6" w:rsidP="00A60CD6">
      <w:pPr>
        <w:spacing w:after="0" w:line="240" w:lineRule="auto"/>
        <w:jc w:val="both"/>
        <w:rPr>
          <w:rFonts w:ascii="Times New Roman" w:eastAsia="Arial" w:hAnsi="Times New Roman" w:cs="Times New Roman"/>
          <w:b/>
          <w:sz w:val="24"/>
          <w:szCs w:val="24"/>
          <w:lang w:eastAsia="es-MX"/>
        </w:rPr>
      </w:pPr>
    </w:p>
    <w:p w:rsidR="00A60CD6" w:rsidRPr="006A4BCA" w:rsidRDefault="00A60CD6" w:rsidP="00A60CD6">
      <w:pPr>
        <w:spacing w:after="0" w:line="240" w:lineRule="auto"/>
        <w:jc w:val="both"/>
        <w:rPr>
          <w:rFonts w:ascii="Times New Roman" w:eastAsia="Arial" w:hAnsi="Times New Roman" w:cs="Times New Roman"/>
          <w:sz w:val="24"/>
          <w:szCs w:val="24"/>
          <w:lang w:eastAsia="es-MX"/>
        </w:rPr>
      </w:pPr>
      <w:r w:rsidRPr="006A4BCA">
        <w:rPr>
          <w:rFonts w:ascii="Times New Roman" w:eastAsia="Arial" w:hAnsi="Times New Roman" w:cs="Times New Roman"/>
          <w:b/>
          <w:bCs/>
          <w:sz w:val="24"/>
          <w:szCs w:val="24"/>
          <w:lang w:eastAsia="es-MX"/>
        </w:rPr>
        <w:t>CUARTO</w:t>
      </w:r>
      <w:r w:rsidRPr="006A4BCA">
        <w:rPr>
          <w:rFonts w:ascii="Times New Roman" w:eastAsia="Arial" w:hAnsi="Times New Roman" w:cs="Times New Roman"/>
          <w:sz w:val="24"/>
          <w:szCs w:val="24"/>
          <w:lang w:eastAsia="es-MX"/>
        </w:rPr>
        <w:t>. Se derogan las disposiciones de igual o menor jerarquía a normativa que se opongan al presente Decreto, perdiendo vigor al momento de su publicación.</w:t>
      </w:r>
    </w:p>
    <w:p w:rsidR="00A60CD6" w:rsidRPr="006A4BCA" w:rsidRDefault="00A60CD6" w:rsidP="00A60CD6">
      <w:pPr>
        <w:spacing w:after="0" w:line="240" w:lineRule="auto"/>
        <w:jc w:val="both"/>
        <w:rPr>
          <w:rFonts w:ascii="Times New Roman" w:eastAsia="Arial" w:hAnsi="Times New Roman" w:cs="Times New Roman"/>
          <w:b/>
          <w:sz w:val="24"/>
          <w:szCs w:val="24"/>
          <w:lang w:eastAsia="es-MX"/>
        </w:rPr>
      </w:pPr>
    </w:p>
    <w:p w:rsidR="00A60CD6" w:rsidRPr="006A4BCA" w:rsidRDefault="00A60CD6" w:rsidP="00A60CD6">
      <w:pPr>
        <w:spacing w:after="0" w:line="240" w:lineRule="auto"/>
        <w:jc w:val="both"/>
        <w:rPr>
          <w:rFonts w:ascii="Times New Roman" w:eastAsia="Arial" w:hAnsi="Times New Roman" w:cs="Times New Roman"/>
          <w:sz w:val="24"/>
          <w:szCs w:val="24"/>
          <w:lang w:eastAsia="es-MX"/>
        </w:rPr>
      </w:pPr>
      <w:r w:rsidRPr="006A4BCA">
        <w:rPr>
          <w:rFonts w:ascii="Times New Roman" w:eastAsia="Arial" w:hAnsi="Times New Roman" w:cs="Times New Roman"/>
          <w:sz w:val="24"/>
          <w:szCs w:val="24"/>
          <w:lang w:eastAsia="es-MX"/>
        </w:rPr>
        <w:t>Lo tendrá por entendido el Gobernador del Estado, haciendo que se publique y se cumpla.</w:t>
      </w:r>
    </w:p>
    <w:p w:rsidR="00A60CD6" w:rsidRPr="006A4BCA" w:rsidRDefault="00A60CD6" w:rsidP="00A60CD6">
      <w:pPr>
        <w:spacing w:after="0" w:line="240" w:lineRule="auto"/>
        <w:jc w:val="both"/>
        <w:rPr>
          <w:rFonts w:ascii="Times New Roman" w:eastAsia="Arial" w:hAnsi="Times New Roman" w:cs="Times New Roman"/>
          <w:sz w:val="24"/>
          <w:szCs w:val="24"/>
          <w:lang w:eastAsia="es-MX"/>
        </w:rPr>
      </w:pPr>
    </w:p>
    <w:p w:rsidR="00A60CD6" w:rsidRPr="006A4BCA" w:rsidRDefault="00A60CD6" w:rsidP="00A60CD6">
      <w:pPr>
        <w:spacing w:after="0" w:line="240" w:lineRule="auto"/>
        <w:jc w:val="both"/>
        <w:rPr>
          <w:rFonts w:ascii="Times New Roman" w:eastAsia="Aptos" w:hAnsi="Times New Roman" w:cs="Times New Roman"/>
          <w:sz w:val="24"/>
          <w:szCs w:val="24"/>
        </w:rPr>
      </w:pPr>
      <w:r w:rsidRPr="006A4BCA">
        <w:rPr>
          <w:rFonts w:ascii="Times New Roman" w:eastAsia="Aptos" w:hAnsi="Times New Roman" w:cs="Times New Roman"/>
          <w:sz w:val="24"/>
          <w:szCs w:val="24"/>
        </w:rPr>
        <w:t>Dado en el Palacio del Poder Legislativo, en la Ciudad de Toluca, Capital del Estado de México, a los 11 días del mes de marzo del año dos mil veintiséis.</w:t>
      </w:r>
    </w:p>
    <w:p w:rsidR="00A60CD6" w:rsidRPr="006A4BCA" w:rsidRDefault="00A60CD6" w:rsidP="00A60CD6">
      <w:pPr>
        <w:pBdr>
          <w:top w:val="nil"/>
          <w:left w:val="nil"/>
          <w:bottom w:val="nil"/>
          <w:right w:val="nil"/>
          <w:between w:val="nil"/>
          <w:bar w:val="nil"/>
        </w:pBdr>
        <w:shd w:val="clear" w:color="auto" w:fill="FFFFFF"/>
        <w:spacing w:after="0" w:line="240" w:lineRule="auto"/>
        <w:contextualSpacing/>
        <w:rPr>
          <w:rFonts w:ascii="Times New Roman" w:eastAsia="Arial Unicode MS" w:hAnsi="Times New Roman" w:cs="Times New Roman"/>
          <w:b/>
          <w:sz w:val="24"/>
          <w:szCs w:val="24"/>
          <w:bdr w:val="nil"/>
        </w:rPr>
      </w:pPr>
    </w:p>
    <w:tbl>
      <w:tblPr>
        <w:tblStyle w:val="Tablaconcuadrcula1"/>
        <w:tblW w:w="93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96"/>
      </w:tblGrid>
      <w:tr w:rsidR="00095DD7" w:rsidRPr="006A4BCA" w:rsidTr="00FE4087">
        <w:trPr>
          <w:trHeight w:val="360"/>
          <w:jc w:val="center"/>
        </w:trPr>
        <w:tc>
          <w:tcPr>
            <w:tcW w:w="4696" w:type="dxa"/>
          </w:tcPr>
          <w:bookmarkEnd w:id="13"/>
          <w:p w:rsidR="00A60CD6" w:rsidRPr="006A4BCA" w:rsidRDefault="00A60CD6" w:rsidP="00A60CD6">
            <w:pPr>
              <w:spacing w:line="240" w:lineRule="auto"/>
              <w:jc w:val="center"/>
              <w:rPr>
                <w:rFonts w:ascii="Times New Roman" w:eastAsia="Arial Unicode MS" w:hAnsi="Times New Roman" w:cs="Times New Roman"/>
                <w:b/>
                <w:bdr w:val="nil"/>
              </w:rPr>
            </w:pPr>
            <w:r w:rsidRPr="006A4BCA">
              <w:rPr>
                <w:rFonts w:ascii="Times New Roman" w:eastAsia="Arial Unicode MS" w:hAnsi="Times New Roman" w:cs="Times New Roman"/>
                <w:b/>
                <w:bCs/>
                <w:bdr w:val="nil"/>
              </w:rPr>
              <w:t>Diputada Krishna Karina Romero Velázquez</w:t>
            </w:r>
          </w:p>
        </w:tc>
        <w:tc>
          <w:tcPr>
            <w:tcW w:w="4696" w:type="dxa"/>
          </w:tcPr>
          <w:p w:rsidR="00A60CD6" w:rsidRPr="006A4BCA" w:rsidRDefault="00A60CD6" w:rsidP="003C088A">
            <w:pPr>
              <w:spacing w:line="240" w:lineRule="auto"/>
              <w:jc w:val="center"/>
              <w:rPr>
                <w:rFonts w:ascii="Times New Roman" w:eastAsia="Arial Unicode MS" w:hAnsi="Times New Roman" w:cs="Times New Roman"/>
                <w:b/>
                <w:bdr w:val="nil"/>
              </w:rPr>
            </w:pPr>
            <w:r w:rsidRPr="006A4BCA">
              <w:rPr>
                <w:rFonts w:ascii="Times New Roman" w:eastAsia="Arial Unicode MS" w:hAnsi="Times New Roman" w:cs="Times New Roman"/>
                <w:b/>
                <w:bCs/>
                <w:bdr w:val="nil"/>
              </w:rPr>
              <w:t>Diputado Pablo Fernández de Cevallos G.</w:t>
            </w:r>
          </w:p>
        </w:tc>
      </w:tr>
    </w:tbl>
    <w:p w:rsidR="00A60CD6" w:rsidRPr="006A4BCA" w:rsidRDefault="00A60CD6" w:rsidP="00A60CD6">
      <w:pPr>
        <w:spacing w:after="0" w:line="240" w:lineRule="auto"/>
        <w:jc w:val="center"/>
        <w:rPr>
          <w:rFonts w:ascii="Times New Roman" w:eastAsia="Aptos" w:hAnsi="Times New Roman" w:cs="Times New Roman"/>
          <w:sz w:val="24"/>
          <w:szCs w:val="24"/>
        </w:rPr>
      </w:pPr>
      <w:r w:rsidRPr="006A4BCA">
        <w:rPr>
          <w:rFonts w:ascii="Times New Roman" w:eastAsia="Arial Unicode MS" w:hAnsi="Times New Roman" w:cs="Times New Roman"/>
          <w:b/>
          <w:bCs/>
          <w:sz w:val="24"/>
          <w:szCs w:val="24"/>
          <w:bdr w:val="nil"/>
        </w:rPr>
        <w:t>Grupo Parlamentario del Partido Acción Nacional</w:t>
      </w:r>
    </w:p>
    <w:p w:rsidR="00A60CD6" w:rsidRPr="006A4BCA" w:rsidRDefault="00A60CD6" w:rsidP="00A60CD6">
      <w:pPr>
        <w:spacing w:after="0" w:line="240" w:lineRule="auto"/>
        <w:jc w:val="center"/>
        <w:rPr>
          <w:rFonts w:ascii="Times New Roman" w:hAnsi="Times New Roman"/>
          <w:sz w:val="24"/>
          <w:szCs w:val="24"/>
        </w:rPr>
      </w:pPr>
    </w:p>
    <w:p w:rsidR="00A60CD6" w:rsidRPr="006A4BCA" w:rsidRDefault="00A60CD6" w:rsidP="00A60CD6">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A60CD6" w:rsidRPr="006A4BCA" w:rsidRDefault="00A60CD6" w:rsidP="004A7076">
      <w:pPr>
        <w:spacing w:after="0" w:line="240" w:lineRule="auto"/>
        <w:jc w:val="both"/>
        <w:rPr>
          <w:rFonts w:ascii="Times New Roman" w:hAnsi="Times New Roman" w:cs="Times New Roman"/>
          <w:sz w:val="24"/>
          <w:szCs w:val="24"/>
        </w:rPr>
      </w:pP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diputada Krishna Karina Romero Velázquez.</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registra la iniciativa y se remite a la Comisión Legislativa de Salud, Asistencia y Bienestar Social, y a la Comisión Especial de Innovación, Gobierno Digital e Inteligencia Artificial, para su estudio y dictamen.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el siguiente punto, el diputado Anuar Roberto Azar Figueroa, leerá la Iniciativa con Proyecto de Decreto por el que se reforma el artículo 59 Bis del Código Financiero del Estado de México y Municipios y se adiciona el numeral 3 al inciso b) de la fracción I del artículo 11 de la Ley de Ingresos del Estado de México para el Ejercicio Fiscal 2026 en materia de estímulos fiscales a empresas que contraten a personas con discapacidad, presentada por el diputado Anuar Roberto Azar Figueroa y el diputado Pablo Fernández de Cevallos González, en nombre del Grupo Parlamentario del Partido Acción Nacional.</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 ANUAR ROBERTO AZAR FIGUEROA. Muchas gracias Presidenta, con su permiso.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Compañeras, diputados y diputadas, vengo a esta tribuna en nombre del Grupo Parlamentario del Partido Acción Nacional para presentar una iniciativa que estoy convencido, beneficia por igual a las personas con discapacidad y a las empresas mexiquenses.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Quiero empezar con algo muy claro en el Estado de México, no nos faltan personas con talento, nos sobran barreras, nos sobran prejuicios, nos sobran miedos y, una de las barreras más dolorosas es la que impide que miles de personas con discapacidad puedan tener un empleo digno.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Hoy una persona con discapacidad tiene muchas dificultades para encontrar un trabajo, no porque no sepan, no porque no puedan, sino porque todavía hay empresas que piensan que contratar a una persona con discapacidad, es un problema, es un riesgo o un costo extra, nuestra propuesta, es una idea muy sencilla.</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Queremos que las empresas abran sus puertas a las personas con discapacidad, el Gobierno también tiene que abrir la cartera, el Gobierno debe poner incentivos para exigir no solo en el discurso sino en los hechos, acciones concretas en favor de las personas con discapacidad.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Por eso esta iniciativa propone establecer estímulos fiscales a favor de las empresas que creen puestos de trabajo específicos para personas con discapacidad y también deducciones fiscales para aquellas que contraten e inviertan en adaptar sus espacios al trabajo de estas ciudadanas y ciudadanos, en qué se traduce esta acción en palabras muy simples, muy concretas:</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lastRenderedPageBreak/>
        <w:t xml:space="preserve">1. Si una empresa crea nuevas plazas destinadas a personas con discapacidad y las contratan de manera formal con todas las prestaciones de ley, esta empresa podrá recibir un beneficio fiscal, pagar menos impuestos.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2. Si una empresa contrata a una persona con discapacidad, podrá hacerlo deducible de impuestos.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3. Estos estímulos no serán eternos, estarán condicionados a que se cumpla con lo establecido en la Ley del Seguro Social y en las disposiciones que el apartado establezca.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Con esta propuesta ganan todos, gana, en primer lugar, el ciudadano con discapacidad, porque un empleo no es solo un ingreso, es independencia, es autoestima, es reconocimiento, es poder decir en casa yo también aporto, yo también sostengo, es dejar de depender de apoyos gubernamentales y construir un proyecto de vida propia.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Una persona con discapacidad que tiene la posibilidad de conseguir un empleo formal puede pagar renta, puede estudiar, formar una familia, salir adelante como cualquier otra mujer u hombre y algo muy importante, dejar de ser vista como una carga, esto la convierte en una persona en pleno uso y ejercicio de sus derechos, obligaciones con talento y con metas, ganan en segundo lugar las empresas porque reciben beneficios fiscales concretos porque mejora su imagen pública, su reputación, su relación con clientes y proveedores, al ser una empresa socialmente responsable, porque se enriquece con la diversidad de las personas.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Porque con compromiso, creatividad y una enorme adaptación social, porque además muchas veces se reduce a la rotación del personal, cuando alguien ha tenido pocas oportunidades, consigue un empleo digno y ¿Qué ocurre? lo cuida, lo valora y se queda con una enorme responsabilidad.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Numerosos estudios a nivel internacional han demostrado que las empresas incluyentes son más productivas, tienen un mejor ambiente laboral y generan una mayor lealtad en sus clientes, no estamos descubriendo el hilo negro, estamos proponiendo que el Estado de México, se ponga al día con lo que ya se hacen de manera frecuente en otros lugares, también ganamos de una manera muy importante como sociedad, cuando una persona con discapacidad trabaja, disminuye la presión sobre los programas asistenciales aumenta la recaudación, se fortalece el consumo interno y se rompe el círculo de la pobreza y de la exclusión, cada empleo para una persona con discapacidad, es también un mensaje para todos, aquí nadie sobra, aquí todos cuentan.</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Para Acción Nacional, defender a la familia también implica construir un esquema de justicia y oportunidades para quienes más lo necesitan, venimos a reconocer que hay un talento enorme, desperdiciado y que el Gobierno y las empresas, pueden orientar, para tener una sociedad mucho más generosa.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Compañeras y compañeros diputados, en Acción Nacional creemos firmemente en la economía de mercado; pero también creemos que el mercado debe tener un rostro humano, creemos en las empresas, en el emprendimiento y en la inversión; pero también en la igualdad de oportunidades, esta iniciativa refleja exactamente eso, un encuentro entre la responsabilidad social y el impulso económico, no podemos seguir hablando de inclusión sólo en discursos y campañas, la verdadera inclusión se mide en la nómina, con ese tipo de incentivos, dejamos claro que este congreso quiere pasar de las palabras a los hechos.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Hago un llamado respetuoso; pero firme a todas las fuerzas políticas representadas en esta Legislatura, este no es un tema de ideología política, este no es un tema de Gobierno u oposición, es un tema de humildad, de justicia, de ese humanismo político que varias y varios presumimos, les pedimos con mucho respeto a los integrantes del Grupo Parlamentario del PAN que veamos detrás de cada persona con discapacidad, a mujeres, a hombres, que tienen la posibilidad de tener una vida con calidad.</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Por todo lo anterior, someto a la consideración de la Honorable Asamblea, la iniciativa con proyecto de decreto, para establecer los estímulos fiscales a las empresas, que generan puestos de </w:t>
      </w:r>
      <w:r w:rsidRPr="006A4BCA">
        <w:rPr>
          <w:rFonts w:ascii="Times New Roman" w:hAnsi="Times New Roman" w:cs="Times New Roman"/>
          <w:sz w:val="24"/>
          <w:szCs w:val="24"/>
        </w:rPr>
        <w:lastRenderedPageBreak/>
        <w:t>trabajo y contraten a personas con discapacidad en el Estado de México, con la confianza de que será analizada con sensibilidad, con responsabilidad y sobre todo con visión de futuro, les pido su respaldo para seguir construyendo un Estado de México ordenado y generoso que nos permite alcanzar una vida más digna para todas y para todos.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Presidenta le solicito amablemente, que esta iniciativa sea insertada en el Diario de los Debates y en la Gaceta Parlamentaria.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Muchísimas gracias y es todo diputadas y diputados.</w:t>
      </w:r>
    </w:p>
    <w:p w:rsidR="001B6B33" w:rsidRPr="006A4BCA" w:rsidRDefault="001B6B33" w:rsidP="00E10822">
      <w:pPr>
        <w:pStyle w:val="Sinespaciado"/>
        <w:jc w:val="both"/>
        <w:rPr>
          <w:rFonts w:ascii="Times New Roman" w:hAnsi="Times New Roman" w:cs="Times New Roman"/>
          <w:sz w:val="24"/>
          <w:szCs w:val="24"/>
        </w:rPr>
      </w:pPr>
    </w:p>
    <w:p w:rsidR="001B6B33" w:rsidRPr="006A4BCA" w:rsidRDefault="001B6B33" w:rsidP="00E10822">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1B6B33" w:rsidRPr="006A4BCA" w:rsidRDefault="001B6B33" w:rsidP="00E10822">
      <w:pPr>
        <w:spacing w:after="0" w:line="240" w:lineRule="auto"/>
        <w:jc w:val="center"/>
        <w:rPr>
          <w:rFonts w:ascii="Times New Roman" w:hAnsi="Times New Roman"/>
          <w:sz w:val="24"/>
          <w:szCs w:val="24"/>
        </w:rPr>
      </w:pP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b/>
          <w:sz w:val="24"/>
          <w:szCs w:val="24"/>
        </w:rPr>
      </w:pPr>
      <w:r w:rsidRPr="006A4BCA">
        <w:rPr>
          <w:rFonts w:ascii="Times New Roman" w:eastAsia="Tahoma" w:hAnsi="Times New Roman" w:cs="Times New Roman"/>
          <w:b/>
          <w:sz w:val="24"/>
          <w:szCs w:val="24"/>
        </w:rPr>
        <w:t>DIP. ANUAR ROBERTO AZAR FIGUEROA</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sz w:val="24"/>
          <w:szCs w:val="24"/>
        </w:rPr>
      </w:pPr>
      <w:r w:rsidRPr="006A4BCA">
        <w:rPr>
          <w:rFonts w:ascii="Times New Roman" w:eastAsia="Tahoma" w:hAnsi="Times New Roman" w:cs="Times New Roman"/>
          <w:sz w:val="24"/>
          <w:szCs w:val="24"/>
        </w:rPr>
        <w:t>“2026. Año del Humanismo Mexicano en el Estado de México”.</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right"/>
        <w:rPr>
          <w:rFonts w:ascii="Times New Roman" w:eastAsia="Tahoma" w:hAnsi="Times New Roman" w:cs="Times New Roman"/>
          <w:sz w:val="24"/>
          <w:szCs w:val="24"/>
        </w:rPr>
      </w:pPr>
      <w:r w:rsidRPr="006A4BCA">
        <w:rPr>
          <w:rFonts w:ascii="Times New Roman" w:eastAsia="Tahoma" w:hAnsi="Times New Roman" w:cs="Times New Roman"/>
          <w:sz w:val="24"/>
          <w:szCs w:val="24"/>
        </w:rPr>
        <w:t xml:space="preserve">Toluca, Capital del Estado de México, a </w:t>
      </w:r>
      <w:r w:rsidRPr="006A4BCA">
        <w:rPr>
          <w:rFonts w:ascii="Times New Roman" w:eastAsia="Tahoma" w:hAnsi="Times New Roman" w:cs="Times New Roman"/>
          <w:sz w:val="24"/>
          <w:szCs w:val="24"/>
          <w:u w:val="single"/>
        </w:rPr>
        <w:tab/>
      </w:r>
      <w:r w:rsidRPr="006A4BCA">
        <w:rPr>
          <w:rFonts w:ascii="Times New Roman" w:eastAsia="Tahoma" w:hAnsi="Times New Roman" w:cs="Times New Roman"/>
          <w:sz w:val="24"/>
          <w:szCs w:val="24"/>
        </w:rPr>
        <w:t xml:space="preserve"> de </w:t>
      </w:r>
      <w:r w:rsidRPr="006A4BCA">
        <w:rPr>
          <w:rFonts w:ascii="Times New Roman" w:eastAsia="Tahoma" w:hAnsi="Times New Roman" w:cs="Times New Roman"/>
          <w:sz w:val="24"/>
          <w:szCs w:val="24"/>
          <w:u w:val="single"/>
        </w:rPr>
        <w:tab/>
      </w:r>
      <w:r w:rsidRPr="006A4BCA">
        <w:rPr>
          <w:rFonts w:ascii="Times New Roman" w:eastAsia="Tahoma" w:hAnsi="Times New Roman" w:cs="Times New Roman"/>
          <w:sz w:val="24"/>
          <w:szCs w:val="24"/>
        </w:rPr>
        <w:t xml:space="preserve"> de 2026</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r w:rsidRPr="006A4BCA">
        <w:rPr>
          <w:rFonts w:ascii="Times New Roman" w:eastAsia="Tahoma" w:hAnsi="Times New Roman" w:cs="Times New Roman"/>
          <w:b/>
          <w:sz w:val="24"/>
          <w:szCs w:val="24"/>
        </w:rPr>
        <w:t>DIPUTADA MARTHA AZUCENA CAMACHO REYNOSO</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r w:rsidRPr="006A4BCA">
        <w:rPr>
          <w:rFonts w:ascii="Times New Roman" w:eastAsia="Tahoma" w:hAnsi="Times New Roman" w:cs="Times New Roman"/>
          <w:b/>
          <w:sz w:val="24"/>
          <w:szCs w:val="24"/>
        </w:rPr>
        <w:t>PRESIDENTA DE LA MESA DIRECTIVA DE LA</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r w:rsidRPr="006A4BCA">
        <w:rPr>
          <w:rFonts w:ascii="Times New Roman" w:eastAsia="Tahoma" w:hAnsi="Times New Roman" w:cs="Times New Roman"/>
          <w:b/>
          <w:sz w:val="24"/>
          <w:szCs w:val="24"/>
        </w:rPr>
        <w:t>LXII LEGISLATURA DEL ESTADO LIBRE Y</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r w:rsidRPr="006A4BCA">
        <w:rPr>
          <w:rFonts w:ascii="Times New Roman" w:eastAsia="Tahoma" w:hAnsi="Times New Roman" w:cs="Times New Roman"/>
          <w:b/>
          <w:sz w:val="24"/>
          <w:szCs w:val="24"/>
        </w:rPr>
        <w:t>SOBERANO DE MÉXICO.</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r w:rsidRPr="006A4BCA">
        <w:rPr>
          <w:rFonts w:ascii="Times New Roman" w:eastAsia="Tahoma" w:hAnsi="Times New Roman" w:cs="Times New Roman"/>
          <w:b/>
          <w:sz w:val="24"/>
          <w:szCs w:val="24"/>
        </w:rPr>
        <w:t>P R E S E N T E.</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Honorable Asamblea:</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6A4BCA">
        <w:rPr>
          <w:rFonts w:ascii="Times New Roman" w:eastAsia="Tahoma" w:hAnsi="Times New Roman" w:cs="Times New Roman"/>
          <w:b/>
          <w:sz w:val="24"/>
          <w:szCs w:val="24"/>
        </w:rPr>
        <w:t>Diputados Anuar Roberto Azar Figueroa y Pablo Fernández de Cevallos González</w:t>
      </w:r>
      <w:r w:rsidRPr="006A4BCA">
        <w:rPr>
          <w:rFonts w:ascii="Times New Roman" w:eastAsia="Tahoma" w:hAnsi="Times New Roman" w:cs="Times New Roman"/>
          <w:sz w:val="24"/>
          <w:szCs w:val="24"/>
        </w:rPr>
        <w:t>, como Diputados integrantes del Grupo Parlamentario del Partido Acción Nacional, y a nombre del mismo, presentan la siguiente Iniciativa con Proyecto de Decreto por el que se reforma el artículo 59 Bis del Código Financiero del Estado de México y Municipios y se adiciona el numeral 3 al inciso B) de la fracción I del artículo 11 de la Ley de Ingresos del Estado de México para el Ejercicio Fiscal 2026, en materia de estímulos fiscales a empresas que contraten a personas con discapacidad, al tenor de la siguiente:</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b/>
          <w:sz w:val="24"/>
          <w:szCs w:val="24"/>
        </w:rPr>
      </w:pPr>
      <w:r w:rsidRPr="006A4BCA">
        <w:rPr>
          <w:rFonts w:ascii="Times New Roman" w:eastAsia="Tahoma" w:hAnsi="Times New Roman" w:cs="Times New Roman"/>
          <w:b/>
          <w:sz w:val="24"/>
          <w:szCs w:val="24"/>
        </w:rPr>
        <w:t>EXPOSICIÓN DE MOTIVOS</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Una de las finalidades de toda sociedad humana es alcanzar el bien común, entendido como el conjunto de condiciones, normas, estructuras y medios que permiten la existencia, la protección y la realización de todos sus miembros, basando su actuar en la cooperación, la solidaridad y la satisfacción de las necesidades físicas y espirituales, que le permitan al ser humano y a la comunidad lograr su desarrollo integral. En este sentido, el trabajo ha sido el mecanismo por el cual las personas buscan hacerse de los medios que les permita satisfacer sus necesidades y con ello, alcanzar un nivel de vida digno.</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El derecho al trabajo se encuentra consagrado en diversos tratados internacionales como la Declaración Universal de los Derechos Humanos</w:t>
      </w:r>
      <w:r w:rsidRPr="006A4BCA">
        <w:rPr>
          <w:rFonts w:ascii="Times New Roman" w:eastAsia="Tahoma" w:hAnsi="Times New Roman" w:cs="Times New Roman"/>
          <w:sz w:val="24"/>
          <w:szCs w:val="24"/>
          <w:vertAlign w:val="superscript"/>
        </w:rPr>
        <w:t>1</w:t>
      </w:r>
      <w:r w:rsidRPr="006A4BCA">
        <w:rPr>
          <w:rFonts w:ascii="Times New Roman" w:eastAsia="Tahoma" w:hAnsi="Times New Roman" w:cs="Times New Roman"/>
          <w:sz w:val="24"/>
          <w:szCs w:val="24"/>
        </w:rPr>
        <w:t xml:space="preserve">, cuyo numeral 1 de su artículo 23 establece que “Toda persona tiene derecho al trabajo, a la libre elección de su trabajo, a condiciones equitativas y satisfactorias de trabajo y a la protección contra el desempleo”. Por su parte, el Pacto </w:t>
      </w:r>
      <w:r w:rsidRPr="006A4BCA">
        <w:rPr>
          <w:rFonts w:ascii="Times New Roman" w:eastAsia="Tahoma" w:hAnsi="Times New Roman" w:cs="Times New Roman"/>
          <w:sz w:val="24"/>
          <w:szCs w:val="24"/>
        </w:rPr>
        <w:lastRenderedPageBreak/>
        <w:t>Internacional de Derechos Económicos, Sociales y Culturales</w:t>
      </w:r>
      <w:r w:rsidRPr="006A4BCA">
        <w:rPr>
          <w:rFonts w:ascii="Times New Roman" w:eastAsia="Tahoma" w:hAnsi="Times New Roman" w:cs="Times New Roman"/>
          <w:sz w:val="24"/>
          <w:szCs w:val="24"/>
          <w:vertAlign w:val="superscript"/>
        </w:rPr>
        <w:t>2</w:t>
      </w:r>
      <w:r w:rsidRPr="006A4BCA">
        <w:rPr>
          <w:rFonts w:ascii="Times New Roman" w:eastAsia="Tahoma" w:hAnsi="Times New Roman" w:cs="Times New Roman"/>
          <w:sz w:val="24"/>
          <w:szCs w:val="24"/>
        </w:rPr>
        <w:t>, dispone, en el numeral 1 de su artículo 6 que “Los Estados Partes en el presente Pacto reconocen el derecho a trabajar, que comprende el derecho de toda persona a tener la oportunidad de ganarse la vida mediante un trabajo libremente escogido o aceptado, y tomarán medidas adecuadas para garantizar este derecho”. Además, el Protocolo Adicional a la Convención Americana sobre Derechos Humanos en Materia de Derechos Económicos, Sociales y Culturales</w:t>
      </w:r>
      <w:r w:rsidRPr="006A4BCA">
        <w:rPr>
          <w:rFonts w:ascii="Times New Roman" w:eastAsia="Tahoma" w:hAnsi="Times New Roman" w:cs="Times New Roman"/>
          <w:sz w:val="24"/>
          <w:szCs w:val="24"/>
          <w:vertAlign w:val="superscript"/>
        </w:rPr>
        <w:t>3</w:t>
      </w:r>
      <w:r w:rsidRPr="006A4BCA">
        <w:rPr>
          <w:rFonts w:ascii="Times New Roman" w:eastAsia="Tahoma" w:hAnsi="Times New Roman" w:cs="Times New Roman"/>
          <w:sz w:val="24"/>
          <w:szCs w:val="24"/>
        </w:rPr>
        <w:t xml:space="preserve"> (Protocolo de San Salvador), en el numeral 1 de su artículo 6 establece que “Toda persona tiene derecho al trabajo, el cual incluye la oportunidad de obtener los medios para llevar una vida digna y decorosa a través del desempeño de una actividad lícita libremente escogida o aceptada”.</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nuestro país, a nivel federal, el derecho al trabajo se encuentra reconocido en la Constitución Política de los Estados Unidos Mexicanos, cuyo primer párrafo de su artículo 123 establece que “Toda persona tiene derecho al trabajo digno y socialmente útil; al efecto, se promoverán la creación de empleos y la organización social de trabajo, conforme a la ley”. Por su parte, en el Estado de México, nuestra Constitución Local, también reconoce dicho derecho, tal como se establece en el vigésimo párrafo de su artículo 5 al señalar que “Toda persona tiene derecho a un trabajo digno. …”.</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A pesar de lo anterior, aún existen barreras que limitan el acceso y permanencia en el mercado laboral de distintos grupos en situación de vulnerabilidad, especialmente de las personas con discapacidad, ya que estas se enfrentan a estigmas y prejuicios, falta de adecuaciones en los centros de trabajo, formación insuficiente o inaccesible, transporte y comunicaciones deficientes, sumado a la falta de incentivos económicos para los empleadores.</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0"/>
          <w:szCs w:val="24"/>
        </w:rPr>
      </w:pPr>
      <w:r w:rsidRPr="006A4BCA">
        <w:rPr>
          <w:rFonts w:ascii="Times New Roman" w:eastAsia="Tahoma" w:hAnsi="Times New Roman" w:cs="Times New Roman"/>
          <w:sz w:val="20"/>
          <w:szCs w:val="24"/>
          <w:vertAlign w:val="superscript"/>
        </w:rPr>
        <w:t>1</w:t>
      </w:r>
      <w:r w:rsidRPr="006A4BCA">
        <w:rPr>
          <w:rFonts w:ascii="Times New Roman" w:eastAsia="Tahoma" w:hAnsi="Times New Roman" w:cs="Times New Roman"/>
          <w:sz w:val="20"/>
          <w:szCs w:val="24"/>
        </w:rPr>
        <w:t xml:space="preserve"> ONU.</w:t>
      </w:r>
      <w:r w:rsidRPr="006A4BCA">
        <w:rPr>
          <w:rFonts w:ascii="Times New Roman" w:eastAsia="Tahoma" w:hAnsi="Times New Roman" w:cs="Times New Roman"/>
          <w:sz w:val="20"/>
          <w:szCs w:val="24"/>
        </w:rPr>
        <w:tab/>
        <w:t>(s/f). Declaración Universal de Derechos Humanos. Consultado en: https://</w:t>
      </w:r>
      <w:hyperlink r:id="rId23">
        <w:r w:rsidRPr="006A4BCA">
          <w:rPr>
            <w:rFonts w:ascii="Times New Roman" w:eastAsia="Tahoma" w:hAnsi="Times New Roman" w:cs="Times New Roman"/>
            <w:sz w:val="20"/>
            <w:szCs w:val="24"/>
          </w:rPr>
          <w:t>www.ohchr.org/EN/UDHR/Documents/UDHR_Translations/spn.pdf</w:t>
        </w:r>
      </w:hyperlink>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0"/>
          <w:szCs w:val="24"/>
        </w:rPr>
      </w:pPr>
      <w:r w:rsidRPr="006A4BCA">
        <w:rPr>
          <w:rFonts w:ascii="Times New Roman" w:eastAsia="Tahoma" w:hAnsi="Times New Roman" w:cs="Times New Roman"/>
          <w:sz w:val="20"/>
          <w:szCs w:val="24"/>
          <w:vertAlign w:val="superscript"/>
        </w:rPr>
        <w:t>2</w:t>
      </w:r>
      <w:r w:rsidRPr="006A4BCA">
        <w:rPr>
          <w:rFonts w:ascii="Times New Roman" w:eastAsia="Tahoma" w:hAnsi="Times New Roman" w:cs="Times New Roman"/>
          <w:sz w:val="20"/>
          <w:szCs w:val="24"/>
        </w:rPr>
        <w:t xml:space="preserve"> ONU. (s/f). Pacto Internacional de Derechos Económicos, Sociales y Culturales. Consultado en: https://</w:t>
      </w:r>
      <w:hyperlink r:id="rId24">
        <w:r w:rsidRPr="006A4BCA">
          <w:rPr>
            <w:rFonts w:ascii="Times New Roman" w:eastAsia="Tahoma" w:hAnsi="Times New Roman" w:cs="Times New Roman"/>
            <w:sz w:val="20"/>
            <w:szCs w:val="24"/>
          </w:rPr>
          <w:t>www.ohchr.org/es/instruments-mechanisms/instruments/international-covenant-economic-social-and-</w:t>
        </w:r>
      </w:hyperlink>
      <w:r w:rsidRPr="006A4BCA">
        <w:rPr>
          <w:rFonts w:ascii="Times New Roman" w:eastAsia="Tahoma" w:hAnsi="Times New Roman" w:cs="Times New Roman"/>
          <w:sz w:val="20"/>
          <w:szCs w:val="24"/>
        </w:rPr>
        <w:t xml:space="preserve"> cultural-rights</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0"/>
          <w:szCs w:val="24"/>
        </w:rPr>
      </w:pPr>
      <w:r w:rsidRPr="006A4BCA">
        <w:rPr>
          <w:rFonts w:ascii="Times New Roman" w:eastAsia="Tahoma" w:hAnsi="Times New Roman" w:cs="Times New Roman"/>
          <w:sz w:val="20"/>
          <w:szCs w:val="24"/>
          <w:vertAlign w:val="superscript"/>
        </w:rPr>
        <w:t>3</w:t>
      </w:r>
      <w:r w:rsidRPr="006A4BCA">
        <w:rPr>
          <w:rFonts w:ascii="Times New Roman" w:eastAsia="Tahoma" w:hAnsi="Times New Roman" w:cs="Times New Roman"/>
          <w:sz w:val="20"/>
          <w:szCs w:val="24"/>
        </w:rPr>
        <w:t xml:space="preserve"> OAS. (s/f). Protocolo Adicional a la Convención Americana sobre Derechos Humanos en Materia de Derechos Económicos, Sociales y Culturales. Consultado en: https://</w:t>
      </w:r>
      <w:hyperlink r:id="rId25">
        <w:r w:rsidRPr="006A4BCA">
          <w:rPr>
            <w:rFonts w:ascii="Times New Roman" w:eastAsia="Tahoma" w:hAnsi="Times New Roman" w:cs="Times New Roman"/>
            <w:sz w:val="20"/>
            <w:szCs w:val="24"/>
          </w:rPr>
          <w:t>www.oas.org/juridico/spanish/Tratados/a-52.html</w:t>
        </w:r>
      </w:hyperlink>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Si bien en nuestro país y en nuestra entidad existen avances legislativos importantes en materia de inclusión laboral de las personas que viven con alguna discapacidad, la tasa de empleo de estas sigue siendo significativamente menor que la de la población general. De acuerdo con el Instituto Nacional de Estadística y Geografía (INEGI)</w:t>
      </w:r>
      <w:r w:rsidRPr="006A4BCA">
        <w:rPr>
          <w:rFonts w:ascii="Times New Roman" w:eastAsia="Tahoma" w:hAnsi="Times New Roman" w:cs="Times New Roman"/>
          <w:sz w:val="24"/>
          <w:szCs w:val="24"/>
          <w:vertAlign w:val="superscript"/>
        </w:rPr>
        <w:t>4</w:t>
      </w:r>
      <w:r w:rsidRPr="006A4BCA">
        <w:rPr>
          <w:rFonts w:ascii="Times New Roman" w:eastAsia="Tahoma" w:hAnsi="Times New Roman" w:cs="Times New Roman"/>
          <w:sz w:val="24"/>
          <w:szCs w:val="24"/>
        </w:rPr>
        <w:t>, en 2023, la tasa de participación económica de la población de 15 años y más sin discapacidad fue de 68.0%, cifra superior a la tasa de la población con discapacidad, que fue del 40.6%. Por su parte, la Encuesta Nacional de Ingresos y Gastos de los Hogares (ENIGH) 2024</w:t>
      </w:r>
      <w:r w:rsidRPr="006A4BCA">
        <w:rPr>
          <w:rFonts w:ascii="Times New Roman" w:eastAsia="Tahoma" w:hAnsi="Times New Roman" w:cs="Times New Roman"/>
          <w:sz w:val="24"/>
          <w:szCs w:val="24"/>
          <w:vertAlign w:val="superscript"/>
        </w:rPr>
        <w:t>5</w:t>
      </w:r>
      <w:r w:rsidRPr="006A4BCA">
        <w:rPr>
          <w:rFonts w:ascii="Times New Roman" w:eastAsia="Tahoma" w:hAnsi="Times New Roman" w:cs="Times New Roman"/>
          <w:sz w:val="24"/>
          <w:szCs w:val="24"/>
        </w:rPr>
        <w:t xml:space="preserve"> señaló que, en 2023, 102 mil 285 unidades económicas emplearon a personas con discapacidad.</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Lo anterior cobra una mayor relevancia ya que, de acuerdo con la ENIGH 2024, en México había, en ese año, 130.3 millones de personas, de las cuales el 7.3% tenía alguna discapacidad, es decir, 9.5 millones de personas; siendo 53.4% mujeres y el 46.6% hombres. Respecto del rango de edad, poco más de la mitad de la población con discapacidad tenía 60 años o más con el 50.9%, seguido de la población de infantes y jóvenes registró los porcentajes más bajos: 7.8 y 9.3% respectivamente.</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 xml:space="preserve">En nuestra entidad, de acuerdo con el Censo de Población y Vivienda 2020 del Instituto Nacional de Estadística y Geografía (INEGI), el 16.4% de la población padece alguna limitación, </w:t>
      </w:r>
      <w:r w:rsidRPr="006A4BCA">
        <w:rPr>
          <w:rFonts w:ascii="Times New Roman" w:eastAsia="Tahoma" w:hAnsi="Times New Roman" w:cs="Times New Roman"/>
          <w:sz w:val="24"/>
          <w:szCs w:val="24"/>
        </w:rPr>
        <w:lastRenderedPageBreak/>
        <w:t>discapacidad o algún problema o condición mental que le limita para realizar sus actividades cotidianas, de las cuales, el 53.3% son mujeres y el 46.7% son hombres</w:t>
      </w:r>
      <w:r w:rsidRPr="006A4BCA">
        <w:rPr>
          <w:rFonts w:ascii="Times New Roman" w:eastAsia="Tahoma" w:hAnsi="Times New Roman" w:cs="Times New Roman"/>
          <w:sz w:val="24"/>
          <w:szCs w:val="24"/>
          <w:vertAlign w:val="superscript"/>
        </w:rPr>
        <w:t>6</w:t>
      </w:r>
      <w:r w:rsidRPr="006A4BCA">
        <w:rPr>
          <w:rFonts w:ascii="Times New Roman" w:eastAsia="Tahoma" w:hAnsi="Times New Roman" w:cs="Times New Roman"/>
          <w:sz w:val="24"/>
          <w:szCs w:val="24"/>
        </w:rPr>
        <w:t>.</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Las desventajas que viven las personas con discapacidad han generado que, de acuerdo con el Informe de la pobreza Multidimensional en México, 2022, elaborado por el Consejo Nacional de Evaluación de la Política de Desarrollo Social (CONEVAL)</w:t>
      </w:r>
      <w:r w:rsidRPr="006A4BCA">
        <w:rPr>
          <w:rFonts w:ascii="Times New Roman" w:eastAsia="Tahoma" w:hAnsi="Times New Roman" w:cs="Times New Roman"/>
          <w:sz w:val="24"/>
          <w:szCs w:val="24"/>
          <w:vertAlign w:val="superscript"/>
        </w:rPr>
        <w:t>7</w:t>
      </w:r>
      <w:r w:rsidRPr="006A4BCA">
        <w:rPr>
          <w:rFonts w:ascii="Times New Roman" w:eastAsia="Tahoma" w:hAnsi="Times New Roman" w:cs="Times New Roman"/>
          <w:sz w:val="24"/>
          <w:szCs w:val="24"/>
        </w:rPr>
        <w:t>, “del total de la población con discapacidad para 2022, el 41.2% (3.6 millones) se encontraban en situación de pobreza; de entre los cuales, 33.1% se hallaban en pobreza moderada y 8.1% en pobreza extrema (2.9 y 0.7 millones de personas, respectivamente)”.</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0"/>
          <w:szCs w:val="24"/>
        </w:rPr>
      </w:pPr>
      <w:r w:rsidRPr="006A4BCA">
        <w:rPr>
          <w:rFonts w:ascii="Times New Roman" w:eastAsia="Tahoma" w:hAnsi="Times New Roman" w:cs="Times New Roman"/>
          <w:sz w:val="20"/>
          <w:szCs w:val="24"/>
          <w:vertAlign w:val="superscript"/>
        </w:rPr>
        <w:t>4</w:t>
      </w:r>
      <w:r w:rsidRPr="006A4BCA">
        <w:rPr>
          <w:rFonts w:ascii="Times New Roman" w:eastAsia="Tahoma" w:hAnsi="Times New Roman" w:cs="Times New Roman"/>
          <w:sz w:val="20"/>
          <w:szCs w:val="24"/>
        </w:rPr>
        <w:t xml:space="preserve"> INEGI. (28 de noviembre de 2024). Estadísticas a propósito del Día Internacional de las Personas con Discapacidad (3 de diciembre). Consultado en: https://</w:t>
      </w:r>
      <w:hyperlink r:id="rId26">
        <w:r w:rsidRPr="006A4BCA">
          <w:rPr>
            <w:rFonts w:ascii="Times New Roman" w:eastAsia="Tahoma" w:hAnsi="Times New Roman" w:cs="Times New Roman"/>
            <w:sz w:val="20"/>
            <w:szCs w:val="24"/>
          </w:rPr>
          <w:t>www.inegi.org.mx/contenidos/saladeprensa/aproposito/2024/EAP_PCD24.pdf</w:t>
        </w:r>
      </w:hyperlink>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0"/>
          <w:szCs w:val="24"/>
        </w:rPr>
      </w:pPr>
      <w:r w:rsidRPr="006A4BCA">
        <w:rPr>
          <w:rFonts w:ascii="Times New Roman" w:eastAsia="Tahoma" w:hAnsi="Times New Roman" w:cs="Times New Roman"/>
          <w:sz w:val="20"/>
          <w:szCs w:val="24"/>
          <w:vertAlign w:val="superscript"/>
        </w:rPr>
        <w:t>5</w:t>
      </w:r>
      <w:r w:rsidRPr="006A4BCA">
        <w:rPr>
          <w:rFonts w:ascii="Times New Roman" w:eastAsia="Tahoma" w:hAnsi="Times New Roman" w:cs="Times New Roman"/>
          <w:sz w:val="20"/>
          <w:szCs w:val="24"/>
        </w:rPr>
        <w:t xml:space="preserve"> INEGI. (1º de diciembre de 2025). Estadísticas a propósito del Día Internacional de las Personas con Discapacidad</w:t>
      </w:r>
      <w:r w:rsidRPr="006A4BCA">
        <w:rPr>
          <w:rFonts w:ascii="Times New Roman" w:eastAsia="Tahoma" w:hAnsi="Times New Roman" w:cs="Times New Roman"/>
          <w:sz w:val="20"/>
          <w:szCs w:val="24"/>
        </w:rPr>
        <w:tab/>
        <w:t>(3</w:t>
      </w:r>
      <w:r w:rsidRPr="006A4BCA">
        <w:rPr>
          <w:rFonts w:ascii="Times New Roman" w:eastAsia="Tahoma" w:hAnsi="Times New Roman" w:cs="Times New Roman"/>
          <w:sz w:val="20"/>
          <w:szCs w:val="24"/>
        </w:rPr>
        <w:tab/>
        <w:t>de</w:t>
      </w:r>
      <w:r w:rsidRPr="006A4BCA">
        <w:rPr>
          <w:rFonts w:ascii="Times New Roman" w:eastAsia="Tahoma" w:hAnsi="Times New Roman" w:cs="Times New Roman"/>
          <w:sz w:val="20"/>
          <w:szCs w:val="24"/>
        </w:rPr>
        <w:tab/>
        <w:t>diciembre).</w:t>
      </w:r>
      <w:r w:rsidRPr="006A4BCA">
        <w:rPr>
          <w:rFonts w:ascii="Times New Roman" w:eastAsia="Tahoma" w:hAnsi="Times New Roman" w:cs="Times New Roman"/>
          <w:sz w:val="20"/>
          <w:szCs w:val="24"/>
        </w:rPr>
        <w:tab/>
        <w:t>Consultado</w:t>
      </w:r>
      <w:r w:rsidRPr="006A4BCA">
        <w:rPr>
          <w:rFonts w:ascii="Times New Roman" w:eastAsia="Tahoma" w:hAnsi="Times New Roman" w:cs="Times New Roman"/>
          <w:sz w:val="20"/>
          <w:szCs w:val="24"/>
        </w:rPr>
        <w:tab/>
        <w:t>en: https://</w:t>
      </w:r>
      <w:hyperlink r:id="rId27">
        <w:r w:rsidRPr="006A4BCA">
          <w:rPr>
            <w:rFonts w:ascii="Times New Roman" w:eastAsia="Tahoma" w:hAnsi="Times New Roman" w:cs="Times New Roman"/>
            <w:sz w:val="20"/>
            <w:szCs w:val="24"/>
          </w:rPr>
          <w:t>www.inegi.org.mx/contenidos/saladeprensa/aproposito/2025/EAP_PersDiscap_25.pdf</w:t>
        </w:r>
      </w:hyperlink>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0"/>
          <w:szCs w:val="24"/>
        </w:rPr>
      </w:pPr>
      <w:r w:rsidRPr="006A4BCA">
        <w:rPr>
          <w:rFonts w:ascii="Times New Roman" w:eastAsia="Tahoma" w:hAnsi="Times New Roman" w:cs="Times New Roman"/>
          <w:sz w:val="20"/>
          <w:szCs w:val="24"/>
          <w:vertAlign w:val="superscript"/>
        </w:rPr>
        <w:t>6</w:t>
      </w:r>
      <w:r w:rsidRPr="006A4BCA">
        <w:rPr>
          <w:rFonts w:ascii="Times New Roman" w:eastAsia="Tahoma" w:hAnsi="Times New Roman" w:cs="Times New Roman"/>
          <w:sz w:val="20"/>
          <w:szCs w:val="24"/>
        </w:rPr>
        <w:t xml:space="preserve"> Aguilar, A. (2 de diciembre de 2023). Más del 16% de la población del Edomex padece alguna discapacidad. El Sol de Toluca. Consultado en: https://oem.com.mx/elsoldetoluca/local/mas-del-16-de-la-poblacion-del- estado-de-mexico-padece-alguna-discapacidad-13041027</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0"/>
          <w:szCs w:val="24"/>
        </w:rPr>
      </w:pPr>
      <w:r w:rsidRPr="006A4BCA">
        <w:rPr>
          <w:rFonts w:ascii="Times New Roman" w:eastAsia="Tahoma" w:hAnsi="Times New Roman" w:cs="Times New Roman"/>
          <w:sz w:val="20"/>
          <w:szCs w:val="24"/>
          <w:vertAlign w:val="superscript"/>
        </w:rPr>
        <w:t>7</w:t>
      </w:r>
      <w:r w:rsidRPr="006A4BCA">
        <w:rPr>
          <w:rFonts w:ascii="Times New Roman" w:eastAsia="Tahoma" w:hAnsi="Times New Roman" w:cs="Times New Roman"/>
          <w:sz w:val="20"/>
          <w:szCs w:val="24"/>
        </w:rPr>
        <w:t xml:space="preserve"> CONEVAL. (enero de 2025). Informe de la pobreza multidimensional en México, 2022. Consultado en: https://</w:t>
      </w:r>
      <w:hyperlink r:id="rId28">
        <w:r w:rsidRPr="006A4BCA">
          <w:rPr>
            <w:rFonts w:ascii="Times New Roman" w:eastAsia="Tahoma" w:hAnsi="Times New Roman" w:cs="Times New Roman"/>
            <w:sz w:val="20"/>
            <w:szCs w:val="24"/>
          </w:rPr>
          <w:t>www.coneval.org.mx/InformesPublicaciones/Documents/Pobreza_Multidimensional_2022.pdf</w:t>
        </w:r>
      </w:hyperlink>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cuanto a las desventajas que existen para este sector en el Estado de México, podemos citar, a manera de ejemplo que, de acuerdo con la Secretaría del Bienestar, de las 95 mil 119 personas con discapacidad para caminar que viven en la entidad, el 48% viven en condición de pobreza, es decir, 45 mil 748 personas, además, “el rezago educativo de este sector de la población es de 37%, mientras que en el resto de la sociedad mexiquense es 12.9%, respecto a la carencia por acceso a la alimentación presentan 27.9 %, el total de la entidad es de 19.8 %”</w:t>
      </w:r>
      <w:r w:rsidRPr="006A4BCA">
        <w:rPr>
          <w:rFonts w:ascii="Times New Roman" w:eastAsia="Tahoma" w:hAnsi="Times New Roman" w:cs="Times New Roman"/>
          <w:sz w:val="24"/>
          <w:szCs w:val="24"/>
          <w:vertAlign w:val="superscript"/>
        </w:rPr>
        <w:t>8</w:t>
      </w:r>
      <w:r w:rsidRPr="006A4BCA">
        <w:rPr>
          <w:rFonts w:ascii="Times New Roman" w:eastAsia="Tahoma" w:hAnsi="Times New Roman" w:cs="Times New Roman"/>
          <w:sz w:val="24"/>
          <w:szCs w:val="24"/>
        </w:rPr>
        <w:t>.</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este sentido, se vuelve indispensable integrar a las personas con discapacidad al sector laboral de nuestra entidad, siendo una de las principales estrategias para ello, el otorgamiento de estímulos fiscales a las empresas que contratan a este grupo de la población, ya que esta inclusión permite que no solo se beneficie a las personas con discapacidad, sino que también a las empresas.</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México, a nivel federal, los incentivos fiscales para la inclusión en el mercado laboral de las personas con discapacidad se contemplan en la Ley del Impuesto sobre la Renta (ISR). De esta forma, su artículo 34 establece que podrán hacerse deducciones del 100% para adaptaciones hechas a las instalaciones de las empresas que impliquen mejoras en favor de las personas con discapacidad, lo que les permite contar con espacios accesibles garantizando un entorno laboral inclusivo y funcional.</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 xml:space="preserve">Por su parte, el artículo 186 de la misma Ley establece que “Se otorga un estímulo fiscal a los contribuyentes, personas físicas o morales del impuesto sobre la renta, que empleen a personas que padezcan discapacidad motriz, que para superarla requieran usar permanentemente prótesis, muletas o sillas de ruedas; mental; auditiva o de lenguaje, en un ochenta por ciento o más de la capacidad normal o tratándose de invidentes”. Además, señala, respecto de las personas con discapacidad que “El estímulo fiscal consiste en poder deducir de los ingresos acumulables del contribuyente para los efectos del impuesto sobre la renta por el ejercicio fiscal correspondiente, un monto equivalente al 25% del salario efectivamente pagado a las personas antes señaladas”. Cabe mencionar que el mismo artículo señala que la deducción mencionada se podrá aplicar siempre que se cuente con un certificado de discapacidad emitido por el Instituto Mexicano del </w:t>
      </w:r>
      <w:r w:rsidRPr="006A4BCA">
        <w:rPr>
          <w:rFonts w:ascii="Times New Roman" w:eastAsia="Tahoma" w:hAnsi="Times New Roman" w:cs="Times New Roman"/>
          <w:sz w:val="24"/>
          <w:szCs w:val="24"/>
        </w:rPr>
        <w:lastRenderedPageBreak/>
        <w:t>Seguro Social (IMSS).</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0"/>
          <w:szCs w:val="24"/>
        </w:rPr>
      </w:pPr>
      <w:r w:rsidRPr="006A4BCA">
        <w:rPr>
          <w:rFonts w:ascii="Times New Roman" w:eastAsia="Tahoma" w:hAnsi="Times New Roman" w:cs="Times New Roman"/>
          <w:sz w:val="20"/>
          <w:szCs w:val="24"/>
          <w:vertAlign w:val="superscript"/>
        </w:rPr>
        <w:t>8</w:t>
      </w:r>
      <w:r w:rsidRPr="006A4BCA">
        <w:rPr>
          <w:rFonts w:ascii="Times New Roman" w:eastAsia="Tahoma" w:hAnsi="Times New Roman" w:cs="Times New Roman"/>
          <w:sz w:val="20"/>
          <w:szCs w:val="24"/>
        </w:rPr>
        <w:t xml:space="preserve"> Moreno, A. (20 de febrero de 2025). Viven en condición de pobreza 48% de personas con discapacidad en el Edomex. El Universal. Consultado en: https://</w:t>
      </w:r>
      <w:hyperlink r:id="rId29">
        <w:r w:rsidRPr="006A4BCA">
          <w:rPr>
            <w:rFonts w:ascii="Times New Roman" w:eastAsia="Tahoma" w:hAnsi="Times New Roman" w:cs="Times New Roman"/>
            <w:sz w:val="20"/>
            <w:szCs w:val="24"/>
          </w:rPr>
          <w:t>www.eluniversaledomex.com.mx/valle-de-toluca/viven-en-</w:t>
        </w:r>
      </w:hyperlink>
      <w:r w:rsidRPr="006A4BCA">
        <w:rPr>
          <w:rFonts w:ascii="Times New Roman" w:eastAsia="Tahoma" w:hAnsi="Times New Roman" w:cs="Times New Roman"/>
          <w:sz w:val="20"/>
          <w:szCs w:val="24"/>
        </w:rPr>
        <w:t xml:space="preserve"> condicion-de-pobreza-48-de-personas-con-discapacidad-en-el-edomex/#:~:text=Toluca,%20Méx.,,%20moverse,%20pensar%20y%20hablar.</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el Estado de México contamos con una legislación especializada en la materia, la Ley para la Inclusión de las Personas con Discapacidad del Estado De México, publicada en la Gaceta del Gobierno el 17 de abril de 2024, tiene por objeto “respetar, promover, proteger y garantizar el pleno ejercicio de los derechos y libertades fundamentales de las personas con discapacidad, dentro de un marco de respeto, igualdad de oportunidades, dignidad, perspectiva de género, interculturalidad, interseccionalidad y transversalidad, para su plena inclusión, accesibilidad, participación autónoma, y desarrollo en todos los ámbitos de la vida” de acuerdo con lo establecido en su artículo 1.</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Aunado a lo establecido en la citada Ley de Inclusión, el Código Financiero del Estado de México y Municipios señala, respecto al Impuesto sobre Erogaciones por Remuneraciones al Trabajo Persona, que no se pagara dicho impuesto, entre otros, por concepto de “Pagos a personas discapacitadas o con enfermedades en estado terminal, crónicas o degenerativas, que les impida o limite el desempeño o desarrollo en forma habitual de sus funciones en un trabajo, conforme a las reglas que al efecto emita la Secretaría”, conforme a lo dispuesto en la fracción VIII de su artículo 59.</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A pesar de lo dispuesto en nuestros diversos ordenamientos jurídicos, en nuestra entidad aún hace falta apoyar a las empresas que apuestan por contratar a personas con discapacidad, especialmente a aquellas que crean puestos laborales para ellas. Para este año, la Ley de Ingresos del Estado de México para el Ejercicio Fiscal 2026 establece, en su artículo 11, diversos estímulos fiscales con el fin de incentivar la creación de plazas laborales, incluidas aquellas dirigidas a personas de grupos vulnerables, lo anterior al obtener una bonificación adicional del 100%:</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numPr>
          <w:ilvl w:val="0"/>
          <w:numId w:val="48"/>
        </w:numPr>
        <w:autoSpaceDE w:val="0"/>
        <w:autoSpaceDN w:val="0"/>
        <w:spacing w:after="0" w:line="240" w:lineRule="auto"/>
        <w:ind w:left="0" w:firstLine="0"/>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Por 36 meses para quienes generen empleos en 2026 destinados a personas trabajadoras de 60 años o más.</w:t>
      </w:r>
    </w:p>
    <w:p w:rsidR="001B6B33" w:rsidRPr="006A4BCA" w:rsidRDefault="001B6B33" w:rsidP="001B6B33">
      <w:pPr>
        <w:widowControl w:val="0"/>
        <w:numPr>
          <w:ilvl w:val="0"/>
          <w:numId w:val="48"/>
        </w:numPr>
        <w:autoSpaceDE w:val="0"/>
        <w:autoSpaceDN w:val="0"/>
        <w:spacing w:after="0" w:line="240" w:lineRule="auto"/>
        <w:ind w:left="0" w:firstLine="0"/>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Por 24 meses para quienes que contraten por primera vez a personas que ingresan al mercado laboral, pertenecientes a comunidades indígenas, liberadas bajo la Ley de Amnistía, trabajadoras del hogar o repatriadas.</w:t>
      </w:r>
    </w:p>
    <w:p w:rsidR="001B6B33" w:rsidRPr="006A4BCA" w:rsidRDefault="001B6B33" w:rsidP="001B6B33">
      <w:pPr>
        <w:widowControl w:val="0"/>
        <w:numPr>
          <w:ilvl w:val="0"/>
          <w:numId w:val="48"/>
        </w:numPr>
        <w:autoSpaceDE w:val="0"/>
        <w:autoSpaceDN w:val="0"/>
        <w:spacing w:after="0" w:line="240" w:lineRule="auto"/>
        <w:ind w:left="0" w:firstLine="0"/>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A mujeres jefas de familia titulares de unidades económicas con hasta tres empleados.</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todos los casos, siempre y cuando se cumpla con los requisitos específicos establecidos en las Reglas de Carácter General que la Secretaría de Finanzas emita y publique en la Gaceta del Gobierno.</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este orden de ideas, los incentivos fiscales son herramientas eficaces para la creación, contratación y adopción de puestos de trabajo, especialmente en pequeñas y medianas empresas que enfrentan restricciones financieras, de las personas con discapacidad.</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 xml:space="preserve">Así, la inclusión laboral de las personas con discapacidad requiere una estrategia integral donde los estímulos fiscales juegan un papel central para acelerar la contratación y facilitar la adaptación empresarial. Bien diseñados —condicionados a la permanencia, combinados con apoyo técnico y </w:t>
      </w:r>
      <w:r w:rsidRPr="006A4BCA">
        <w:rPr>
          <w:rFonts w:ascii="Times New Roman" w:eastAsia="Tahoma" w:hAnsi="Times New Roman" w:cs="Times New Roman"/>
          <w:sz w:val="24"/>
          <w:szCs w:val="24"/>
        </w:rPr>
        <w:lastRenderedPageBreak/>
        <w:t>evaluados periódicamente— estos incentivos pueden convertir una obligación social en una ventaja competitiva y económica, beneficiando tanto a las personas con discapacidad como al conjunto de la sociedad.</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La contratación de personas con discapacidad aporta ventajas concretas:</w:t>
      </w:r>
    </w:p>
    <w:p w:rsidR="001B6B33" w:rsidRPr="006A4BCA" w:rsidRDefault="001B6B33" w:rsidP="001B6B33">
      <w:pPr>
        <w:widowControl w:val="0"/>
        <w:numPr>
          <w:ilvl w:val="0"/>
          <w:numId w:val="47"/>
        </w:numPr>
        <w:autoSpaceDE w:val="0"/>
        <w:autoSpaceDN w:val="0"/>
        <w:spacing w:after="0" w:line="240" w:lineRule="auto"/>
        <w:ind w:left="0" w:firstLine="0"/>
        <w:rPr>
          <w:rFonts w:ascii="Times New Roman" w:eastAsia="Tahoma" w:hAnsi="Times New Roman" w:cs="Times New Roman"/>
          <w:sz w:val="24"/>
          <w:szCs w:val="24"/>
        </w:rPr>
      </w:pPr>
      <w:r w:rsidRPr="006A4BCA">
        <w:rPr>
          <w:rFonts w:ascii="Times New Roman" w:eastAsia="Tahoma" w:hAnsi="Times New Roman" w:cs="Times New Roman"/>
          <w:sz w:val="24"/>
          <w:szCs w:val="24"/>
        </w:rPr>
        <w:t>Diversidad y resiliencia organizacional: equipos heterogéneos tienden a ser más creativos y adaptables.</w:t>
      </w:r>
    </w:p>
    <w:p w:rsidR="001B6B33" w:rsidRPr="006A4BCA" w:rsidRDefault="001B6B33" w:rsidP="001B6B33">
      <w:pPr>
        <w:widowControl w:val="0"/>
        <w:numPr>
          <w:ilvl w:val="0"/>
          <w:numId w:val="47"/>
        </w:numPr>
        <w:autoSpaceDE w:val="0"/>
        <w:autoSpaceDN w:val="0"/>
        <w:spacing w:after="0" w:line="240" w:lineRule="auto"/>
        <w:ind w:left="0" w:firstLine="0"/>
        <w:rPr>
          <w:rFonts w:ascii="Times New Roman" w:eastAsia="Tahoma" w:hAnsi="Times New Roman" w:cs="Times New Roman"/>
          <w:sz w:val="24"/>
          <w:szCs w:val="24"/>
        </w:rPr>
      </w:pPr>
      <w:r w:rsidRPr="006A4BCA">
        <w:rPr>
          <w:rFonts w:ascii="Times New Roman" w:eastAsia="Tahoma" w:hAnsi="Times New Roman" w:cs="Times New Roman"/>
          <w:sz w:val="24"/>
          <w:szCs w:val="24"/>
        </w:rPr>
        <w:t>Mayor fidelidad y menor rotación: estudios muestran que empleados con discapacidad suelen tener tasas de permanencia más altas.</w:t>
      </w:r>
    </w:p>
    <w:p w:rsidR="001B6B33" w:rsidRPr="006A4BCA" w:rsidRDefault="001B6B33" w:rsidP="001B6B33">
      <w:pPr>
        <w:widowControl w:val="0"/>
        <w:numPr>
          <w:ilvl w:val="0"/>
          <w:numId w:val="47"/>
        </w:numPr>
        <w:autoSpaceDE w:val="0"/>
        <w:autoSpaceDN w:val="0"/>
        <w:spacing w:after="0" w:line="240" w:lineRule="auto"/>
        <w:ind w:left="0" w:firstLine="0"/>
        <w:rPr>
          <w:rFonts w:ascii="Times New Roman" w:eastAsia="Tahoma" w:hAnsi="Times New Roman" w:cs="Times New Roman"/>
          <w:sz w:val="24"/>
          <w:szCs w:val="24"/>
        </w:rPr>
      </w:pPr>
      <w:r w:rsidRPr="006A4BCA">
        <w:rPr>
          <w:rFonts w:ascii="Times New Roman" w:eastAsia="Tahoma" w:hAnsi="Times New Roman" w:cs="Times New Roman"/>
          <w:sz w:val="24"/>
          <w:szCs w:val="24"/>
        </w:rPr>
        <w:t>Imagen y reputación empresarial: compromiso con responsabilidad social y cumplimiento normativo.</w:t>
      </w:r>
    </w:p>
    <w:p w:rsidR="001B6B33" w:rsidRPr="006A4BCA" w:rsidRDefault="001B6B33" w:rsidP="001B6B33">
      <w:pPr>
        <w:widowControl w:val="0"/>
        <w:numPr>
          <w:ilvl w:val="0"/>
          <w:numId w:val="47"/>
        </w:numPr>
        <w:autoSpaceDE w:val="0"/>
        <w:autoSpaceDN w:val="0"/>
        <w:spacing w:after="0" w:line="240" w:lineRule="auto"/>
        <w:ind w:left="0" w:firstLine="0"/>
        <w:rPr>
          <w:rFonts w:ascii="Times New Roman" w:eastAsia="Tahoma" w:hAnsi="Times New Roman" w:cs="Times New Roman"/>
          <w:sz w:val="24"/>
          <w:szCs w:val="24"/>
        </w:rPr>
      </w:pPr>
      <w:r w:rsidRPr="006A4BCA">
        <w:rPr>
          <w:rFonts w:ascii="Times New Roman" w:eastAsia="Tahoma" w:hAnsi="Times New Roman" w:cs="Times New Roman"/>
          <w:sz w:val="24"/>
          <w:szCs w:val="24"/>
        </w:rPr>
        <w:t>Ampliación del mercado: productos y servicios diseñados con accesibilidad atraen a más consumidores.</w:t>
      </w:r>
    </w:p>
    <w:p w:rsidR="001B6B33" w:rsidRPr="006A4BCA" w:rsidRDefault="001B6B33" w:rsidP="001B6B33">
      <w:pPr>
        <w:widowControl w:val="0"/>
        <w:numPr>
          <w:ilvl w:val="0"/>
          <w:numId w:val="47"/>
        </w:numPr>
        <w:autoSpaceDE w:val="0"/>
        <w:autoSpaceDN w:val="0"/>
        <w:spacing w:after="0" w:line="240" w:lineRule="auto"/>
        <w:ind w:left="0" w:firstLine="0"/>
        <w:rPr>
          <w:rFonts w:ascii="Times New Roman" w:eastAsia="Tahoma" w:hAnsi="Times New Roman" w:cs="Times New Roman"/>
          <w:sz w:val="24"/>
          <w:szCs w:val="24"/>
        </w:rPr>
      </w:pPr>
      <w:r w:rsidRPr="006A4BCA">
        <w:rPr>
          <w:rFonts w:ascii="Times New Roman" w:eastAsia="Tahoma" w:hAnsi="Times New Roman" w:cs="Times New Roman"/>
          <w:sz w:val="24"/>
          <w:szCs w:val="24"/>
        </w:rPr>
        <w:t>Ahorros a largo plazo para el sistema público: empleo e integración reducen costos en prestaciones y aumentan recaudación fiscal.</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este orden de ideas, la presente iniciativa busca brindar un estímulo mayor a los empleadores para que contraten un mayor número de personas con alguna discapacidad ya que esto no sólo beneficia a este sector de la población, también permite mayor justicia social, además de generar mayores oportunidades para fortalecer la economía y la cohesión social.</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sz w:val="24"/>
          <w:szCs w:val="24"/>
        </w:rPr>
        <w:t>En mérito de las consideraciones planteadas, sometemos a la estimación de la Asamblea la presente iniciativa para que, de estimarla conducente, se apruebe en sus términos, anexando el proyecto de decreto correspondiente.</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b/>
          <w:sz w:val="24"/>
          <w:szCs w:val="24"/>
        </w:rPr>
      </w:pPr>
      <w:r w:rsidRPr="006A4BCA">
        <w:rPr>
          <w:rFonts w:ascii="Times New Roman" w:eastAsia="Tahoma" w:hAnsi="Times New Roman" w:cs="Times New Roman"/>
          <w:b/>
          <w:sz w:val="24"/>
          <w:szCs w:val="24"/>
        </w:rPr>
        <w:t>“Por una Patria Ordenada y Generosa”</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4"/>
      </w:tblGrid>
      <w:tr w:rsidR="001B6B33" w:rsidRPr="006A4BCA" w:rsidTr="001B6B33">
        <w:trPr>
          <w:jc w:val="center"/>
        </w:trPr>
        <w:tc>
          <w:tcPr>
            <w:tcW w:w="4701" w:type="dxa"/>
          </w:tcPr>
          <w:p w:rsidR="001B6B33" w:rsidRPr="006A4BCA" w:rsidRDefault="001B6B33" w:rsidP="001B6B33">
            <w:pPr>
              <w:spacing w:line="240" w:lineRule="auto"/>
              <w:jc w:val="center"/>
              <w:rPr>
                <w:rFonts w:ascii="Times New Roman" w:eastAsia="Tahoma" w:hAnsi="Times New Roman" w:cs="Times New Roman"/>
                <w:b/>
                <w:sz w:val="24"/>
                <w:szCs w:val="24"/>
                <w:lang w:val="es-MX"/>
              </w:rPr>
            </w:pPr>
            <w:r w:rsidRPr="006A4BCA">
              <w:rPr>
                <w:rFonts w:ascii="Times New Roman" w:eastAsia="Tahoma" w:hAnsi="Times New Roman" w:cs="Times New Roman"/>
                <w:b/>
                <w:sz w:val="24"/>
                <w:szCs w:val="24"/>
                <w:lang w:val="es-MX"/>
              </w:rPr>
              <w:t>DIP. ANUAR ROBERTO AZAR FIGUEROA</w:t>
            </w:r>
          </w:p>
        </w:tc>
        <w:tc>
          <w:tcPr>
            <w:tcW w:w="4704" w:type="dxa"/>
          </w:tcPr>
          <w:p w:rsidR="001B6B33" w:rsidRPr="006A4BCA" w:rsidRDefault="001B6B33" w:rsidP="001B6B33">
            <w:pPr>
              <w:spacing w:line="240" w:lineRule="auto"/>
              <w:jc w:val="center"/>
              <w:rPr>
                <w:rFonts w:ascii="Times New Roman" w:eastAsia="Tahoma" w:hAnsi="Times New Roman" w:cs="Times New Roman"/>
                <w:b/>
                <w:sz w:val="24"/>
                <w:szCs w:val="24"/>
                <w:lang w:val="es-MX"/>
              </w:rPr>
            </w:pPr>
            <w:r w:rsidRPr="006A4BCA">
              <w:rPr>
                <w:rFonts w:ascii="Times New Roman" w:eastAsia="Tahoma" w:hAnsi="Times New Roman" w:cs="Times New Roman"/>
                <w:b/>
                <w:sz w:val="24"/>
                <w:szCs w:val="24"/>
                <w:lang w:val="es-MX"/>
              </w:rPr>
              <w:t>DIP. PABLO FERNÁNDEZ DE CEVALLOS GONZÁLEZ.</w:t>
            </w:r>
          </w:p>
        </w:tc>
      </w:tr>
    </w:tbl>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sz w:val="24"/>
          <w:szCs w:val="24"/>
        </w:rPr>
      </w:pPr>
      <w:r w:rsidRPr="006A4BCA">
        <w:rPr>
          <w:rFonts w:ascii="Times New Roman" w:eastAsia="Tahoma" w:hAnsi="Times New Roman" w:cs="Times New Roman"/>
          <w:b/>
          <w:sz w:val="24"/>
          <w:szCs w:val="24"/>
        </w:rPr>
        <w:t>DECRETO No</w:t>
      </w:r>
      <w:r w:rsidRPr="006A4BCA">
        <w:rPr>
          <w:rFonts w:ascii="Times New Roman" w:eastAsia="Tahoma" w:hAnsi="Times New Roman" w:cs="Times New Roman"/>
          <w:sz w:val="24"/>
          <w:szCs w:val="24"/>
          <w:u w:val="thick"/>
        </w:rPr>
        <w:tab/>
      </w: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b/>
          <w:sz w:val="24"/>
          <w:szCs w:val="24"/>
        </w:rPr>
      </w:pPr>
      <w:r w:rsidRPr="006A4BCA">
        <w:rPr>
          <w:rFonts w:ascii="Times New Roman" w:eastAsia="Tahoma" w:hAnsi="Times New Roman" w:cs="Times New Roman"/>
          <w:b/>
          <w:sz w:val="24"/>
          <w:szCs w:val="24"/>
        </w:rPr>
        <w:t>LA LXII LEGISLATURA DEL ESTADO DE MÉXICO</w:t>
      </w: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b/>
          <w:sz w:val="24"/>
          <w:szCs w:val="24"/>
        </w:rPr>
      </w:pPr>
      <w:r w:rsidRPr="006A4BCA">
        <w:rPr>
          <w:rFonts w:ascii="Times New Roman" w:eastAsia="Tahoma" w:hAnsi="Times New Roman" w:cs="Times New Roman"/>
          <w:b/>
          <w:sz w:val="24"/>
          <w:szCs w:val="24"/>
        </w:rPr>
        <w:t>DECRETA:</w:t>
      </w: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b/>
          <w:sz w:val="24"/>
          <w:szCs w:val="24"/>
        </w:rPr>
        <w:t xml:space="preserve">PRIMERO. </w:t>
      </w:r>
      <w:r w:rsidRPr="006A4BCA">
        <w:rPr>
          <w:rFonts w:ascii="Times New Roman" w:eastAsia="Tahoma" w:hAnsi="Times New Roman" w:cs="Times New Roman"/>
          <w:sz w:val="24"/>
          <w:szCs w:val="24"/>
        </w:rPr>
        <w:t>Se adiciona el numeral 3 al inciso B) de la fracción I del artículo 11 de la Ley de Ingresos del Estado de México para el Ejercicio Fiscal 2026, a efecto de quedar como sigue:</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r w:rsidRPr="006A4BCA">
        <w:rPr>
          <w:rFonts w:ascii="Times New Roman" w:eastAsia="Tahoma" w:hAnsi="Times New Roman" w:cs="Times New Roman"/>
          <w:b/>
          <w:sz w:val="24"/>
          <w:szCs w:val="24"/>
        </w:rPr>
        <w:t xml:space="preserve">Artículo 11.- </w:t>
      </w:r>
      <w:r w:rsidRPr="006A4BCA">
        <w:rPr>
          <w:rFonts w:ascii="Times New Roman" w:eastAsia="Tahoma" w:hAnsi="Times New Roman" w:cs="Times New Roman"/>
          <w:sz w:val="24"/>
          <w:szCs w:val="24"/>
        </w:rPr>
        <w:t>…</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r w:rsidRPr="006A4BCA">
        <w:rPr>
          <w:rFonts w:ascii="Times New Roman" w:eastAsia="Tahoma" w:hAnsi="Times New Roman" w:cs="Times New Roman"/>
          <w:sz w:val="24"/>
          <w:szCs w:val="24"/>
        </w:rPr>
        <w:t>I. …</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r w:rsidRPr="006A4BCA">
        <w:rPr>
          <w:rFonts w:ascii="Times New Roman" w:eastAsia="Tahoma" w:hAnsi="Times New Roman" w:cs="Times New Roman"/>
          <w:sz w:val="24"/>
          <w:szCs w:val="24"/>
        </w:rPr>
        <w:t>A) …</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r w:rsidRPr="006A4BCA">
        <w:rPr>
          <w:rFonts w:ascii="Times New Roman" w:eastAsia="Tahoma" w:hAnsi="Times New Roman" w:cs="Times New Roman"/>
          <w:sz w:val="24"/>
          <w:szCs w:val="24"/>
        </w:rPr>
        <w:t>B) …</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r w:rsidRPr="006A4BCA">
        <w:rPr>
          <w:rFonts w:ascii="Times New Roman" w:eastAsia="Tahoma" w:hAnsi="Times New Roman" w:cs="Times New Roman"/>
          <w:sz w:val="24"/>
          <w:szCs w:val="24"/>
        </w:rPr>
        <w:t>1. y 2. …</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r w:rsidRPr="006A4BCA">
        <w:rPr>
          <w:rFonts w:ascii="Times New Roman" w:eastAsia="Tahoma" w:hAnsi="Times New Roman" w:cs="Times New Roman"/>
          <w:b/>
          <w:sz w:val="24"/>
          <w:szCs w:val="24"/>
        </w:rPr>
        <w:t>3. Quienes generen durante el Ejercicio Fiscal 2026, empleos nuevos en el Estado de México para trabajadores con alguna discapacidad.</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r w:rsidRPr="006A4BCA">
        <w:rPr>
          <w:rFonts w:ascii="Times New Roman" w:eastAsia="Tahoma" w:hAnsi="Times New Roman" w:cs="Times New Roman"/>
          <w:sz w:val="24"/>
          <w:szCs w:val="24"/>
        </w:rPr>
        <w:t>C). a la E). …</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r w:rsidRPr="006A4BCA">
        <w:rPr>
          <w:rFonts w:ascii="Times New Roman" w:eastAsia="Tahoma" w:hAnsi="Times New Roman" w:cs="Times New Roman"/>
          <w:sz w:val="24"/>
          <w:szCs w:val="24"/>
        </w:rPr>
        <w:t>II. …</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b/>
          <w:sz w:val="24"/>
          <w:szCs w:val="24"/>
        </w:rPr>
        <w:t xml:space="preserve">SEGUNDO. </w:t>
      </w:r>
      <w:r w:rsidRPr="006A4BCA">
        <w:rPr>
          <w:rFonts w:ascii="Times New Roman" w:eastAsia="Tahoma" w:hAnsi="Times New Roman" w:cs="Times New Roman"/>
          <w:sz w:val="24"/>
          <w:szCs w:val="24"/>
        </w:rPr>
        <w:t>Se reforma el artículo 59 Bis del Código Financiero del Estado de México y Municipios, a efecto de quedar como sigue:</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b/>
          <w:sz w:val="24"/>
          <w:szCs w:val="24"/>
        </w:rPr>
      </w:pPr>
      <w:r w:rsidRPr="006A4BCA">
        <w:rPr>
          <w:rFonts w:ascii="Times New Roman" w:eastAsia="Tahoma" w:hAnsi="Times New Roman" w:cs="Times New Roman"/>
          <w:b/>
          <w:sz w:val="24"/>
          <w:szCs w:val="24"/>
        </w:rPr>
        <w:t>Artículo 59 Bis.- Las personas físicas o jurídico colectivas que empleen a personas que padezcan alguna discapacidad podrán deducir de los ingresos acumulables del contribuyente para los efectos del impuesto sobre erogaciones por remuneraciones al trabajo personal por el ejercicio fiscal correspondiente, un monto equivalente al 25% del salario efectivamente pagado a las personas antes señaladas, siempre que los contribuyentes obtengan el certificado de discapacidad expedido por el Instituto Mexicano del Seguro Social, respecto de los citados trabajadores. Las personas físicas o jurídico colectivas que apliquen los beneficios previstos en este artículo deberán cumplir con las obligaciones contenidas en el artículo 15 de la Ley del Seguro Social.</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jc w:val="center"/>
        <w:rPr>
          <w:rFonts w:ascii="Times New Roman" w:eastAsia="Tahoma" w:hAnsi="Times New Roman" w:cs="Times New Roman"/>
          <w:b/>
          <w:sz w:val="24"/>
          <w:szCs w:val="24"/>
        </w:rPr>
      </w:pPr>
      <w:r w:rsidRPr="006A4BCA">
        <w:rPr>
          <w:rFonts w:ascii="Times New Roman" w:eastAsia="Tahoma" w:hAnsi="Times New Roman" w:cs="Times New Roman"/>
          <w:b/>
          <w:sz w:val="24"/>
          <w:szCs w:val="24"/>
        </w:rPr>
        <w:t>TRANSITORIOS</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r w:rsidRPr="006A4BCA">
        <w:rPr>
          <w:rFonts w:ascii="Times New Roman" w:eastAsia="Tahoma" w:hAnsi="Times New Roman" w:cs="Times New Roman"/>
          <w:b/>
          <w:sz w:val="24"/>
          <w:szCs w:val="24"/>
        </w:rPr>
        <w:t xml:space="preserve">PRIMERO. </w:t>
      </w:r>
      <w:r w:rsidRPr="006A4BCA">
        <w:rPr>
          <w:rFonts w:ascii="Times New Roman" w:eastAsia="Tahoma" w:hAnsi="Times New Roman" w:cs="Times New Roman"/>
          <w:sz w:val="24"/>
          <w:szCs w:val="24"/>
        </w:rPr>
        <w:t>Publíquese el presente decreto en el Periódico Oficial “Gaceta del Gobierno”.</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b/>
          <w:sz w:val="24"/>
          <w:szCs w:val="24"/>
        </w:rPr>
        <w:t xml:space="preserve">SEGUNDO. </w:t>
      </w:r>
      <w:r w:rsidRPr="006A4BCA">
        <w:rPr>
          <w:rFonts w:ascii="Times New Roman" w:eastAsia="Tahoma" w:hAnsi="Times New Roman" w:cs="Times New Roman"/>
          <w:sz w:val="24"/>
          <w:szCs w:val="24"/>
        </w:rPr>
        <w:t>El presente decreto entrará en vigor al día siguiente de su publicación en el Periódico Oficial “Gaceta del Gobierno”.</w:t>
      </w: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sz w:val="24"/>
          <w:szCs w:val="24"/>
        </w:rPr>
      </w:pPr>
      <w:r w:rsidRPr="006A4BCA">
        <w:rPr>
          <w:rFonts w:ascii="Times New Roman" w:eastAsia="Tahoma" w:hAnsi="Times New Roman" w:cs="Times New Roman"/>
          <w:b/>
          <w:sz w:val="24"/>
          <w:szCs w:val="24"/>
        </w:rPr>
        <w:t xml:space="preserve">TERCERO. </w:t>
      </w:r>
      <w:r w:rsidRPr="006A4BCA">
        <w:rPr>
          <w:rFonts w:ascii="Times New Roman" w:eastAsia="Tahoma" w:hAnsi="Times New Roman" w:cs="Times New Roman"/>
          <w:sz w:val="24"/>
          <w:szCs w:val="24"/>
        </w:rPr>
        <w:t>Se derogan las disposiciones de igual o menor jerarquía que se opongan al presente decreto, perdiendo vigor al momento de esta publicación.</w:t>
      </w:r>
    </w:p>
    <w:p w:rsidR="001B6B33" w:rsidRPr="006A4BCA" w:rsidRDefault="001B6B33" w:rsidP="001B6B33">
      <w:pPr>
        <w:widowControl w:val="0"/>
        <w:autoSpaceDE w:val="0"/>
        <w:autoSpaceDN w:val="0"/>
        <w:spacing w:after="0" w:line="240" w:lineRule="auto"/>
        <w:rPr>
          <w:rFonts w:ascii="Times New Roman" w:eastAsia="Tahoma" w:hAnsi="Times New Roman" w:cs="Times New Roman"/>
          <w:sz w:val="24"/>
          <w:szCs w:val="24"/>
        </w:rPr>
      </w:pP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r w:rsidRPr="006A4BCA">
        <w:rPr>
          <w:rFonts w:ascii="Times New Roman" w:eastAsia="Tahoma" w:hAnsi="Times New Roman" w:cs="Times New Roman"/>
          <w:b/>
          <w:sz w:val="24"/>
          <w:szCs w:val="24"/>
        </w:rPr>
        <w:t>Lo tendrá entendido la Gobernadora del Estado, haciendo que se publique y se cumpla.</w:t>
      </w:r>
    </w:p>
    <w:p w:rsidR="001B6B33" w:rsidRPr="006A4BCA" w:rsidRDefault="001B6B33" w:rsidP="001B6B33">
      <w:pPr>
        <w:widowControl w:val="0"/>
        <w:autoSpaceDE w:val="0"/>
        <w:autoSpaceDN w:val="0"/>
        <w:spacing w:after="0" w:line="240" w:lineRule="auto"/>
        <w:rPr>
          <w:rFonts w:ascii="Times New Roman" w:eastAsia="Tahoma" w:hAnsi="Times New Roman" w:cs="Times New Roman"/>
          <w:b/>
          <w:sz w:val="24"/>
          <w:szCs w:val="24"/>
        </w:rPr>
      </w:pPr>
    </w:p>
    <w:p w:rsidR="001B6B33" w:rsidRPr="006A4BCA" w:rsidRDefault="001B6B33" w:rsidP="001B6B33">
      <w:pPr>
        <w:widowControl w:val="0"/>
        <w:autoSpaceDE w:val="0"/>
        <w:autoSpaceDN w:val="0"/>
        <w:spacing w:after="0" w:line="240" w:lineRule="auto"/>
        <w:jc w:val="both"/>
        <w:rPr>
          <w:rFonts w:ascii="Times New Roman" w:eastAsia="Tahoma" w:hAnsi="Times New Roman" w:cs="Times New Roman"/>
          <w:b/>
          <w:sz w:val="24"/>
          <w:szCs w:val="24"/>
        </w:rPr>
      </w:pPr>
      <w:r w:rsidRPr="006A4BCA">
        <w:rPr>
          <w:rFonts w:ascii="Times New Roman" w:eastAsia="Tahoma" w:hAnsi="Times New Roman" w:cs="Times New Roman"/>
          <w:b/>
          <w:sz w:val="24"/>
          <w:szCs w:val="24"/>
        </w:rPr>
        <w:t xml:space="preserve">“DADO EN EL PALACIO DEL PODER LEGISLATIVO, EN LA CIUDAD DE TOLUCA DE LERDO, CAPITAL DEL ESTADO DE MÉXICO, A LOS </w:t>
      </w:r>
      <w:r w:rsidRPr="006A4BCA">
        <w:rPr>
          <w:rFonts w:ascii="Times New Roman" w:eastAsia="Tahoma" w:hAnsi="Times New Roman" w:cs="Times New Roman"/>
          <w:b/>
          <w:sz w:val="24"/>
          <w:szCs w:val="24"/>
        </w:rPr>
        <w:tab/>
      </w:r>
      <w:r w:rsidRPr="006A4BCA">
        <w:rPr>
          <w:rFonts w:ascii="Times New Roman" w:eastAsia="Tahoma" w:hAnsi="Times New Roman" w:cs="Times New Roman"/>
          <w:sz w:val="24"/>
          <w:szCs w:val="24"/>
          <w:u w:val="thick"/>
        </w:rPr>
        <w:tab/>
      </w:r>
      <w:r w:rsidRPr="006A4BCA">
        <w:rPr>
          <w:rFonts w:ascii="Times New Roman" w:eastAsia="Tahoma" w:hAnsi="Times New Roman" w:cs="Times New Roman"/>
          <w:sz w:val="24"/>
          <w:szCs w:val="24"/>
        </w:rPr>
        <w:t xml:space="preserve"> </w:t>
      </w:r>
      <w:r w:rsidRPr="006A4BCA">
        <w:rPr>
          <w:rFonts w:ascii="Times New Roman" w:eastAsia="Tahoma" w:hAnsi="Times New Roman" w:cs="Times New Roman"/>
          <w:b/>
          <w:sz w:val="24"/>
          <w:szCs w:val="24"/>
        </w:rPr>
        <w:t xml:space="preserve">DÍAS DEL MES DE </w:t>
      </w:r>
      <w:r w:rsidRPr="006A4BCA">
        <w:rPr>
          <w:rFonts w:ascii="Times New Roman" w:eastAsia="Tahoma" w:hAnsi="Times New Roman" w:cs="Times New Roman"/>
          <w:sz w:val="24"/>
          <w:szCs w:val="24"/>
          <w:u w:val="thick"/>
        </w:rPr>
        <w:tab/>
      </w:r>
      <w:r w:rsidRPr="006A4BCA">
        <w:rPr>
          <w:rFonts w:ascii="Times New Roman" w:eastAsia="Tahoma" w:hAnsi="Times New Roman" w:cs="Times New Roman"/>
          <w:sz w:val="24"/>
          <w:szCs w:val="24"/>
        </w:rPr>
        <w:t xml:space="preserve"> </w:t>
      </w:r>
      <w:r w:rsidRPr="006A4BCA">
        <w:rPr>
          <w:rFonts w:ascii="Times New Roman" w:eastAsia="Tahoma" w:hAnsi="Times New Roman" w:cs="Times New Roman"/>
          <w:b/>
          <w:sz w:val="24"/>
          <w:szCs w:val="24"/>
        </w:rPr>
        <w:t>DE DOS MIL VEINTISÉIS.”</w:t>
      </w:r>
    </w:p>
    <w:p w:rsidR="001B6B33" w:rsidRPr="006A4BCA" w:rsidRDefault="001B6B33" w:rsidP="00E10822">
      <w:pPr>
        <w:spacing w:after="0" w:line="240" w:lineRule="auto"/>
        <w:jc w:val="center"/>
        <w:rPr>
          <w:rFonts w:ascii="Times New Roman" w:hAnsi="Times New Roman"/>
          <w:sz w:val="24"/>
          <w:szCs w:val="24"/>
        </w:rPr>
      </w:pPr>
    </w:p>
    <w:p w:rsidR="001B6B33" w:rsidRPr="006A4BCA" w:rsidRDefault="001B6B33" w:rsidP="00E10822">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1B6B33" w:rsidRPr="006A4BCA" w:rsidRDefault="001B6B33" w:rsidP="00E10822">
      <w:pPr>
        <w:spacing w:after="0" w:line="240" w:lineRule="auto"/>
        <w:jc w:val="center"/>
        <w:rPr>
          <w:rFonts w:ascii="Times New Roman" w:hAnsi="Times New Roman"/>
          <w:sz w:val="24"/>
          <w:szCs w:val="24"/>
        </w:rPr>
      </w:pP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diputado Anuar Roberto Azar Figueroa.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registra la iniciativa y se remite a las Comisiones Legislativas de Planeación y Gasto Público y de Finanzas Públicas para su estudio y dictamen.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el siguiente punto, la diputada Maricela Beltrán Sánchez, leerá la Iniciativa con Proyecto de Decreto que adicionan diversas disposiciones de la Ley de la Juventud del Estado de México en materia de creación de espacios juveniles en los municipios, presentada por las y los integrantes del Grupo Parlamentario del Partido Movimiento Ciudadano.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 MARICELA BELTRÁN SÁNCHEZ. Muchas gracias compañeras, compañeros integrantes de la Mesa Directiva, diputadas, diputade y diputados de la “LXII” Legislatura; es para mí un gusto poder hacer uso de esta tribuna, para presentar la siguiente iniciativa en nombre de la Bancada Naranja.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 xml:space="preserve">Como maestra, el aula me ha regalado la lección más importante de mi vida, para que una persona aprenda, primero debe sentirse seguro, para que un joven se desarrolle debe tener un entorno que no lo limite; sin embargo, fuera de las escuelas, en nuestras comunidades del Estado de México, la realidad es muy distinta.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Hoy vengo a hablarles de lo que expresan niñas, niños, adolescentes, familias y docentes que hemos visto a generaciones enteras de jóvenes caminar por calles sin luz, jugar en parques olvidados y lidiar con una soledad que hoy llamamos ansiedad o depresión, por eso hoy venimos como grupo parlamentario a proponerles que pasemos de las palabras de aliento a la acción legislativa, históricamente los gobernantes han cometido el terrible error de ver a los jóvenes como proyectos adultos.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Les pedimos a los jóvenes que se preparen, no caigan en vicios y que sean ciudadanos ejemplares, pero cómo les apoyamos, en nuestro Estado viven casi 3 millones de jóvenes entre 20 y 29 años, ellas y ellos son una fuerza imparable con gran potencial, pero también es una población que ha sido relegada a los márgenes de las agendas públicas, la falta de atención no es solo un olvido administrativo, es una herida en el tejido social, cuando no hay un centro cultural hay una esquina de riesgo, cuando no hay una cancha digna para ellos hay un espacio para el aislamiento, es momento de saldar esta deuda y reconocer que sus necesidades de ocio, salud mental y expresión no son lujos, son derechos, todos nosotros hemos podido ver cómo la mirada de un joven se apaga por la presión de un entorno que no le ofrece alternativas.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Los datos no mienten, tras las crisis recientes la ansiedad y la depresión se han convertido en la segunda causa de discapacidad entre nuestras juventudes, por eso, con los espacios juveniles que hoy proponemos, no son simples techos y paredes, son terceros espacios, el primer espacio es el hogar, el segundo es la escuela o el trabajo y el tercero debe ser el lugar de pertenencia, un lugar donde un joven pueda sentarse con un psicólogo sin miedo al estigma, donde una mujer joven pueda ensayar una obra de teatro sin sentirse vulnerable, donde el deporte sea el escudo contra el reclutamiento de la delincuencia.</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Esta iniciativa tiene un enfoque de justicia territorial, no queremos espacio solo en las cabeceras municipales o en las zonas urbanas privilegiadas, el compromiso que hoy planteamos obliga a los ayuntamientos a mirar hacia sus comunidades rurales y colonias populares.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Queremos que el hijo de un campesino del Sur del Estado o la hija de una trabajadora de las zonas industriales de nuestro valle tengan la misma oportunidad para acceder a un gimnasio, a una biblioteca digital o a un taller de artes o espacios deportivos, recuperar un predio abandonado para dárselo a los jóvenes en términos llanos, quitarle terreno al miedo para devolvérselo a la esperanza.</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Compañeras y compañeros legisladores para la juventud, legislar es la inversión más rentable que podemos hacer como Estado, cada peso invertido en un espacio juvenil es un ahorro futuro en hospitales, en cárceles y en patrullas; como maestra sé que es más fácil construir niñas y niños, adolescentes y jóvenes fuertes que reparar adultos rotos; esta reforma a la Ley de Juventud es una herramienta para que los alcaldes y alcaldesas no tengan excusas, es un mandato para identificar esos predios ociosos y convertirlos en semilleros de talento, es decirles a nuestras juventudes te vemos, te escuchamos y tu bienestar nos importa y por eso actuamos.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Les invito a que miremos esta iniciativa con los ojos de una madre, de un padre o de una maestra, no se trata de colores partidistas, se trata de una casa en común, no permitamos que otro joven mexiquense se sienta solo o sola en su propia comunidad, démosle la infraestructura que merecen, garanticemos que su energía, su rebeldía positiva y su creatividad tenga un lugar donde florecer. Por nuestras juventudes, por la paz de nuestras familias y por un Estado de México que realmente cuide a quienes son nuestro mayor tesoro.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Es cuanto, muchas gracias.</w:t>
      </w:r>
    </w:p>
    <w:p w:rsidR="00286B0E" w:rsidRPr="006A4BCA" w:rsidRDefault="00286B0E" w:rsidP="00E10822">
      <w:pPr>
        <w:pStyle w:val="Sinespaciado"/>
        <w:jc w:val="both"/>
        <w:rPr>
          <w:rFonts w:ascii="Times New Roman" w:hAnsi="Times New Roman" w:cs="Times New Roman"/>
          <w:sz w:val="24"/>
          <w:szCs w:val="24"/>
        </w:rPr>
      </w:pPr>
    </w:p>
    <w:p w:rsidR="00286B0E" w:rsidRPr="006A4BCA" w:rsidRDefault="00286B0E" w:rsidP="00E10822">
      <w:pPr>
        <w:spacing w:after="0" w:line="240" w:lineRule="auto"/>
        <w:jc w:val="center"/>
        <w:rPr>
          <w:rFonts w:ascii="Times New Roman" w:hAnsi="Times New Roman"/>
          <w:i/>
          <w:sz w:val="24"/>
          <w:szCs w:val="24"/>
        </w:rPr>
      </w:pPr>
      <w:r w:rsidRPr="006A4BCA">
        <w:rPr>
          <w:rFonts w:ascii="Times New Roman" w:hAnsi="Times New Roman"/>
          <w:i/>
          <w:sz w:val="24"/>
          <w:szCs w:val="24"/>
        </w:rPr>
        <w:lastRenderedPageBreak/>
        <w:t>(Se inserta documento)</w:t>
      </w:r>
    </w:p>
    <w:p w:rsidR="00286B0E" w:rsidRPr="006A4BCA" w:rsidRDefault="00286B0E" w:rsidP="00E10822">
      <w:pPr>
        <w:spacing w:after="0" w:line="240" w:lineRule="auto"/>
        <w:jc w:val="center"/>
        <w:rPr>
          <w:rFonts w:ascii="Times New Roman" w:hAnsi="Times New Roman"/>
          <w:sz w:val="24"/>
          <w:szCs w:val="24"/>
        </w:rPr>
      </w:pPr>
    </w:p>
    <w:p w:rsidR="00286B0E" w:rsidRPr="006A4BCA" w:rsidRDefault="00286B0E" w:rsidP="00286B0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Bancada Naranja</w:t>
      </w:r>
    </w:p>
    <w:p w:rsidR="00286B0E" w:rsidRPr="006A4BCA" w:rsidRDefault="00286B0E" w:rsidP="00286B0E">
      <w:pPr>
        <w:widowControl w:val="0"/>
        <w:autoSpaceDE w:val="0"/>
        <w:autoSpaceDN w:val="0"/>
        <w:spacing w:after="0" w:line="240" w:lineRule="auto"/>
        <w:jc w:val="center"/>
        <w:rPr>
          <w:rFonts w:ascii="Times New Roman" w:eastAsia="Arial MT" w:hAnsi="Times New Roman" w:cs="Times New Roman"/>
          <w:b/>
          <w:sz w:val="24"/>
          <w:szCs w:val="24"/>
        </w:rPr>
      </w:pPr>
    </w:p>
    <w:p w:rsidR="00286B0E" w:rsidRPr="006A4BCA" w:rsidRDefault="00286B0E" w:rsidP="00286B0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“2026. Año del Humanismo Mexicano en el Estado de México”</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right"/>
        <w:rPr>
          <w:rFonts w:ascii="Times New Roman" w:eastAsia="Arial MT" w:hAnsi="Times New Roman" w:cs="Times New Roman"/>
          <w:sz w:val="24"/>
          <w:szCs w:val="24"/>
        </w:rPr>
      </w:pPr>
      <w:r w:rsidRPr="006A4BCA">
        <w:rPr>
          <w:rFonts w:ascii="Times New Roman" w:eastAsia="Arial MT" w:hAnsi="Times New Roman" w:cs="Times New Roman"/>
          <w:sz w:val="24"/>
          <w:szCs w:val="24"/>
        </w:rPr>
        <w:t>Toluca de Lerdo, Estado de México, 11 de marzo de 2026.</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DIPUTADA</w:t>
      </w:r>
    </w:p>
    <w:p w:rsidR="00286B0E" w:rsidRPr="006A4BCA" w:rsidRDefault="00286B0E" w:rsidP="00286B0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MARTHA AZUCENA CAMACHO REYNOSO</w:t>
      </w:r>
    </w:p>
    <w:p w:rsidR="00286B0E" w:rsidRPr="006A4BCA" w:rsidRDefault="00286B0E" w:rsidP="00286B0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PRESIDENTA DE LA LXII LEGISLATURA</w:t>
      </w:r>
    </w:p>
    <w:p w:rsidR="00286B0E" w:rsidRPr="006A4BCA" w:rsidRDefault="00286B0E" w:rsidP="00286B0E">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DEL ESTADO DE MÉXICO</w:t>
      </w:r>
    </w:p>
    <w:p w:rsidR="00286B0E" w:rsidRPr="006A4BCA" w:rsidRDefault="00286B0E" w:rsidP="00286B0E">
      <w:pPr>
        <w:widowControl w:val="0"/>
        <w:autoSpaceDE w:val="0"/>
        <w:autoSpaceDN w:val="0"/>
        <w:spacing w:after="0" w:line="240" w:lineRule="auto"/>
        <w:rPr>
          <w:rFonts w:ascii="Times New Roman" w:eastAsia="Arial MT" w:hAnsi="Times New Roman" w:cs="Times New Roman"/>
          <w:b/>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6A4BCA">
        <w:rPr>
          <w:rFonts w:ascii="Times New Roman" w:eastAsia="Arial MT" w:hAnsi="Times New Roman" w:cs="Times New Roman"/>
          <w:b/>
          <w:sz w:val="24"/>
          <w:szCs w:val="24"/>
        </w:rPr>
        <w:t>Iniciativa con Proyecto de Decreto que adiciona diversas disposiciones de la Ley de la Juventud del Estado de México en materia de creación de Espacios Juveniles en los municipios</w:t>
      </w:r>
      <w:r w:rsidRPr="006A4BCA">
        <w:rPr>
          <w:rFonts w:ascii="Times New Roman" w:eastAsia="Arial MT" w:hAnsi="Times New Roman" w:cs="Times New Roman"/>
          <w:sz w:val="24"/>
          <w:szCs w:val="24"/>
        </w:rPr>
        <w:t>, de conformidad con la siguiente:</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u w:val="thick"/>
        </w:rPr>
        <w:t>EXPOSICION DE MOTIVOS</w:t>
      </w:r>
    </w:p>
    <w:p w:rsidR="00286B0E" w:rsidRPr="006A4BCA" w:rsidRDefault="00286B0E" w:rsidP="00286B0E">
      <w:pPr>
        <w:widowControl w:val="0"/>
        <w:autoSpaceDE w:val="0"/>
        <w:autoSpaceDN w:val="0"/>
        <w:spacing w:after="0" w:line="240" w:lineRule="auto"/>
        <w:rPr>
          <w:rFonts w:ascii="Times New Roman" w:eastAsia="Arial MT" w:hAnsi="Times New Roman" w:cs="Times New Roman"/>
          <w:b/>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presente iniciativa tiene como objetivo principal garantizar el desarrollo integral de la juventud mexiquense, mediante la creación y habilitación de espacios juveniles que respondan a las necesidades específicas de nuestros jóvenes. Esta propuesta parte del reconocimiento de que la juventud es una etapa clave de la vida, pero también de un periodo determinante en la construcción del proyecto de vida individual.</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Históricamente, las juventudes han sido relegadas a un papel de "adultos en espera", invisibilizando sus necesidades específicas en las agendas públicas. A nivel global, este sector ha enfrentado una exclusión sistemática de los procesos de toma de decisiones y un acceso limitado a infraestructura diseñada para su desarrollo no productivo.</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México, el modelo de desarrollo urbano y social del siglo XX priorizó espacios laborales o educativos rígidos, dejando un vacío en la creación de entornos comunitarios seguros. Esta carencia ha sido particularmente aguda en el Estado de México, donde el crecimiento demográfico acelerado no fue acompañado por una infraestructura social equivalente, forzando a las y los jóvenes a habitar espacios públicos deteriorados o inseguros.</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ello, la Bancada de Movimiento Ciudadano plantea por medio de la presente la siguiente figura, los espacios juveniles, que serán aquellos entornos físicos y programáticos de carácter público, diseñados específicamente para atender las necesidades integrales de las y los jóvenes. Estos pueden incluir centros comunitarios, instalaciones deportivas, áreas culturales, espacios de formación artística, módulos de orientación psicológica y plataformas de participación social.</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Los espacios no se limitan a un entorno físico, también comprenden la implementación de </w:t>
      </w:r>
      <w:r w:rsidRPr="006A4BCA">
        <w:rPr>
          <w:rFonts w:ascii="Times New Roman" w:eastAsia="Arial MT" w:hAnsi="Times New Roman" w:cs="Times New Roman"/>
          <w:sz w:val="24"/>
          <w:szCs w:val="24"/>
        </w:rPr>
        <w:lastRenderedPageBreak/>
        <w:t>programas permanentes que promueven el desarrollo físico, mental, cultural y social de las juventudes, bajo criterios de accesibilidad, inclusión y enfoque territorial.</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Diversos organismos internacionales han reconocido que la creación de espacios seguros, accesibles y comunitarios son fundamentales para el desarrollo integral de las juventudes. La Organización de Naciones Unidas, a través de la Agenda 2030 para el Desarrollo Sostenible dentro del Objetivo 3, plantea la necesidad de garantizar una vida sana y promover el bienestar para todas las personas en todas las edades, lo que incluye la promoción de la salud mental, la prevención de adicciones y el fomento de estilos de vida saludables.</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Objetivo 10 relativo a la Reducción de las Desigualdades, impulsa acciones orientadas a disminuir brechas sociales y territoriales, mientras que el Objetivo 11, Ciudades y Comunidades Sostenibles, promueve el acceso universal a espacios públicos seguros, inclusivos y accesibles, especialmente para grupos en situación de vulnerabilidad. Lo que se toma como base para esta propuesta de reforma en favor de las juventudes principalmente.</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su parte la UNICEF ha destacado la importancia de generar espacios comunitarios donde jóvenes puedan acceder a actividades deportivas, culturales y de acompañamiento psicosocial como mecanismos efectivos para fortalecer su bienestar emocional y prevenir factores de riesgo. Asimismo, la Organización Mundial de la Salud ha señalado que la promoción de la salud mental y la actividad física en entornos comunitarios constituye una de las estrategias más eficaces para prevenir conductas de riesgo y fortalecer la cohesión social, especialmente en contextos de vulnerabilidad.</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Estos parámetros internacionales demuestran que la creación de espacios juveniles no es una medida aislada, sino una política pública alineada con estándares globales de desarrollo y bienestar. En este sentido, el Estado de México cuenta con una de las poblaciones juveniles más numerosas del país.</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acuerdo con el Consejo Nacional de Población y los análisis del Instituto Mexicano de la Juventud, que identifican al Estado de México como la entidad con la mayor concentración de población joven del país, representando aproximadamente el 13.6% del total nacional de jóvenes de los cuales 1,488,613 son mujeres y 1,498,786 son hombres.</w:t>
      </w:r>
      <w:r w:rsidRPr="006A4BCA">
        <w:rPr>
          <w:rFonts w:ascii="Times New Roman" w:eastAsia="Arial MT" w:hAnsi="Times New Roman" w:cs="Times New Roman"/>
          <w:sz w:val="24"/>
          <w:szCs w:val="24"/>
          <w:vertAlign w:val="superscript"/>
        </w:rPr>
        <w:t>1</w:t>
      </w:r>
      <w:r w:rsidRPr="006A4BCA">
        <w:rPr>
          <w:rFonts w:ascii="Times New Roman" w:eastAsia="Arial MT" w:hAnsi="Times New Roman" w:cs="Times New Roman"/>
          <w:sz w:val="24"/>
          <w:szCs w:val="24"/>
        </w:rPr>
        <w:t xml:space="preserve"> Esta cifra confirma que la juventud mexiquense no es un sector marginal, sino un grupo determinante para el presente y el futuro del desarrollo social, económico y cultural de la entidad.</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juventud mexiquense muestra una gran diversidad cultural y social. Aunque más de la mitad cuenta con algún tipo de servicio de salud, una porción importante aún carece de acceso constante a atención médica. También existe un grupo de jóvenes con limitaciones o discapacidades que requieren espacios accesibles y atención especializada. Y una gran mayoría participa activamente en el trabajo, lo que influye en los tiempos y formas en que pueden acceder a actividades deportivas o culturales. Estas características demográficas y sociales obligan al Estado a diseñar políticas diferenciadas, accesibles y territorialmente cercanas.</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En este contexto, los espacios juveniles constituyen una herramienta fundamental para para el desarrollo de políticas públicas efectivas dirigidas a la juventud. Estos espacios no solo representan áreas físicas de esparcimiento, sino que se configuran como centros integrales donde convergen múltiples dimensiones del desarrollo humano. La práctica de actividades físicas y deportivas en los jóvenes genera beneficios que van más allá del ámbito corporal. Desde la perspectiva del desarrollo </w:t>
      </w:r>
      <w:r w:rsidRPr="006A4BCA">
        <w:rPr>
          <w:rFonts w:ascii="Times New Roman" w:eastAsia="Arial MT" w:hAnsi="Times New Roman" w:cs="Times New Roman"/>
          <w:sz w:val="24"/>
          <w:szCs w:val="24"/>
        </w:rPr>
        <w:lastRenderedPageBreak/>
        <w:t>integral el ejercicio físico contribuye significativamente al fortalecimiento de la autoestima, la disciplina, la capacidad de convivir con más jóvenes y cultivar valores como la perseverancia, el respeto y la solidaridad.</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vertAlign w:val="superscript"/>
        </w:rPr>
        <w:t>1</w:t>
      </w:r>
      <w:r w:rsidRPr="006A4BCA">
        <w:rPr>
          <w:rFonts w:ascii="Times New Roman" w:eastAsia="Arial MT" w:hAnsi="Times New Roman" w:cs="Times New Roman"/>
          <w:sz w:val="20"/>
          <w:szCs w:val="24"/>
        </w:rPr>
        <w:t xml:space="preserve"> Consejo Nacional de Población [CONAPO]. (2023). </w:t>
      </w:r>
      <w:r w:rsidRPr="006A4BCA">
        <w:rPr>
          <w:rFonts w:ascii="Times New Roman" w:eastAsia="Arial MT" w:hAnsi="Times New Roman" w:cs="Times New Roman"/>
          <w:i/>
          <w:sz w:val="20"/>
          <w:szCs w:val="24"/>
        </w:rPr>
        <w:t>Conciliación demográfica de México 1950-2019 y Proyecciones de la Población de México y las Entidades Federativas 2020-2070</w:t>
      </w:r>
      <w:r w:rsidRPr="006A4BCA">
        <w:rPr>
          <w:rFonts w:ascii="Times New Roman" w:eastAsia="Arial MT" w:hAnsi="Times New Roman" w:cs="Times New Roman"/>
          <w:sz w:val="20"/>
          <w:szCs w:val="24"/>
        </w:rPr>
        <w:t xml:space="preserve">. Secretaría de Gobernación. </w:t>
      </w:r>
      <w:hyperlink r:id="rId30">
        <w:r w:rsidRPr="006A4BCA">
          <w:rPr>
            <w:rFonts w:ascii="Times New Roman" w:eastAsia="Arial MT" w:hAnsi="Times New Roman" w:cs="Times New Roman"/>
            <w:sz w:val="20"/>
            <w:szCs w:val="24"/>
            <w:u w:val="single" w:color="0462C1"/>
          </w:rPr>
          <w:t>https://www.gob.mx/conapo</w:t>
        </w:r>
      </w:hyperlink>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0"/>
          <w:szCs w:val="24"/>
        </w:rPr>
      </w:pPr>
      <w:r w:rsidRPr="006A4BCA">
        <w:rPr>
          <w:rFonts w:ascii="Times New Roman" w:eastAsia="Arial MT" w:hAnsi="Times New Roman" w:cs="Times New Roman"/>
          <w:sz w:val="20"/>
          <w:szCs w:val="24"/>
        </w:rPr>
        <w:t xml:space="preserve">Instituto Nacional de Estadística y Geografía [INEGI]. (2025). </w:t>
      </w:r>
      <w:r w:rsidRPr="006A4BCA">
        <w:rPr>
          <w:rFonts w:ascii="Times New Roman" w:eastAsia="Arial MT" w:hAnsi="Times New Roman" w:cs="Times New Roman"/>
          <w:i/>
          <w:sz w:val="20"/>
          <w:szCs w:val="24"/>
        </w:rPr>
        <w:t>Estadísticas a propósito del Día Internacional de la Juventud (12 de agosto): Comunicado de prensa 116/25</w:t>
      </w:r>
      <w:r w:rsidRPr="006A4BCA">
        <w:rPr>
          <w:rFonts w:ascii="Times New Roman" w:eastAsia="Arial MT" w:hAnsi="Times New Roman" w:cs="Times New Roman"/>
          <w:sz w:val="20"/>
          <w:szCs w:val="24"/>
        </w:rPr>
        <w:t xml:space="preserve">. </w:t>
      </w:r>
      <w:hyperlink r:id="rId31">
        <w:r w:rsidRPr="006A4BCA">
          <w:rPr>
            <w:rFonts w:ascii="Times New Roman" w:eastAsia="Arial MT" w:hAnsi="Times New Roman" w:cs="Times New Roman"/>
            <w:sz w:val="20"/>
            <w:szCs w:val="24"/>
            <w:u w:val="single" w:color="0462C1"/>
          </w:rPr>
          <w:t>https://www.inegi.org.mx/contenidos/saladeprensa/aproposito/2025/EAP_Juventud.pdf</w:t>
        </w:r>
      </w:hyperlink>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deporte y la cultura física proporcionan una alternativa constructiva para el uso del tiempo libre, alejando a los jóvenes de entornos de riesgo y fomentando la adopción de estilos de vida saludables. La práctica deportiva también mejora el rendimiento académico, ya que el ejercicio físico estimula la oxigenación cerebral y favorece la concentración y la memoria.</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Actualmente la salud mental representa uno de los desafíos más importantes de las políticas públicas. Las y los jóvenes enfrentan presiones académicas, laborales y sociales que impactan directamente en su bienestar emocional, por ello los ayuntamientos deberán facilitar la implementación de programas de apoyo psicológico, la prevención y promoción de la salud mental para que puedan desarrollar herramientas para el manejo de del estrés, ansiedad y trastornos que son comunes dentro de esta etapa de la vida.</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igual forma, la prevención de adicciones encuentra en estos espacios una estrategia integral y preventiva. La creación de alternativas reales de desarrollo personal, cultural y deportivo permite ofrecer a la juventud opciones positivas para la construcción de su identidad y su proyecto de vida. La generación de comunidad, el acompañamiento institucional y el acceso a actividades formativas disminuyen factores de riesgo y fortalecen entornos protectores.</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formación cultural también constituye un eje central de esta propuesta. Los espacios juveniles pueden convertirse en plataformas para el desarrollo artístico, la promoción de las culturas originarias, el fortalecimiento de la identidad y el impulso de las industrias creativas. La cultura no sólo es un derecho, sino un instrumento de cohesión social y pensamiento crítico.</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una entidad caracterizada por su diversidad, estos espacios pueden ser puntos de encuentro que reconozcan y valoren las distintas expresiones culturales de la juventud mexiquense. Por este motivo se prioriza las zonas rurales y con altos índices de marginación en la creación de espacios juveniles responde a la necesidad de garantizar la equidad en el acceso a oportunidades de desarrollo integral para toda la juventud de nuestra entidad.</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el Estado de México, la carencia de infraestructura para el desarrollo juvenil no es solo una falta de servicios, sino un factor de riesgo que profundiza la crisis de seguridad. La evidencia internacional y local demuestra que, en municipios con altos índices de criminalidad o declaratorias de Alerta de Violencia de Género, la ausencia de "Terceros Espacios" como son los entornos distintos al hogar y la escuela, lo que deja a las juventudes vulnerables ante el reclutamiento de grupos delictivos o el ciclo de violencia comunitaria.</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En ese sentido, la habilitación de espacios juveniles actúa como una herramienta de prevención al ofrecer alternativas reales de construcción de identidad ajenas a la violencia. Adicionalmente al diseñar espacios con enfoque de inclusión y seguridad, se garantiza que las mujeres jóvenes quienes </w:t>
      </w:r>
      <w:r w:rsidRPr="006A4BCA">
        <w:rPr>
          <w:rFonts w:ascii="Times New Roman" w:eastAsia="Arial MT" w:hAnsi="Times New Roman" w:cs="Times New Roman"/>
          <w:sz w:val="24"/>
          <w:szCs w:val="24"/>
        </w:rPr>
        <w:lastRenderedPageBreak/>
        <w:t>representan el 49.8% de la población juvenil estatal cuenten con entornos protegidos para el autocuidado y la formación, reduciendo su exposición a riesgos en la vía pública.</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Otro elemento que contiene la presente, es la estipulación para que los Ayuntamientos identifiquen predios subutilizados o abandonados para transformarlos en centros de vida comunitaria, eliminando así "puntos ciegos" urbanos que suelen ser focos de delincuencia.</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Invertir en estos centros es, en última instancia, una estrategia de pacificación. Al proporcionar salud mental, deporte y cultura en las zonas más rezagadas, el Estado de México no solo cumple con un derecho humano, sino que arrebata el territorio a la inseguridad para devolvérselo a su gente.</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Hoy seguimos viendo que en diversas regiones de la entidad los jóvenes enfrentan condiciones estructurales que limitan su crecimiento personal, educativo y social, tales como la falta de infraestructura adecuada, la escasez de servicios culturales y deportivos, y la limitada oferta de programas de salud y bienestar. Al enfocar los esfuerzos en estos territorios, se busca reducir las brechas de desigualdad que históricamente han afectado a la población juvenil rural, promoviendo un desarrollo más equilibrado y justo en todo el Estado de México.</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esta manera, la política pública no solo atiende las necesidades inmediatas de la juventud, sino que también sienta las bases para un desarrollo social más inclusivo y equitativo. Priorizar estas zonas significa reconocer que el talento y el potencial de la juventud mexiquense no deben estar determinados por el lugar donde nacen, sino por las oportunidades que el Estado les brinda para crecer y contribuir al bienestar colectivo.</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creación de espacios juveniles no representa únicamente una inversión en infraestructura física, sino una respuesta necesaria ante la deuda histórica que el Estado ha mantenido con sus juventudes al invisibilizar sus necesidades específicas de recreación, salud mental y expresión cultural. Al elevar a rango de ley la obligación de los Ayuntamientos para habilitar estos entornos, se garantiza que el desarrollo integral de los casi 3 millones de jóvenes mexiquenses no dependa de voluntades políticas temporales, sino de una estrategia institucional permanente que reconozca a la juventud como el eje motor del presente y futuro de nuestra entidad.</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Asimismo, esta propuesta se configura como una herramienta táctica de seguridad pública y reconstrucción del tejido social, especialmente en municipios con altos índices de marginación o violencia. Al recuperar predios subutilizados y transformarlos en centros de vida comunitaria, el Estado arrebata territorio a la delincuencia y ofrece a las y los jóvenes particularmente a las mujeres y grupos vulnerables entornos protectores donde el deporte, el acompañamiento psicológico y las artes sirvan como mecanismos efectivos de prevención frente a las adicciones y las conductas de riesgo.</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Finalmente, la iniciativa promueve la equidad territorial al priorizar la instalación de estos espacios en zonas rurales y colonias populares que históricamente han carecido de infraestructura recreativa. Con este enfoque, se asegura que el talento y el proyecto de vida de la juventud mexiquense no se vean limitados por su lugar de origen, cumpliendo así con los estándares internacionales de la Agenda 2030 y consolidando un modelo de gobierno que invierte en la prevención y el bienestar integral como las vías más eficaces para alcanzar la paz social.</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La implementación de estos espacios permitirá que las y los jóvenes accedan a oportunidades de crecimiento personal, social y comunitario en un ambiente seguro y propicio para su </w:t>
      </w:r>
      <w:r w:rsidRPr="006A4BCA">
        <w:rPr>
          <w:rFonts w:ascii="Times New Roman" w:eastAsia="Arial MT" w:hAnsi="Times New Roman" w:cs="Times New Roman"/>
          <w:sz w:val="24"/>
          <w:szCs w:val="24"/>
        </w:rPr>
        <w:lastRenderedPageBreak/>
        <w:t>desenvolvimiento. Esta reforma reconoce que invertir en la juventud es invertir en prevención, en salud, en cultura y en desarrollo económico. Garantizar espacios juveniles es una política estratégica que fortalece el presente y asegura el futuro del Estado de México.</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estas razones, el Grupo Parlamentario de Movimiento Ciudadano presenta una reformar el artículo 21 para incorporar de manera expresa la obligación de promover, crear y fortalecer espacios juveniles dentro de los instrumentos de planeación municipal. Integrarlos en la planeación garantiza que no dependan de voluntades aisladas, sino que respondan a una estrategia institucional permanente.</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Movimiento Ciudadano reconocemos a las y los jóvenes como agentes de cambio, son el motor que impulsa la transformación social económica y cultural de nuestra entidad. Creemos en su talento, en su capacidad para innovar y en su compromiso con las causas que buscan un futuro más justo y sostenible.</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ello, impulsamos esta iniciativa convencidos de que brindarles espacios dignos, seguros y funcionales es una forma concreta de reconocer su valor y de apostar por su desarrollo integral. Esta iniciativa crea oportunidades reales para los jóvenes y cada espacio es un símbolo del compromiso con una generación que exige ser escuchada y merece tener herramientas para transformar su entorno.</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A T E N T A M E N T E</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286B0E" w:rsidRPr="006A4BCA" w:rsidTr="009A0472">
        <w:tc>
          <w:tcPr>
            <w:tcW w:w="4703" w:type="dxa"/>
          </w:tcPr>
          <w:p w:rsidR="00286B0E" w:rsidRPr="006A4BCA" w:rsidRDefault="00286B0E" w:rsidP="00286B0E">
            <w:pPr>
              <w:spacing w:line="240" w:lineRule="auto"/>
              <w:jc w:val="center"/>
              <w:rPr>
                <w:rFonts w:ascii="Times New Roman" w:eastAsia="Arial MT" w:hAnsi="Times New Roman" w:cs="Times New Roman"/>
                <w:b/>
                <w:sz w:val="24"/>
                <w:szCs w:val="24"/>
                <w:lang w:val="es-MX"/>
              </w:rPr>
            </w:pPr>
            <w:r w:rsidRPr="006A4BCA">
              <w:rPr>
                <w:rFonts w:ascii="Times New Roman" w:eastAsia="Arial MT" w:hAnsi="Times New Roman" w:cs="Times New Roman"/>
                <w:b/>
                <w:sz w:val="24"/>
                <w:szCs w:val="24"/>
                <w:lang w:val="es-MX"/>
              </w:rPr>
              <w:t>DIP. RUTH SALINAS REYES</w:t>
            </w:r>
          </w:p>
        </w:tc>
        <w:tc>
          <w:tcPr>
            <w:tcW w:w="4702" w:type="dxa"/>
          </w:tcPr>
          <w:p w:rsidR="00286B0E" w:rsidRPr="006A4BCA" w:rsidRDefault="00286B0E" w:rsidP="009A0472">
            <w:pPr>
              <w:spacing w:line="240" w:lineRule="auto"/>
              <w:jc w:val="center"/>
              <w:rPr>
                <w:rFonts w:ascii="Times New Roman" w:eastAsia="Arial MT" w:hAnsi="Times New Roman" w:cs="Times New Roman"/>
                <w:b/>
                <w:sz w:val="24"/>
                <w:szCs w:val="24"/>
                <w:lang w:val="es-MX"/>
              </w:rPr>
            </w:pPr>
            <w:r w:rsidRPr="006A4BCA">
              <w:rPr>
                <w:rFonts w:ascii="Times New Roman" w:eastAsia="Arial MT" w:hAnsi="Times New Roman" w:cs="Times New Roman"/>
                <w:b/>
                <w:sz w:val="24"/>
                <w:szCs w:val="24"/>
                <w:lang w:val="es-MX"/>
              </w:rPr>
              <w:t>DIP. MARICELA BELTRÁN SÁNCHEZ</w:t>
            </w:r>
          </w:p>
        </w:tc>
      </w:tr>
      <w:tr w:rsidR="00286B0E" w:rsidRPr="006A4BCA" w:rsidTr="009A0472">
        <w:tc>
          <w:tcPr>
            <w:tcW w:w="4703" w:type="dxa"/>
          </w:tcPr>
          <w:p w:rsidR="00286B0E" w:rsidRPr="006A4BCA" w:rsidRDefault="00286B0E" w:rsidP="00286B0E">
            <w:pPr>
              <w:spacing w:line="240" w:lineRule="auto"/>
              <w:jc w:val="center"/>
              <w:rPr>
                <w:rFonts w:ascii="Times New Roman" w:eastAsia="Arial MT" w:hAnsi="Times New Roman" w:cs="Times New Roman"/>
                <w:b/>
                <w:sz w:val="24"/>
                <w:szCs w:val="24"/>
                <w:lang w:val="es-MX"/>
              </w:rPr>
            </w:pPr>
            <w:r w:rsidRPr="006A4BCA">
              <w:rPr>
                <w:rFonts w:ascii="Times New Roman" w:eastAsia="Arial MT" w:hAnsi="Times New Roman" w:cs="Times New Roman"/>
                <w:b/>
                <w:sz w:val="24"/>
                <w:szCs w:val="24"/>
                <w:lang w:val="es-MX"/>
              </w:rPr>
              <w:t>DIP. JUAN MANUEL ZEPEDA HERNÁNDEZ</w:t>
            </w:r>
          </w:p>
        </w:tc>
        <w:tc>
          <w:tcPr>
            <w:tcW w:w="4702" w:type="dxa"/>
          </w:tcPr>
          <w:p w:rsidR="00286B0E" w:rsidRPr="006A4BCA" w:rsidRDefault="00286B0E" w:rsidP="00286B0E">
            <w:pPr>
              <w:spacing w:line="240" w:lineRule="auto"/>
              <w:jc w:val="center"/>
              <w:rPr>
                <w:rFonts w:ascii="Times New Roman" w:eastAsia="Arial MT" w:hAnsi="Times New Roman" w:cs="Times New Roman"/>
                <w:b/>
                <w:sz w:val="24"/>
                <w:szCs w:val="24"/>
                <w:lang w:val="es-MX"/>
              </w:rPr>
            </w:pPr>
            <w:r w:rsidRPr="006A4BCA">
              <w:rPr>
                <w:rFonts w:ascii="Times New Roman" w:eastAsia="Arial MT" w:hAnsi="Times New Roman" w:cs="Times New Roman"/>
                <w:b/>
                <w:sz w:val="24"/>
                <w:szCs w:val="24"/>
                <w:lang w:val="es-MX"/>
              </w:rPr>
              <w:t>DIP. MARTÍN ZEPEDA HERNÁNDEZ</w:t>
            </w:r>
          </w:p>
        </w:tc>
      </w:tr>
    </w:tbl>
    <w:p w:rsidR="00286B0E" w:rsidRPr="006A4BCA" w:rsidRDefault="00286B0E" w:rsidP="00286B0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Integrantes del Grupo Parlamentario de Movimiento Ciudadano</w:t>
      </w:r>
    </w:p>
    <w:p w:rsidR="00286B0E" w:rsidRPr="006A4BCA" w:rsidRDefault="00286B0E" w:rsidP="00286B0E">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 la LXII Legislatura del Estado de México</w:t>
      </w:r>
    </w:p>
    <w:p w:rsidR="00286B0E" w:rsidRPr="006A4BCA" w:rsidRDefault="00286B0E" w:rsidP="00286B0E">
      <w:pPr>
        <w:widowControl w:val="0"/>
        <w:autoSpaceDE w:val="0"/>
        <w:autoSpaceDN w:val="0"/>
        <w:spacing w:after="0" w:line="240" w:lineRule="auto"/>
        <w:rPr>
          <w:rFonts w:ascii="Times New Roman" w:eastAsia="Arial MT" w:hAnsi="Times New Roman" w:cs="Times New Roman"/>
          <w:b/>
          <w:sz w:val="24"/>
          <w:szCs w:val="24"/>
        </w:rPr>
      </w:pPr>
    </w:p>
    <w:p w:rsidR="00286B0E" w:rsidRPr="006A4BCA" w:rsidRDefault="00286B0E" w:rsidP="00286B0E">
      <w:pPr>
        <w:widowControl w:val="0"/>
        <w:autoSpaceDE w:val="0"/>
        <w:autoSpaceDN w:val="0"/>
        <w:spacing w:after="0" w:line="240" w:lineRule="auto"/>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PROYECTO DE DECRETO</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La H. LXII Legislatura del Estado de México</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Decreta:</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PRIMERO. Se adiciona la fracción XVII al Artículo 3: y se adiciona dos párrafos al artículo 21 de la Ley de la Juventud del Estado de México</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Artículo 3.-</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I. a XVI …</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XVII. Espacios Juveniles: Áreas de carácter público, inclusivas y seguras, destinadas al desarrollo integral de las juventudes. En estos espacios se ofrecen de manera permanente actividades de cultura física, deporte, atención y promoción de la salud mental, prevención de adicciones, formación artística, y programas de participación comunitaria orientados a la reconstrucción del tejido social y la prevención de la violencia.</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Artículo 21.- Los Ayuntamientos, en el ámbito de sus respectivas competencias y de conformidad a sus recursos presupuestales, tienen la obligación de promover y ejecutar las políticas y programas </w:t>
      </w:r>
      <w:r w:rsidRPr="006A4BCA">
        <w:rPr>
          <w:rFonts w:ascii="Times New Roman" w:eastAsia="Arial MT" w:hAnsi="Times New Roman" w:cs="Times New Roman"/>
          <w:sz w:val="24"/>
          <w:szCs w:val="24"/>
        </w:rPr>
        <w:lastRenderedPageBreak/>
        <w:t>que sean necesarios para garantizar a los jóvenes, el ejercicio y goce pleno de los derechos establecidos en la presente Ley.</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Para el cumplimiento de lo anterior, deberán promover la creación, habilitación y recuperación de espacios juveniles públicos destinados a la cultura física, deporte, recreación, y desarrollo integral, priorizando su instalación en comunidades rurales y colonias populares con índices de marginación, rezago social o incidencia delictiva.</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Asimismo, los Ayuntamientos deberán identificar predios del dominio público o privado susceptibles de convertirse en espacios juveniles, garantizando su accesibilidad territorial y priorizando las zonas que carezcan de infraestructura recreativa, deportiva o de salud mental.</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Las acciones y programas que se desarrollen deberán ser inclusivas, accesibles y diseñadas para atender las necesidades específicas de las y los jóvenes, promoviendo hábitos saludables, el uso adecuado de los espacios públicos destinados para la recreación y el deporte, fomentando una cultura de bienestar integral que contribuya al desarrollo físico, mental y social de esta población.</w:t>
      </w:r>
    </w:p>
    <w:p w:rsidR="00286B0E" w:rsidRPr="006A4BCA" w:rsidRDefault="00286B0E" w:rsidP="009A0472">
      <w:pPr>
        <w:widowControl w:val="0"/>
        <w:autoSpaceDE w:val="0"/>
        <w:autoSpaceDN w:val="0"/>
        <w:spacing w:after="0" w:line="240" w:lineRule="auto"/>
        <w:jc w:val="both"/>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6A4BCA">
        <w:rPr>
          <w:rFonts w:ascii="Times New Roman" w:eastAsia="Arial" w:hAnsi="Times New Roman" w:cs="Times New Roman"/>
          <w:b/>
          <w:bCs/>
          <w:sz w:val="24"/>
          <w:szCs w:val="24"/>
        </w:rPr>
        <w:t>T R A N S I T O R I O S</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PRIMERO</w:t>
      </w:r>
      <w:r w:rsidRPr="006A4BCA">
        <w:rPr>
          <w:rFonts w:ascii="Times New Roman" w:eastAsia="Arial MT" w:hAnsi="Times New Roman" w:cs="Times New Roman"/>
          <w:sz w:val="24"/>
          <w:szCs w:val="24"/>
        </w:rPr>
        <w:t>. Publíquese el presente Decreto en el Periódico Oficial, “Gaceta del Gobierno”.</w:t>
      </w:r>
    </w:p>
    <w:p w:rsidR="00286B0E" w:rsidRPr="006A4BCA" w:rsidRDefault="00286B0E" w:rsidP="00286B0E">
      <w:pPr>
        <w:widowControl w:val="0"/>
        <w:autoSpaceDE w:val="0"/>
        <w:autoSpaceDN w:val="0"/>
        <w:spacing w:after="0" w:line="240" w:lineRule="auto"/>
        <w:rPr>
          <w:rFonts w:ascii="Times New Roman" w:eastAsia="Arial MT" w:hAnsi="Times New Roman" w:cs="Times New Roman"/>
          <w:b/>
          <w:sz w:val="24"/>
          <w:szCs w:val="24"/>
        </w:rPr>
      </w:pP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SEGUNDO. </w:t>
      </w:r>
      <w:r w:rsidRPr="006A4BCA">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b/>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TERCERO. </w:t>
      </w:r>
      <w:r w:rsidRPr="006A4BCA">
        <w:rPr>
          <w:rFonts w:ascii="Times New Roman" w:eastAsia="Arial MT" w:hAnsi="Times New Roman" w:cs="Times New Roman"/>
          <w:sz w:val="24"/>
          <w:szCs w:val="24"/>
        </w:rPr>
        <w:t>Los Ayuntamientos contarán con un plazo de 180 días naturales a partir de la entrada en vigor del presente Decreto para realizar el diagnóstico e identificación de los predios destinados a los espacios juveniles referidos en el presente decreto.</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r w:rsidRPr="006A4BCA">
        <w:rPr>
          <w:rFonts w:ascii="Times New Roman" w:eastAsia="Arial MT" w:hAnsi="Times New Roman" w:cs="Times New Roman"/>
          <w:sz w:val="24"/>
          <w:szCs w:val="24"/>
        </w:rPr>
        <w:t>Lo tendrá entendido la Gobernadora del Estado, haciendo que se publique y se cumpla.</w:t>
      </w:r>
    </w:p>
    <w:p w:rsidR="00286B0E" w:rsidRPr="006A4BCA" w:rsidRDefault="00286B0E" w:rsidP="00286B0E">
      <w:pPr>
        <w:widowControl w:val="0"/>
        <w:autoSpaceDE w:val="0"/>
        <w:autoSpaceDN w:val="0"/>
        <w:spacing w:after="0" w:line="240" w:lineRule="auto"/>
        <w:rPr>
          <w:rFonts w:ascii="Times New Roman" w:eastAsia="Arial MT" w:hAnsi="Times New Roman" w:cs="Times New Roman"/>
          <w:sz w:val="24"/>
          <w:szCs w:val="24"/>
        </w:rPr>
      </w:pPr>
    </w:p>
    <w:p w:rsidR="00286B0E" w:rsidRPr="006A4BCA" w:rsidRDefault="00286B0E" w:rsidP="00286B0E">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Dado en el Palacio del Poder Legislativo, en la Ciudad de Toluca, Capital del Estado de México, a los </w:t>
      </w:r>
      <w:r w:rsidRPr="006A4BCA">
        <w:rPr>
          <w:rFonts w:ascii="Times New Roman" w:eastAsia="Arial MT" w:hAnsi="Times New Roman" w:cs="Times New Roman"/>
          <w:sz w:val="24"/>
          <w:szCs w:val="24"/>
          <w:u w:val="single"/>
        </w:rPr>
        <w:tab/>
      </w:r>
      <w:r w:rsidRPr="006A4BCA">
        <w:rPr>
          <w:rFonts w:ascii="Times New Roman" w:eastAsia="Arial MT" w:hAnsi="Times New Roman" w:cs="Times New Roman"/>
          <w:sz w:val="24"/>
          <w:szCs w:val="24"/>
        </w:rPr>
        <w:t xml:space="preserve">días del mes de </w:t>
      </w:r>
      <w:r w:rsidRPr="006A4BCA">
        <w:rPr>
          <w:rFonts w:ascii="Times New Roman" w:eastAsia="Arial MT" w:hAnsi="Times New Roman" w:cs="Times New Roman"/>
          <w:sz w:val="24"/>
          <w:szCs w:val="24"/>
          <w:u w:val="single"/>
        </w:rPr>
        <w:t xml:space="preserve">  </w:t>
      </w:r>
      <w:r w:rsidRPr="006A4BCA">
        <w:rPr>
          <w:rFonts w:ascii="Times New Roman" w:eastAsia="Arial MT" w:hAnsi="Times New Roman" w:cs="Times New Roman"/>
          <w:sz w:val="24"/>
          <w:szCs w:val="24"/>
        </w:rPr>
        <w:t>del año dos mil veintiséis.</w:t>
      </w:r>
    </w:p>
    <w:p w:rsidR="00286B0E" w:rsidRPr="006A4BCA" w:rsidRDefault="00286B0E" w:rsidP="00E10822">
      <w:pPr>
        <w:spacing w:after="0" w:line="240" w:lineRule="auto"/>
        <w:jc w:val="center"/>
        <w:rPr>
          <w:rFonts w:ascii="Times New Roman" w:hAnsi="Times New Roman"/>
          <w:sz w:val="24"/>
          <w:szCs w:val="24"/>
        </w:rPr>
      </w:pPr>
    </w:p>
    <w:p w:rsidR="00286B0E" w:rsidRPr="006A4BCA" w:rsidRDefault="00286B0E" w:rsidP="00E10822">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286B0E" w:rsidRPr="006A4BCA" w:rsidRDefault="00286B0E" w:rsidP="00E10822">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Gracias diputada Maricela Beltrán Sánchez.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Se registra la iniciativa y se remite a las Comisiones Legislativas de la Juventud y el Deporte de Legislación y Administración Municipal, para su estudio y dictamen.</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En términos del punto 21, la diputada Ruth Salinas Reyes, lea la Iniciativa con Proyecto de Decreto que reforman diversas disposiciones de la Ley de Seguridad del Estado de México, la Ley Orgánica Municipal del Estado de México y la Ley de la Comisión de Derechos Humanos del Estado de México, en materia de protocolos de actuación de servidores públicos y de las fuerzas de seguridad municipales, ante operativos municipales de marchas y protestas ciudadanas, para garantizar la libertad de expresión y el respeto a los derechos humanos, presentada por las y los integrantes del Grupo Parlamentario del Partido Movimiento Ciudadano.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RUTH SALINAS REYES. Con su permiso, Presidenta.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Diputadas, diputados, diputade, ciudadanas y ciudadanos.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Para la exposición de esta iniciativa solicito se permita transmitir un video, muchas gracias.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Apoyo por favor, para la diputada Ruth Salinas.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RUTH SALINAS REYES. Si colocan el audio, por favor. </w:t>
      </w:r>
    </w:p>
    <w:p w:rsidR="004A7076" w:rsidRPr="006A4BCA" w:rsidRDefault="004A7076" w:rsidP="004A7076">
      <w:pPr>
        <w:pStyle w:val="Sinespaciado"/>
        <w:jc w:val="center"/>
        <w:rPr>
          <w:rFonts w:ascii="Times New Roman" w:hAnsi="Times New Roman" w:cs="Times New Roman"/>
          <w:i/>
          <w:sz w:val="24"/>
          <w:szCs w:val="24"/>
        </w:rPr>
      </w:pPr>
      <w:r w:rsidRPr="006A4BCA">
        <w:rPr>
          <w:rFonts w:ascii="Times New Roman" w:hAnsi="Times New Roman" w:cs="Times New Roman"/>
          <w:i/>
          <w:sz w:val="24"/>
          <w:szCs w:val="24"/>
        </w:rPr>
        <w:t>(Proyección de video 1)</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RUTH SALINAS REYES. El siguiente video, por favor.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De igual forma, si nos regalan audio. </w:t>
      </w:r>
    </w:p>
    <w:p w:rsidR="004A7076" w:rsidRPr="006A4BCA" w:rsidRDefault="004A7076" w:rsidP="004A7076">
      <w:pPr>
        <w:pStyle w:val="Sinespaciado"/>
        <w:jc w:val="center"/>
        <w:rPr>
          <w:rFonts w:ascii="Times New Roman" w:hAnsi="Times New Roman" w:cs="Times New Roman"/>
          <w:i/>
          <w:sz w:val="24"/>
          <w:szCs w:val="24"/>
        </w:rPr>
      </w:pPr>
      <w:r w:rsidRPr="006A4BCA">
        <w:rPr>
          <w:rFonts w:ascii="Times New Roman" w:hAnsi="Times New Roman" w:cs="Times New Roman"/>
          <w:i/>
          <w:sz w:val="24"/>
          <w:szCs w:val="24"/>
        </w:rPr>
        <w:t>(Proyección de video 2)</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RUTH SALINAS REYES. Tenemos que corregir con urgencia la realidad que vivimos, los gobiernos, especialmente las policías, no pueden seguir dando muestras de sus excesos, exponiéndose a sí mismos, reaccionando con agresiones a periodistas y ciudadanos que protestan, lo acabamos de ver en estos vídeos, cuando un gobierno deja de cumplir con sus responsabilidades y no es capaz de garantizar derechos la ciudadanía lo percibe de inmediato y cuando eso ocurre, protestar no solo es legítimo, es un derecho constitucional, democrático y humano.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Las y los ciudadanos tienen derecho a manifestarse, exigir justicia, a demandar soluciones a los problemas que el propio Estado ha sido incapaz o ha decidido no resolver, las protestas sociales no surgen por capricho, surgen del hartazgo, del abandono y de la falta de respuestas institucionales, desde bloqueos por la falta de agua hasta manifestaciones por la desaparición sistemática de mujeres, la protesta es el último recurso de una ciudadanía que ya no encuentra eco en sus autoridades, sin embargo, cuando la ciudadanía no organiza, cuando se organiza de manera pacífica para expresar su inconformidad, el Estado lamentablemente responde y cada vez con mayor frecuencia, con represión, una represión ejecutada por fuerzas de seguridad que paradójicamente suelen estar ausentes cuando la población requiere auxilio ante un robo, una agresión o una emergencia, pero que aparecen de forma inmediata cuando se trata de contener la protesta social y las exigencias de la justicia. </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También son indignantes estas imágenes en redes de despojo y violencia que reciben comerciantes informales, como lo acabamos de ver en este video sucedido en nuestra capital, en la zona del centro, en la terminal o en el Mercado Juárez, ha sido reiterativo que aparte de la humillación y maltrato físico, se les despoja a los comerciantes de su mercancía, que en muchos de los casos es único patrimonio y medio de subsistencia, y no, no justificamos el comercio informal, pero sí rechazamos categóricamente que el orden se quiera imponer con abusos y vejaciones hacia las personas, como lo acabamos de ver, con medidas desproporcionadas, quitando mercancía como unos algodones de azúcar, en otros casos puestos de chicharrones, de papitas, evidenciando claramente que están cometiendo violación a los derechos humanos.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Esta contradicción no es casual, es un reflejo de una peligrosa distorsión en el uso del poder público, y debemos decirlo con toda claridad, la violación del principio de legalidad por parte de las autoridades es intolerable en cualquier Estado democrático, eso, eso no es seguridad pública, eso es abuso de poder y estas violaciones graves a los derechos humanos no deben repetirse y no pueden normalizarse.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Tenemos otro caso que fue uno de los videos presentados, que fue el pasado 2 de octubre, donde se manifestaron estudiantes y la policía pública no solo agredió a las y los manifestantes, sino también a los medios de comunicación y es que uno de los casos que ya reveló nuestra Comisión de Derechos Humanos menciona como uno de los estudiantes que detuvieron tenía el cabello largo y él en su declaración dice que lo golpean, lo suben a una patrulla y una vez arriba, las policías le ofrecen disculpas porque lo confundieron </w:t>
      </w:r>
      <w:r w:rsidRPr="006A4BCA">
        <w:rPr>
          <w:rFonts w:ascii="Times New Roman" w:hAnsi="Times New Roman" w:cs="Times New Roman"/>
          <w:sz w:val="24"/>
        </w:rPr>
        <w:t xml:space="preserve">con una mujer, significa que las detenciones y los golpes iban dirigidos para mujeres y en consecuencia, la Comisión de Derechos Humanos del Estado de México ha confirmado la violación de derechos humanos en las marchas del pasado dos de octubre, emitiendo dos recomendaciones formales al municipio de Toluca, en la que se subraya la urgente necesidad de contar con protocolos de actuación policial claros, </w:t>
      </w:r>
      <w:r w:rsidRPr="006A4BCA">
        <w:rPr>
          <w:rFonts w:ascii="Times New Roman" w:hAnsi="Times New Roman" w:cs="Times New Roman"/>
          <w:sz w:val="24"/>
        </w:rPr>
        <w:lastRenderedPageBreak/>
        <w:t xml:space="preserve">capacitación en derechos humanos y perspectiva de género, así como mecanismos efectivos y de control y rendición de cuentas, por qué hay que decirlo, los actos de represión por parte de policías en manifestaciones pacíficas es inconstitucional e inconvencional, por ello, esta iniciativa no responde a un capricho ni a una postura ideológica, responde a una obligación constitucional y convencional del Estado mexicano, ya es momento de ponerle un freno al abuso de las autoridades, que, por cierto, hay que decirlo también desafortunadas las declaraciones que hace unas horas ha hecho el presidente municipal de Toluca, porque a su juicio, él dice que no ocurrieron algunos hechos, hechos que en este momento ya se encuentran documentados, su declaración no solo es desatinada, sino que también revictimiza a las personas que fueron agredidas y él particularmente tendría que estar ofreciendo disculpas a estas personas violentadas y recordarle también que el alcalde de ningún municipio puede determinar cómo se usa la fuerza pública, es la ley nacional la que da los lineamientos generales y las policías municipales son quienes deben de tener protocolos especializados.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Por esta razón es que proponemos adicionar el artículo 101 Bis a la Ley de Seguridad del Estado de México para establecer obligación a las policías estatales y municipales de contar con protocolos especializados de actuación ante manifestaciones, marchas y protestas para la intervención policial en presencia de personas periodistas y para la actuación policial en operativos administrativos de seguridad y el orden, ni un solo caso más como los ocurridos en Toluca.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Es cuanto, presidenta, muchas gracias. </w:t>
      </w:r>
    </w:p>
    <w:p w:rsidR="00F9300E" w:rsidRPr="006A4BCA" w:rsidRDefault="00F9300E" w:rsidP="00E10822">
      <w:pPr>
        <w:pStyle w:val="Sinespaciado"/>
        <w:jc w:val="both"/>
        <w:rPr>
          <w:rFonts w:ascii="Times New Roman" w:hAnsi="Times New Roman" w:cs="Times New Roman"/>
          <w:sz w:val="24"/>
          <w:szCs w:val="24"/>
        </w:rPr>
      </w:pPr>
    </w:p>
    <w:p w:rsidR="00F9300E" w:rsidRPr="006A4BCA" w:rsidRDefault="00F9300E" w:rsidP="00E10822">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F9300E" w:rsidRPr="006A4BCA" w:rsidRDefault="00F9300E" w:rsidP="00E10822">
      <w:pPr>
        <w:spacing w:after="0" w:line="240" w:lineRule="auto"/>
        <w:jc w:val="center"/>
        <w:rPr>
          <w:rFonts w:ascii="Times New Roman" w:hAnsi="Times New Roman"/>
          <w:sz w:val="24"/>
          <w:szCs w:val="24"/>
        </w:rPr>
      </w:pPr>
    </w:p>
    <w:p w:rsidR="00F9300E" w:rsidRPr="006A4BCA" w:rsidRDefault="00F9300E" w:rsidP="00F9300E">
      <w:pPr>
        <w:widowControl w:val="0"/>
        <w:autoSpaceDE w:val="0"/>
        <w:autoSpaceDN w:val="0"/>
        <w:spacing w:after="0"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Bancada Naranja</w:t>
      </w:r>
    </w:p>
    <w:p w:rsidR="00F9300E" w:rsidRPr="006A4BCA" w:rsidRDefault="00F9300E" w:rsidP="00F9300E">
      <w:pPr>
        <w:widowControl w:val="0"/>
        <w:autoSpaceDE w:val="0"/>
        <w:autoSpaceDN w:val="0"/>
        <w:spacing w:after="0" w:line="240" w:lineRule="auto"/>
        <w:jc w:val="right"/>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Toluca de Lerdo, Estado de México, 11 de marzo, 2026.</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DIPUTADA</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MARTHA AZUCENA CAMACHO REYNOSO</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PRESIDENTA DE LA LXII LEGISLATURA</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DEL ESTADO DE MÉXICO</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P R E S E N T E</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6A4BCA">
        <w:rPr>
          <w:rFonts w:ascii="Times New Roman" w:eastAsia="Trebuchet MS" w:hAnsi="Times New Roman" w:cs="Times New Roman"/>
          <w:b/>
          <w:sz w:val="24"/>
          <w:szCs w:val="24"/>
        </w:rPr>
        <w:t xml:space="preserve">Iniciativa con proyecto de Decreto que adiciona el Artículo 101 Bis a la Ley de Seguridad del Estado de México, adicionan las fracciones XXXVI y XXXVII recorriendo la subsecuente del Artículo 13 de la Ley de la Comisión de Derechos Humanos del Estado de México y se adiciona el párrafo tercero y cuarto al artículo 142 de la Ley Orgánica Municipal del Estado de México, en Materia de Protocolos de Actuación de Servidores Públicos y de las Fuerzas de Seguridad Municipales, ante Operativos Municipales, Marchas y Protestas Ciudadanas, para garantizar la Libertad de Expresión y el respeto a los Derechos Humanos, </w:t>
      </w:r>
      <w:r w:rsidRPr="006A4BCA">
        <w:rPr>
          <w:rFonts w:ascii="Times New Roman" w:eastAsia="Trebuchet MS" w:hAnsi="Times New Roman" w:cs="Times New Roman"/>
          <w:sz w:val="24"/>
          <w:szCs w:val="24"/>
        </w:rPr>
        <w:t>de conformidad con la siguiente:</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u w:val="single"/>
        </w:rPr>
        <w:t>EXPOSICIÓN DE MOTIVOS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lastRenderedPageBreak/>
        <w:t>El Estado concentra la obligación primordial de garantizar seguridad, educación, salud y acceso a la justicia a su población. Cuando alguna de esas obligaciones se ha dejado de cumplir se generan descontentos en los gobernados y cuando el fallo se consolida como un fenómeno sistemático las movilizaciones sociales surgen para visibilizar y exigir que se cumpla con dichas obligaciones.</w:t>
      </w: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La libertad de protesta es un derecho fundamental consagrado en los artículos 6, y 6 de la Constitución Política de los Estados Unidos Mexicanos, cuya única restricción expresa es la afectación de terceros, la vida privada o los derechos de terceros, provoque algún delito, o perturbe el orden público</w:t>
      </w:r>
      <w:hyperlink w:anchor="_bookmark0" w:history="1">
        <w:r w:rsidRPr="006A4BCA">
          <w:rPr>
            <w:rFonts w:ascii="Times New Roman" w:eastAsia="Trebuchet MS" w:hAnsi="Times New Roman" w:cs="Times New Roman"/>
            <w:sz w:val="24"/>
            <w:szCs w:val="24"/>
          </w:rPr>
          <w:t>.</w:t>
        </w:r>
        <w:r w:rsidRPr="006A4BCA">
          <w:rPr>
            <w:rFonts w:ascii="Times New Roman" w:eastAsia="Trebuchet MS" w:hAnsi="Times New Roman" w:cs="Times New Roman"/>
            <w:sz w:val="24"/>
            <w:szCs w:val="24"/>
            <w:vertAlign w:val="superscript"/>
          </w:rPr>
          <w:t>1</w:t>
        </w:r>
      </w:hyperlink>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En México es común la realización de marchas que tienen como objetivo conmemorar o recordarle al Estado que ha sido omiso e incluso participe de crímenes lesivos de la dignidad humana que son recordados hasta nuestros días. Tal es el caso de las marchas conmemorativas del 8 de marzo; en la que las mujeres exigen poner fin a la violencia de género que aún persiste; 2 de octubre, conmemoración de la matanza de estudiantes en Tlatelolco; 26 de septiembre para exigir justicia contra la desaparición y matanza de los estudiantes de Ayotzinapa; 1 de mayo, se conmemora el día del trabajo, entre otras.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Según datos de la Secretaría de Gobernación de Ciudad de México, del 5 de diciembre de 2018 al 31 de julio de 2023 se efectuaron 16 mil 431 manifestaciones entre concentraciones, mítines, bloqueos, marchas, plantones o rodadas, en las que participaron 7 millones 362 mil 241 ciudadanos de la capital y de todas las entidades de la República Mexicana; en promedio, por cada una asistieron 446 personas.</w:t>
      </w:r>
      <w:hyperlink w:anchor="_bookmark1" w:history="1">
        <w:r w:rsidRPr="006A4BCA">
          <w:rPr>
            <w:rFonts w:ascii="Times New Roman" w:eastAsia="Trebuchet MS" w:hAnsi="Times New Roman" w:cs="Times New Roman"/>
            <w:sz w:val="24"/>
            <w:szCs w:val="24"/>
            <w:vertAlign w:val="superscript"/>
          </w:rPr>
          <w:t>2</w:t>
        </w:r>
      </w:hyperlink>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Aunque en el Estado de México no se cuenta con un dato preciso sobre el número de manifestaciones y la participación ciudadana de estas, es un hecho notorio que son recurrentes. En ocasiones se convoca a estas movilizaciones sociales con motivo de acontecimientos indignantes que generan que miles de personas salgan a las calles a alzar la voz y exigir justicia.</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Muchos municipios al encontrarse facultados para garantizar el orden público, lejos de entablar dialogo o implementar estrategias que garanticen la escucha y cumplimiento de las exigencias ciudadanas, opta por detener y reprimir de manera violenta a las y los manifestantes. Se tienen documentadas múltiples vulneraciones a derechos humanos por parte de policías, en los que incluso personas periodistas y personas defensoras de derechos humanos han sido agredidas.</w:t>
      </w: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0"/>
          <w:szCs w:val="24"/>
        </w:rPr>
      </w:pPr>
      <w:r w:rsidRPr="006A4BCA">
        <w:rPr>
          <w:rFonts w:ascii="Times New Roman" w:eastAsia="Trebuchet MS" w:hAnsi="Times New Roman" w:cs="Times New Roman"/>
          <w:sz w:val="20"/>
          <w:szCs w:val="24"/>
          <w:vertAlign w:val="superscript"/>
        </w:rPr>
        <w:t>1</w:t>
      </w:r>
      <w:r w:rsidRPr="006A4BCA">
        <w:rPr>
          <w:rFonts w:ascii="Times New Roman" w:eastAsia="Trebuchet MS" w:hAnsi="Times New Roman" w:cs="Times New Roman"/>
          <w:sz w:val="20"/>
          <w:szCs w:val="24"/>
        </w:rPr>
        <w:t xml:space="preserve"> Constitución Política de los Estados Unidos Mexicanos (2026) </w:t>
      </w:r>
      <w:hyperlink r:id="rId32">
        <w:r w:rsidRPr="006A4BCA">
          <w:rPr>
            <w:rFonts w:ascii="Times New Roman" w:eastAsia="Trebuchet MS" w:hAnsi="Times New Roman" w:cs="Times New Roman"/>
            <w:sz w:val="20"/>
            <w:szCs w:val="24"/>
            <w:u w:val="single" w:color="467885"/>
          </w:rPr>
          <w:t>https://www.diputados.gob.mx/LeyesBiblio/pdf/CPEUM.pdf</w:t>
        </w:r>
      </w:hyperlink>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0"/>
          <w:szCs w:val="24"/>
        </w:rPr>
      </w:pPr>
      <w:r w:rsidRPr="006A4BCA">
        <w:rPr>
          <w:rFonts w:ascii="Times New Roman" w:eastAsia="Trebuchet MS" w:hAnsi="Times New Roman" w:cs="Times New Roman"/>
          <w:sz w:val="20"/>
          <w:szCs w:val="24"/>
          <w:vertAlign w:val="superscript"/>
        </w:rPr>
        <w:t>2</w:t>
      </w:r>
      <w:r w:rsidRPr="006A4BCA">
        <w:rPr>
          <w:rFonts w:ascii="Times New Roman" w:eastAsia="Trebuchet MS" w:hAnsi="Times New Roman" w:cs="Times New Roman"/>
          <w:sz w:val="20"/>
          <w:szCs w:val="24"/>
        </w:rPr>
        <w:t xml:space="preserve"> La Secretaría de Gobierno mantendrá diálogo directo con todos los actores políticos en la ciudad: Ricardo Ruiz Suárez </w:t>
      </w:r>
      <w:hyperlink r:id="rId33">
        <w:r w:rsidRPr="006A4BCA">
          <w:rPr>
            <w:rFonts w:ascii="Times New Roman" w:eastAsia="Trebuchet MS" w:hAnsi="Times New Roman" w:cs="Times New Roman"/>
            <w:sz w:val="20"/>
            <w:szCs w:val="24"/>
            <w:u w:val="single" w:color="467885"/>
          </w:rPr>
          <w:t>https://secgob.cdmx.gob.mx/comunicacion/nota/BOL_29_2023</w:t>
        </w:r>
      </w:hyperlink>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Estas acciones constituyen el quebrantamiento del principio de legalidad, pues en este caso las acciones que se cometen en contra de personas que legítimamente hacen uso de sus derechos para manifestarse carecen de fundamento, son desproporcionales e irracionales.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La fuerza empleada por los elementos policiales para inmovilizar o detener a alguien en una manifestación deben ser estrictamente proporcionales al objeto que deba alcanzarse y sólo se aplicará en la medida necesaria según la resistencia y solo debe ser aplicada en la justa medida necesaria.</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lastRenderedPageBreak/>
        <w:t>Toda persona detenida en un Operativo de Seguridad u Orden, Marcha y/o Protestas Ciudadana, tiene derecho a condiciones de detención compatibles con su dignidad personal y el Estado desde el nivel de gobierno municipal debe garantizarle el derecho a la vida y a la integridad personal; las policías ejercen en estos casos un control total sobre la persona que se encuentra bajo su custodia, por lo que el Estado es garante de su integridad personal.</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En particular, en contextos de protesta social, el Estado se debe abstener de incurrir en detenciones masivas. La Corte Interamericana de Derechos Humanos (CIDH) sostiene que “una detención masiva y programada de personas sin causa legal, en la que el Estado detiene masivamente a personas que la autoridad supone podrían representar un riesgo o peligro a la seguridad de los demás, sin indicios fundados de la comisión de un delito constituye una detención ilegal y arbitraria”.</w:t>
      </w:r>
      <w:hyperlink w:anchor="_bookmark2" w:history="1">
        <w:r w:rsidRPr="006A4BCA">
          <w:rPr>
            <w:rFonts w:ascii="Times New Roman" w:eastAsia="Trebuchet MS" w:hAnsi="Times New Roman" w:cs="Times New Roman"/>
            <w:sz w:val="24"/>
            <w:szCs w:val="24"/>
            <w:vertAlign w:val="superscript"/>
          </w:rPr>
          <w:t>3</w:t>
        </w:r>
      </w:hyperlink>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 xml:space="preserve">Es importante hacer mención de que en términos del artículo 1° de la Constitución Política de los Estados Unidos Mexicanos, todas las autoridades en el ámbito de sus competencias tienen la obligación de garantizar los derechos humanos de acuerdo con los principios constitucionales de </w:t>
      </w:r>
      <w:r w:rsidRPr="006A4BCA">
        <w:rPr>
          <w:rFonts w:ascii="Times New Roman" w:eastAsia="Trebuchet MS" w:hAnsi="Times New Roman" w:cs="Times New Roman"/>
          <w:b/>
          <w:sz w:val="24"/>
          <w:szCs w:val="24"/>
        </w:rPr>
        <w:t>universalidad, interdependencia, indivisibilidad y progresividad</w:t>
      </w:r>
      <w:r w:rsidRPr="006A4BCA">
        <w:rPr>
          <w:rFonts w:ascii="Times New Roman" w:eastAsia="Trebuchet MS" w:hAnsi="Times New Roman" w:cs="Times New Roman"/>
          <w:sz w:val="24"/>
          <w:szCs w:val="24"/>
        </w:rPr>
        <w:t>.</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0"/>
          <w:szCs w:val="24"/>
        </w:rPr>
      </w:pPr>
      <w:r w:rsidRPr="006A4BCA">
        <w:rPr>
          <w:rFonts w:ascii="Times New Roman" w:eastAsia="Trebuchet MS" w:hAnsi="Times New Roman" w:cs="Times New Roman"/>
          <w:sz w:val="20"/>
          <w:szCs w:val="24"/>
          <w:vertAlign w:val="superscript"/>
        </w:rPr>
        <w:t>3</w:t>
      </w:r>
      <w:r w:rsidRPr="006A4BCA">
        <w:rPr>
          <w:rFonts w:ascii="Times New Roman" w:eastAsia="Trebuchet MS" w:hAnsi="Times New Roman" w:cs="Times New Roman"/>
          <w:sz w:val="20"/>
          <w:szCs w:val="24"/>
        </w:rPr>
        <w:t xml:space="preserve"> CIDH, Informe Anual (2025) </w:t>
      </w:r>
      <w:hyperlink r:id="rId34">
        <w:r w:rsidRPr="006A4BCA">
          <w:rPr>
            <w:rFonts w:ascii="Times New Roman" w:eastAsia="Trebuchet MS" w:hAnsi="Times New Roman" w:cs="Times New Roman"/>
            <w:sz w:val="20"/>
            <w:szCs w:val="24"/>
            <w:u w:val="single" w:color="467885"/>
          </w:rPr>
          <w:t>https://scm.oas.org/pdfs/2025/CP51481s.pdf</w:t>
        </w:r>
      </w:hyperlink>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Al respecto, la Convención Americana sobre Derechos Humanos en su numeral 1.1 establece el compromiso de los Estados Parte de garantizar el libre y pleno ejercicio de los derechos y libertades a toda persona sujeta a su jurisdicción</w:t>
      </w:r>
      <w:hyperlink w:anchor="_bookmark3" w:history="1">
        <w:r w:rsidRPr="006A4BCA">
          <w:rPr>
            <w:rFonts w:ascii="Times New Roman" w:eastAsia="Trebuchet MS" w:hAnsi="Times New Roman" w:cs="Times New Roman"/>
            <w:sz w:val="24"/>
            <w:szCs w:val="24"/>
          </w:rPr>
          <w:t>.</w:t>
        </w:r>
        <w:r w:rsidRPr="006A4BCA">
          <w:rPr>
            <w:rFonts w:ascii="Times New Roman" w:eastAsia="Trebuchet MS" w:hAnsi="Times New Roman" w:cs="Times New Roman"/>
            <w:sz w:val="24"/>
            <w:szCs w:val="24"/>
            <w:vertAlign w:val="superscript"/>
          </w:rPr>
          <w:t>4</w:t>
        </w:r>
      </w:hyperlink>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Por otra parte, la CIDH ha establecido que dicha obligación “implica el deber de los Estados Parte de organizar todo el aparato gubernamental y, en general, todas las estructuras a través de las cuales se manifiesta el ejercicio del poder público, de manera tal que sean capaces de asegurar jurídicamente el libre y pleno ejercicio de los derechos humanos”.</w:t>
      </w:r>
      <w:hyperlink w:anchor="_bookmark4" w:history="1">
        <w:r w:rsidRPr="006A4BCA">
          <w:rPr>
            <w:rFonts w:ascii="Times New Roman" w:eastAsia="Trebuchet MS" w:hAnsi="Times New Roman" w:cs="Times New Roman"/>
            <w:sz w:val="24"/>
            <w:szCs w:val="24"/>
            <w:vertAlign w:val="superscript"/>
          </w:rPr>
          <w:t>5</w:t>
        </w:r>
      </w:hyperlink>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El marco normativo mexicano e internacional obligan a las autoridades a garantizar la seguridad de los manifestantes, limitar el uso de la fuerza a casos extremos bajo estrictos protocolos, asegurándose de que la libertad de expresión prevalezca durante el ejercicio del derecho a la protesta pública.</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Aún con todo el andamiaje institucional y jurídico con el que se cuenta en el Estado de México, el pasado 2 de octubre de 2025 policías municipales de Toluca agredieron a periodistas que simplemente cumplían con su labor de documentar, las también arbitrarias detenciones de estudiantes y en general los hechos ocurridos ese día en el contexto de la marcha conmemorativa de la matanza de Tlatelolco en 1668</w:t>
      </w:r>
      <w:hyperlink w:anchor="_bookmark5" w:history="1">
        <w:r w:rsidRPr="006A4BCA">
          <w:rPr>
            <w:rFonts w:ascii="Times New Roman" w:eastAsia="Trebuchet MS" w:hAnsi="Times New Roman" w:cs="Times New Roman"/>
            <w:sz w:val="24"/>
            <w:szCs w:val="24"/>
          </w:rPr>
          <w:t>.</w:t>
        </w:r>
        <w:r w:rsidRPr="006A4BCA">
          <w:rPr>
            <w:rFonts w:ascii="Times New Roman" w:eastAsia="Trebuchet MS" w:hAnsi="Times New Roman" w:cs="Times New Roman"/>
            <w:sz w:val="24"/>
            <w:szCs w:val="24"/>
            <w:vertAlign w:val="superscript"/>
          </w:rPr>
          <w:t>6</w:t>
        </w:r>
      </w:hyperlink>
      <w:r w:rsidRPr="006A4BCA">
        <w:rPr>
          <w:rFonts w:ascii="Times New Roman" w:eastAsia="Trebuchet MS" w:hAnsi="Times New Roman" w:cs="Times New Roman"/>
          <w:sz w:val="24"/>
          <w:szCs w:val="24"/>
        </w:rPr>
        <w:t xml:space="preserve"> Esta situación deja de manifiesto que a pesar de la protección jurídica que establece la constitución, no se cuenta con la capacitación adecuada ni se conocen los límites precisos sobre la actuación de la policía ante estas circunstancias.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 xml:space="preserve">En este contexto la Comisión de Derechos Humanos emitió las recomendaciones 1/2026 y 2/2026 en las que se recomienda, entre otras cuestiones, </w:t>
      </w:r>
      <w:r w:rsidRPr="006A4BCA">
        <w:rPr>
          <w:rFonts w:ascii="Times New Roman" w:eastAsia="Trebuchet MS" w:hAnsi="Times New Roman" w:cs="Times New Roman"/>
          <w:b/>
          <w:sz w:val="24"/>
          <w:szCs w:val="24"/>
        </w:rPr>
        <w:t>la creación, implementación y capacitación de un Protocolo Especializado para la intervención policial en presencia de personas periodistas y su capacitación continua, en los mismos términos la elaboración e implementación de un Protocolo de actuación policial para la atención de manifestaciones</w:t>
      </w:r>
      <w:r w:rsidRPr="006A4BCA">
        <w:rPr>
          <w:rFonts w:ascii="Times New Roman" w:eastAsia="Trebuchet MS" w:hAnsi="Times New Roman" w:cs="Times New Roman"/>
          <w:sz w:val="24"/>
          <w:szCs w:val="24"/>
        </w:rPr>
        <w:t xml:space="preserve">, en la lógica de que al no existir lineamientos y límites claros sobre la actuación de los policías, así como evaluación y capacitación continua en materia de derechos humanos, perspectiva de género, enfoque diferencial </w:t>
      </w:r>
      <w:r w:rsidRPr="006A4BCA">
        <w:rPr>
          <w:rFonts w:ascii="Times New Roman" w:eastAsia="Trebuchet MS" w:hAnsi="Times New Roman" w:cs="Times New Roman"/>
          <w:sz w:val="24"/>
          <w:szCs w:val="24"/>
        </w:rPr>
        <w:lastRenderedPageBreak/>
        <w:t>especializado e interseccionalidades, es probable que sigan existiendo este tipo de vulneraciones en la esfera jurídica de las personas</w:t>
      </w:r>
      <w:hyperlink w:anchor="_bookmark6" w:history="1">
        <w:r w:rsidRPr="006A4BCA">
          <w:rPr>
            <w:rFonts w:ascii="Times New Roman" w:eastAsia="Trebuchet MS" w:hAnsi="Times New Roman" w:cs="Times New Roman"/>
            <w:sz w:val="24"/>
            <w:szCs w:val="24"/>
          </w:rPr>
          <w:t>.</w:t>
        </w:r>
        <w:r w:rsidRPr="006A4BCA">
          <w:rPr>
            <w:rFonts w:ascii="Times New Roman" w:eastAsia="Trebuchet MS" w:hAnsi="Times New Roman" w:cs="Times New Roman"/>
            <w:sz w:val="24"/>
            <w:szCs w:val="24"/>
            <w:vertAlign w:val="superscript"/>
          </w:rPr>
          <w:t>7</w:t>
        </w:r>
      </w:hyperlink>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0"/>
          <w:szCs w:val="24"/>
          <w:u w:val="single" w:color="467885"/>
        </w:rPr>
      </w:pPr>
      <w:bookmarkStart w:id="15" w:name="_bookmark3"/>
      <w:bookmarkEnd w:id="15"/>
      <w:r w:rsidRPr="006A4BCA">
        <w:rPr>
          <w:rFonts w:ascii="Times New Roman" w:eastAsia="Trebuchet MS" w:hAnsi="Times New Roman" w:cs="Times New Roman"/>
          <w:sz w:val="20"/>
          <w:szCs w:val="24"/>
          <w:vertAlign w:val="superscript"/>
        </w:rPr>
        <w:t>4</w:t>
      </w:r>
      <w:r w:rsidRPr="006A4BCA">
        <w:rPr>
          <w:rFonts w:ascii="Times New Roman" w:eastAsia="Trebuchet MS" w:hAnsi="Times New Roman" w:cs="Times New Roman"/>
          <w:sz w:val="20"/>
          <w:szCs w:val="24"/>
        </w:rPr>
        <w:t xml:space="preserve"> Convención Americana de Derechos Humanos ( 2025) </w:t>
      </w:r>
      <w:hyperlink r:id="rId35">
        <w:r w:rsidRPr="006A4BCA">
          <w:rPr>
            <w:rFonts w:ascii="Times New Roman" w:eastAsia="Trebuchet MS" w:hAnsi="Times New Roman" w:cs="Times New Roman"/>
            <w:sz w:val="20"/>
            <w:szCs w:val="24"/>
            <w:u w:val="single" w:color="467885"/>
          </w:rPr>
          <w:t>https://www.oas.org/dil/esp/1969_Convenci%C3%B3n_Americana_sobre_Derechos_Humanos.pdf</w:t>
        </w:r>
      </w:hyperlink>
      <w:bookmarkStart w:id="16" w:name="_bookmark4"/>
      <w:bookmarkEnd w:id="16"/>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0"/>
          <w:szCs w:val="24"/>
        </w:rPr>
      </w:pPr>
      <w:r w:rsidRPr="006A4BCA">
        <w:rPr>
          <w:rFonts w:ascii="Times New Roman" w:eastAsia="Trebuchet MS" w:hAnsi="Times New Roman" w:cs="Times New Roman"/>
          <w:sz w:val="20"/>
          <w:szCs w:val="24"/>
          <w:vertAlign w:val="superscript"/>
        </w:rPr>
        <w:t>5</w:t>
      </w:r>
      <w:r w:rsidRPr="006A4BCA">
        <w:rPr>
          <w:rFonts w:ascii="Times New Roman" w:eastAsia="Trebuchet MS" w:hAnsi="Times New Roman" w:cs="Times New Roman"/>
          <w:sz w:val="20"/>
          <w:szCs w:val="24"/>
        </w:rPr>
        <w:t xml:space="preserve"> Corte Interamericana de Derechos Humanos, Caso Velázquez vs Honduras, Sentencia de 29 de julio de 1988 </w:t>
      </w:r>
      <w:hyperlink r:id="rId36">
        <w:r w:rsidRPr="006A4BCA">
          <w:rPr>
            <w:rFonts w:ascii="Times New Roman" w:eastAsia="Trebuchet MS" w:hAnsi="Times New Roman" w:cs="Times New Roman"/>
            <w:sz w:val="20"/>
            <w:szCs w:val="24"/>
            <w:u w:val="single" w:color="467885"/>
          </w:rPr>
          <w:t>https://corteidh.or.cr/tablas/casosc.pdf</w:t>
        </w:r>
      </w:hyperlink>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0"/>
          <w:szCs w:val="24"/>
        </w:rPr>
      </w:pPr>
      <w:bookmarkStart w:id="17" w:name="_bookmark5"/>
      <w:bookmarkEnd w:id="17"/>
      <w:r w:rsidRPr="006A4BCA">
        <w:rPr>
          <w:rFonts w:ascii="Times New Roman" w:eastAsia="Trebuchet MS" w:hAnsi="Times New Roman" w:cs="Times New Roman"/>
          <w:sz w:val="20"/>
          <w:szCs w:val="24"/>
          <w:vertAlign w:val="superscript"/>
        </w:rPr>
        <w:t>6</w:t>
      </w:r>
      <w:r w:rsidRPr="006A4BCA">
        <w:rPr>
          <w:rFonts w:ascii="Times New Roman" w:eastAsia="Trebuchet MS" w:hAnsi="Times New Roman" w:cs="Times New Roman"/>
          <w:sz w:val="20"/>
          <w:szCs w:val="24"/>
        </w:rPr>
        <w:t xml:space="preserve"> La Izquierda Diario. Toluca: brutal represión policial en la marcha del 2 de octubre deja al menos 10 estudiantes heridos </w:t>
      </w:r>
      <w:hyperlink r:id="rId37">
        <w:r w:rsidRPr="006A4BCA">
          <w:rPr>
            <w:rFonts w:ascii="Times New Roman" w:eastAsia="Trebuchet MS" w:hAnsi="Times New Roman" w:cs="Times New Roman"/>
            <w:sz w:val="20"/>
            <w:szCs w:val="24"/>
            <w:u w:val="single" w:color="467885"/>
          </w:rPr>
          <w:t>https://www.laizquierdadiario.mx/Toluca-brutal-represion-policial-en-la-marcha-</w:t>
        </w:r>
      </w:hyperlink>
      <w:r w:rsidRPr="006A4BCA">
        <w:rPr>
          <w:rFonts w:ascii="Times New Roman" w:eastAsia="Trebuchet MS" w:hAnsi="Times New Roman" w:cs="Times New Roman"/>
          <w:sz w:val="20"/>
          <w:szCs w:val="24"/>
        </w:rPr>
        <w:t xml:space="preserve"> </w:t>
      </w:r>
      <w:hyperlink r:id="rId38">
        <w:r w:rsidRPr="006A4BCA">
          <w:rPr>
            <w:rFonts w:ascii="Times New Roman" w:eastAsia="Trebuchet MS" w:hAnsi="Times New Roman" w:cs="Times New Roman"/>
            <w:sz w:val="20"/>
            <w:szCs w:val="24"/>
            <w:u w:val="single" w:color="467885"/>
          </w:rPr>
          <w:t>del-2-de-octubre-deja-al-menos-10-estudiantes-heridos</w:t>
        </w:r>
      </w:hyperlink>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 xml:space="preserve">Las recomendaciones de la Comisión de Derechos Humanos del Estado de México deben tomarse en cuenta para desde este Congreso establecer medidas de no repetición urgentes para todos los municipios del Estado, esta iniciativa plantea reformas para establecer como obligación a todos los municipios y al gobierno Estatal, que las instancias de seguridad elaboren en coordinación con la CODHEM, </w:t>
      </w:r>
      <w:r w:rsidRPr="006A4BCA">
        <w:rPr>
          <w:rFonts w:ascii="Times New Roman" w:eastAsia="Trebuchet MS" w:hAnsi="Times New Roman" w:cs="Times New Roman"/>
          <w:b/>
          <w:sz w:val="24"/>
          <w:szCs w:val="24"/>
        </w:rPr>
        <w:t>Protocolos especializados; para La actuación policial en la atención de manifestaciones, marchas o protestas, para La intervención policial en presencia de personas periodistas, para La actuación policial en operativos administrativos de seguridad y orden</w:t>
      </w:r>
      <w:r w:rsidRPr="006A4BCA">
        <w:rPr>
          <w:rFonts w:ascii="Times New Roman" w:eastAsia="Trebuchet MS" w:hAnsi="Times New Roman" w:cs="Times New Roman"/>
          <w:sz w:val="24"/>
          <w:szCs w:val="24"/>
        </w:rPr>
        <w:t>, así como que esta institución se encargue de la capacitación continua y evaluación en esta materia de los elementos policiales.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b/>
          <w:sz w:val="24"/>
          <w:szCs w:val="24"/>
        </w:rPr>
        <w:t xml:space="preserve">Capacitación que deberá consistir en una formación en derechos humanos a todo el estado de fuerza, mandos medios y superiores, en materia de género, enfoque diferencial, especializado e interseccional, así como sobre los derechos relacionados con el derecho a la libre manifestación pacífica y a la libertad de expresión en todas sus vertientes. </w:t>
      </w:r>
      <w:r w:rsidRPr="006A4BCA">
        <w:rPr>
          <w:rFonts w:ascii="Times New Roman" w:eastAsia="Trebuchet MS" w:hAnsi="Times New Roman" w:cs="Times New Roman"/>
          <w:sz w:val="24"/>
          <w:szCs w:val="24"/>
        </w:rPr>
        <w:t>Además, se establece que el municipio debe garantizar que la actuación de sus cuerpos policiales respete los derechos humanos y la legalidad apegándose a los protocolos que por ley previamente deben emitir.</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El Estado de México debe ser pionero en la garantía de los derechos de manifestación pacífica y protección de las personas involucradas, por lo que es necesario que el actuar de cada uno de los servidores públicos y especialmente los pertenecientes a instituciones de seguridad pública cuenten con la debida capacitación y límites claros en su actuar.</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Conforme a lo anteriormente expuesto, someto a la consideración de esta honorable Asamblea el siguiente proyecto de:</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bookmarkStart w:id="18" w:name="_bookmark6"/>
      <w:bookmarkEnd w:id="18"/>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r w:rsidRPr="006A4BCA">
        <w:rPr>
          <w:rFonts w:ascii="Times New Roman" w:eastAsia="Trebuchet MS" w:hAnsi="Times New Roman" w:cs="Times New Roman"/>
          <w:sz w:val="20"/>
          <w:szCs w:val="24"/>
          <w:vertAlign w:val="superscript"/>
        </w:rPr>
        <w:t>7</w:t>
      </w:r>
      <w:r w:rsidRPr="006A4BCA">
        <w:rPr>
          <w:rFonts w:ascii="Times New Roman" w:eastAsia="Trebuchet MS" w:hAnsi="Times New Roman" w:cs="Times New Roman"/>
          <w:sz w:val="20"/>
          <w:szCs w:val="24"/>
        </w:rPr>
        <w:t xml:space="preserve"> CODHEM. Recomendaciones 1/2026 y 2/2026 </w:t>
      </w:r>
      <w:hyperlink r:id="rId39">
        <w:r w:rsidRPr="006A4BCA">
          <w:rPr>
            <w:rFonts w:ascii="Times New Roman" w:eastAsia="Trebuchet MS" w:hAnsi="Times New Roman" w:cs="Times New Roman"/>
            <w:sz w:val="20"/>
            <w:szCs w:val="24"/>
            <w:u w:val="single" w:color="467885"/>
          </w:rPr>
          <w:t>https://www.codhem.org.mx/recomendaciones/</w:t>
        </w:r>
      </w:hyperlink>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Decreto que adiciona el Artículo 101 Bis a la Ley de Seguridad del Estado de México, adicionan las fracciones XXXVI y XXXVII recorriendo la subsecuente del Artículo 13 de la Ley de la Comisión de Derechos Humanos del Estado de México y se adiciona el párrafo tercero y cuarto al artículo 142 de la Ley Orgánica Municipal del Estado de México.</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A T E N T A M E N T E</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9300E" w:rsidRPr="006A4BCA" w:rsidTr="00A12F24">
        <w:trPr>
          <w:jc w:val="center"/>
        </w:trPr>
        <w:tc>
          <w:tcPr>
            <w:tcW w:w="4697" w:type="dxa"/>
          </w:tcPr>
          <w:p w:rsidR="00F9300E" w:rsidRPr="006A4BCA" w:rsidRDefault="00F9300E" w:rsidP="00A12F24">
            <w:pPr>
              <w:widowControl w:val="0"/>
              <w:autoSpaceDE w:val="0"/>
              <w:autoSpaceDN w:val="0"/>
              <w:spacing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Dip. Ruth Salinas Reyes</w:t>
            </w:r>
          </w:p>
        </w:tc>
        <w:tc>
          <w:tcPr>
            <w:tcW w:w="4698" w:type="dxa"/>
          </w:tcPr>
          <w:p w:rsidR="00F9300E" w:rsidRPr="006A4BCA" w:rsidRDefault="00F9300E" w:rsidP="00A12F24">
            <w:pPr>
              <w:widowControl w:val="0"/>
              <w:autoSpaceDE w:val="0"/>
              <w:autoSpaceDN w:val="0"/>
              <w:spacing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Dip. Maricela Beltrán Sánchez</w:t>
            </w:r>
          </w:p>
        </w:tc>
      </w:tr>
      <w:tr w:rsidR="00F9300E" w:rsidRPr="006A4BCA" w:rsidTr="00A12F24">
        <w:trPr>
          <w:jc w:val="center"/>
        </w:trPr>
        <w:tc>
          <w:tcPr>
            <w:tcW w:w="4697" w:type="dxa"/>
          </w:tcPr>
          <w:p w:rsidR="00F9300E" w:rsidRPr="006A4BCA" w:rsidRDefault="00F9300E" w:rsidP="00A12F24">
            <w:pPr>
              <w:widowControl w:val="0"/>
              <w:autoSpaceDE w:val="0"/>
              <w:autoSpaceDN w:val="0"/>
              <w:spacing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Dip. Juan Manuel Zepeda Hernández</w:t>
            </w:r>
          </w:p>
        </w:tc>
        <w:tc>
          <w:tcPr>
            <w:tcW w:w="4698" w:type="dxa"/>
          </w:tcPr>
          <w:p w:rsidR="00F9300E" w:rsidRPr="006A4BCA" w:rsidRDefault="00F9300E" w:rsidP="00A12F24">
            <w:pPr>
              <w:widowControl w:val="0"/>
              <w:autoSpaceDE w:val="0"/>
              <w:autoSpaceDN w:val="0"/>
              <w:spacing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Dip. Martín Zepeda Hernández</w:t>
            </w:r>
          </w:p>
        </w:tc>
      </w:tr>
    </w:tbl>
    <w:p w:rsidR="00F9300E" w:rsidRPr="006A4BCA" w:rsidRDefault="00F9300E" w:rsidP="00F9300E">
      <w:pPr>
        <w:widowControl w:val="0"/>
        <w:autoSpaceDE w:val="0"/>
        <w:autoSpaceDN w:val="0"/>
        <w:spacing w:after="0"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Integrantes del Grupo Parlamentario de Movimiento Ciudadano</w:t>
      </w:r>
    </w:p>
    <w:p w:rsidR="00F9300E" w:rsidRPr="006A4BCA" w:rsidRDefault="00F9300E" w:rsidP="00F9300E">
      <w:pPr>
        <w:widowControl w:val="0"/>
        <w:autoSpaceDE w:val="0"/>
        <w:autoSpaceDN w:val="0"/>
        <w:spacing w:after="0"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de la LXII Legislatura del Estado de México</w:t>
      </w: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p>
    <w:p w:rsidR="00F9300E" w:rsidRPr="006A4BCA" w:rsidRDefault="00F9300E" w:rsidP="00A12F24">
      <w:pPr>
        <w:widowControl w:val="0"/>
        <w:autoSpaceDE w:val="0"/>
        <w:autoSpaceDN w:val="0"/>
        <w:spacing w:after="0"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PROYECTO DE DECRETO</w:t>
      </w: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La H. LXII Legislatura del Estado de México</w:t>
      </w: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Decreta:</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ARTÍCULO PRIMERO</w:t>
      </w:r>
      <w:r w:rsidRPr="006A4BCA">
        <w:rPr>
          <w:rFonts w:ascii="Times New Roman" w:eastAsia="Trebuchet MS" w:hAnsi="Times New Roman" w:cs="Times New Roman"/>
          <w:sz w:val="24"/>
          <w:szCs w:val="24"/>
        </w:rPr>
        <w:t xml:space="preserve">; </w:t>
      </w:r>
      <w:r w:rsidRPr="006A4BCA">
        <w:rPr>
          <w:rFonts w:ascii="Times New Roman" w:eastAsia="Trebuchet MS" w:hAnsi="Times New Roman" w:cs="Times New Roman"/>
          <w:b/>
          <w:sz w:val="24"/>
          <w:szCs w:val="24"/>
        </w:rPr>
        <w:t>Se adiciona el Artículo 101 Bis a la Ley de Seguridad del Estado de México, para quedar como sigue:</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Artículo 101 Bis.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La o el titular de las Instituciones Policiales estatales y municipales, elaborará en coordinación con la Comisión de Derechos Humanos del Estado de México protocolos especializados; para la actuación policial en la atención de manifestaciones, marchas o protestas, para la intervención policial en presencia de personas periodistas, para la actuación policial en operativos administrativos de seguridad y orden. Estos protocolos serán de observancia obligatoria para las respectivas Instituciones Policiales una vez que sean aprobados por el Consejo Estatal. En el ejercicio de la fuerza se estará a lo dispuesto en el Artículo anterior y se aplicarán las técnicas especiales que establezcan las disposiciones aplicables conforme a los protocolos antes referidos.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El Consejo Estatal en coordinación con los municipios y la Comisión de Derechos Humanos del Estado de México establecerá los lineamientos de la capacitación y evaluación permanente para que la actuación de las fuerzas de seguridad se realice con respeto a los derechos humanos y se apegue estrictamente a los protocolos referidos.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A12F24">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La capacitación, deberá consistir en una formación en derechos humanos a todo el estado de fuerza, mandos medios y superiores, en materia de género, enfoque diferencial, especializado e interseccional, así como sobre los derechos relacionados con el derecho a la libre manifestación pacífica y a la libertad de expresión en todas sus vertientes.</w:t>
      </w:r>
    </w:p>
    <w:p w:rsidR="00F9300E" w:rsidRPr="006A4BCA" w:rsidRDefault="00F9300E" w:rsidP="00A12F24">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A12F24">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ARTÍCULO SEGUNDO</w:t>
      </w:r>
      <w:r w:rsidRPr="006A4BCA">
        <w:rPr>
          <w:rFonts w:ascii="Times New Roman" w:eastAsia="Trebuchet MS" w:hAnsi="Times New Roman" w:cs="Times New Roman"/>
          <w:sz w:val="24"/>
          <w:szCs w:val="24"/>
        </w:rPr>
        <w:t xml:space="preserve">; </w:t>
      </w:r>
      <w:r w:rsidRPr="006A4BCA">
        <w:rPr>
          <w:rFonts w:ascii="Times New Roman" w:eastAsia="Trebuchet MS" w:hAnsi="Times New Roman" w:cs="Times New Roman"/>
          <w:b/>
          <w:sz w:val="24"/>
          <w:szCs w:val="24"/>
        </w:rPr>
        <w:t>Se adicionan las fracciones XXXVI y XXXVII recorriendo la subsecuente del Artículo 13 de la Ley de la Comisión de Derechos Humanos del Estado de México del Estado de México, para quedar como sigue:</w:t>
      </w:r>
    </w:p>
    <w:p w:rsidR="00F9300E" w:rsidRPr="006A4BCA" w:rsidRDefault="00F9300E" w:rsidP="00A12F24">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DA3D25">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Artículo 13.- Para el cumplimiento de sus objetivos la Comisión tiene las atribuciones siguientes:</w:t>
      </w:r>
    </w:p>
    <w:p w:rsidR="00DA3D25" w:rsidRPr="006A4BCA" w:rsidRDefault="00DA3D25" w:rsidP="00DA3D25">
      <w:pPr>
        <w:widowControl w:val="0"/>
        <w:autoSpaceDE w:val="0"/>
        <w:autoSpaceDN w:val="0"/>
        <w:spacing w:after="0" w:line="240" w:lineRule="auto"/>
        <w:jc w:val="both"/>
        <w:rPr>
          <w:rFonts w:ascii="Times New Roman" w:eastAsia="Trebuchet MS" w:hAnsi="Times New Roman" w:cs="Times New Roman"/>
          <w:sz w:val="24"/>
          <w:szCs w:val="24"/>
        </w:rPr>
      </w:pPr>
    </w:p>
    <w:p w:rsidR="00F9300E" w:rsidRPr="006A4BCA" w:rsidRDefault="00F9300E" w:rsidP="00A12F24">
      <w:pPr>
        <w:widowControl w:val="0"/>
        <w:numPr>
          <w:ilvl w:val="0"/>
          <w:numId w:val="49"/>
        </w:numPr>
        <w:autoSpaceDE w:val="0"/>
        <w:autoSpaceDN w:val="0"/>
        <w:spacing w:after="0" w:line="240" w:lineRule="auto"/>
        <w:ind w:left="0" w:firstLine="0"/>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Elaborar en coordinación con los titulares de las Instituciones Policiales estatales y municipales, protocolos especializados; para la actuación policial en la atención de manifestaciones, marchas o protestas, para la intervención policial en presencia de personas periodistas, para la actuación policial en operativos administrativos de seguridad y orden, con énfasis en grupos en situación de vulnerabilidad, perspectiva de género e interseccionalidades, protección de personas defensoras de derechos humanos, personas observadoras y periodistas.</w:t>
      </w:r>
    </w:p>
    <w:p w:rsidR="00DA3D25" w:rsidRPr="006A4BCA" w:rsidRDefault="00DA3D25" w:rsidP="00DA3D25">
      <w:pPr>
        <w:widowControl w:val="0"/>
        <w:autoSpaceDE w:val="0"/>
        <w:autoSpaceDN w:val="0"/>
        <w:spacing w:after="0" w:line="240" w:lineRule="auto"/>
        <w:jc w:val="both"/>
        <w:rPr>
          <w:rFonts w:ascii="Times New Roman" w:eastAsia="Trebuchet MS" w:hAnsi="Times New Roman" w:cs="Times New Roman"/>
          <w:b/>
          <w:sz w:val="24"/>
          <w:szCs w:val="24"/>
        </w:rPr>
      </w:pPr>
    </w:p>
    <w:p w:rsidR="00F9300E" w:rsidRPr="006A4BCA" w:rsidRDefault="00F9300E" w:rsidP="00A12F24">
      <w:pPr>
        <w:widowControl w:val="0"/>
        <w:numPr>
          <w:ilvl w:val="0"/>
          <w:numId w:val="49"/>
        </w:numPr>
        <w:autoSpaceDE w:val="0"/>
        <w:autoSpaceDN w:val="0"/>
        <w:spacing w:after="0" w:line="240" w:lineRule="auto"/>
        <w:ind w:left="0" w:firstLine="0"/>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 xml:space="preserve">Capacitar y evaluar de manera periódica en coordinación con las Instituciones Policiales estatales y municipales a todo el estado de fuerza, mandos medios y superiores, en materia de derechos humanos, género, enfoque diferencial, especializado e interseccional, así como sobre los derechos relacionados con el derecho a la libre manifestación pacífica y a la </w:t>
      </w:r>
      <w:r w:rsidRPr="006A4BCA">
        <w:rPr>
          <w:rFonts w:ascii="Times New Roman" w:eastAsia="Trebuchet MS" w:hAnsi="Times New Roman" w:cs="Times New Roman"/>
          <w:b/>
          <w:sz w:val="24"/>
          <w:szCs w:val="24"/>
        </w:rPr>
        <w:lastRenderedPageBreak/>
        <w:t>libertad de expresión en todas sus vertientes, para ser aptos en la implementación de los protocolos especializados a los que se refiere la fracción anterior.</w:t>
      </w:r>
    </w:p>
    <w:p w:rsidR="00DA3D25" w:rsidRPr="006A4BCA" w:rsidRDefault="00DA3D25" w:rsidP="00DA3D25">
      <w:pPr>
        <w:widowControl w:val="0"/>
        <w:autoSpaceDE w:val="0"/>
        <w:autoSpaceDN w:val="0"/>
        <w:spacing w:after="0" w:line="240" w:lineRule="auto"/>
        <w:jc w:val="both"/>
        <w:rPr>
          <w:rFonts w:ascii="Times New Roman" w:eastAsia="Trebuchet MS" w:hAnsi="Times New Roman" w:cs="Times New Roman"/>
          <w:b/>
          <w:sz w:val="24"/>
          <w:szCs w:val="24"/>
        </w:rPr>
      </w:pPr>
    </w:p>
    <w:p w:rsidR="00F9300E" w:rsidRPr="006A4BCA" w:rsidRDefault="00F9300E" w:rsidP="00A12F24">
      <w:pPr>
        <w:widowControl w:val="0"/>
        <w:numPr>
          <w:ilvl w:val="0"/>
          <w:numId w:val="49"/>
        </w:numPr>
        <w:autoSpaceDE w:val="0"/>
        <w:autoSpaceDN w:val="0"/>
        <w:spacing w:after="0" w:line="240" w:lineRule="auto"/>
        <w:ind w:left="0" w:firstLine="0"/>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w:t>
      </w:r>
    </w:p>
    <w:p w:rsidR="00F9300E" w:rsidRPr="006A4BCA" w:rsidRDefault="00F9300E" w:rsidP="00A12F24">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A12F24">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ARTÍCULO TERCERO; Se adiciona el párrafo tercero y cuarto al Artículo 142 de la Ley Orgánica Municipal del Estado de México, para quedar como sigue;</w:t>
      </w:r>
    </w:p>
    <w:p w:rsidR="00F9300E" w:rsidRPr="006A4BCA" w:rsidRDefault="00F9300E" w:rsidP="00A12F24">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A12F24">
      <w:pPr>
        <w:widowControl w:val="0"/>
        <w:autoSpaceDE w:val="0"/>
        <w:autoSpaceDN w:val="0"/>
        <w:spacing w:after="0" w:line="240" w:lineRule="auto"/>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Artículo 142 .- …</w:t>
      </w:r>
    </w:p>
    <w:p w:rsidR="00DA3D25" w:rsidRPr="006A4BCA" w:rsidRDefault="00DA3D25" w:rsidP="00A12F24">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A12F24">
      <w:pPr>
        <w:widowControl w:val="0"/>
        <w:autoSpaceDE w:val="0"/>
        <w:autoSpaceDN w:val="0"/>
        <w:spacing w:after="0" w:line="240" w:lineRule="auto"/>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w:t>
      </w:r>
    </w:p>
    <w:p w:rsidR="00F9300E" w:rsidRPr="006A4BCA" w:rsidRDefault="00F9300E" w:rsidP="00A12F24">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A12F24">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El Ayuntamiento garantizará en coordinación con la Comisión de Derechos Humanos del Estado de México la capacitación y evaluación permanente para que la actuación de las fuerzas de seguridad municipales se realice con respeto a los Derechos Humanos y se apegue estrictamente a los protocolos; para La actuación policial en la atención de manifestaciones, marchas o protestas, para La intervención policial en presencia de personas periodistas, para La actuación policial en operativos administrativos de seguridad y orden.</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Capacitación que deberá consistir en una formación en derechos humanos a todo el estado de fuerza, mandos medios y superiores, en materia de género, enfoque diferencial, especializado e interseccional, así como sobre los derechos relacionados con el derecho a la libre manifestación pacífica y a la libertad de expresión en todas sus vertientes.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center"/>
        <w:rPr>
          <w:rFonts w:ascii="Times New Roman" w:eastAsia="Trebuchet MS" w:hAnsi="Times New Roman" w:cs="Times New Roman"/>
          <w:b/>
          <w:sz w:val="24"/>
          <w:szCs w:val="24"/>
        </w:rPr>
      </w:pPr>
      <w:r w:rsidRPr="006A4BCA">
        <w:rPr>
          <w:rFonts w:ascii="Times New Roman" w:eastAsia="Trebuchet MS" w:hAnsi="Times New Roman" w:cs="Times New Roman"/>
          <w:b/>
          <w:sz w:val="24"/>
          <w:szCs w:val="24"/>
        </w:rPr>
        <w:t>ARTÍCULOS TRANSITORIOS</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b/>
          <w:sz w:val="24"/>
          <w:szCs w:val="24"/>
        </w:rPr>
        <w:t xml:space="preserve">PRIMERO.- </w:t>
      </w:r>
      <w:r w:rsidRPr="006A4BCA">
        <w:rPr>
          <w:rFonts w:ascii="Times New Roman" w:eastAsia="Trebuchet MS" w:hAnsi="Times New Roman" w:cs="Times New Roman"/>
          <w:sz w:val="24"/>
          <w:szCs w:val="24"/>
        </w:rPr>
        <w:t>Publíquese el presente Decreto en el Periódico Oficial “Gaceta del Gobierno”.</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b/>
          <w:sz w:val="24"/>
          <w:szCs w:val="24"/>
        </w:rPr>
        <w:t xml:space="preserve">SEGUNDO.- </w:t>
      </w:r>
      <w:r w:rsidRPr="006A4BCA">
        <w:rPr>
          <w:rFonts w:ascii="Times New Roman" w:eastAsia="Trebuchet MS" w:hAnsi="Times New Roman" w:cs="Times New Roman"/>
          <w:sz w:val="24"/>
          <w:szCs w:val="24"/>
        </w:rPr>
        <w:t>Se establece un plazo no mayor a 180 días naturales para la elaboración y aprobación de los protocolos a los que se refiere el Artículo Primero del presente decreto.</w:t>
      </w: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b/>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b/>
          <w:sz w:val="24"/>
          <w:szCs w:val="24"/>
        </w:rPr>
        <w:t xml:space="preserve">TERCERO.- </w:t>
      </w:r>
      <w:r w:rsidRPr="006A4BCA">
        <w:rPr>
          <w:rFonts w:ascii="Times New Roman" w:eastAsia="Trebuchet MS" w:hAnsi="Times New Roman" w:cs="Times New Roman"/>
          <w:sz w:val="24"/>
          <w:szCs w:val="24"/>
        </w:rPr>
        <w:t>La Comisión de Derechos Humanos del Estado de México, emitirá los lineamientos de coordinación con las instancias de seguridad pública para dar cumplimiento al presente decreto en un plazo no mayor a 60 días naturales a partir de su entrada en vigor.</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b/>
          <w:sz w:val="24"/>
          <w:szCs w:val="24"/>
        </w:rPr>
        <w:t xml:space="preserve">CUARTO.- </w:t>
      </w:r>
      <w:r w:rsidRPr="006A4BCA">
        <w:rPr>
          <w:rFonts w:ascii="Times New Roman" w:eastAsia="Trebuchet MS" w:hAnsi="Times New Roman" w:cs="Times New Roman"/>
          <w:sz w:val="24"/>
          <w:szCs w:val="24"/>
        </w:rPr>
        <w:t>El presente Decreto entrará en vigor al día siguiente de su publicación en el Periódico Oficial “Gaceta del Gobierno”.</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Lo tendrá entendido la Gobernadora del Estado, haciendo que se publique y se cumpla.</w:t>
      </w:r>
    </w:p>
    <w:p w:rsidR="00F9300E" w:rsidRPr="006A4BCA" w:rsidRDefault="00F9300E" w:rsidP="00F9300E">
      <w:pPr>
        <w:widowControl w:val="0"/>
        <w:autoSpaceDE w:val="0"/>
        <w:autoSpaceDN w:val="0"/>
        <w:spacing w:after="0" w:line="240" w:lineRule="auto"/>
        <w:rPr>
          <w:rFonts w:ascii="Times New Roman" w:eastAsia="Trebuchet MS" w:hAnsi="Times New Roman" w:cs="Times New Roman"/>
          <w:sz w:val="24"/>
          <w:szCs w:val="24"/>
        </w:rPr>
      </w:pPr>
    </w:p>
    <w:p w:rsidR="00F9300E" w:rsidRPr="006A4BCA" w:rsidRDefault="00F9300E" w:rsidP="00F9300E">
      <w:pPr>
        <w:widowControl w:val="0"/>
        <w:autoSpaceDE w:val="0"/>
        <w:autoSpaceDN w:val="0"/>
        <w:spacing w:after="0" w:line="240" w:lineRule="auto"/>
        <w:jc w:val="both"/>
        <w:rPr>
          <w:rFonts w:ascii="Times New Roman" w:eastAsia="Trebuchet MS" w:hAnsi="Times New Roman" w:cs="Times New Roman"/>
          <w:sz w:val="24"/>
          <w:szCs w:val="24"/>
        </w:rPr>
      </w:pPr>
      <w:r w:rsidRPr="006A4BCA">
        <w:rPr>
          <w:rFonts w:ascii="Times New Roman" w:eastAsia="Trebuchet MS" w:hAnsi="Times New Roman" w:cs="Times New Roman"/>
          <w:sz w:val="24"/>
          <w:szCs w:val="24"/>
        </w:rPr>
        <w:t xml:space="preserve">Dado en el Palacio del Poder Legislativo, en la ciudad de Toluca de Lerdo, Capital del Estado de México, a los </w:t>
      </w:r>
      <w:r w:rsidRPr="006A4BCA">
        <w:rPr>
          <w:rFonts w:ascii="Times New Roman" w:eastAsia="Trebuchet MS" w:hAnsi="Times New Roman" w:cs="Times New Roman"/>
          <w:sz w:val="24"/>
          <w:szCs w:val="24"/>
          <w:u w:val="single"/>
        </w:rPr>
        <w:t xml:space="preserve">  </w:t>
      </w:r>
      <w:r w:rsidRPr="006A4BCA">
        <w:rPr>
          <w:rFonts w:ascii="Times New Roman" w:eastAsia="Trebuchet MS" w:hAnsi="Times New Roman" w:cs="Times New Roman"/>
          <w:sz w:val="24"/>
          <w:szCs w:val="24"/>
        </w:rPr>
        <w:t xml:space="preserve">días del mes de </w:t>
      </w:r>
      <w:r w:rsidRPr="006A4BCA">
        <w:rPr>
          <w:rFonts w:ascii="Times New Roman" w:eastAsia="Trebuchet MS" w:hAnsi="Times New Roman" w:cs="Times New Roman"/>
          <w:sz w:val="24"/>
          <w:szCs w:val="24"/>
          <w:u w:val="single"/>
        </w:rPr>
        <w:t xml:space="preserve">   </w:t>
      </w:r>
      <w:r w:rsidRPr="006A4BCA">
        <w:rPr>
          <w:rFonts w:ascii="Times New Roman" w:eastAsia="Trebuchet MS" w:hAnsi="Times New Roman" w:cs="Times New Roman"/>
          <w:sz w:val="24"/>
          <w:szCs w:val="24"/>
        </w:rPr>
        <w:t>del año dos mil veintiséis.</w:t>
      </w:r>
    </w:p>
    <w:p w:rsidR="00F9300E" w:rsidRPr="006A4BCA" w:rsidRDefault="00F9300E" w:rsidP="00E10822">
      <w:pPr>
        <w:spacing w:after="0" w:line="240" w:lineRule="auto"/>
        <w:jc w:val="center"/>
        <w:rPr>
          <w:rFonts w:ascii="Times New Roman" w:hAnsi="Times New Roman"/>
          <w:sz w:val="24"/>
          <w:szCs w:val="24"/>
        </w:rPr>
      </w:pPr>
    </w:p>
    <w:p w:rsidR="00F9300E" w:rsidRPr="006A4BCA" w:rsidRDefault="00F9300E" w:rsidP="00E10822">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F9300E" w:rsidRPr="006A4BCA" w:rsidRDefault="00F9300E" w:rsidP="00E10822">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 xml:space="preserve">PRESIDENTA DIP. MARTHA AZUCENA CAMACHO REYNOSO. Gracias, diputada Ruth Salinas Reyes.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Se registra la iniciativa y se remite a las Comisiones Legislativas de Seguridad Pública y Tránsito y Derechos Humanos para su estudio y dictamen.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lastRenderedPageBreak/>
        <w:t>En cuanto al punto número 22, el diputado Omar Ortega Álvarez le da la Iniciativa con Proyecto de Decreto por el que se adicionan y se reforman diversos artículos del Código Electoral del Estado de México en materia de fortalecimiento del Instituto Electoral del Estado de México presentada por el diputado Omar Ortega Álvarez y la diputada Araceli Casasola Salazar, en nombre del Grupo Parlamentario del Partido de la Revolución Democrática.</w:t>
      </w: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 xml:space="preserve">DIP. OMAR ORTEGA ÁLVAREZ. Con el permiso de la Mesa Directiva y de cada uno de sus integrantes y sobre todo de su presidenta de la misma, así como de mis compañeros, compañeras y compañeres de esta LXII Legislatura.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A nombre del Grupo Parlamentario del PRD, vengo a presentar una Iniciativa con Proyecto de Decreto para crear un órgano de integridad de vida y diligencia electoral.</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Compañeras y compañeros, la democracia no se agota en la celebración de las elecciones ni en la sola existencia de los partidos políticos, su preservación exige, además, que los procedimientos de postulación, organización, financiamiento, operación política y conducción de campañas se desarrollen bajo parámetros reforzados de legalidad, integridad, control y responsabilidad institucional.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Cuando los partidos fallan en esos </w:t>
      </w:r>
      <w:r w:rsidRPr="006A4BCA">
        <w:rPr>
          <w:rFonts w:ascii="Times New Roman" w:hAnsi="Times New Roman" w:cs="Times New Roman"/>
          <w:sz w:val="24"/>
          <w:szCs w:val="24"/>
        </w:rPr>
        <w:t>deberes no sólo se vulnera su vida interna o su disciplina organizacional, sino que también se erosiona la confianza ciudadana, como si no fuera suficiente en el contexto actual está envuelto en problemáticas agudizadas como el involucramiento de organizaciones criminales, que inciden en la competencia política mediante infiltración en las candidaturas, financiamiento ilícito de campaña, coacción o compra del voto y en ese sentido, resulta necesario avanzar hacia un modelo institucional que incorpore herramientas modernas de integridad electoral; parte de nuestra labor como representantes que emana del pueblo es asegurar que los procesos electorales se desarrollen en apego a la legalidad, a la transparencia, a la rendición de cuentas y a la prevención de riesgos de corrupción e infiltración criminal.</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Es así, que proponemos la creación del órgano de integridad y debida diligencia electoral, para partidos, coaliciones y candidaturas comunes con funciones de prevención, revisión de perfiles, matriz de riesgos, trazabilidad del gasto, denuncia interna y capacitación, buscamos que esta figura sea constituida al interior de los partidos con el propósito de ser el canal de verificación y comunicación ante el Instituto Electoral del Estado de México.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La ausencia de verificación de perfiles, estructuras territoriales sin supervisión, decisiones partidistas insuficientemente documentadas, la contratación opaca de bienes y servicios, débil capacidad para identificar focos de riesgo son vicios y malas prácticas que no pueden esperar ser corregidas.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el Estado de México por su dimensión poblacional y su complejidad territorial enfrenta retos particulares para blindar sus procesos electorales frente a estas amenazas, la consolidación de mecanismos institucionales que prevengan, detecten y atiendan riesgos relacionados con la captura del proceso electoral por intereses ilícitos resulta indispensable para garantizar que la representación política responda genuinamente a la voluntad de los ciudadanos.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Desde el Grupo Parlamentario del Partido de la Revolución Democrática y desde el Partido del PRD en el Estado de México buscamos generar una herramienta institucional innovadora que fortalezca el sistema democrático, consolide prácticas de integridad electoral y sobre todo contribuya a garantizar que las elecciones se desarrollen con plena legalidad, transparencia y respeto a la voluntad ciudadana, requerimos que los partidos políticos puedan tener los mecanismos suficientes para prevenir riesgos, atender incidencias, realizar evaluaciones de cumplimiento y formular medidas de mejora.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Por lo que sometemos a la consideración de esta reforma integral al Código Electoral del Estado de México.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Es cuanto Presidenta.</w:t>
      </w:r>
    </w:p>
    <w:p w:rsidR="003919CD" w:rsidRPr="006A4BCA" w:rsidRDefault="003919CD" w:rsidP="00E10822">
      <w:pPr>
        <w:pStyle w:val="Sinespaciado"/>
        <w:jc w:val="both"/>
        <w:rPr>
          <w:rFonts w:ascii="Times New Roman" w:hAnsi="Times New Roman" w:cs="Times New Roman"/>
          <w:sz w:val="24"/>
          <w:szCs w:val="24"/>
        </w:rPr>
      </w:pPr>
    </w:p>
    <w:p w:rsidR="003919CD" w:rsidRPr="006A4BCA" w:rsidRDefault="003919CD" w:rsidP="00E10822">
      <w:pPr>
        <w:spacing w:after="0" w:line="240" w:lineRule="auto"/>
        <w:jc w:val="center"/>
        <w:rPr>
          <w:rFonts w:ascii="Times New Roman" w:hAnsi="Times New Roman"/>
          <w:i/>
          <w:sz w:val="24"/>
          <w:szCs w:val="24"/>
        </w:rPr>
      </w:pPr>
      <w:r w:rsidRPr="006A4BCA">
        <w:rPr>
          <w:rFonts w:ascii="Times New Roman" w:hAnsi="Times New Roman"/>
          <w:i/>
          <w:sz w:val="24"/>
          <w:szCs w:val="24"/>
        </w:rPr>
        <w:lastRenderedPageBreak/>
        <w:t>(Se inserta documento)</w:t>
      </w:r>
    </w:p>
    <w:p w:rsidR="003919CD" w:rsidRPr="006A4BCA" w:rsidRDefault="003919CD" w:rsidP="00E10822">
      <w:pPr>
        <w:spacing w:after="0" w:line="240" w:lineRule="auto"/>
        <w:jc w:val="center"/>
        <w:rPr>
          <w:rFonts w:ascii="Times New Roman" w:hAnsi="Times New Roman"/>
          <w:sz w:val="24"/>
          <w:szCs w:val="24"/>
        </w:rPr>
      </w:pPr>
    </w:p>
    <w:p w:rsidR="00E10822" w:rsidRPr="006A4BCA" w:rsidRDefault="00E10822" w:rsidP="00E10822">
      <w:pPr>
        <w:widowControl w:val="0"/>
        <w:autoSpaceDE w:val="0"/>
        <w:autoSpaceDN w:val="0"/>
        <w:spacing w:after="0" w:line="203" w:lineRule="exact"/>
        <w:ind w:left="20"/>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"2026.</w:t>
      </w:r>
      <w:r w:rsidRPr="006A4BCA">
        <w:rPr>
          <w:rFonts w:ascii="Times New Roman" w:eastAsia="Calibri" w:hAnsi="Times New Roman" w:cs="Times New Roman"/>
          <w:b/>
          <w:spacing w:val="-3"/>
          <w:sz w:val="24"/>
          <w:szCs w:val="24"/>
        </w:rPr>
        <w:t xml:space="preserve"> </w:t>
      </w:r>
      <w:r w:rsidRPr="006A4BCA">
        <w:rPr>
          <w:rFonts w:ascii="Times New Roman" w:eastAsia="Calibri" w:hAnsi="Times New Roman" w:cs="Times New Roman"/>
          <w:b/>
          <w:sz w:val="24"/>
          <w:szCs w:val="24"/>
        </w:rPr>
        <w:t>Año</w:t>
      </w:r>
      <w:r w:rsidRPr="006A4BCA">
        <w:rPr>
          <w:rFonts w:ascii="Times New Roman" w:eastAsia="Calibri" w:hAnsi="Times New Roman" w:cs="Times New Roman"/>
          <w:b/>
          <w:spacing w:val="-1"/>
          <w:sz w:val="24"/>
          <w:szCs w:val="24"/>
        </w:rPr>
        <w:t xml:space="preserve"> </w:t>
      </w:r>
      <w:r w:rsidRPr="006A4BCA">
        <w:rPr>
          <w:rFonts w:ascii="Times New Roman" w:eastAsia="Calibri" w:hAnsi="Times New Roman" w:cs="Times New Roman"/>
          <w:b/>
          <w:sz w:val="24"/>
          <w:szCs w:val="24"/>
        </w:rPr>
        <w:t>del</w:t>
      </w:r>
      <w:r w:rsidRPr="006A4BCA">
        <w:rPr>
          <w:rFonts w:ascii="Times New Roman" w:eastAsia="Calibri" w:hAnsi="Times New Roman" w:cs="Times New Roman"/>
          <w:b/>
          <w:spacing w:val="-4"/>
          <w:sz w:val="24"/>
          <w:szCs w:val="24"/>
        </w:rPr>
        <w:t xml:space="preserve"> </w:t>
      </w:r>
      <w:r w:rsidRPr="006A4BCA">
        <w:rPr>
          <w:rFonts w:ascii="Times New Roman" w:eastAsia="Calibri" w:hAnsi="Times New Roman" w:cs="Times New Roman"/>
          <w:b/>
          <w:sz w:val="24"/>
          <w:szCs w:val="24"/>
        </w:rPr>
        <w:t>Humanismo</w:t>
      </w:r>
      <w:r w:rsidRPr="006A4BCA">
        <w:rPr>
          <w:rFonts w:ascii="Times New Roman" w:eastAsia="Calibri" w:hAnsi="Times New Roman" w:cs="Times New Roman"/>
          <w:b/>
          <w:spacing w:val="2"/>
          <w:sz w:val="24"/>
          <w:szCs w:val="24"/>
        </w:rPr>
        <w:t xml:space="preserve"> </w:t>
      </w:r>
      <w:r w:rsidRPr="006A4BCA">
        <w:rPr>
          <w:rFonts w:ascii="Times New Roman" w:eastAsia="Calibri" w:hAnsi="Times New Roman" w:cs="Times New Roman"/>
          <w:b/>
          <w:sz w:val="24"/>
          <w:szCs w:val="24"/>
        </w:rPr>
        <w:t>Mexicano</w:t>
      </w:r>
      <w:r w:rsidRPr="006A4BCA">
        <w:rPr>
          <w:rFonts w:ascii="Times New Roman" w:eastAsia="Calibri" w:hAnsi="Times New Roman" w:cs="Times New Roman"/>
          <w:b/>
          <w:spacing w:val="-1"/>
          <w:sz w:val="24"/>
          <w:szCs w:val="24"/>
        </w:rPr>
        <w:t xml:space="preserve"> </w:t>
      </w:r>
      <w:r w:rsidRPr="006A4BCA">
        <w:rPr>
          <w:rFonts w:ascii="Times New Roman" w:eastAsia="Calibri" w:hAnsi="Times New Roman" w:cs="Times New Roman"/>
          <w:b/>
          <w:sz w:val="24"/>
          <w:szCs w:val="24"/>
        </w:rPr>
        <w:t>en</w:t>
      </w:r>
      <w:r w:rsidRPr="006A4BCA">
        <w:rPr>
          <w:rFonts w:ascii="Times New Roman" w:eastAsia="Calibri" w:hAnsi="Times New Roman" w:cs="Times New Roman"/>
          <w:b/>
          <w:spacing w:val="-3"/>
          <w:sz w:val="24"/>
          <w:szCs w:val="24"/>
        </w:rPr>
        <w:t xml:space="preserve"> </w:t>
      </w:r>
      <w:r w:rsidRPr="006A4BCA">
        <w:rPr>
          <w:rFonts w:ascii="Times New Roman" w:eastAsia="Calibri" w:hAnsi="Times New Roman" w:cs="Times New Roman"/>
          <w:b/>
          <w:sz w:val="24"/>
          <w:szCs w:val="24"/>
        </w:rPr>
        <w:t>el</w:t>
      </w:r>
      <w:r w:rsidRPr="006A4BCA">
        <w:rPr>
          <w:rFonts w:ascii="Times New Roman" w:eastAsia="Calibri" w:hAnsi="Times New Roman" w:cs="Times New Roman"/>
          <w:b/>
          <w:spacing w:val="-4"/>
          <w:sz w:val="24"/>
          <w:szCs w:val="24"/>
        </w:rPr>
        <w:t xml:space="preserve"> </w:t>
      </w:r>
      <w:r w:rsidRPr="006A4BCA">
        <w:rPr>
          <w:rFonts w:ascii="Times New Roman" w:eastAsia="Calibri" w:hAnsi="Times New Roman" w:cs="Times New Roman"/>
          <w:b/>
          <w:sz w:val="24"/>
          <w:szCs w:val="24"/>
        </w:rPr>
        <w:t>Estado</w:t>
      </w:r>
      <w:r w:rsidRPr="006A4BCA">
        <w:rPr>
          <w:rFonts w:ascii="Times New Roman" w:eastAsia="Calibri" w:hAnsi="Times New Roman" w:cs="Times New Roman"/>
          <w:b/>
          <w:spacing w:val="-3"/>
          <w:sz w:val="24"/>
          <w:szCs w:val="24"/>
        </w:rPr>
        <w:t xml:space="preserve"> </w:t>
      </w:r>
      <w:r w:rsidRPr="006A4BCA">
        <w:rPr>
          <w:rFonts w:ascii="Times New Roman" w:eastAsia="Calibri" w:hAnsi="Times New Roman" w:cs="Times New Roman"/>
          <w:b/>
          <w:sz w:val="24"/>
          <w:szCs w:val="24"/>
        </w:rPr>
        <w:t>de</w:t>
      </w:r>
      <w:r w:rsidRPr="006A4BCA">
        <w:rPr>
          <w:rFonts w:ascii="Times New Roman" w:eastAsia="Calibri" w:hAnsi="Times New Roman" w:cs="Times New Roman"/>
          <w:b/>
          <w:spacing w:val="-1"/>
          <w:sz w:val="24"/>
          <w:szCs w:val="24"/>
        </w:rPr>
        <w:t xml:space="preserve"> </w:t>
      </w:r>
      <w:r w:rsidRPr="006A4BCA">
        <w:rPr>
          <w:rFonts w:ascii="Times New Roman" w:eastAsia="Calibri" w:hAnsi="Times New Roman" w:cs="Times New Roman"/>
          <w:b/>
          <w:spacing w:val="-2"/>
          <w:sz w:val="24"/>
          <w:szCs w:val="24"/>
        </w:rPr>
        <w:t>México"</w:t>
      </w:r>
    </w:p>
    <w:p w:rsidR="00E10822" w:rsidRPr="006A4BCA" w:rsidRDefault="00E10822" w:rsidP="00E10822">
      <w:pPr>
        <w:widowControl w:val="0"/>
        <w:autoSpaceDE w:val="0"/>
        <w:autoSpaceDN w:val="0"/>
        <w:spacing w:after="0" w:line="240" w:lineRule="auto"/>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right"/>
        <w:rPr>
          <w:rFonts w:ascii="Times New Roman" w:eastAsia="Calibri" w:hAnsi="Times New Roman" w:cs="Times New Roman"/>
          <w:b/>
          <w:sz w:val="24"/>
          <w:szCs w:val="24"/>
        </w:rPr>
      </w:pPr>
      <w:r w:rsidRPr="006A4BCA">
        <w:rPr>
          <w:rFonts w:ascii="Times New Roman" w:eastAsia="Calibri" w:hAnsi="Times New Roman" w:cs="Times New Roman"/>
          <w:b/>
          <w:sz w:val="24"/>
          <w:szCs w:val="24"/>
        </w:rPr>
        <w:t>Toluca de Lerdo, Méx., a 11 de Marzo de 2026.</w:t>
      </w: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r w:rsidRPr="006A4BCA">
        <w:rPr>
          <w:rFonts w:ascii="Times New Roman" w:eastAsia="Calibri" w:hAnsi="Times New Roman" w:cs="Times New Roman"/>
          <w:b/>
          <w:sz w:val="24"/>
          <w:szCs w:val="24"/>
        </w:rPr>
        <w:t>CC. DIPUTADAS Y DIPUTADOS INTEGRANTES DE LA MESA DIRECTIVA</w:t>
      </w: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r w:rsidRPr="006A4BCA">
        <w:rPr>
          <w:rFonts w:ascii="Times New Roman" w:eastAsia="Calibri" w:hAnsi="Times New Roman" w:cs="Times New Roman"/>
          <w:b/>
          <w:sz w:val="24"/>
          <w:szCs w:val="24"/>
        </w:rPr>
        <w:t>DE LA H. LXII LEGISLATURA DEL ESTADO LIBRE Y SOBERANO DE MÉXICO.</w:t>
      </w: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r w:rsidRPr="006A4BCA">
        <w:rPr>
          <w:rFonts w:ascii="Times New Roman" w:eastAsia="Calibri" w:hAnsi="Times New Roman" w:cs="Times New Roman"/>
          <w:b/>
          <w:sz w:val="24"/>
          <w:szCs w:val="24"/>
        </w:rPr>
        <w:t>P R E S E N T E S</w:t>
      </w: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6A4BCA">
        <w:rPr>
          <w:rFonts w:ascii="Times New Roman" w:eastAsia="Calibri" w:hAnsi="Times New Roman" w:cs="Times New Roman"/>
          <w:b/>
          <w:sz w:val="24"/>
          <w:szCs w:val="24"/>
        </w:rPr>
        <w:t>Diputada Araceli Casasola Salazar y Diputado Omar Ortega Álvarez</w:t>
      </w:r>
      <w:r w:rsidRPr="006A4BCA">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6A4BCA">
        <w:rPr>
          <w:rFonts w:ascii="Times New Roman" w:eastAsia="Calibri" w:hAnsi="Times New Roman" w:cs="Times New Roman"/>
          <w:b/>
          <w:sz w:val="24"/>
          <w:szCs w:val="24"/>
        </w:rPr>
        <w:t>Iniciativa con Proyecto de Decreto por el se adicionan los artículos 60 Bis, 60 Ter, 60 Quáter y 60 Quinquies del Código Electoral del Estado de México, en materia de control, evaluación, corrección y mejora continua de los partidos políticos en procesos electorales</w:t>
      </w:r>
      <w:r w:rsidRPr="006A4BCA">
        <w:rPr>
          <w:rFonts w:ascii="Times New Roman" w:eastAsia="Calibri" w:hAnsi="Times New Roman" w:cs="Times New Roman"/>
          <w:sz w:val="24"/>
          <w:szCs w:val="24"/>
        </w:rPr>
        <w:t>, al tenor de la siguiente:</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EXPOSICIÓN DE MOTIVOS</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La democracia se sostiene sobre la confianza ciudadana en que los procesos electorales se desarrollan bajo condiciones de legalidad, transparencia, equidad y libertad; en el contexto actual, uno de los desafíos más relevantes para la integridad de los procesos democráticos en México es la creciente amenaza de infiltración de la delincuencia organizada en la vida pública, particularmente en los procesos electorales y en las estructuras político-electorales.</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La democracia constitucional no se agota en la celebración periódica de elecciones, ni en la sola existencia formal de partidos políticos como entidades de interés público; su preservación exige, además, que los procedimientos de postulación, organización, financiamiento, operación política y conducción de campañas se desarrollen bajo parámetros reforzados de legalidad, integridad, trazabilidad, control interno y responsabilidad institucional.</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Cuando los partidos fallan en esos deberes, no sólo se vulnera su vida interna o su disciplina organizacional, sino que también se erosiona la confianza pública, se debilita la equidad en la contienda, se abren espacios para la captura ilícita de decisiones políticas y se compromete la autenticidad del sufragio.</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En el Estado constitucional y democrático de derecho, los partidos políticos no son simples vehículos de competencia electoral. La carta magna les reconoce una función pública de la mayor relevancia, en tanto promueven la participación del pueblo en la vida democrática, contribuyen a la integración de la representación política y hacen posible el acceso de la ciudadanía al ejercicio del poder público.</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Esa centralidad constitucional implica que su actuación no puede analizarse únicamente desde la óptica de la libertad de autoorganización, sino también desde la responsabilidad que les corresponde como intermediarios entre sociedad, representación y poder. A mayor relevancia pública de su función, mayor debe ser también el estándar de diligencia institucional exigible en la </w:t>
      </w:r>
      <w:r w:rsidRPr="006A4BCA">
        <w:rPr>
          <w:rFonts w:ascii="Times New Roman" w:eastAsia="Calibri" w:hAnsi="Times New Roman" w:cs="Times New Roman"/>
          <w:sz w:val="24"/>
          <w:szCs w:val="24"/>
        </w:rPr>
        <w:lastRenderedPageBreak/>
        <w:t>postulación de candidaturas, en el control de sus estructuras territoriales, en el manejo de recursos y en la prevención de riesgos que puedan comprometer la legalidad del proceso electoral.</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Diversos diagnósticos académicos, informes de organismos especializados y hechos documentados en procesos electorales recientes han evidenciado que las organizaciones criminales han buscado incidir en la competencia política mediante diversas prácticas, entre ellas la infiltración en candidaturas, el financiamiento ilícito de campañas, la coacción o compra del voto, así como el uso de estructuras territoriales para alterar la voluntad popular.</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Tales riesgos no sólo afectan la competencia entre fuerzas políticas; afectan, de manera estructural, la legitimidad de la representación democrática y la confianza ciudadana en las instituciones.</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El Estado de México, por su dimensión poblacional, complejidad territorial y relevancia política, enfrenta retos particulares para blindar sus procesos electorales frente a estas amenazas. La consolidación de mecanismos institucionales que prevengan, </w:t>
      </w:r>
      <w:proofErr w:type="gramStart"/>
      <w:r w:rsidRPr="006A4BCA">
        <w:rPr>
          <w:rFonts w:ascii="Times New Roman" w:eastAsia="Calibri" w:hAnsi="Times New Roman" w:cs="Times New Roman"/>
          <w:sz w:val="24"/>
          <w:szCs w:val="24"/>
        </w:rPr>
        <w:t>detecten</w:t>
      </w:r>
      <w:proofErr w:type="gramEnd"/>
      <w:r w:rsidRPr="006A4BCA">
        <w:rPr>
          <w:rFonts w:ascii="Times New Roman" w:eastAsia="Calibri" w:hAnsi="Times New Roman" w:cs="Times New Roman"/>
          <w:sz w:val="24"/>
          <w:szCs w:val="24"/>
        </w:rPr>
        <w:t xml:space="preserve"> y atiendan riesgos relacionados con la captura del proceso electoral por intereses ilícitos resulta indispensable para garantizar que la representación política responda genuinamente a la voluntad de la ciudadanía.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Si bien el Instituto Electoral del Estado de México desempeña una función esencial de organización, vigilancia y garantía de los principios rectores de la función electoral, la primera línea de contención frente a la infiltración, la opacidad, la simulación y la captura indebida de decisiones debe encontrarse al interior de los propios partidos político, quienes seleccionan perfiles, articulan estructuras territoriales, administran decisiones de postulación, generan relaciones de apoyo político, organizan actividades partidistas y de campaña, y operan cotidianamente su vida interna.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En consecuencia, es jurídicamente razonable y democráticamente necesario que el Código Electoral del Estado de México les imponga obligaciones más robustas de debida diligencia, integridad, documentación, evaluación y corrección.</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En este sentido, resulta necesario avanzar hacia un modelo institucional que incorpore herramientas modernas de integridad electoral, entendida como el conjunto de principios, prácticas y mecanismos orientados a asegurar que los procesos electorales se desarrollen con apego a la legalidad, la transparencia, la rendición de cuentas y la prevención de riesgos de corrupción o infiltración criminal.</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La propuesta que se somete a consideración no pretende sustituir las atribuciones constitucionales y legales de la autoridad electoral, ni trasladar indebidamente a los partidos funciones públicas que corresponden al Instituto.</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Su propósito es distinto y más preciso: construir un régimen reforzado de obligaciones internas para partidos políticos, coaliciones y candidaturas comunes, a fin de que cuenten con una instancia permanente y claramente identificable encargada de prevenir riesgos, documentar decisiones relevantes, supervisar procesos críticos, establecer controles de trazabilidad, atender incidencias, realizar evaluaciones de cumplimiento y formular medidas de mejora.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Un aspecto central de esta reforma consiste en evitar diseños normativos confusos o duplicados. La propuesta desprende, por un lado, una figura denominada Órgano de Integridad y Debida Diligencia Electoral para partidos, coaliciones y candidaturas comunes, con funciones de prevención, revisión de perfiles, matriz de riesgos, trazabilidad del gasto, denuncia interna y capacitación.</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La iniciativa reconoce, además, que los riesgos que hoy enfrenta la competencia democrática son multifactoriales y no pueden atenderse con respuestas fragmentadas. No basta con exigir controles financieros aislados; tampoco es suficiente prever reglas generales de conducta sin mecanismos internos de implementación.</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La experiencia demuestra que las irregularidades relevantes suelen ser precedidas por fallas acumulativas: ausencia de verificación de perfiles, estructuras territoriales sin supervisión, decisiones partidistas insuficientemente documentadas, contratación opaca de bienes y servicios, débil capacidad para identificar focos de riesgo en determinadas demarcaciones, inexistencia de canales internos de denuncia, capacitación deficiente de dirigencias, candidaturas y responsables financieros, y ausencia de evaluaciones posteriores que permitan aprender de errores, corregir patrones y prevenir la repetición de prácticas indebidas. Frente a ello, el derecho electoral local debe pasar de una lógica predominantemente reactiva a una lógica integral de prevención y mejora.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Por eso, el Órgano de Integridad y Debida Diligencia Electoral que se propone no se limita a una función meramente declarativa ni ornamenta. Se le dota de atribuciones materiales concretas: desarrollar mecanismos de análisis de riesgo, revisión de antecedentes, seguimiento institucional y coordinación interinstitucional que contribuyan a fortalecer la transparencia y la legalidad en los procesos electorales.</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Es importante subrayar que esta propuesta no desconoce la autonomía de los partidos políticos. Por el contrario, la respeta y la fortalece en su dimensión constitucionalmente legítima.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La autonomía partidista es compatible con la imposición legal de deberes mínimos de diligencia reforzada, más aún cuando se trata de prevenir conductas o riesgos que pueden afectar bienes jurídicos superiores como la autenticidad del sufragio, la equidad en la contienda, la confianza pública en las instituciones democráticas y en términos llanos, la seguridad de la ciudadanía.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De igual forma, la iniciativa incorpora una exigencia de planeación previa y evaluación posterior. Antes del inicio de cada proceso electoral local, el órgano deberá elaborar un Programa Interno de Integridad y Control Electoral, con objetivos, metas verificables, indicadores, responsables, protocolos de prevención y corrección, mecanismos de control documental y financiero, y procedimientos de seguimiento. Una vez concluido el proceso, deberá elaborar un Informe de Resultados, con hallazgos, incidencias, acciones correctivas, recomendaciones y un plan de mejora obligatoria; esta previsión es particularmente relevante porque rompe con una práctica recurrente de improvisación y reacción tardía.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La exigencia de auditorías internas o externas también representa un paso importante en la consolidación de una cultura de cumplimiento. En muchos casos, las deficiencias no radican sólo en la existencia de una regla, sino en la ausencia de mecanismos reales para verificar si esa regla se cumple, si los controles son eficaces, si la documentación es suficiente o si los procedimientos internos son meramente formales.</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 xml:space="preserve">La capacitación obligatoria constituye otro componente esencial de la iniciativa; los deberes de integridad y debida diligencia no pueden quedar reducidos a un pequeño círculo directivo o jurídico. Las personas que intervienen materialmente en la operación política y electoral de un partido como dirigencias, precandidaturas, candidaturas, administradores, representantes, responsables financieros deben conocer con precisión cuáles son sus obligaciones, qué conductas </w:t>
      </w:r>
      <w:r w:rsidRPr="006A4BCA">
        <w:rPr>
          <w:rFonts w:ascii="Times New Roman" w:eastAsia="Calibri" w:hAnsi="Times New Roman" w:cs="Times New Roman"/>
          <w:sz w:val="24"/>
          <w:szCs w:val="24"/>
        </w:rPr>
        <w:lastRenderedPageBreak/>
        <w:t>están prohibidas, qué señales de alerta deben identificar, cómo se activa un mecanismo interno de denuncia, qué medidas de protección operan y cuáles son las consecuencias de incumplir.</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Sin capacitación adecuada, la mejor arquitectura normativa puede convertirse en letra muerta. Por eso, la iniciativa no concibe la formación como una recomendación, sino como un componente obligatorio del órgano de integridad.</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Otro aspecto destacable es la incorporación de matrices de riesgo y protocolos de gestión integral; la identificación temprana de riesgos, la delimitación de responsables, la asignación de medidas preventivas, la continuidad operativa y el resguardo de información forman parte de una visión moderna de cumplimiento institucional.</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Es así que la integridad de la contienda no sólo depende del árbitro electoral, sino también de la conducta, organización y responsabilidad de quienes participan en ella como actores políticos relevantes; los partidos no pueden limitarse a reclamar neutralidad, legalidad y profesionalismo de la autoridad; deben, al mismo tiempo, asumir deberes correlativos de autocontrol y mejora continua.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sz w:val="24"/>
          <w:szCs w:val="24"/>
        </w:rPr>
        <w:t>Desde el Grupo Parlamentario del PRD y el PRD Estado de México buscamos generar una herramienta institucional innovadora que fortalezca el sistema democrático, consolide prácticas de integridad electoral y, sobre todo, contribuya a garantizar que las elecciones se desarrollen con plena legalidad, transparencia y respeto a la voluntad ciudadana.</w:t>
      </w:r>
    </w:p>
    <w:p w:rsidR="00E10822" w:rsidRPr="006A4BCA" w:rsidRDefault="00E10822" w:rsidP="00E10822">
      <w:pPr>
        <w:widowControl w:val="0"/>
        <w:autoSpaceDE w:val="0"/>
        <w:autoSpaceDN w:val="0"/>
        <w:spacing w:after="0" w:line="240" w:lineRule="auto"/>
        <w:rPr>
          <w:rFonts w:ascii="Times New Roman" w:eastAsia="Calibri" w:hAnsi="Times New Roman" w:cs="Times New Roman"/>
          <w:sz w:val="24"/>
          <w:szCs w:val="24"/>
        </w:rPr>
      </w:pPr>
    </w:p>
    <w:p w:rsidR="00E10822" w:rsidRPr="006A4BCA" w:rsidRDefault="00E10822" w:rsidP="00E10822">
      <w:pPr>
        <w:widowControl w:val="0"/>
        <w:autoSpaceDE w:val="0"/>
        <w:autoSpaceDN w:val="0"/>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A T E N T A M E N T E</w:t>
      </w:r>
    </w:p>
    <w:p w:rsidR="00E10822" w:rsidRPr="006A4BCA" w:rsidRDefault="00E10822" w:rsidP="00E10822">
      <w:pPr>
        <w:widowControl w:val="0"/>
        <w:autoSpaceDE w:val="0"/>
        <w:autoSpaceDN w:val="0"/>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GRUPO PARLAMENTARIO DEL PARTIDO DE LA REVOLUCIÓN DEMOCRÁTICA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C52CF" w:rsidRPr="006A4BCA" w:rsidTr="00BC52CF">
        <w:trPr>
          <w:jc w:val="center"/>
        </w:trPr>
        <w:tc>
          <w:tcPr>
            <w:tcW w:w="4697" w:type="dxa"/>
          </w:tcPr>
          <w:p w:rsidR="00BC52CF" w:rsidRPr="006A4BCA" w:rsidRDefault="00BC52CF" w:rsidP="00BC52CF">
            <w:pPr>
              <w:widowControl w:val="0"/>
              <w:autoSpaceDE w:val="0"/>
              <w:autoSpaceDN w:val="0"/>
              <w:spacing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DIP. ARACELI CASASOLA SALAZAR</w:t>
            </w:r>
          </w:p>
        </w:tc>
        <w:tc>
          <w:tcPr>
            <w:tcW w:w="4698" w:type="dxa"/>
          </w:tcPr>
          <w:p w:rsidR="00BC52CF" w:rsidRPr="006A4BCA" w:rsidRDefault="00BC52CF" w:rsidP="00BC52CF">
            <w:pPr>
              <w:widowControl w:val="0"/>
              <w:autoSpaceDE w:val="0"/>
              <w:autoSpaceDN w:val="0"/>
              <w:spacing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DIP. OMAR ORTEGA ÁLVAREZ</w:t>
            </w:r>
          </w:p>
        </w:tc>
      </w:tr>
    </w:tbl>
    <w:p w:rsidR="00BC52CF" w:rsidRPr="006A4BCA" w:rsidRDefault="00BC52CF" w:rsidP="00E10822">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r w:rsidRPr="006A4BCA">
        <w:rPr>
          <w:rFonts w:ascii="Times New Roman" w:eastAsia="Calibri" w:hAnsi="Times New Roman" w:cs="Times New Roman"/>
          <w:b/>
          <w:sz w:val="24"/>
          <w:szCs w:val="24"/>
        </w:rPr>
        <w:t xml:space="preserve">DECRETO NÚMERO: </w:t>
      </w:r>
      <w:r w:rsidRPr="006A4BCA">
        <w:rPr>
          <w:rFonts w:ascii="Times New Roman" w:eastAsia="Calibri" w:hAnsi="Times New Roman" w:cs="Times New Roman"/>
          <w:b/>
          <w:sz w:val="24"/>
          <w:szCs w:val="24"/>
          <w:u w:val="single"/>
        </w:rPr>
        <w:tab/>
      </w:r>
    </w:p>
    <w:p w:rsidR="00BC52CF"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LA H. "LXII" LEGISLATURA DEL ESTADO DE MÉXICO</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DECRETA:</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ARTÍCULO ÚNICO. - Iniciativa con Proyecto de Decreto por el se adicionan los artículos 60 Bis, 60 Ter, 60 Quáter y 60 Quinquies del Código Electoral del Estado de México, </w:t>
      </w:r>
      <w:r w:rsidRPr="006A4BCA">
        <w:rPr>
          <w:rFonts w:ascii="Times New Roman" w:eastAsia="Calibri" w:hAnsi="Times New Roman" w:cs="Times New Roman"/>
          <w:sz w:val="24"/>
          <w:szCs w:val="24"/>
        </w:rPr>
        <w:t>para quedar como sigue:</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Artículo 60 Bis. Los partidos políticos, así como las coaliciones y candidaturas comunes que integren, son sujetos obligados a implementar un Órgano de Integridad y Debida Diligencia Electoral, con el objeto de prevenir la infiltración de la delincuencia organizada en candidaturas y estructuras de campaña, la coacción del voto, el financiamiento ilícito y las simulaciones que alteren la voluntad popular, así como de establecer mecanismos permanentes de control, evaluación, corrección y mejora continua en sus procesos internos y actividades electorales.</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Artículo 60 Ter. El Órgano de Integridad y Debida Diligencia Electoral será obligatorio y deberá contar, al menos, con las atribuciones y componentes siguientes:</w:t>
      </w:r>
    </w:p>
    <w:p w:rsidR="00BC52CF" w:rsidRPr="006A4BCA" w:rsidRDefault="00BC52CF" w:rsidP="00E10822">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Protocolos de selección, revisión y verificación de perfiles para precandidaturas y candidaturas, con criterios objetivos, verificables y documentables;</w:t>
      </w:r>
    </w:p>
    <w:p w:rsidR="00BC52CF" w:rsidRPr="006A4BCA" w:rsidRDefault="00BC52CF" w:rsidP="00CB63B6">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Matrices de riesgo por demarcación, tipo de elección, estructura territorial, financiamiento, contratación y operación política, con medidas preventivas, responsables y mecanismos de seguimiento;</w:t>
      </w:r>
    </w:p>
    <w:p w:rsidR="00CB63B6" w:rsidRPr="006A4BCA" w:rsidRDefault="00CB63B6" w:rsidP="00CB63B6">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Controles de trazabilidad del gasto, contabilidad y contratación vinculada a actividades ordinarias, de precampaña y campaña, incluyendo la identificación del beneficiario final en bienes y servicios;</w:t>
      </w:r>
    </w:p>
    <w:p w:rsidR="00CB63B6" w:rsidRPr="006A4BCA" w:rsidRDefault="00CB63B6" w:rsidP="00CB63B6">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Mecanismos internos de denuncia, atención, investigación, corrección y registro de incidencias, con medidas de protección a denunciantes y resguardo documental;</w:t>
      </w:r>
    </w:p>
    <w:p w:rsidR="00CB63B6" w:rsidRPr="006A4BCA" w:rsidRDefault="00CB63B6" w:rsidP="00CB63B6">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Programas obligatorios de capacitación para dirigencias, personas precandidatas, candidatas, administradores, representantes y responsables financieros, en materia de legalidad electoral, prevención de financiamiento ilícito, violencia política contra las mujeres en razón de género, protección del voto libre y deberes de integridad partidista;</w:t>
      </w:r>
    </w:p>
    <w:p w:rsidR="00CB63B6" w:rsidRPr="006A4BCA" w:rsidRDefault="00CB63B6" w:rsidP="00CB63B6">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Indicadores internos de cumplimiento respecto de selección de perfiles, operación territorial, control financiero, capacitación, atención de denuncias y ejecución de medidas correctivas;</w:t>
      </w:r>
    </w:p>
    <w:p w:rsidR="00CB63B6" w:rsidRPr="006A4BCA" w:rsidRDefault="00CB63B6" w:rsidP="00CB63B6">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Auditorías internas o externas de cumplimiento y control, previas, concomitantes y posteriores al proceso electoral, respecto de sus mecanismos de integridad, financiamiento, contratación, operación política y archivo documental;</w:t>
      </w:r>
    </w:p>
    <w:p w:rsidR="00CB63B6" w:rsidRPr="006A4BCA" w:rsidRDefault="00CB63B6" w:rsidP="00CB63B6">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Protocolos de gestión integral de riesgos y control interno, que incluyan continuidad operativa, integridad documental y seguridad de la información; y</w:t>
      </w:r>
    </w:p>
    <w:p w:rsidR="00CB63B6" w:rsidRPr="006A4BCA" w:rsidRDefault="00CB63B6" w:rsidP="00CB63B6">
      <w:pPr>
        <w:widowControl w:val="0"/>
        <w:autoSpaceDE w:val="0"/>
        <w:autoSpaceDN w:val="0"/>
        <w:spacing w:after="0" w:line="240" w:lineRule="auto"/>
        <w:rPr>
          <w:rFonts w:ascii="Times New Roman" w:eastAsia="Calibri" w:hAnsi="Times New Roman" w:cs="Times New Roman"/>
          <w:b/>
          <w:sz w:val="24"/>
          <w:szCs w:val="24"/>
        </w:rPr>
      </w:pPr>
    </w:p>
    <w:p w:rsidR="00CB63B6" w:rsidRPr="006A4BCA" w:rsidRDefault="00E10822" w:rsidP="00E10822">
      <w:pPr>
        <w:widowControl w:val="0"/>
        <w:numPr>
          <w:ilvl w:val="0"/>
          <w:numId w:val="51"/>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Elaboración de informes de resultados y planes de mejora obligatoria al concluir cada proceso electoral local.</w:t>
      </w:r>
    </w:p>
    <w:p w:rsidR="00CB63B6" w:rsidRPr="006A4BCA" w:rsidRDefault="00CB63B6" w:rsidP="00CB63B6">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CB63B6">
      <w:pPr>
        <w:widowControl w:val="0"/>
        <w:autoSpaceDE w:val="0"/>
        <w:autoSpaceDN w:val="0"/>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Artículo 60 Quáter. El Órgano de Integridad y Debida Diligencia Electoral deberá elaborar, antes del inicio de cada proceso electoral local ordinario o extraordinario, un Programa Interno de Integridad y Control Electoral, que contenga al menos objetivos, metas verificables, indicadores de cumplimiento por etapa, responsables internos, protocolos de prevención y corrección, calendario de ejecución, mecanismos de control documental y financiero, y procedimientos de seguimiento y evaluación.</w:t>
      </w:r>
    </w:p>
    <w:p w:rsidR="00A83084" w:rsidRPr="006A4BCA" w:rsidRDefault="00A83084" w:rsidP="00CB63B6">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Concluido cada proceso electoral local, el Órgano elaborará un Informe de Resultados dentro de los noventa días siguientes a la declaración de validez correspondiente, el cual incluirá:</w:t>
      </w:r>
    </w:p>
    <w:p w:rsidR="00A83084" w:rsidRPr="006A4BCA" w:rsidRDefault="00A83084" w:rsidP="00E10822">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numPr>
          <w:ilvl w:val="0"/>
          <w:numId w:val="50"/>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Resultados de sus indicadores de cumplimiento;</w:t>
      </w:r>
    </w:p>
    <w:p w:rsidR="00A83084" w:rsidRPr="006A4BCA" w:rsidRDefault="00A83084" w:rsidP="00A83084">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0"/>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Hallazgos de auditoría o revisión interna y externa;</w:t>
      </w:r>
    </w:p>
    <w:p w:rsidR="00A83084" w:rsidRPr="006A4BCA" w:rsidRDefault="00A83084" w:rsidP="00A83084">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0"/>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Incidentes relevantes y acciones correctivas adoptadas;</w:t>
      </w:r>
    </w:p>
    <w:p w:rsidR="00A83084" w:rsidRPr="006A4BCA" w:rsidRDefault="00A83084" w:rsidP="00A83084">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numPr>
          <w:ilvl w:val="0"/>
          <w:numId w:val="50"/>
        </w:numPr>
        <w:autoSpaceDE w:val="0"/>
        <w:autoSpaceDN w:val="0"/>
        <w:spacing w:after="0" w:line="240" w:lineRule="auto"/>
        <w:ind w:left="0" w:firstLine="0"/>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Recomendaciones de mejora normativa, administrativa u operativa; y Un Plan de Mejora obligatoria con acciones, responsables, plazos y metas.</w:t>
      </w: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Artículo 60 Quinquies. Los partidos políticos, así como las coaliciones y candidaturas comunes que integren, deberán conservar la documentación que acredite el cumplimiento de las obligaciones previstas en este Capítulo y ponerla a disposición de la autoridad competente cuando sea requerida conforme a la legislación aplicable.</w:t>
      </w: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r w:rsidRPr="006A4BCA">
        <w:rPr>
          <w:rFonts w:ascii="Times New Roman" w:eastAsia="Calibri" w:hAnsi="Times New Roman" w:cs="Times New Roman"/>
          <w:b/>
          <w:sz w:val="24"/>
          <w:szCs w:val="24"/>
        </w:rPr>
        <w:t>La falta de implementación, operación, documentación, actualización o ejecución efectiva del Órgano de Integridad y Debida Diligencia Electoral dará lugar a las responsabilidades y sanciones que correspondan conforme a este Código y demás disposiciones aplicables.</w:t>
      </w: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center"/>
        <w:rPr>
          <w:rFonts w:ascii="Times New Roman" w:eastAsia="Calibri" w:hAnsi="Times New Roman" w:cs="Times New Roman"/>
          <w:b/>
          <w:sz w:val="24"/>
          <w:szCs w:val="24"/>
        </w:rPr>
      </w:pPr>
      <w:r w:rsidRPr="006A4BCA">
        <w:rPr>
          <w:rFonts w:ascii="Times New Roman" w:eastAsia="Calibri" w:hAnsi="Times New Roman" w:cs="Times New Roman"/>
          <w:b/>
          <w:sz w:val="24"/>
          <w:szCs w:val="24"/>
        </w:rPr>
        <w:t>TRANSITORIOS</w:t>
      </w:r>
    </w:p>
    <w:p w:rsidR="00E10822" w:rsidRPr="006A4BCA" w:rsidRDefault="00E10822" w:rsidP="00E10822">
      <w:pPr>
        <w:widowControl w:val="0"/>
        <w:autoSpaceDE w:val="0"/>
        <w:autoSpaceDN w:val="0"/>
        <w:spacing w:after="0" w:line="240" w:lineRule="auto"/>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PRIMERO. </w:t>
      </w:r>
      <w:r w:rsidRPr="006A4BCA">
        <w:rPr>
          <w:rFonts w:ascii="Times New Roman" w:eastAsia="Calibri" w:hAnsi="Times New Roman" w:cs="Times New Roman"/>
          <w:sz w:val="24"/>
          <w:szCs w:val="24"/>
        </w:rPr>
        <w:t>Publíquese el presente decreto en el Periódico Oficial del Estado.</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SEGUNDO. </w:t>
      </w:r>
      <w:r w:rsidRPr="006A4BCA">
        <w:rPr>
          <w:rFonts w:ascii="Times New Roman" w:eastAsia="Calibri" w:hAnsi="Times New Roman" w:cs="Times New Roman"/>
          <w:sz w:val="24"/>
          <w:szCs w:val="24"/>
        </w:rPr>
        <w:t>El presente decreto entrará en vigor al día siguiente de su publicación en el Periódico Oficial del Estado.</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 xml:space="preserve">TERCERO. </w:t>
      </w:r>
      <w:r w:rsidRPr="006A4BCA">
        <w:rPr>
          <w:rFonts w:ascii="Times New Roman" w:eastAsia="Calibri" w:hAnsi="Times New Roman" w:cs="Times New Roman"/>
          <w:sz w:val="24"/>
          <w:szCs w:val="24"/>
        </w:rPr>
        <w:t>Los partidos políticos deberán adecuar su normativa interna, estructura orgánica y mecanismos de control para cumplir con lo dispuesto en este Decreto dentro de los noventa días naturales siguientes a su entrada en vigor.</w:t>
      </w: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b/>
          <w:sz w:val="24"/>
          <w:szCs w:val="24"/>
        </w:rPr>
      </w:pPr>
    </w:p>
    <w:p w:rsidR="00E10822" w:rsidRPr="006A4BCA" w:rsidRDefault="00E10822" w:rsidP="00E10822">
      <w:pPr>
        <w:widowControl w:val="0"/>
        <w:autoSpaceDE w:val="0"/>
        <w:autoSpaceDN w:val="0"/>
        <w:spacing w:after="0" w:line="240" w:lineRule="auto"/>
        <w:jc w:val="both"/>
        <w:rPr>
          <w:rFonts w:ascii="Times New Roman" w:eastAsia="Calibri" w:hAnsi="Times New Roman" w:cs="Times New Roman"/>
          <w:sz w:val="24"/>
          <w:szCs w:val="24"/>
        </w:rPr>
      </w:pPr>
      <w:r w:rsidRPr="006A4BCA">
        <w:rPr>
          <w:rFonts w:ascii="Times New Roman" w:eastAsia="Calibri" w:hAnsi="Times New Roman" w:cs="Times New Roman"/>
          <w:b/>
          <w:sz w:val="24"/>
          <w:szCs w:val="24"/>
        </w:rPr>
        <w:t>CUARTO</w:t>
      </w:r>
      <w:r w:rsidRPr="006A4BCA">
        <w:rPr>
          <w:rFonts w:ascii="Times New Roman" w:eastAsia="Calibri" w:hAnsi="Times New Roman" w:cs="Times New Roman"/>
          <w:sz w:val="24"/>
          <w:szCs w:val="24"/>
        </w:rPr>
        <w:t>. Tratándose de coaliciones y candidaturas comunes, los convenios respectivos deberán prever expresamente las obligaciones de coordinación, control y documentación a que se refiere este Decreto.</w:t>
      </w:r>
    </w:p>
    <w:p w:rsidR="003919CD" w:rsidRPr="006A4BCA" w:rsidRDefault="003919CD" w:rsidP="00E10822">
      <w:pPr>
        <w:spacing w:after="0" w:line="240" w:lineRule="auto"/>
        <w:jc w:val="center"/>
        <w:rPr>
          <w:rFonts w:ascii="Times New Roman" w:hAnsi="Times New Roman"/>
          <w:sz w:val="24"/>
          <w:szCs w:val="24"/>
        </w:rPr>
      </w:pPr>
    </w:p>
    <w:p w:rsidR="003919CD" w:rsidRPr="006A4BCA" w:rsidRDefault="003919CD" w:rsidP="00E10822">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3919CD" w:rsidRPr="006A4BCA" w:rsidRDefault="003919CD" w:rsidP="00E10822">
      <w:pPr>
        <w:spacing w:after="0" w:line="240" w:lineRule="auto"/>
        <w:jc w:val="center"/>
        <w:rPr>
          <w:rFonts w:ascii="Times New Roman" w:hAnsi="Times New Roman"/>
          <w:sz w:val="24"/>
          <w:szCs w:val="24"/>
        </w:rPr>
      </w:pP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diputado Omar Ortega Álvarez.</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Se registra la iniciativa y se remite a la Comisión Legislativa Electoral y de Desarrollo Democrático, para su estudio y dictamen.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el punto 23, el diputado Samuel Hernández Cruz, presenta en nombre del Grupo Parlamentario del Partido morena, Punto de Acuerdo de urgente y obvia resolución, por el que se exhorta respetuosamente a la Secretaría de Educación, Ciencia y Tecnología e Innovación del Estado de México a informar sobre el estado actual del Auditorio Metropolitano de Tecámac, a la a la Secretaría de Cultura y Turismo, así como a la Secretaria de Finanzas a considerar su donación y designación de recursos para un fin educativo.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 SAMUEL HERNÁNDEZ CRUZ. Muchas gracias compañeras y compañeros, diputada Presidenta.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Quisiera pedirles a los compañeros de la parte técnica que nos ayuden a proyectar un video a efecto de ilustrar esta intervención en la tribuna, la cual me permito exponer a continuación: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El Auditorio Metropolitano de Tecámac, ubicado en el municipio del mismo nombre, fue inaugurado el 10 de marzo de 2017, por lo que hoy está cumpliendo 9 años y fue anunciado como una de las principales obras de infraestructura cultural del Gobierno del Estado de México encabezado en aquel entonces por el gobernador Eruviel Ávila Villegas, dicha obra pretendía albergar eventos artísticos, deportivos y sociales estimado para una capacidad de 12 mil 700 a 13 mil asistentes, un estacionamiento para más de 3 mil 300 vehículos y una superficie total aproximada que alcanza las 15 hectáreas de superficie.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lastRenderedPageBreak/>
        <w:t>Dicho proyecto le costó a los mexiquenses 734 millones de pesos, según información del entonces Titular del Ejecutivo Estatal, cabe mencionar que a través de diversas solicitudes de información pública realizadas por ciudadanos y medios de comunicación, se dio a conocer que los contratos de su construcción, de su supervisión y de su equipamiento fueron en ese entonces clasificados como información reservada y pidiendo por varios años conocer los detalles técnicos, financieros y administrativos de este proyecto que ya ha sido calificado por los habitantes de la zona nororiente del Estado de México, como a un elefante blanco.</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No obstante, desde su inauguración del inmueble no ha operado de manera continua, permaneciendo durante casi los 9 años de vida inactivo, subutilizado o incluso se ha manifestado en una condición de obra inconclusa.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La opacidad en torno al uso de los recursos, a la falta de mantenimiento, como se puede observar y a la ausencia de un programa operativo claro, ha provocado que una infraestructura como esta que le costó a los mexiquenses más de 700 millones de pesos, se encuentre en desuso, hoy es una prioridad resignificar esas obras que se convirtieron en monumentos a la corrupción y elefantes blancos durante el régimen pasado y estamos obligados a atribuirles un verdadero uso social como podría serlo en el ámbito educativo, o podría continuarse con el fin para el que fue concebido de índole cultural, un espacio cultural de características similares a las del Auditorio Metropolitano que estamos observando, es el Centro Cultural Mexiquense del Bicentenario que se encuentra en el municipio vecino de Texcoco, en una extensión de 17 hectáreas, con un teatro con capacidad para mil 200 personas, un auditorio para 260 espectadores, un teatro al aire libre para mil 500 personas y espacios museísticos con hasta 8 mil 500 metros cuadrados de 2 niveles y abierto casi 5 días a la semana con una oferta cultural muy importante para la región.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De ese tamaño es este espacio que hoy está en desuso y cuyos recursos que se destinaron para su construcción se encuentran ociosos, también un espacio de esas características podría representar una oportunidad para atender necesidades educativas y culturales en el Valle de México, particularmente si se plantea que este espacio pueda destinarse a una institución de educación superior como la Universidad Autónoma del Estado de México o incluso una institución pública de educación federal, como lo son la Universidad Nacional Autónoma de México, el Instituto Politécnico Nacional que ya tiene una vocacional, la Vocacional 19 en Tecámac o la propia Universidad Autónoma Metropolitana, ambas instituciones cuentan con programas de extensión académica y cultural que podrían darle uso utilidad a este espacio; de manera que el uso que se puede brindar a estas instalaciones puede ser variado y muy redituable para la sociedad mexicana, siempre y cuando se le destine un fin, se le destine un presupuesto y personal que lo pueda operar.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Por lo que esta propuesta de punto de acuerdo que hoy se propone a las y los diputados de esta LXII Legislatura, tiene como objetivo darle utilidad a este espacio tristemente emblemático que se encuentra en el municipio de Tecámac, al que hoy le cantamos las mañanitas porque tiene 9 años cerrado.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Por lo anterior, de aprobarse este exhorto, solicitaremos información precisa a la Secretaría de Educación Pública del Estado de México, a la Secretaría de Cultura del Estado sobre la situación jurídica, estructural, presupuestal y operativa del inmueble, así como un proyecto que permita promover una definición institucional sobre su futuro, uso y su aprovechamiento para la población mexiquense.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De manera que me voy a permitir leer la propuesta de punto de acuerdo que hoy se somete a consideración de todas y todos nosotros.</w:t>
      </w:r>
    </w:p>
    <w:p w:rsidR="004A7076" w:rsidRPr="006A4BCA" w:rsidRDefault="004A7076" w:rsidP="004A7076">
      <w:pPr>
        <w:pStyle w:val="Sinespaciado"/>
        <w:jc w:val="center"/>
        <w:rPr>
          <w:rFonts w:ascii="Times New Roman" w:hAnsi="Times New Roman" w:cs="Times New Roman"/>
          <w:sz w:val="24"/>
          <w:szCs w:val="24"/>
        </w:rPr>
      </w:pPr>
      <w:r w:rsidRPr="006A4BCA">
        <w:rPr>
          <w:rFonts w:ascii="Times New Roman" w:hAnsi="Times New Roman" w:cs="Times New Roman"/>
          <w:sz w:val="24"/>
          <w:szCs w:val="24"/>
        </w:rPr>
        <w:t>ACUERDO</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ÚNICO. Se exhorta respetuosamente a la Secretaría de Educación, Ciencia y Tecnología e Innovación del Estado de México a informar sobre el Estado actual del auditorio metropolitano de </w:t>
      </w:r>
      <w:r w:rsidRPr="006A4BCA">
        <w:rPr>
          <w:rFonts w:ascii="Times New Roman" w:hAnsi="Times New Roman" w:cs="Times New Roman"/>
          <w:sz w:val="24"/>
          <w:szCs w:val="24"/>
        </w:rPr>
        <w:lastRenderedPageBreak/>
        <w:t>Tecámac, a la Secretaría de Cultura y Turismo; así como a la Secretaría de Finanzas para considerar su donación y asignación de recursos para un fin educativo.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Es cuanto señora Presidenta.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Es fundamental que los espacios con los que cuenta el Estado de México, obras de infraestructura como esta y otros espacios en desuso comiencen a ser utilizados con el objetivo, mediante el cual fueron diseñados, este espacio y estos recursos que se destinaron del presupuesto público del Estado de México, durante los años 15, 16 y 17 no pueden permanecer en el abandono.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Hoy tenemos un Gobierno sensible y estamos seguros de que con el aval de nuestra gobernadora y de los Secretarios del ramo, vamos a encontrarle un buen uso a este auditorio metropolitano y pronto estará en servicio para bien de nuestra región.</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Es cuanto Presidenta.</w:t>
      </w:r>
    </w:p>
    <w:p w:rsidR="00C07DF6" w:rsidRPr="006A4BCA" w:rsidRDefault="00C07DF6" w:rsidP="00CC3A24">
      <w:pPr>
        <w:pStyle w:val="Sinespaciado"/>
        <w:jc w:val="both"/>
        <w:rPr>
          <w:rFonts w:ascii="Times New Roman" w:hAnsi="Times New Roman" w:cs="Times New Roman"/>
          <w:sz w:val="24"/>
          <w:szCs w:val="24"/>
        </w:rPr>
      </w:pPr>
    </w:p>
    <w:p w:rsidR="00C07DF6" w:rsidRPr="006A4BCA" w:rsidRDefault="00C07DF6" w:rsidP="00CC3A24">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C07DF6" w:rsidRPr="006A4BCA" w:rsidRDefault="00C07DF6" w:rsidP="00CC3A24">
      <w:pPr>
        <w:spacing w:after="0" w:line="240" w:lineRule="auto"/>
        <w:jc w:val="center"/>
        <w:rPr>
          <w:rFonts w:ascii="Times New Roman" w:hAnsi="Times New Roman"/>
          <w:sz w:val="24"/>
          <w:szCs w:val="24"/>
        </w:rPr>
      </w:pPr>
    </w:p>
    <w:p w:rsidR="00C07DF6" w:rsidRPr="006A4BCA" w:rsidRDefault="00C07DF6" w:rsidP="00C07DF6">
      <w:pPr>
        <w:widowControl w:val="0"/>
        <w:autoSpaceDE w:val="0"/>
        <w:autoSpaceDN w:val="0"/>
        <w:spacing w:after="0" w:line="240" w:lineRule="auto"/>
        <w:jc w:val="center"/>
        <w:rPr>
          <w:rFonts w:ascii="Times New Roman" w:eastAsia="Arial MT" w:hAnsi="Times New Roman" w:cs="Times New Roman"/>
          <w:b/>
          <w:sz w:val="24"/>
        </w:rPr>
      </w:pPr>
      <w:r w:rsidRPr="006A4BCA">
        <w:rPr>
          <w:rFonts w:ascii="Times New Roman" w:eastAsia="Arial MT" w:hAnsi="Times New Roman" w:cs="Times New Roman"/>
          <w:b/>
          <w:sz w:val="24"/>
        </w:rPr>
        <w:t>Dip. Samuel Hernández Cruz</w:t>
      </w:r>
    </w:p>
    <w:p w:rsidR="00C07DF6" w:rsidRPr="006A4BCA" w:rsidRDefault="00C07DF6" w:rsidP="00C07DF6">
      <w:pPr>
        <w:widowControl w:val="0"/>
        <w:autoSpaceDE w:val="0"/>
        <w:autoSpaceDN w:val="0"/>
        <w:spacing w:after="0" w:line="240" w:lineRule="auto"/>
        <w:jc w:val="center"/>
        <w:rPr>
          <w:rFonts w:ascii="Times New Roman" w:eastAsia="Arial MT" w:hAnsi="Times New Roman" w:cs="Times New Roman"/>
          <w:b/>
          <w:sz w:val="24"/>
        </w:rPr>
      </w:pPr>
      <w:r w:rsidRPr="006A4BCA">
        <w:rPr>
          <w:rFonts w:ascii="Times New Roman" w:eastAsia="Arial MT" w:hAnsi="Times New Roman" w:cs="Times New Roman"/>
          <w:b/>
          <w:sz w:val="24"/>
        </w:rPr>
        <w:t>Comité de Vigilancia de la Contraloría</w:t>
      </w:r>
    </w:p>
    <w:p w:rsidR="00C07DF6" w:rsidRPr="006A4BCA" w:rsidRDefault="00C07DF6" w:rsidP="00C07DF6">
      <w:pPr>
        <w:widowControl w:val="0"/>
        <w:autoSpaceDE w:val="0"/>
        <w:autoSpaceDN w:val="0"/>
        <w:spacing w:after="0" w:line="240" w:lineRule="auto"/>
        <w:jc w:val="center"/>
        <w:rPr>
          <w:rFonts w:ascii="Times New Roman" w:eastAsia="Arial MT" w:hAnsi="Times New Roman" w:cs="Times New Roman"/>
          <w:b/>
          <w:sz w:val="24"/>
        </w:rPr>
      </w:pPr>
      <w:r w:rsidRPr="006A4BCA">
        <w:rPr>
          <w:rFonts w:ascii="Times New Roman" w:eastAsia="Arial MT" w:hAnsi="Times New Roman" w:cs="Times New Roman"/>
          <w:b/>
          <w:sz w:val="24"/>
        </w:rPr>
        <w:t>Presidente</w:t>
      </w:r>
    </w:p>
    <w:p w:rsidR="00C07DF6" w:rsidRPr="006A4BCA" w:rsidRDefault="00C07DF6" w:rsidP="00C07DF6">
      <w:pPr>
        <w:widowControl w:val="0"/>
        <w:autoSpaceDE w:val="0"/>
        <w:autoSpaceDN w:val="0"/>
        <w:spacing w:after="0" w:line="240" w:lineRule="auto"/>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right"/>
        <w:rPr>
          <w:rFonts w:ascii="Times New Roman" w:eastAsia="Arial MT" w:hAnsi="Times New Roman" w:cs="Times New Roman"/>
          <w:sz w:val="24"/>
        </w:rPr>
      </w:pPr>
      <w:r w:rsidRPr="006A4BCA">
        <w:rPr>
          <w:rFonts w:ascii="Times New Roman" w:eastAsia="Arial MT" w:hAnsi="Times New Roman" w:cs="Times New Roman"/>
          <w:sz w:val="24"/>
        </w:rPr>
        <w:t>Toluca de Lerdo, a 22 de octubre del 2025.</w:t>
      </w:r>
    </w:p>
    <w:p w:rsidR="00C07DF6" w:rsidRPr="006A4BCA" w:rsidRDefault="00C07DF6" w:rsidP="00C07DF6">
      <w:pPr>
        <w:widowControl w:val="0"/>
        <w:autoSpaceDE w:val="0"/>
        <w:autoSpaceDN w:val="0"/>
        <w:spacing w:after="0" w:line="240" w:lineRule="auto"/>
        <w:jc w:val="right"/>
        <w:rPr>
          <w:rFonts w:ascii="Times New Roman" w:eastAsia="Arial MT" w:hAnsi="Times New Roman" w:cs="Times New Roman"/>
          <w:sz w:val="24"/>
        </w:rPr>
      </w:pPr>
      <w:r w:rsidRPr="006A4BCA">
        <w:rPr>
          <w:rFonts w:ascii="Times New Roman" w:eastAsia="Arial MT" w:hAnsi="Times New Roman" w:cs="Times New Roman"/>
          <w:sz w:val="24"/>
        </w:rPr>
        <w:t>Oficio No. LXII/SHC/158/2025</w:t>
      </w:r>
    </w:p>
    <w:p w:rsidR="00C07DF6" w:rsidRPr="006A4BCA" w:rsidRDefault="00C07DF6" w:rsidP="00C07DF6">
      <w:pPr>
        <w:widowControl w:val="0"/>
        <w:autoSpaceDE w:val="0"/>
        <w:autoSpaceDN w:val="0"/>
        <w:spacing w:after="0" w:line="240" w:lineRule="auto"/>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r w:rsidRPr="006A4BCA">
        <w:rPr>
          <w:rFonts w:ascii="Times New Roman" w:eastAsia="Arial MT" w:hAnsi="Times New Roman" w:cs="Times New Roman"/>
          <w:b/>
          <w:sz w:val="24"/>
        </w:rPr>
        <w:t>Dip. Martha Azucena Camacho Reynoso</w:t>
      </w: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r w:rsidRPr="006A4BCA">
        <w:rPr>
          <w:rFonts w:ascii="Times New Roman" w:eastAsia="Arial MT" w:hAnsi="Times New Roman" w:cs="Times New Roman"/>
          <w:b/>
          <w:sz w:val="24"/>
        </w:rPr>
        <w:t>Presidenta</w:t>
      </w:r>
      <w:r w:rsidRPr="006A4BCA">
        <w:rPr>
          <w:rFonts w:ascii="Times New Roman" w:eastAsia="Arial MT" w:hAnsi="Times New Roman" w:cs="Times New Roman"/>
          <w:b/>
          <w:w w:val="150"/>
          <w:sz w:val="24"/>
        </w:rPr>
        <w:t xml:space="preserve"> </w:t>
      </w:r>
      <w:r w:rsidRPr="006A4BCA">
        <w:rPr>
          <w:rFonts w:ascii="Times New Roman" w:eastAsia="Arial MT" w:hAnsi="Times New Roman" w:cs="Times New Roman"/>
          <w:b/>
          <w:sz w:val="24"/>
        </w:rPr>
        <w:t>de</w:t>
      </w:r>
      <w:r w:rsidRPr="006A4BCA">
        <w:rPr>
          <w:rFonts w:ascii="Times New Roman" w:eastAsia="Arial MT" w:hAnsi="Times New Roman" w:cs="Times New Roman"/>
          <w:b/>
          <w:w w:val="150"/>
          <w:sz w:val="24"/>
        </w:rPr>
        <w:t xml:space="preserve"> </w:t>
      </w:r>
      <w:r w:rsidRPr="006A4BCA">
        <w:rPr>
          <w:rFonts w:ascii="Times New Roman" w:eastAsia="Arial MT" w:hAnsi="Times New Roman" w:cs="Times New Roman"/>
          <w:b/>
          <w:sz w:val="24"/>
        </w:rPr>
        <w:t>la</w:t>
      </w:r>
      <w:r w:rsidRPr="006A4BCA">
        <w:rPr>
          <w:rFonts w:ascii="Times New Roman" w:eastAsia="Arial MT" w:hAnsi="Times New Roman" w:cs="Times New Roman"/>
          <w:b/>
          <w:w w:val="150"/>
          <w:sz w:val="24"/>
        </w:rPr>
        <w:t xml:space="preserve"> </w:t>
      </w:r>
      <w:r w:rsidRPr="006A4BCA">
        <w:rPr>
          <w:rFonts w:ascii="Times New Roman" w:eastAsia="Arial MT" w:hAnsi="Times New Roman" w:cs="Times New Roman"/>
          <w:b/>
          <w:sz w:val="24"/>
        </w:rPr>
        <w:t>Mesa</w:t>
      </w:r>
      <w:r w:rsidRPr="006A4BCA">
        <w:rPr>
          <w:rFonts w:ascii="Times New Roman" w:eastAsia="Arial MT" w:hAnsi="Times New Roman" w:cs="Times New Roman"/>
          <w:b/>
          <w:w w:val="150"/>
          <w:sz w:val="24"/>
        </w:rPr>
        <w:t xml:space="preserve"> </w:t>
      </w:r>
      <w:r w:rsidRPr="006A4BCA">
        <w:rPr>
          <w:rFonts w:ascii="Times New Roman" w:eastAsia="Arial MT" w:hAnsi="Times New Roman" w:cs="Times New Roman"/>
          <w:b/>
          <w:sz w:val="24"/>
        </w:rPr>
        <w:t>Directiva</w:t>
      </w:r>
      <w:r w:rsidRPr="006A4BCA">
        <w:rPr>
          <w:rFonts w:ascii="Times New Roman" w:eastAsia="Arial MT" w:hAnsi="Times New Roman" w:cs="Times New Roman"/>
          <w:b/>
          <w:w w:val="150"/>
          <w:sz w:val="24"/>
        </w:rPr>
        <w:t xml:space="preserve"> </w:t>
      </w:r>
      <w:r w:rsidRPr="006A4BCA">
        <w:rPr>
          <w:rFonts w:ascii="Times New Roman" w:eastAsia="Arial MT" w:hAnsi="Times New Roman" w:cs="Times New Roman"/>
          <w:b/>
          <w:sz w:val="24"/>
        </w:rPr>
        <w:t>de</w:t>
      </w:r>
      <w:r w:rsidRPr="006A4BCA">
        <w:rPr>
          <w:rFonts w:ascii="Times New Roman" w:eastAsia="Arial MT" w:hAnsi="Times New Roman" w:cs="Times New Roman"/>
          <w:b/>
          <w:w w:val="150"/>
          <w:sz w:val="24"/>
        </w:rPr>
        <w:t xml:space="preserve"> </w:t>
      </w:r>
      <w:r w:rsidRPr="006A4BCA">
        <w:rPr>
          <w:rFonts w:ascii="Times New Roman" w:eastAsia="Arial MT" w:hAnsi="Times New Roman" w:cs="Times New Roman"/>
          <w:b/>
          <w:sz w:val="24"/>
        </w:rPr>
        <w:t>la</w:t>
      </w:r>
      <w:r w:rsidRPr="006A4BCA">
        <w:rPr>
          <w:rFonts w:ascii="Times New Roman" w:eastAsia="Arial MT" w:hAnsi="Times New Roman" w:cs="Times New Roman"/>
          <w:b/>
          <w:w w:val="150"/>
          <w:sz w:val="24"/>
        </w:rPr>
        <w:t xml:space="preserve"> </w:t>
      </w:r>
      <w:r w:rsidRPr="006A4BCA">
        <w:rPr>
          <w:rFonts w:ascii="Times New Roman" w:eastAsia="Arial MT" w:hAnsi="Times New Roman" w:cs="Times New Roman"/>
          <w:b/>
          <w:sz w:val="24"/>
        </w:rPr>
        <w:t>H.</w:t>
      </w:r>
      <w:r w:rsidRPr="006A4BCA">
        <w:rPr>
          <w:rFonts w:ascii="Times New Roman" w:eastAsia="Arial MT" w:hAnsi="Times New Roman" w:cs="Times New Roman"/>
          <w:b/>
          <w:w w:val="150"/>
          <w:sz w:val="24"/>
        </w:rPr>
        <w:t xml:space="preserve"> </w:t>
      </w:r>
      <w:r w:rsidRPr="006A4BCA">
        <w:rPr>
          <w:rFonts w:ascii="Times New Roman" w:eastAsia="Arial MT" w:hAnsi="Times New Roman" w:cs="Times New Roman"/>
          <w:b/>
          <w:sz w:val="24"/>
        </w:rPr>
        <w:t>LXII</w:t>
      </w: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r w:rsidRPr="006A4BCA">
        <w:rPr>
          <w:rFonts w:ascii="Times New Roman" w:eastAsia="Arial MT" w:hAnsi="Times New Roman" w:cs="Times New Roman"/>
          <w:b/>
          <w:sz w:val="24"/>
        </w:rPr>
        <w:t>Legislatura del Estado Libre y Soberano de México</w:t>
      </w: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r w:rsidRPr="006A4BCA">
        <w:rPr>
          <w:rFonts w:ascii="Times New Roman" w:eastAsia="Arial MT" w:hAnsi="Times New Roman" w:cs="Times New Roman"/>
          <w:b/>
          <w:sz w:val="24"/>
        </w:rPr>
        <w:t>P r e s e n t e</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b/>
          <w:sz w:val="24"/>
        </w:rPr>
      </w:pPr>
      <w:r w:rsidRPr="006A4BCA">
        <w:rPr>
          <w:rFonts w:ascii="Times New Roman" w:eastAsia="Arial MT" w:hAnsi="Times New Roman" w:cs="Times New Roman"/>
          <w:sz w:val="24"/>
        </w:rPr>
        <w:t xml:space="preserve">El suscrito, </w:t>
      </w:r>
      <w:r w:rsidRPr="006A4BCA">
        <w:rPr>
          <w:rFonts w:ascii="Times New Roman" w:eastAsia="Arial MT" w:hAnsi="Times New Roman" w:cs="Times New Roman"/>
          <w:b/>
          <w:sz w:val="24"/>
        </w:rPr>
        <w:t>Diputado Samuel Hernández Cruz</w:t>
      </w:r>
      <w:r w:rsidRPr="006A4BCA">
        <w:rPr>
          <w:rFonts w:ascii="Times New Roman" w:eastAsia="Arial MT" w:hAnsi="Times New Roman" w:cs="Times New Roman"/>
          <w:sz w:val="24"/>
        </w:rPr>
        <w:t xml:space="preserve">, integrante del grupo parlamentario de morena, con fundamento en los artículo 6 y 71 fracción III de la Constitución Política de los Estado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Libre y Soberano de México, someto a consideración de esta H. legislatura, el presente </w:t>
      </w:r>
      <w:r w:rsidRPr="006A4BCA">
        <w:rPr>
          <w:rFonts w:ascii="Times New Roman" w:eastAsia="Arial MT" w:hAnsi="Times New Roman" w:cs="Times New Roman"/>
          <w:b/>
          <w:sz w:val="24"/>
        </w:rPr>
        <w:t>Punto de Acuerdo por el que se exhorta respetuosamente a la Secretaría de Educación, Ciencia, Tecnología e Innovación del Estado de México, a informar sobre el estado actual del Auditorio Metropolitano de Tecámac, a la Secretaría de Cultura y Turismo, así como a la Secretaría de Finanzas a considerar su donación y designación de recursos para un fin educativo. De urgente y obvia resolución. Bajo la siguiente:</w:t>
      </w:r>
    </w:p>
    <w:p w:rsidR="00C07DF6" w:rsidRPr="006A4BCA" w:rsidRDefault="00C07DF6" w:rsidP="00C07DF6">
      <w:pPr>
        <w:widowControl w:val="0"/>
        <w:autoSpaceDE w:val="0"/>
        <w:autoSpaceDN w:val="0"/>
        <w:spacing w:after="0" w:line="240" w:lineRule="auto"/>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center"/>
        <w:outlineLvl w:val="0"/>
        <w:rPr>
          <w:rFonts w:ascii="Times New Roman" w:eastAsia="Arial" w:hAnsi="Times New Roman" w:cs="Times New Roman"/>
          <w:b/>
          <w:bCs/>
          <w:sz w:val="24"/>
        </w:rPr>
      </w:pPr>
      <w:r w:rsidRPr="006A4BCA">
        <w:rPr>
          <w:rFonts w:ascii="Times New Roman" w:eastAsia="Arial" w:hAnsi="Times New Roman" w:cs="Times New Roman"/>
          <w:b/>
          <w:bCs/>
          <w:sz w:val="24"/>
        </w:rPr>
        <w:t>EXPOSICIÓN DE MOTIVOS</w:t>
      </w: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b/>
          <w:sz w:val="24"/>
        </w:rPr>
      </w:pPr>
      <w:r w:rsidRPr="006A4BCA">
        <w:rPr>
          <w:rFonts w:ascii="Times New Roman" w:eastAsia="Arial MT" w:hAnsi="Times New Roman" w:cs="Times New Roman"/>
          <w:sz w:val="24"/>
        </w:rPr>
        <w:t xml:space="preserve">El </w:t>
      </w:r>
      <w:r w:rsidRPr="006A4BCA">
        <w:rPr>
          <w:rFonts w:ascii="Times New Roman" w:eastAsia="Arial MT" w:hAnsi="Times New Roman" w:cs="Times New Roman"/>
          <w:b/>
          <w:sz w:val="24"/>
        </w:rPr>
        <w:t>Auditorio Metropolitano de Tecámac</w:t>
      </w:r>
      <w:r w:rsidRPr="006A4BCA">
        <w:rPr>
          <w:rFonts w:ascii="Times New Roman" w:eastAsia="Arial MT" w:hAnsi="Times New Roman" w:cs="Times New Roman"/>
          <w:sz w:val="24"/>
        </w:rPr>
        <w:t xml:space="preserve">, ubicado en el municipio del mismo nombre, fue inaugurado el </w:t>
      </w:r>
      <w:r w:rsidRPr="006A4BCA">
        <w:rPr>
          <w:rFonts w:ascii="Times New Roman" w:eastAsia="Arial MT" w:hAnsi="Times New Roman" w:cs="Times New Roman"/>
          <w:b/>
          <w:sz w:val="24"/>
        </w:rPr>
        <w:t xml:space="preserve">10 de marzo de 2017 </w:t>
      </w:r>
      <w:r w:rsidRPr="006A4BCA">
        <w:rPr>
          <w:rFonts w:ascii="Times New Roman" w:eastAsia="Arial MT" w:hAnsi="Times New Roman" w:cs="Times New Roman"/>
          <w:sz w:val="24"/>
        </w:rPr>
        <w:t xml:space="preserve">como una de las principales obras de infraestructura cultural del Gobierno del Estado de México, encabezado en ese entonces por </w:t>
      </w:r>
      <w:hyperlink r:id="rId40">
        <w:r w:rsidRPr="006A4BCA">
          <w:rPr>
            <w:rFonts w:ascii="Times New Roman" w:eastAsia="Arial MT" w:hAnsi="Times New Roman" w:cs="Times New Roman"/>
            <w:sz w:val="24"/>
          </w:rPr>
          <w:t>Eruviel Ávila Villegas</w:t>
        </w:r>
      </w:hyperlink>
      <w:r w:rsidRPr="006A4BCA">
        <w:rPr>
          <w:rFonts w:ascii="Times New Roman" w:eastAsia="Arial MT" w:hAnsi="Times New Roman" w:cs="Times New Roman"/>
          <w:sz w:val="24"/>
        </w:rPr>
        <w:t xml:space="preserve">, dicha obra pretendía albergar eventos artísticos, deportivos y sociales, estimando una capacidad de entre </w:t>
      </w:r>
      <w:r w:rsidRPr="006A4BCA">
        <w:rPr>
          <w:rFonts w:ascii="Times New Roman" w:eastAsia="Arial MT" w:hAnsi="Times New Roman" w:cs="Times New Roman"/>
          <w:b/>
          <w:sz w:val="24"/>
        </w:rPr>
        <w:t>12,700 y 13,000 personas</w:t>
      </w:r>
      <w:r w:rsidRPr="006A4BCA">
        <w:rPr>
          <w:rFonts w:ascii="Times New Roman" w:eastAsia="Arial MT" w:hAnsi="Times New Roman" w:cs="Times New Roman"/>
          <w:sz w:val="24"/>
        </w:rPr>
        <w:t xml:space="preserve">, un estacionamiento para </w:t>
      </w:r>
      <w:r w:rsidRPr="006A4BCA">
        <w:rPr>
          <w:rFonts w:ascii="Times New Roman" w:eastAsia="Arial MT" w:hAnsi="Times New Roman" w:cs="Times New Roman"/>
          <w:b/>
          <w:sz w:val="24"/>
        </w:rPr>
        <w:t xml:space="preserve">más de 1,300 vehículos </w:t>
      </w:r>
      <w:r w:rsidRPr="006A4BCA">
        <w:rPr>
          <w:rFonts w:ascii="Times New Roman" w:eastAsia="Arial MT" w:hAnsi="Times New Roman" w:cs="Times New Roman"/>
          <w:sz w:val="24"/>
        </w:rPr>
        <w:t xml:space="preserve">y una superficie total aproximada de </w:t>
      </w:r>
      <w:r w:rsidRPr="006A4BCA">
        <w:rPr>
          <w:rFonts w:ascii="Times New Roman" w:eastAsia="Arial MT" w:hAnsi="Times New Roman" w:cs="Times New Roman"/>
          <w:b/>
          <w:sz w:val="24"/>
        </w:rPr>
        <w:t>14.7 Ha.</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sz w:val="24"/>
        </w:rPr>
        <w:t xml:space="preserve">Dicho proyecto representó una inversión pública superior a los </w:t>
      </w:r>
      <w:r w:rsidRPr="006A4BCA">
        <w:rPr>
          <w:rFonts w:ascii="Times New Roman" w:eastAsia="Arial MT" w:hAnsi="Times New Roman" w:cs="Times New Roman"/>
          <w:b/>
          <w:sz w:val="24"/>
        </w:rPr>
        <w:t>734 millones de pesos</w:t>
      </w:r>
      <w:r w:rsidRPr="006A4BCA">
        <w:rPr>
          <w:rFonts w:ascii="Times New Roman" w:eastAsia="Arial MT" w:hAnsi="Times New Roman" w:cs="Times New Roman"/>
          <w:sz w:val="24"/>
        </w:rPr>
        <w:t xml:space="preserve">, según información del entonces titular del Ejecutivo Estatal, cabe mencionar que a través de diversas </w:t>
      </w:r>
      <w:r w:rsidRPr="006A4BCA">
        <w:rPr>
          <w:rFonts w:ascii="Times New Roman" w:eastAsia="Arial MT" w:hAnsi="Times New Roman" w:cs="Times New Roman"/>
          <w:sz w:val="24"/>
        </w:rPr>
        <w:lastRenderedPageBreak/>
        <w:t xml:space="preserve">solicitudes de información pública realizadas por ciudadanos y medios de comunicación se dió a conocer que los </w:t>
      </w:r>
      <w:r w:rsidRPr="006A4BCA">
        <w:rPr>
          <w:rFonts w:ascii="Times New Roman" w:eastAsia="Arial MT" w:hAnsi="Times New Roman" w:cs="Times New Roman"/>
          <w:b/>
          <w:sz w:val="24"/>
        </w:rPr>
        <w:t xml:space="preserve">contratos de construcción, supervisión y equipamiento </w:t>
      </w:r>
      <w:r w:rsidRPr="006A4BCA">
        <w:rPr>
          <w:rFonts w:ascii="Times New Roman" w:eastAsia="Arial MT" w:hAnsi="Times New Roman" w:cs="Times New Roman"/>
          <w:sz w:val="24"/>
        </w:rPr>
        <w:t xml:space="preserve">fueron </w:t>
      </w:r>
      <w:r w:rsidRPr="006A4BCA">
        <w:rPr>
          <w:rFonts w:ascii="Times New Roman" w:eastAsia="Arial MT" w:hAnsi="Times New Roman" w:cs="Times New Roman"/>
          <w:b/>
          <w:sz w:val="24"/>
        </w:rPr>
        <w:t>clasificados como información reservada</w:t>
      </w:r>
      <w:r w:rsidRPr="006A4BCA">
        <w:rPr>
          <w:rFonts w:ascii="Times New Roman" w:eastAsia="Arial MT" w:hAnsi="Times New Roman" w:cs="Times New Roman"/>
          <w:sz w:val="24"/>
        </w:rPr>
        <w:t>, impidiendo por varios años conocer los detalles técnicos, financieros y administrativos del proyecto.</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i/>
          <w:sz w:val="24"/>
        </w:rPr>
      </w:pPr>
      <w:r w:rsidRPr="006A4BCA">
        <w:rPr>
          <w:rFonts w:ascii="Times New Roman" w:eastAsia="Arial MT" w:hAnsi="Times New Roman" w:cs="Times New Roman"/>
          <w:sz w:val="24"/>
        </w:rPr>
        <w:t xml:space="preserve">No obstante, desde su inauguración, el inmueble </w:t>
      </w:r>
      <w:r w:rsidRPr="006A4BCA">
        <w:rPr>
          <w:rFonts w:ascii="Times New Roman" w:eastAsia="Arial MT" w:hAnsi="Times New Roman" w:cs="Times New Roman"/>
          <w:b/>
          <w:sz w:val="24"/>
        </w:rPr>
        <w:t>no ha operado de manera continua</w:t>
      </w:r>
      <w:r w:rsidRPr="006A4BCA">
        <w:rPr>
          <w:rFonts w:ascii="Times New Roman" w:eastAsia="Arial MT" w:hAnsi="Times New Roman" w:cs="Times New Roman"/>
          <w:sz w:val="24"/>
        </w:rPr>
        <w:t xml:space="preserve">, permaneciendo por largos periodos </w:t>
      </w:r>
      <w:r w:rsidRPr="006A4BCA">
        <w:rPr>
          <w:rFonts w:ascii="Times New Roman" w:eastAsia="Arial MT" w:hAnsi="Times New Roman" w:cs="Times New Roman"/>
          <w:b/>
          <w:sz w:val="24"/>
        </w:rPr>
        <w:t>inactivo, subutilizado o en condición de obra inconclusa</w:t>
      </w:r>
      <w:r w:rsidRPr="006A4BCA">
        <w:rPr>
          <w:rFonts w:ascii="Times New Roman" w:eastAsia="Arial MT" w:hAnsi="Times New Roman" w:cs="Times New Roman"/>
          <w:sz w:val="24"/>
        </w:rPr>
        <w:t xml:space="preserve">, lo que lo volvió un gigante </w:t>
      </w:r>
      <w:r w:rsidRPr="006A4BCA">
        <w:rPr>
          <w:rFonts w:ascii="Times New Roman" w:eastAsia="Arial MT" w:hAnsi="Times New Roman" w:cs="Times New Roman"/>
          <w:i/>
          <w:sz w:val="24"/>
        </w:rPr>
        <w:t xml:space="preserve">elefante blanco </w:t>
      </w:r>
      <w:r w:rsidRPr="006A4BCA">
        <w:rPr>
          <w:rFonts w:ascii="Times New Roman" w:eastAsia="Arial MT" w:hAnsi="Times New Roman" w:cs="Times New Roman"/>
          <w:sz w:val="24"/>
        </w:rPr>
        <w:t>de la región</w:t>
      </w:r>
      <w:r w:rsidRPr="006A4BCA">
        <w:rPr>
          <w:rFonts w:ascii="Times New Roman" w:eastAsia="Arial MT" w:hAnsi="Times New Roman" w:cs="Times New Roman"/>
          <w:i/>
          <w:sz w:val="24"/>
        </w:rPr>
        <w:t>.</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sz w:val="24"/>
        </w:rPr>
        <w:t xml:space="preserve">La opacidad en torno al uso de los recursos, la falta de mantenimiento, y la ausencia de un programa operativo claro han provocado que una infraestructura como esta, de una inversión significativa y valor estratégico para la región se encuentre en </w:t>
      </w:r>
      <w:r w:rsidRPr="006A4BCA">
        <w:rPr>
          <w:rFonts w:ascii="Times New Roman" w:eastAsia="Arial MT" w:hAnsi="Times New Roman" w:cs="Times New Roman"/>
          <w:b/>
          <w:sz w:val="24"/>
        </w:rPr>
        <w:t>desuso</w:t>
      </w:r>
      <w:r w:rsidRPr="006A4BCA">
        <w:rPr>
          <w:rFonts w:ascii="Times New Roman" w:eastAsia="Arial MT" w:hAnsi="Times New Roman" w:cs="Times New Roman"/>
          <w:sz w:val="24"/>
        </w:rPr>
        <w:t>. Es una prioridad resignificar estas obras que se convirtieron en monumentos a la corrupción y elefantes blancos durante el régimen pasado, y atribuirles un verdadero uso, como podría serlo en el ámbito educativo o continuar con un fin cultural.</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sz w:val="24"/>
        </w:rPr>
        <w:t>Un espacio cultural de características similares a las del auditorio metropolitano es el Centro Cultural Mexiquense Bicentenario, ubicado en el municipio de Texcoco con una extensión de 17 hectáreas, con un teatro con capacidad para 1,200 personas, un auditorio para 260 espectadores, un teatro al aire libre para 1,500 personas, y espacios museísticos con 8,500 metros cuadrados en dos niveles, abierto casi 5 días a la semana y con una oferta cultural tan diversa, como con la que podría contar el auditorio si se le diera uso.</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sz w:val="24"/>
        </w:rPr>
        <w:t xml:space="preserve">También un espacio con esas características podría representar una oportunidad para atender necesidades educativas y culturales del Valle de México, particularmente si se destina a una </w:t>
      </w:r>
      <w:r w:rsidRPr="006A4BCA">
        <w:rPr>
          <w:rFonts w:ascii="Times New Roman" w:eastAsia="Arial MT" w:hAnsi="Times New Roman" w:cs="Times New Roman"/>
          <w:b/>
          <w:sz w:val="24"/>
        </w:rPr>
        <w:t>institución de educación superior como la UAEMex o de índole federal</w:t>
      </w:r>
      <w:r w:rsidRPr="006A4BCA">
        <w:rPr>
          <w:rFonts w:ascii="Times New Roman" w:eastAsia="Arial MT" w:hAnsi="Times New Roman" w:cs="Times New Roman"/>
          <w:sz w:val="24"/>
        </w:rPr>
        <w:t>, como la Universidad Nacional Autónoma de México (UNAM), el Instituto Politécnico Nacional (IPN) o la Universidad Autónoma Metropolitana (UAM), instituciones que cuentan con programas de extensión académica y cultural.</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sz w:val="24"/>
        </w:rPr>
        <w:t>Solo para tener un punto de comparación de lo que podría representar el auditorio en términos de capacidad, el Cecyt 19 “Leona Vicario” del IPN, de aproximadamente cuatro hectáreas de superficie, y con apenas cinco años de creación ya cuenta con 2,991 alumnos inscritos y se espera que en 2027 su capacidad ascienda a 3,500 alumnos, lo que nos demuestra que con voluntad política de los tres órdenes de gobierno, se pueden generar aún más centros de estudio en nuestro Estado.</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sz w:val="24"/>
        </w:rPr>
        <w:t>El uso que se le puede brindar a estas instalaciones, puede ser variado y muy redituable para la sociedad mexiquense, siempre y cuando se le destine un fin, presupuesto y personal que lo pueda operar, por lo que esta propuesta tiene como objetivo darle un uso a las instalaciones, ya sea con fines educativos o para actividades de índole cultural, como se pretendía que funcionara en un primer momento, y en su caso considerar su desincorporación y la donación de dicho inmueble.</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sz w:val="24"/>
        </w:rPr>
        <w:t>Por lo anterior, es pertinente solicitar información precisa sobre la situación jurídica, estructural, presupuestal y operativa del inmueble, así como promover una definición institucional sobre su futuro uso y aprovechamiento en beneficio de la población mexiquense.</w:t>
      </w: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center"/>
        <w:rPr>
          <w:rFonts w:ascii="Times New Roman" w:eastAsia="Arial MT" w:hAnsi="Times New Roman" w:cs="Times New Roman"/>
          <w:b/>
          <w:sz w:val="24"/>
        </w:rPr>
      </w:pPr>
      <w:r w:rsidRPr="006A4BCA">
        <w:rPr>
          <w:rFonts w:ascii="Times New Roman" w:eastAsia="Arial MT" w:hAnsi="Times New Roman" w:cs="Times New Roman"/>
          <w:b/>
          <w:sz w:val="24"/>
        </w:rPr>
        <w:t>A t e n t a m e n t e</w:t>
      </w:r>
    </w:p>
    <w:p w:rsidR="00C07DF6" w:rsidRPr="006A4BCA" w:rsidRDefault="00C07DF6" w:rsidP="00C07DF6">
      <w:pPr>
        <w:widowControl w:val="0"/>
        <w:autoSpaceDE w:val="0"/>
        <w:autoSpaceDN w:val="0"/>
        <w:spacing w:after="0" w:line="240" w:lineRule="auto"/>
        <w:jc w:val="center"/>
        <w:rPr>
          <w:rFonts w:ascii="Times New Roman" w:eastAsia="Arial MT" w:hAnsi="Times New Roman" w:cs="Times New Roman"/>
          <w:b/>
          <w:sz w:val="24"/>
        </w:rPr>
      </w:pPr>
      <w:r w:rsidRPr="006A4BCA">
        <w:rPr>
          <w:rFonts w:ascii="Times New Roman" w:eastAsia="Arial MT" w:hAnsi="Times New Roman" w:cs="Times New Roman"/>
          <w:b/>
          <w:sz w:val="24"/>
        </w:rPr>
        <w:t>Diputado Samuel Hernández</w:t>
      </w:r>
    </w:p>
    <w:p w:rsidR="00C07DF6" w:rsidRPr="006A4BCA" w:rsidRDefault="00C07DF6" w:rsidP="00C07DF6">
      <w:pPr>
        <w:widowControl w:val="0"/>
        <w:autoSpaceDE w:val="0"/>
        <w:autoSpaceDN w:val="0"/>
        <w:spacing w:after="0" w:line="240" w:lineRule="auto"/>
        <w:jc w:val="center"/>
        <w:rPr>
          <w:rFonts w:ascii="Times New Roman" w:eastAsia="Arial MT" w:hAnsi="Times New Roman" w:cs="Times New Roman"/>
          <w:b/>
          <w:sz w:val="24"/>
        </w:rPr>
      </w:pPr>
      <w:r w:rsidRPr="006A4BCA">
        <w:rPr>
          <w:rFonts w:ascii="Times New Roman" w:eastAsia="Arial MT" w:hAnsi="Times New Roman" w:cs="Times New Roman"/>
          <w:b/>
          <w:sz w:val="24"/>
        </w:rPr>
        <w:t>Presidente del Comité de Vigilancia de la Contraloría</w:t>
      </w: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b/>
          <w:sz w:val="24"/>
        </w:rPr>
      </w:pPr>
      <w:r w:rsidRPr="006A4BCA">
        <w:rPr>
          <w:rFonts w:ascii="Times New Roman" w:eastAsia="Arial MT" w:hAnsi="Times New Roman" w:cs="Times New Roman"/>
          <w:b/>
          <w:sz w:val="24"/>
        </w:rPr>
        <w:t>La H. "LXII"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p>
    <w:p w:rsidR="00C07DF6" w:rsidRPr="006A4BCA" w:rsidRDefault="00C07DF6" w:rsidP="00C07DF6">
      <w:pPr>
        <w:widowControl w:val="0"/>
        <w:autoSpaceDE w:val="0"/>
        <w:autoSpaceDN w:val="0"/>
        <w:spacing w:after="0" w:line="240" w:lineRule="auto"/>
        <w:jc w:val="center"/>
        <w:outlineLvl w:val="0"/>
        <w:rPr>
          <w:rFonts w:ascii="Times New Roman" w:eastAsia="Arial" w:hAnsi="Times New Roman" w:cs="Times New Roman"/>
          <w:b/>
          <w:bCs/>
          <w:sz w:val="24"/>
        </w:rPr>
      </w:pPr>
      <w:r w:rsidRPr="006A4BCA">
        <w:rPr>
          <w:rFonts w:ascii="Times New Roman" w:eastAsia="Arial" w:hAnsi="Times New Roman" w:cs="Times New Roman"/>
          <w:b/>
          <w:bCs/>
          <w:sz w:val="24"/>
        </w:rPr>
        <w:t>ACUERDO</w:t>
      </w: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b/>
          <w:sz w:val="24"/>
        </w:rPr>
        <w:t xml:space="preserve">ÚNICO. </w:t>
      </w:r>
      <w:r w:rsidRPr="006A4BCA">
        <w:rPr>
          <w:rFonts w:ascii="Times New Roman" w:eastAsia="Arial MT" w:hAnsi="Times New Roman" w:cs="Times New Roman"/>
          <w:sz w:val="24"/>
        </w:rPr>
        <w:t>Se exhorta respetuosamente a la Secretaría de Educación, Ciencia, Tecnología e Innovación del Estado de México, a informar sobre el estado actual del Auditorio Metropolitano de Tecámac, a la Secretaría de Cultura y Turismo, así como a la Secretaría de Finanzas a considerar su donación y designación de recursos para un fin educativo.</w:t>
      </w:r>
    </w:p>
    <w:p w:rsidR="00C07DF6" w:rsidRPr="006A4BCA" w:rsidRDefault="00C07DF6" w:rsidP="00C07DF6">
      <w:pPr>
        <w:widowControl w:val="0"/>
        <w:autoSpaceDE w:val="0"/>
        <w:autoSpaceDN w:val="0"/>
        <w:spacing w:after="0" w:line="240" w:lineRule="auto"/>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center"/>
        <w:outlineLvl w:val="0"/>
        <w:rPr>
          <w:rFonts w:ascii="Times New Roman" w:eastAsia="Arial" w:hAnsi="Times New Roman" w:cs="Times New Roman"/>
          <w:b/>
          <w:bCs/>
          <w:sz w:val="24"/>
        </w:rPr>
      </w:pPr>
      <w:r w:rsidRPr="006A4BCA">
        <w:rPr>
          <w:rFonts w:ascii="Times New Roman" w:eastAsia="Arial" w:hAnsi="Times New Roman" w:cs="Times New Roman"/>
          <w:b/>
          <w:bCs/>
          <w:sz w:val="24"/>
        </w:rPr>
        <w:t>TRANSITORIOS</w:t>
      </w:r>
    </w:p>
    <w:p w:rsidR="00C07DF6" w:rsidRPr="006A4BCA" w:rsidRDefault="00C07DF6" w:rsidP="00C07DF6">
      <w:pPr>
        <w:widowControl w:val="0"/>
        <w:autoSpaceDE w:val="0"/>
        <w:autoSpaceDN w:val="0"/>
        <w:spacing w:after="0" w:line="240" w:lineRule="auto"/>
        <w:rPr>
          <w:rFonts w:ascii="Times New Roman" w:eastAsia="Arial MT" w:hAnsi="Times New Roman" w:cs="Times New Roman"/>
          <w:b/>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b/>
          <w:sz w:val="24"/>
        </w:rPr>
        <w:t xml:space="preserve">PRIMERO. </w:t>
      </w:r>
      <w:r w:rsidRPr="006A4BCA">
        <w:rPr>
          <w:rFonts w:ascii="Times New Roman" w:eastAsia="Arial MT" w:hAnsi="Times New Roman" w:cs="Times New Roman"/>
          <w:sz w:val="24"/>
        </w:rPr>
        <w:t>Publíquese el presente Decreto en el Periódico Oficial “Gaceta del Gobierno”.</w:t>
      </w:r>
    </w:p>
    <w:p w:rsidR="00C07DF6" w:rsidRPr="006A4BCA" w:rsidRDefault="00C07DF6" w:rsidP="00C07DF6">
      <w:pPr>
        <w:widowControl w:val="0"/>
        <w:autoSpaceDE w:val="0"/>
        <w:autoSpaceDN w:val="0"/>
        <w:spacing w:after="0" w:line="240" w:lineRule="auto"/>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b/>
          <w:sz w:val="24"/>
        </w:rPr>
        <w:t xml:space="preserve">SEGUNDO. </w:t>
      </w:r>
      <w:r w:rsidRPr="006A4BCA">
        <w:rPr>
          <w:rFonts w:ascii="Times New Roman" w:eastAsia="Arial MT" w:hAnsi="Times New Roman" w:cs="Times New Roman"/>
          <w:sz w:val="24"/>
        </w:rPr>
        <w:t>El presente Acuerdo entrará en vigor al día siguiente de su publicación en el Periódico Oficial “Gaceta del Gobierno”.</w:t>
      </w:r>
    </w:p>
    <w:p w:rsidR="00C07DF6" w:rsidRPr="006A4BCA" w:rsidRDefault="00C07DF6" w:rsidP="00C07DF6">
      <w:pPr>
        <w:widowControl w:val="0"/>
        <w:autoSpaceDE w:val="0"/>
        <w:autoSpaceDN w:val="0"/>
        <w:spacing w:after="0" w:line="240" w:lineRule="auto"/>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b/>
          <w:sz w:val="24"/>
        </w:rPr>
        <w:t xml:space="preserve">TERCERO. </w:t>
      </w:r>
      <w:r w:rsidRPr="006A4BCA">
        <w:rPr>
          <w:rFonts w:ascii="Times New Roman" w:eastAsia="Arial MT" w:hAnsi="Times New Roman" w:cs="Times New Roman"/>
          <w:sz w:val="24"/>
        </w:rPr>
        <w:t>Comuníquese el presente Acuerdo al titular de la Secretaría de Educación, Ciencia, Tecnología e Innovación del Estado de México, a la Secretaría de Finanzas y a la Consejería Jurídica, así como a las instancias correspondientes para los efectos correspondientes.</w:t>
      </w:r>
    </w:p>
    <w:p w:rsidR="00C07DF6" w:rsidRPr="006A4BCA" w:rsidRDefault="00C07DF6" w:rsidP="00C07DF6">
      <w:pPr>
        <w:widowControl w:val="0"/>
        <w:autoSpaceDE w:val="0"/>
        <w:autoSpaceDN w:val="0"/>
        <w:spacing w:after="0" w:line="240" w:lineRule="auto"/>
        <w:rPr>
          <w:rFonts w:ascii="Times New Roman" w:eastAsia="Arial MT" w:hAnsi="Times New Roman" w:cs="Times New Roman"/>
          <w:sz w:val="24"/>
        </w:rPr>
      </w:pPr>
    </w:p>
    <w:p w:rsidR="00C07DF6" w:rsidRPr="006A4BCA" w:rsidRDefault="00C07DF6" w:rsidP="00C07DF6">
      <w:pPr>
        <w:widowControl w:val="0"/>
        <w:autoSpaceDE w:val="0"/>
        <w:autoSpaceDN w:val="0"/>
        <w:spacing w:after="0" w:line="240" w:lineRule="auto"/>
        <w:jc w:val="both"/>
        <w:rPr>
          <w:rFonts w:ascii="Times New Roman" w:eastAsia="Arial MT" w:hAnsi="Times New Roman" w:cs="Times New Roman"/>
          <w:sz w:val="24"/>
        </w:rPr>
      </w:pPr>
      <w:r w:rsidRPr="006A4BCA">
        <w:rPr>
          <w:rFonts w:ascii="Times New Roman" w:eastAsia="Arial MT" w:hAnsi="Times New Roman" w:cs="Times New Roman"/>
          <w:sz w:val="24"/>
        </w:rPr>
        <w:t xml:space="preserve">Dado en el Palacio del Poder Legislativo, en la ciudad de Toluca de Lerdo, capital del Estado de México, a los </w:t>
      </w:r>
      <w:r w:rsidRPr="006A4BCA">
        <w:rPr>
          <w:rFonts w:ascii="Times New Roman" w:eastAsia="Arial MT" w:hAnsi="Times New Roman" w:cs="Times New Roman"/>
          <w:w w:val="150"/>
          <w:sz w:val="24"/>
          <w:u w:val="single"/>
        </w:rPr>
        <w:t xml:space="preserve">   </w:t>
      </w:r>
      <w:r w:rsidRPr="006A4BCA">
        <w:rPr>
          <w:rFonts w:ascii="Times New Roman" w:eastAsia="Arial MT" w:hAnsi="Times New Roman" w:cs="Times New Roman"/>
          <w:sz w:val="24"/>
        </w:rPr>
        <w:t xml:space="preserve">días del mes de </w:t>
      </w:r>
      <w:r w:rsidRPr="006A4BCA">
        <w:rPr>
          <w:rFonts w:ascii="Times New Roman" w:eastAsia="Arial MT" w:hAnsi="Times New Roman" w:cs="Times New Roman"/>
          <w:w w:val="150"/>
          <w:sz w:val="24"/>
          <w:u w:val="single"/>
        </w:rPr>
        <w:t xml:space="preserve">   </w:t>
      </w:r>
      <w:r w:rsidRPr="006A4BCA">
        <w:rPr>
          <w:rFonts w:ascii="Times New Roman" w:eastAsia="Arial MT" w:hAnsi="Times New Roman" w:cs="Times New Roman"/>
          <w:sz w:val="24"/>
        </w:rPr>
        <w:t>del año dos mil veinticinco.</w:t>
      </w:r>
    </w:p>
    <w:p w:rsidR="00C07DF6" w:rsidRPr="006A4BCA" w:rsidRDefault="00C07DF6" w:rsidP="00CC3A24">
      <w:pPr>
        <w:spacing w:after="0" w:line="240" w:lineRule="auto"/>
        <w:jc w:val="center"/>
        <w:rPr>
          <w:rFonts w:ascii="Times New Roman" w:hAnsi="Times New Roman"/>
          <w:sz w:val="24"/>
          <w:szCs w:val="24"/>
        </w:rPr>
      </w:pPr>
    </w:p>
    <w:p w:rsidR="00C07DF6" w:rsidRPr="006A4BCA" w:rsidRDefault="00C07DF6" w:rsidP="00CC3A24">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C07DF6" w:rsidRPr="006A4BCA" w:rsidRDefault="00C07DF6" w:rsidP="00CC3A24">
      <w:pPr>
        <w:spacing w:after="0" w:line="240" w:lineRule="auto"/>
        <w:jc w:val="center"/>
        <w:rPr>
          <w:rFonts w:ascii="Times New Roman" w:hAnsi="Times New Roman"/>
          <w:sz w:val="24"/>
          <w:szCs w:val="24"/>
        </w:rPr>
      </w:pP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diputado Samuel Hernández Cruz.</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Con sustento en el artículo 55 de la Constitución Política del Estado Libre y Soberano de México, someto a la aprobación de la Legislatura, la propuesta de dispensa del trámite de dictamen del punto de acuerdo y pregunto ¿Si alguien desea hacer uso de la palabra? </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Pido a quienes estén por la dispensa del trámite de dictamen, se sirvan levantar la mano ¿En contra? ¿En abstención? </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SECRETARIA DIP. KRISHNA ROMERO VELÁZQUEZ. La propuesta ha sido aprobada por unanimidad de votos Presidenta.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Secretaria.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Abro la discusión en lo general y consulto ¿Si alguien desea hacer uso de la palabra?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Para la votación en lo general, pido a la Secretaría abra el sistema de votación hasta por 2 minutos, si alguien desea separa algún artículo, sírvase indicarlo.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SECRETARIA DIP. KRISHNA ROMERO VELÁZQUEZ. Ábrase el sistema de votación hasta por 2 minutos.</w:t>
      </w:r>
    </w:p>
    <w:p w:rsidR="004A7076" w:rsidRPr="006A4BCA" w:rsidRDefault="004A7076" w:rsidP="004A7076">
      <w:pPr>
        <w:pStyle w:val="Sinespaciado"/>
        <w:jc w:val="center"/>
        <w:rPr>
          <w:rFonts w:ascii="Times New Roman" w:hAnsi="Times New Roman" w:cs="Times New Roman"/>
          <w:i/>
          <w:sz w:val="24"/>
          <w:szCs w:val="24"/>
        </w:rPr>
      </w:pPr>
      <w:r w:rsidRPr="006A4BCA">
        <w:rPr>
          <w:rFonts w:ascii="Times New Roman" w:hAnsi="Times New Roman" w:cs="Times New Roman"/>
          <w:i/>
          <w:sz w:val="24"/>
          <w:szCs w:val="24"/>
        </w:rPr>
        <w:t>(Votación nominal)</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SECRETARIA DIP. KRISHNA ROMERO VELÁZQUEZ. Preguntamos si ¿Falta alguien por emitir su voto?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El punto de acuerdo ha sido aprobado por unanimidad de votos.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lastRenderedPageBreak/>
        <w:tab/>
        <w:t>Se tienen por aprobados en lo general el punto de acuerdo, se declara también su aprobación en lo particular.</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acatamiento con el punto 24, la diputada Leticia Mejía García, presenta en nombre del Grupo Parlamentario del Partido Revolucionario Institucional, punto de acuerdo de urgente y obvia resolución por el que se exhorta la encargada del despacho de la Vocalía Ejecutiva del Consejo Estatal para el Desarrollo Integral de los Pueblo Indígenas del Estado de México y al Director General del Instituto Nacional de los Pueblos Indígenas a realizar las acciones necesarias con el propósito de homologar el Listado de Localidades Indígenas del Estado de México con el Catálogo Nacional de Localidades Indígenas.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 LETICIA MEJÍA GARCÍA. Gracias Presidenta.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Con el permiso de la Mesa Directiva y de las compañeras y compañeros diputados que el día de hoy se encuentran presentes y </w:t>
      </w:r>
      <w:r w:rsidRPr="006A4BCA">
        <w:rPr>
          <w:rFonts w:ascii="Times New Roman" w:eastAsia="Arial" w:hAnsi="Times New Roman" w:cs="Times New Roman"/>
          <w:sz w:val="24"/>
          <w:szCs w:val="24"/>
        </w:rPr>
        <w:t xml:space="preserve">de los medios de comunicación que sigue en la transmisión de esta sesión. </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Nuestra lucha por avanzar hacia un Estado de México más justo e incluyente con nuestras hermanas y hermanos indígenas sigue siendo permanente. </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En el PRI sabemos que es fundamental identificar a quienes más lo necesitan, generar programas que les beneficien directamente y crear condiciones para que accedan a ellos.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Hacemos un llamado urgente y necesario para que el Instituto Nacional de Pueblos Indígenas, (INPI) y el Consejo Estatal para el Desarrollo Integral de los Pueblos Indígenas del Estado de México (CEDIPIEM), desarrollen de manera coordinada los trabajos necesarios para homologar el listado de localidades indígenas del Estado de México con el Catálogo Nacional de Localidades Indígenas. </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¿Por qué es urgente esta homologación? Porque el INPI reconoce 647 comunidades indígenas mexiquenses inscritas en ese catálogo nacional, mientras que el Listado Estatal da cuenta de 840 comunidades que se acreditaron ante el CEDIPIEM, con su carácter de indígena, una diferencia de casi 200 comunidades indígenas cuyos integrantes no pueden acceder a los programas, acciones, beneficios y recursos que se implementan desde el gobierno federal, pues no están reconocidos en su catálogo y viceversa, comunidades reconocidas por el INPI no acceden a los programas estatales, ya que ambos catálogos difieren no solo del número sino de la totalidad de las comunidades reconocidas, lo que genera una situación de desigualdad y de exclusión para estas comunidades.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Con esta homologación pretendemos que todas nuestras hermanas y hermanos indígenas sean integrados y reconocidos en ambos catálogos y que a través de ello puedan tener acceso a las políticas públicas instrumentadas desde el gobierno federal, estatal y municipal, queremos que esas políticas les alcancen, les beneficien y les permitan tener mejores oportunidades, porque lo que no se nombra no existe y lo que no se cuenta no se atiende. </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Es importante destacar que gracias a la iniciativa del PRI, en mayo del 2024 se publicó en Gaceta la actualización del listado estatal, adicionando más de 100 comunidades indígenas de los municipios de Ixtlahuaca, Almoloya de Juárez, Tenango del Valle, El Oro, San José de Rincón, Temascalcingo, Temoaya, Texcoco, Chalco, Nicolás Romero, Ecatepec, Teotihuacán, Coyoacán, Toluca y Polotitlán, lo que refleja nuestro compromiso con la justicia y la igualdad para nuestros pueblos indígenas; pero sobre todo, que estas comunidades puedan estar consideradas en la asignación de presupuestos actualmente.</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 xml:space="preserve">A pesar de los discursos y las promesas, la realidad es que siguen existiendo resistencias y obstáculos para que nuestros derechos como pueblos indígenas sean respetados y garantizados, el bienestar y desarrollo integral de los pueblos y comunidades indígenas originarios y residentes en nuestro Estado deben ser la premisa para impulsar el fortalecimiento institucional y la modernización de la normatividad en el afán de proteger y promover sus derechos y extender efectivamente los beneficios de la acción gubernamental a este sector de la población. </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lastRenderedPageBreak/>
        <w:t>Seguiremos trabajando incansablemente para que nuestros pueblos indígenas sean considerados, reconocidos, atendidos con justicia y dignidad, para que sean actores sustantivos del desarrollo de sus comunidades y se beneficien del desarrollo de nuestra tierra, esto no puede esperar más.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La homologación de ambos instrumentos favorece que las políticas públicas instrumentadas desde el gobierno federal alcancen de manera directa a esas comunidades, mediante la asignación de presupuesto y puesta en marcha de programas sociales.</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Por lo expuesto, es necesario exhortar como un asunto de urgente y obvia resolución a la Encargada del Despacho de la Vocalía Ejecutiva del Consejo Estatal para el Desarrollo Integral de los Pueblos Indígenas del Estado de México, (CEDIPIEM) y al Director General del Instituto Nacional de los Pueblos Indígenas (INPI), a realizar las acciones necesarias con el propósito de homologar el Listado de Localidades Indígenas del Estado de México con el Catálogo Nacional de Localidades Indígenas y en consecuencia informen a este Congreso sobre los trabajos realizados para que esta Legislatura esté en posibilidad de actualizar el listado local conforme al artículo 6 Bis de la Ley de Derechos y Cultura Indígena.</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Concluyo diputada Presidenta, solicitando que el texto íntegro del presente punto de acuerdo se inserte en el Diario de los Debates y la Gaceta Parlamentaria, ¡Que vivan los pueblos indígenas del Estado de México!</w:t>
      </w:r>
    </w:p>
    <w:p w:rsidR="004A7076" w:rsidRPr="006A4BCA" w:rsidRDefault="004A7076" w:rsidP="004A7076">
      <w:pPr>
        <w:pStyle w:val="Sinespaciado"/>
        <w:ind w:firstLine="708"/>
        <w:jc w:val="both"/>
        <w:rPr>
          <w:rFonts w:ascii="Times New Roman" w:eastAsia="Arial" w:hAnsi="Times New Roman" w:cs="Times New Roman"/>
          <w:sz w:val="24"/>
          <w:szCs w:val="24"/>
        </w:rPr>
      </w:pPr>
      <w:r w:rsidRPr="006A4BCA">
        <w:rPr>
          <w:rFonts w:ascii="Times New Roman" w:eastAsia="Arial" w:hAnsi="Times New Roman" w:cs="Times New Roman"/>
          <w:sz w:val="24"/>
          <w:szCs w:val="24"/>
        </w:rPr>
        <w:t>Muchas gracias.</w:t>
      </w:r>
    </w:p>
    <w:p w:rsidR="007B31F2" w:rsidRPr="006A4BCA" w:rsidRDefault="007B31F2" w:rsidP="00CC3A24">
      <w:pPr>
        <w:pStyle w:val="Sinespaciado"/>
        <w:jc w:val="both"/>
        <w:rPr>
          <w:rFonts w:ascii="Times New Roman" w:hAnsi="Times New Roman" w:cs="Times New Roman"/>
          <w:sz w:val="24"/>
          <w:szCs w:val="24"/>
        </w:rPr>
      </w:pPr>
    </w:p>
    <w:p w:rsidR="007B31F2" w:rsidRPr="006A4BCA" w:rsidRDefault="007B31F2" w:rsidP="00CC3A24">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7B31F2" w:rsidRPr="006A4BCA" w:rsidRDefault="007B31F2" w:rsidP="00CC3A24">
      <w:pPr>
        <w:spacing w:after="0" w:line="240" w:lineRule="auto"/>
        <w:jc w:val="center"/>
        <w:rPr>
          <w:rFonts w:ascii="Times New Roman" w:hAnsi="Times New Roman"/>
          <w:sz w:val="24"/>
          <w:szCs w:val="24"/>
        </w:rPr>
      </w:pP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 Leticia Mejía García</w:t>
      </w: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“2026. Año del Humanismo Mexicano en el Estado de México”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right"/>
        <w:rPr>
          <w:rFonts w:ascii="Times New Roman" w:eastAsia="Arial MT" w:hAnsi="Times New Roman" w:cs="Times New Roman"/>
          <w:sz w:val="24"/>
          <w:szCs w:val="24"/>
        </w:rPr>
      </w:pPr>
      <w:r w:rsidRPr="006A4BCA">
        <w:rPr>
          <w:rFonts w:ascii="Times New Roman" w:eastAsia="Arial MT" w:hAnsi="Times New Roman" w:cs="Times New Roman"/>
          <w:sz w:val="24"/>
          <w:szCs w:val="24"/>
        </w:rPr>
        <w:t>Toluca de Lerdo, México; a 18 de febrero de 2026.</w:t>
      </w:r>
    </w:p>
    <w:p w:rsidR="0086712D" w:rsidRPr="006A4BCA" w:rsidRDefault="0086712D" w:rsidP="0086712D">
      <w:pPr>
        <w:widowControl w:val="0"/>
        <w:autoSpaceDE w:val="0"/>
        <w:autoSpaceDN w:val="0"/>
        <w:spacing w:after="0" w:line="240" w:lineRule="auto"/>
        <w:jc w:val="right"/>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DIPUTADA</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MARTHA AZUCENA CAMACHO REYNOSO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PRESIDENTA DE LA DIRECTIVA DE LA</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H. “LXII” LEGISLATURA DEL</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ESTADO LIBRE Y SOBERANO DE MÉXICO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PRESENTE</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38, fracción IV de la Ley Orgánica del Poder Legislativo del Estado Libre y Soberano de México, y 72 del Reglamento del Poder Legislativo someto a la consideración de esa H. Legislatura por el digno conducto de Usted, </w:t>
      </w:r>
      <w:r w:rsidRPr="006A4BCA">
        <w:rPr>
          <w:rFonts w:ascii="Times New Roman" w:eastAsia="Arial MT" w:hAnsi="Times New Roman" w:cs="Times New Roman"/>
          <w:b/>
          <w:sz w:val="24"/>
          <w:szCs w:val="24"/>
        </w:rPr>
        <w:t>Punto de Acuerdo de urgente y obvia resolución por el que se exhorta a la Encargada del Despacho de la Vocalía Ejecutiva del Consejo Estatal para el Desarrollo Integral de los Pueblos Indígenas del Estado de México y al Director General del Instituto Nacional de los Pueblos Indígenas a realizar las acciones necesarias con el propósito de homologar el Listado de Localidades Indígenas del Estado de México con el Catálogo Nacional de Localidades Indígenas</w:t>
      </w:r>
      <w:r w:rsidRPr="006A4BCA">
        <w:rPr>
          <w:rFonts w:ascii="Times New Roman" w:eastAsia="Arial MT" w:hAnsi="Times New Roman" w:cs="Times New Roman"/>
          <w:sz w:val="24"/>
          <w:szCs w:val="24"/>
        </w:rPr>
        <w:t>, conforme a la siguiente:</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EXPOSICIÓN DE MOTIVOS</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lastRenderedPageBreak/>
        <w:t>El artículo 2º de la Constitución General sustenta los derechos de los pueblos y comunidades indígenas y afromexicanas, a partir de un modelo que les reconoce como sujetos de derecho público con personalidad jurídica y patrimonio propio.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De acuerdo con la Ley del Instituto Nacional de los Pueblos Indígenas (INPI) ese organismo es competente para integrar y operar un Sistema Nacional de Información y Estadística sobre los Pueblos y Comunidades Indígenas y Afromexicanas, que contenga un catálogo de pueblos y comunidades indígenas con los elementos y características fundamentales de sus instituciones políticas, jurídicas, económicas, sociales y culturales, sus tierras, territorios y recursos.</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12 de septiembre de 2022 se publicó en el Diario Oficial de la Federación (DOF) la Convocatoria a las Jornadas de Registro Nacional para la integración del Catálogo Nacional de Pueblos y Comunidades Indígenas y Afromexicanas, misma que precisó las bases y la información básica para la inscripción correspondiente.</w:t>
      </w: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consecuencia, el 9 de agosto de 2024 se publicó en el DOF el Catálogo Nacional incluyendo a 71 pueblos y 12 mil 683 comunidades indígenas y el 21 de febrero de 2025 se actualizó para quedar en 16 mil 44 comunidades a las que se reconoce el carácter de indígenas o afromexicano, destacando que nuestro Estado cuenta con un total de 647 comunidades inscritas en ese Catálogo Nacional.</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El procedimiento implica en términos generales la entrega de solicitud de registro por parte de la autoridad o representante de la comunidad, el acta de asamblea en que se señale que es una comunidad indígena y su consentimiento para el registro en el Catálogo Nacional, llenado de Cédula de identificación para su revisión y posterior integración al Catálogo.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su parte, la Ley de Derechos y Cultura Indígena del Estado reconoce y regula los derechos de los pueblos indígenas Mazahua, Otomí, Náhuatl, Tlahuica y Matlazinca, así como a los</w:t>
      </w:r>
      <w:r w:rsidRPr="006A4BCA">
        <w:rPr>
          <w:rFonts w:ascii="Times New Roman" w:eastAsia="Arial MT" w:hAnsi="Times New Roman" w:cs="Times New Roman"/>
          <w:sz w:val="24"/>
          <w:szCs w:val="24"/>
          <w:shd w:val="clear" w:color="auto" w:fill="FFFFFF"/>
        </w:rPr>
        <w:t xml:space="preserve"> grupos indígenas de origen nacional procedentes de otras entidades</w:t>
      </w:r>
      <w:r w:rsidRPr="006A4BCA">
        <w:rPr>
          <w:rFonts w:ascii="Times New Roman" w:eastAsia="Arial MT" w:hAnsi="Times New Roman" w:cs="Times New Roman"/>
          <w:sz w:val="24"/>
          <w:szCs w:val="24"/>
        </w:rPr>
        <w:t xml:space="preserve"> </w:t>
      </w:r>
      <w:r w:rsidRPr="006A4BCA">
        <w:rPr>
          <w:rFonts w:ascii="Times New Roman" w:eastAsia="Arial MT" w:hAnsi="Times New Roman" w:cs="Times New Roman"/>
          <w:sz w:val="24"/>
          <w:szCs w:val="24"/>
          <w:shd w:val="clear" w:color="auto" w:fill="FFFFFF"/>
        </w:rPr>
        <w:t>federativas; en términos de dicho ordenamiento</w:t>
      </w:r>
      <w:r w:rsidRPr="006A4BCA">
        <w:rPr>
          <w:rFonts w:ascii="Times New Roman" w:eastAsia="Arial MT" w:hAnsi="Times New Roman" w:cs="Times New Roman"/>
          <w:sz w:val="24"/>
          <w:szCs w:val="24"/>
        </w:rPr>
        <w:t>, para otorgar precisión y certeza jurídica a los integrantes de los pueblos y comunidades indígenas y con la finalidad de que puedan acceder a los beneficios de las políticas públicas, la Legislatura integrará un catálogo de las localidades con presencia indígena a partir de la información que le proporcione el Consejo Estatal para el Desarrollo Integral de los Pueblos Indígenas (CEDIPIEM), de modo que las localidades indígenas reconocidas son las que apruebe la Legislatura, con base en la información referida.</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noviembre del 2013 la “LVIII” Legislatura Local aprobó una importante reforma a la Ley de Derechos y Cultura Indígena Estatal, y asimismo expidió el primer Listado de Localidades Indígenas, entonces con 741 comunidades, lo que favoreció la participación de los pueblos indígenas, su desarrollo integral y la mejora de sus condiciones de vida.</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En efecto, se dotó a la Ley de novedosos preceptos de protección y promoción de los derechos relativos al desarrollo de sus culturas, lenguas, costumbres, formas específicas de organización social y acceso a la jurisdicción del Estado, con la finalidad de hacerla acorde a las circunstancias y contexto de la sociedad para extender los beneficios de la acción gubernamental a los integrantes de los pueblos indígenas.</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 xml:space="preserve">En agosto de 2023, el PRI presentó Iniciativa para adicionar al referido listado 103 comunidades de los municipios de Ixtlahuaca, Almoloya de Juárez, Acambay, Tenango del Valle, El Oro, San </w:t>
      </w:r>
      <w:r w:rsidRPr="006A4BCA">
        <w:rPr>
          <w:rFonts w:ascii="Times New Roman" w:eastAsia="Arial MT" w:hAnsi="Times New Roman" w:cs="Times New Roman"/>
          <w:sz w:val="24"/>
          <w:szCs w:val="24"/>
        </w:rPr>
        <w:lastRenderedPageBreak/>
        <w:t>José del Rincón, Temascalcingo, Temoaya, Texcoco, Chalco, Nicolás Romero, Ecatepec de Morelos, Teotihuacán, Ocoyoacac, Toluca y Polotitlán, a partir del Informe del CEDIPIEM, derivado de la información emitida por el Comité de Análisis y Concertación para el reconocimiento de Comunidades Indígenas (instancia multidisciplinaria integrada por representantes de instancias federales y estatales, con base en la información de cada localidad y en el procedimiento aprobado por la Junta de Gobierno de ese organismo.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Así, agotado el procedimiento legislativo correspondiente, el 29 de mayo de 2024 se publicó en Gaceta la actualización del Listado de Localidades Indígenas del Estado de México con un total de 840 comunidades, mismo que identifica la localidad indígena correspondiente y el municipio al que pertenece.</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Si bien es cierto que el Listado Local registra casi 200 comunidades mexiquenses más que el Catálogo Nacional, no menos cierto es que el registro de la federación cuenta con mayores elementos que permiten conocer a mayor profundidad la realidad que viven los pueblos y comunidades que ahí se encuentran inscritos; por ello, resulta pertinente y oportuno, que el CEDIPIEM y el INPI coordinen sus atribuciones a efecto de que el Listado de Localidades Indígenas se homologue con el Catálogo Nacional en favor de los pueblos y comunidades indígenas mexiquenses, ante la coyuntura que la sinergia entre el Gobierno Federal y Estatal representa y con el propósito de que las políticas públicas que se implementen a nivel federal consideren a todas las localidades indígenas del Estado y con ello, se encuentren en posibilidad de acceder a los programas, acciones y beneficios que se implementan desde el Gobierno Federal.</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Por lo anteriormente expuesto, se somete a la consideración de esa H. Soberanía Popular, el presente Punto de Acuerdo, para que, de estimarlo correcto se apruebe en sus términos.</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Reitero a Usted, la seguridad de mi atenta y distinguida consideración.</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ATENTAMENTE</w:t>
      </w: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DIPUTADA LETICIA MEJÍA GARCÍA</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PROYECTO DE ACUERDO:</w:t>
      </w: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La H. “LXII” Legislatura del Estado de México, con fundamento en los artículos 55, 57 y 61, fracción I de la Constitución Política del Estado Libre y Soberano de México, 38, fracción IV y 83 de la Ley Orgánica del Poder Legislativo del Estado, y 72 y 74 de su Reglamento, ha tenido a bien emitir el siguiente:</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A C U E R D 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ÚNICO. </w:t>
      </w:r>
      <w:r w:rsidRPr="006A4BCA">
        <w:rPr>
          <w:rFonts w:ascii="Times New Roman" w:eastAsia="Arial MT" w:hAnsi="Times New Roman" w:cs="Times New Roman"/>
          <w:sz w:val="24"/>
          <w:szCs w:val="24"/>
        </w:rPr>
        <w:t>Se exhorta a la Encargada del Despacho de la Vocalía Ejecutiva del Consejo Estatal para el Desarrollo Integral de los Pueblos Indígenas del Estado de México y al Director General del Instituto Nacional de los Pueblos Indígenas a realizar las acciones necesarias con el propósito de homologar el Listado de Localidades Indígenas del Estado de México con el Catálogo Nacional de Localidades Indígenas.</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center"/>
        <w:rPr>
          <w:rFonts w:ascii="Times New Roman" w:eastAsia="Arial MT" w:hAnsi="Times New Roman" w:cs="Times New Roman"/>
          <w:b/>
          <w:sz w:val="24"/>
          <w:szCs w:val="24"/>
        </w:rPr>
      </w:pPr>
      <w:r w:rsidRPr="006A4BCA">
        <w:rPr>
          <w:rFonts w:ascii="Times New Roman" w:eastAsia="Arial MT" w:hAnsi="Times New Roman" w:cs="Times New Roman"/>
          <w:b/>
          <w:sz w:val="24"/>
          <w:szCs w:val="24"/>
        </w:rPr>
        <w:t>TRANSITORIOS</w:t>
      </w:r>
    </w:p>
    <w:p w:rsidR="0086712D" w:rsidRPr="006A4BCA" w:rsidRDefault="0086712D" w:rsidP="0086712D">
      <w:pPr>
        <w:widowControl w:val="0"/>
        <w:autoSpaceDE w:val="0"/>
        <w:autoSpaceDN w:val="0"/>
        <w:spacing w:after="0" w:line="240" w:lineRule="auto"/>
        <w:rPr>
          <w:rFonts w:ascii="Times New Roman" w:eastAsia="Arial MT" w:hAnsi="Times New Roman" w:cs="Times New Roman"/>
          <w:b/>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lastRenderedPageBreak/>
        <w:t xml:space="preserve">PRIMERO. </w:t>
      </w:r>
      <w:r w:rsidRPr="006A4BCA">
        <w:rPr>
          <w:rFonts w:ascii="Times New Roman" w:eastAsia="Arial MT" w:hAnsi="Times New Roman" w:cs="Times New Roman"/>
          <w:sz w:val="24"/>
          <w:szCs w:val="24"/>
        </w:rPr>
        <w:t>Publíquese el presente Acuerdo en el Periódico Oficial “Gaceta del Gobierno”.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SEGUNDO. </w:t>
      </w:r>
      <w:r w:rsidRPr="006A4BCA">
        <w:rPr>
          <w:rFonts w:ascii="Times New Roman" w:eastAsia="Arial MT" w:hAnsi="Times New Roman" w:cs="Times New Roman"/>
          <w:sz w:val="24"/>
          <w:szCs w:val="24"/>
        </w:rPr>
        <w:t>El presente Acuerdo entrará en vigor el día de su publicación en el Periódico Oficial “Gaceta del Gobierno”.</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b/>
          <w:sz w:val="24"/>
          <w:szCs w:val="24"/>
        </w:rPr>
        <w:t xml:space="preserve">TERCERO. </w:t>
      </w:r>
      <w:r w:rsidRPr="006A4BCA">
        <w:rPr>
          <w:rFonts w:ascii="Times New Roman" w:eastAsia="Arial MT" w:hAnsi="Times New Roman" w:cs="Times New Roman"/>
          <w:sz w:val="24"/>
          <w:szCs w:val="24"/>
        </w:rPr>
        <w:t>Comuníquese el presente Acuerdo a la Encargada del Despacho de la Vocalía Ejecutiva del Consejo Estatal para el Desarrollo Integral de los Pueblos Indígenas del Estado de México y al Director General del Instituto Nacional de los Pueblos Indígenas para los efectos conducentes.</w:t>
      </w:r>
    </w:p>
    <w:p w:rsidR="0086712D" w:rsidRPr="006A4BCA" w:rsidRDefault="0086712D" w:rsidP="0086712D">
      <w:pPr>
        <w:widowControl w:val="0"/>
        <w:autoSpaceDE w:val="0"/>
        <w:autoSpaceDN w:val="0"/>
        <w:spacing w:after="0" w:line="240" w:lineRule="auto"/>
        <w:rPr>
          <w:rFonts w:ascii="Times New Roman" w:eastAsia="Arial MT" w:hAnsi="Times New Roman" w:cs="Times New Roman"/>
          <w:sz w:val="24"/>
          <w:szCs w:val="24"/>
        </w:rPr>
      </w:pPr>
    </w:p>
    <w:p w:rsidR="0086712D" w:rsidRPr="006A4BCA" w:rsidRDefault="0086712D" w:rsidP="0086712D">
      <w:pPr>
        <w:widowControl w:val="0"/>
        <w:autoSpaceDE w:val="0"/>
        <w:autoSpaceDN w:val="0"/>
        <w:spacing w:after="0" w:line="240" w:lineRule="auto"/>
        <w:jc w:val="both"/>
        <w:rPr>
          <w:rFonts w:ascii="Times New Roman" w:eastAsia="Arial MT" w:hAnsi="Times New Roman" w:cs="Times New Roman"/>
          <w:sz w:val="24"/>
          <w:szCs w:val="24"/>
        </w:rPr>
      </w:pPr>
      <w:r w:rsidRPr="006A4BCA">
        <w:rPr>
          <w:rFonts w:ascii="Times New Roman" w:eastAsia="Arial MT" w:hAnsi="Times New Roman" w:cs="Times New Roman"/>
          <w:sz w:val="24"/>
          <w:szCs w:val="24"/>
        </w:rPr>
        <w:t>Dado en el Palacio del Poder Legislativo, en la Ciudad de Toluca de Lerdo, Capital del Estado de México, a los</w:t>
      </w:r>
      <w:r w:rsidRPr="006A4BCA">
        <w:rPr>
          <w:rFonts w:ascii="Times New Roman" w:eastAsia="Arial MT" w:hAnsi="Times New Roman" w:cs="Times New Roman"/>
          <w:sz w:val="24"/>
          <w:szCs w:val="24"/>
        </w:rPr>
        <w:tab/>
        <w:t>días del mes de</w:t>
      </w:r>
      <w:r w:rsidRPr="006A4BCA">
        <w:rPr>
          <w:rFonts w:ascii="Times New Roman" w:eastAsia="Arial MT" w:hAnsi="Times New Roman" w:cs="Times New Roman"/>
          <w:sz w:val="24"/>
          <w:szCs w:val="24"/>
        </w:rPr>
        <w:tab/>
        <w:t>del año dos mil veintiséis.</w:t>
      </w:r>
    </w:p>
    <w:p w:rsidR="007B31F2" w:rsidRPr="006A4BCA" w:rsidRDefault="007B31F2" w:rsidP="00CC3A24">
      <w:pPr>
        <w:spacing w:after="0" w:line="240" w:lineRule="auto"/>
        <w:jc w:val="center"/>
        <w:rPr>
          <w:rFonts w:ascii="Times New Roman" w:hAnsi="Times New Roman"/>
          <w:sz w:val="24"/>
          <w:szCs w:val="24"/>
        </w:rPr>
      </w:pPr>
    </w:p>
    <w:p w:rsidR="007B31F2" w:rsidRPr="006A4BCA" w:rsidRDefault="007B31F2" w:rsidP="00CC3A24">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7B31F2" w:rsidRPr="006A4BCA" w:rsidRDefault="007B31F2" w:rsidP="00CC3A24">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Gracias diputada Leticia Mejía García. </w:t>
      </w:r>
    </w:p>
    <w:p w:rsidR="004A7076" w:rsidRPr="006A4BCA" w:rsidRDefault="004A7076" w:rsidP="004A7076">
      <w:pPr>
        <w:pStyle w:val="Sinespaciado"/>
        <w:ind w:firstLine="709"/>
        <w:jc w:val="both"/>
        <w:rPr>
          <w:rFonts w:ascii="Times New Roman" w:hAnsi="Times New Roman" w:cs="Times New Roman"/>
          <w:sz w:val="24"/>
          <w:szCs w:val="24"/>
        </w:rPr>
      </w:pPr>
      <w:r w:rsidRPr="006A4BCA">
        <w:rPr>
          <w:rFonts w:ascii="Times New Roman" w:hAnsi="Times New Roman" w:cs="Times New Roman"/>
          <w:sz w:val="24"/>
          <w:szCs w:val="24"/>
        </w:rPr>
        <w:t xml:space="preserve">Con fundamento en el artículo 55 de la Constitución Política del Estado Libre y Soberano de México, somete a la aprobación de la Legislatura la propuesta de dispensa del trámite de dictamen del Punto de Acuerdo y consulto si alguien desea hacer uso de la palabra.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Diputado Espíndola.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DIP. ISRAEL ESPÍNDOLA LÓPEZ</w:t>
      </w:r>
      <w:r w:rsidR="00644566" w:rsidRPr="006A4BCA">
        <w:rPr>
          <w:rFonts w:ascii="Times New Roman" w:hAnsi="Times New Roman" w:cs="Times New Roman"/>
          <w:sz w:val="24"/>
          <w:szCs w:val="24"/>
        </w:rPr>
        <w:t>.</w:t>
      </w:r>
      <w:r w:rsidRPr="006A4BCA">
        <w:rPr>
          <w:rFonts w:ascii="Times New Roman" w:hAnsi="Times New Roman" w:cs="Times New Roman"/>
          <w:sz w:val="24"/>
          <w:szCs w:val="24"/>
        </w:rPr>
        <w:t xml:space="preserve"> Con su venia, Presidenta.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Compañeras, compañere y compañeros legisladores, reconocer a los pueblos originarios es parte esencial del proyecto de transformación que vive nuestro país, significa reconocer la raíz profunda de México y entender que nuestra historia no comenzó con los gobiernos, sino en los pueblos y comunidades que durante siglos han preservado su identidad, su cultura y su organización comunitaria.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En los últimos años hemos sido testigos de avances importantes en materia de justicia para los pueblos indígenas, pues son el génesis de nuestro movimiento, esta propuesta nos hace recordar la reforma al artículo segundo constitucional impulsada durante el gobierno del Presidente Andrés Manuel López Obrador, quien como acto de amor, dedicó su último decreto a quienes más quería; el cual, marcó un momento histórico al fortalecer el reconocimiento de los pueblos originarios como sujetos de derecho público, con identidad, derechos colectivos y capacidad de decisión sobre su propio destino.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En este contexto, el punto de acuerdo que hoy se presenta, reconoce, registra y visibiliza las comunidades indígenas para garantizar que puedan acceder plenamente a las políticas públicas, programas sociales y mecanismos institucionales que contribuyan a su desarrollo y al fortalecimiento de su identidad cultural, como lo ha impulsado nuestro movimiento ante la invisibilidad de los gobiernos anteriores.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Si bien este exhorto aborda un tema administrativo que, aunque pudiera parecer menor, tiene un impacto real para las comunidades, porque contar con registros claros y homologados permite que las localidades indígenas puedan ser consideradas en políticas públicas, programas sociales y mecanismos institucionales de atención, que dicho sea de paso, este listado nacional de Localidades Indígenas fue creado por este gobierno transformador por parte del Instituto Nacional de Pueblos Indígenas y con el aval, respaldo y reconocimiento de nuestra Presidenta Claudia Sheinbaum Pardo.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Los asuntos de los pueblos originarios no requieren del monopolio de ninguna fuerza política, requieren la altura de miras de este Congreso para avanzar en temas pendientes como el reconocimiento efectivo de los pueblos indígenas como sujetos de derecho público en las </w:t>
      </w:r>
      <w:r w:rsidRPr="006A4BCA">
        <w:rPr>
          <w:rFonts w:ascii="Times New Roman" w:hAnsi="Times New Roman" w:cs="Times New Roman"/>
          <w:sz w:val="24"/>
          <w:szCs w:val="24"/>
        </w:rPr>
        <w:lastRenderedPageBreak/>
        <w:t xml:space="preserve">legislaciones locales, garantizar mayor presupuesto para el desarrollo integral de las comunidades indígenas, ampliar las políticas de preservación y fortalecimiento de las lenguas originarias, el acceso a servicios de salud con enfoque intercultural, fortalecer la educación bilingüe y comunitaria, entre muchas otras.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Estas iniciativas son las que fortalecen el espíritu de la transformación de nuestro Estado de México; en este sentido, acompañaremos la propuesta con nuestro voto a favor, con la confianza de que este mismo ánimo de coincidencia transformadora también se mantenga cuando lleguen a esta tribuna otras iniciativas pendientes que buscan profundizar la justicia para los pueblos originarios.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Muchas gracias, diputada.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Pido a quienes estén por la dispensa del trámite de dictamen, sirvan a levantar la mano.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Sí, diputada Leticia Mejía.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DIP. LETICIA MEJÍA GARCÍA (Desde su curul). Que las políticas públicas alcancen a todos los pueblos indígenas, y  coincido también en el pendiente que tenemos respecto a la armonización de la reforma al artículo segundo y hago nuevamente un llamado a este Congreso para que retomemos la iniciativa que ha sido enviada por la gobernadora y por su servidora, para que esa reforma sea un hecho aquí en el Estado, porque estamos ya a destiempo, como se han armonizado otras leyes, también es importante que esta se pueda armonizar en beneficio de los pueblos indígenas, entonces estaremos solicitando que se lleven a cabo los trabajos para poder hacer realidad esta reforma en el Estado y obviamente solicitando el apoyo, como en esta ocasión de los integrantes de esta Legislatura.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Es cuanto, gracias Presidenta.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Gracias, Diputada Leticia Mejía García.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Pido a quienes estén por la dispensa del trámite de dictamen, se sirva levantar la mano ¿En contra? ¿En abstención?</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SECRETARIA DIP. KRISHNA ROMERO VELÁZQUEZ.</w:t>
      </w:r>
      <w:r w:rsidRPr="006A4BCA">
        <w:rPr>
          <w:rFonts w:ascii="Times New Roman" w:hAnsi="Times New Roman" w:cs="Times New Roman"/>
          <w:b/>
          <w:sz w:val="24"/>
          <w:szCs w:val="24"/>
        </w:rPr>
        <w:t xml:space="preserve">  </w:t>
      </w:r>
      <w:r w:rsidRPr="006A4BCA">
        <w:rPr>
          <w:rFonts w:ascii="Times New Roman" w:hAnsi="Times New Roman" w:cs="Times New Roman"/>
          <w:sz w:val="24"/>
          <w:szCs w:val="24"/>
        </w:rPr>
        <w:t>La propuesta ha sido aprobada por unanimidad de votos.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Gracias, Secretaria.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Abro la discusión en lo general y consulto si desean hacer uso de la palabra.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Para la votación de lo general, pido a la Secretaría abra el sistema de votación hasta por dos minutos, si alguien desea separar algún artículo, sírvase expresarlo.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SECRETARIA DIP. KRISHNA ROMERO VELÁZQUEZ.  Ábrase el sistema de votación hasta por dos minutos.</w:t>
      </w:r>
    </w:p>
    <w:p w:rsidR="004A7076" w:rsidRPr="006A4BCA" w:rsidRDefault="004A7076" w:rsidP="004A7076">
      <w:pPr>
        <w:pStyle w:val="Sinespaciado"/>
        <w:jc w:val="center"/>
        <w:rPr>
          <w:rFonts w:ascii="Times New Roman" w:hAnsi="Times New Roman" w:cs="Times New Roman"/>
          <w:i/>
          <w:sz w:val="24"/>
          <w:szCs w:val="24"/>
        </w:rPr>
      </w:pPr>
      <w:r w:rsidRPr="006A4BCA">
        <w:rPr>
          <w:rFonts w:ascii="Times New Roman" w:hAnsi="Times New Roman" w:cs="Times New Roman"/>
          <w:i/>
          <w:sz w:val="24"/>
          <w:szCs w:val="24"/>
        </w:rPr>
        <w:t>(Votación nominal)</w:t>
      </w:r>
    </w:p>
    <w:p w:rsidR="004A7076" w:rsidRPr="006A4BCA" w:rsidRDefault="004A7076" w:rsidP="004A7076">
      <w:pPr>
        <w:pStyle w:val="Sinespaciado"/>
        <w:jc w:val="both"/>
        <w:rPr>
          <w:rFonts w:ascii="Times New Roman" w:hAnsi="Times New Roman" w:cs="Times New Roman"/>
          <w:i/>
          <w:sz w:val="24"/>
          <w:szCs w:val="24"/>
        </w:rPr>
      </w:pPr>
      <w:r w:rsidRPr="006A4BCA">
        <w:rPr>
          <w:rFonts w:ascii="Times New Roman" w:hAnsi="Times New Roman" w:cs="Times New Roman"/>
          <w:sz w:val="24"/>
          <w:szCs w:val="24"/>
        </w:rPr>
        <w:t>SECRETARIA DIP. MARICELA BELTRÁN SÁNCHEZ. ¿Alguien falta emitir su voto?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Si nos ayudan, por favor.</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El punto de acuerdo ha sido aprobado en la general por unanimidad de votos.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Gracias secretaria.</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 Se tiene por aprobado en lo general el punto de acuerdo, se declara también su aprobación en lo particular.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Para atender el punto 25, la diputada Vicepresidenta Sara Alicia Ramírez de la O, leerá el comunicado de la Presidencia Municipal con Ciudad de Amecameca en relación con la salida de trabajo al extranjero.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VICEPRESIDENTA DIP. SARA ALICIA RAMÍREZ DE LA O.</w:t>
      </w:r>
      <w:r w:rsidR="00E2281F" w:rsidRPr="006A4BCA">
        <w:rPr>
          <w:rFonts w:ascii="Times New Roman" w:hAnsi="Times New Roman" w:cs="Times New Roman"/>
          <w:sz w:val="24"/>
          <w:szCs w:val="24"/>
        </w:rPr>
        <w:t xml:space="preserve"> Gracias.</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DIPUTADA MARTHA AZUCENA CAMACHO REYNOSO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DE LA MESA DIRECTIVA DEL SEGUNDO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PERIODO ORDINARIO DE SESIONES DEL SEGUNDO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AÑO DE EJERCICIO CONSTITUCIONAL</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lastRenderedPageBreak/>
        <w:t>PRESENTE.</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 La que suscribe, Doctora </w:t>
      </w:r>
      <w:r w:rsidRPr="006A4BCA">
        <w:rPr>
          <w:rFonts w:ascii="Times New Roman" w:hAnsi="Times New Roman" w:cs="Times New Roman"/>
          <w:sz w:val="24"/>
          <w:szCs w:val="24"/>
          <w:shd w:val="clear" w:color="auto" w:fill="FFFFFF"/>
        </w:rPr>
        <w:t>Ivette Topete García</w:t>
      </w:r>
      <w:r w:rsidRPr="006A4BCA">
        <w:rPr>
          <w:rFonts w:ascii="Times New Roman" w:hAnsi="Times New Roman" w:cs="Times New Roman"/>
          <w:sz w:val="24"/>
          <w:szCs w:val="24"/>
        </w:rPr>
        <w:t xml:space="preserve">, Presidenta Municipal Constitucional de Amecameca, con fundamento en lo dispuesto por los artículos 48, fracción XIX y demás relativos aplicables de la Ley Orgánica Municipal del Estado de México, que establecen las atribuciones de la Presidencia Municipal y la obligación de dar aviso a la Legislatura cuando se trate de salida del territorio nacional, me permito informar que la suscrita se asentará los días 7, 8, 9, 10 y 11 de marzo de 2026.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ab/>
        <w:t xml:space="preserve">Lo anterior con motivo de la </w:t>
      </w:r>
      <w:r w:rsidR="001B7D51" w:rsidRPr="006A4BCA">
        <w:rPr>
          <w:rFonts w:ascii="Times New Roman" w:hAnsi="Times New Roman" w:cs="Times New Roman"/>
          <w:sz w:val="24"/>
          <w:szCs w:val="24"/>
        </w:rPr>
        <w:t>Sevent</w:t>
      </w:r>
      <w:r w:rsidR="0065037A">
        <w:rPr>
          <w:rFonts w:ascii="Times New Roman" w:hAnsi="Times New Roman" w:cs="Times New Roman"/>
          <w:sz w:val="24"/>
          <w:szCs w:val="24"/>
        </w:rPr>
        <w:t>ieth</w:t>
      </w:r>
      <w:r w:rsidRPr="006A4BCA">
        <w:rPr>
          <w:rFonts w:ascii="Times New Roman" w:hAnsi="Times New Roman" w:cs="Times New Roman"/>
          <w:sz w:val="24"/>
          <w:szCs w:val="24"/>
        </w:rPr>
        <w:t xml:space="preserve"> Se</w:t>
      </w:r>
      <w:r w:rsidR="0011245F" w:rsidRPr="006A4BCA">
        <w:rPr>
          <w:rFonts w:ascii="Times New Roman" w:hAnsi="Times New Roman" w:cs="Times New Roman"/>
          <w:sz w:val="24"/>
          <w:szCs w:val="24"/>
        </w:rPr>
        <w:t>ssion</w:t>
      </w:r>
      <w:r w:rsidRPr="006A4BCA">
        <w:t xml:space="preserve"> </w:t>
      </w:r>
      <w:r w:rsidRPr="006A4BCA">
        <w:rPr>
          <w:rFonts w:ascii="Times New Roman" w:hAnsi="Times New Roman" w:cs="Times New Roman"/>
          <w:sz w:val="24"/>
        </w:rPr>
        <w:t>Of the Commission of the Status of Women, CSW70 convocada por la Organización de las Naciones Unidas en Nueva York, Estados Unidos, en dicho foro internacional se</w:t>
      </w:r>
      <w:bookmarkStart w:id="19" w:name="_GoBack"/>
      <w:bookmarkEnd w:id="19"/>
      <w:r w:rsidRPr="006A4BCA">
        <w:rPr>
          <w:rFonts w:ascii="Times New Roman" w:hAnsi="Times New Roman" w:cs="Times New Roman"/>
          <w:sz w:val="24"/>
        </w:rPr>
        <w:t xml:space="preserve"> abordan temas prioritarios en materia de igualdad sustantiva, empoderamiento de las mujeres y fortalecimiento de políticas públicas con perspectiva de género.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La asistencia a este encuentro internacional tiene como finalidad intercambiar experiencias, fortalecer vínculos de cooperación y promover acciones que contribuyan al desarrollo de estrategias en beneficio de las mujeres y niñas del Municipio de Amecameca y del Estado de México. Durante el periodo señalado, las funciones inherentes a la Presidencia Municipal quedarán debidamente atendidas conforme la normatividad aplicable, garantizando la continuidad de la Administración Pública municipal sin otro particular y agradeciendo de antemano la atención al presente.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Me despido de usted.</w:t>
      </w:r>
    </w:p>
    <w:p w:rsidR="004A7076" w:rsidRPr="006A4BCA" w:rsidRDefault="004A7076" w:rsidP="004A7076">
      <w:pPr>
        <w:pStyle w:val="Sinespaciado"/>
        <w:ind w:firstLine="708"/>
        <w:jc w:val="center"/>
        <w:rPr>
          <w:rFonts w:ascii="Times New Roman" w:hAnsi="Times New Roman" w:cs="Times New Roman"/>
          <w:sz w:val="24"/>
        </w:rPr>
      </w:pPr>
      <w:r w:rsidRPr="006A4BCA">
        <w:rPr>
          <w:rFonts w:ascii="Times New Roman" w:hAnsi="Times New Roman" w:cs="Times New Roman"/>
          <w:sz w:val="24"/>
        </w:rPr>
        <w:t>ATENTAMENTE.</w:t>
      </w:r>
    </w:p>
    <w:p w:rsidR="004A7076" w:rsidRPr="006A4BCA" w:rsidRDefault="004A7076" w:rsidP="004A7076">
      <w:pPr>
        <w:pStyle w:val="Sinespaciado"/>
        <w:ind w:firstLine="708"/>
        <w:jc w:val="center"/>
        <w:rPr>
          <w:rFonts w:ascii="Times New Roman" w:hAnsi="Times New Roman" w:cs="Times New Roman"/>
          <w:sz w:val="24"/>
        </w:rPr>
      </w:pPr>
      <w:r w:rsidRPr="006A4BCA">
        <w:rPr>
          <w:rFonts w:ascii="Times New Roman" w:hAnsi="Times New Roman" w:cs="Times New Roman"/>
          <w:sz w:val="24"/>
        </w:rPr>
        <w:t>GOBIERNO PARA TODOS JUNTOS CONSTRUYENDO EL FUTURO.</w:t>
      </w:r>
    </w:p>
    <w:p w:rsidR="004A7076" w:rsidRPr="006A4BCA" w:rsidRDefault="004A7076" w:rsidP="004A7076">
      <w:pPr>
        <w:pStyle w:val="Sinespaciado"/>
        <w:ind w:firstLine="708"/>
        <w:jc w:val="center"/>
        <w:rPr>
          <w:rFonts w:ascii="Times New Roman" w:hAnsi="Times New Roman" w:cs="Times New Roman"/>
          <w:sz w:val="24"/>
        </w:rPr>
      </w:pPr>
      <w:r w:rsidRPr="006A4BCA">
        <w:rPr>
          <w:rFonts w:ascii="Times New Roman" w:hAnsi="Times New Roman" w:cs="Times New Roman"/>
          <w:sz w:val="24"/>
        </w:rPr>
        <w:t>DOCTORA IVETTE TOPETE GARCÍA.</w:t>
      </w:r>
    </w:p>
    <w:p w:rsidR="004A7076" w:rsidRPr="006A4BCA" w:rsidRDefault="004A7076" w:rsidP="004A7076">
      <w:pPr>
        <w:pStyle w:val="Sinespaciado"/>
        <w:ind w:firstLine="708"/>
        <w:jc w:val="center"/>
        <w:rPr>
          <w:rFonts w:ascii="Times New Roman" w:hAnsi="Times New Roman" w:cs="Times New Roman"/>
          <w:sz w:val="24"/>
        </w:rPr>
      </w:pPr>
      <w:r w:rsidRPr="006A4BCA">
        <w:rPr>
          <w:rFonts w:ascii="Times New Roman" w:hAnsi="Times New Roman" w:cs="Times New Roman"/>
          <w:sz w:val="24"/>
        </w:rPr>
        <w:t>PRESIDENTA MUNICIPAL CONSTITUCIONAL.</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Es cuanto, Presidenta. </w:t>
      </w:r>
    </w:p>
    <w:p w:rsidR="004F50F6" w:rsidRPr="006A4BCA" w:rsidRDefault="004F50F6" w:rsidP="00CC3A24">
      <w:pPr>
        <w:pStyle w:val="Sinespaciado"/>
        <w:jc w:val="both"/>
        <w:rPr>
          <w:rFonts w:ascii="Times New Roman" w:hAnsi="Times New Roman" w:cs="Times New Roman"/>
          <w:sz w:val="24"/>
          <w:szCs w:val="24"/>
        </w:rPr>
      </w:pPr>
    </w:p>
    <w:p w:rsidR="004F50F6" w:rsidRPr="006A4BCA" w:rsidRDefault="004F50F6" w:rsidP="00CC3A24">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4F50F6" w:rsidRPr="006A4BCA" w:rsidRDefault="004F50F6" w:rsidP="00CC3A24">
      <w:pPr>
        <w:spacing w:after="0" w:line="240" w:lineRule="auto"/>
        <w:jc w:val="center"/>
        <w:rPr>
          <w:rFonts w:ascii="Times New Roman" w:hAnsi="Times New Roman"/>
          <w:sz w:val="24"/>
          <w:szCs w:val="24"/>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5"/>
      </w:tblGrid>
      <w:tr w:rsidR="004F50F6" w:rsidRPr="006A4BCA" w:rsidTr="00CC3A24">
        <w:trPr>
          <w:jc w:val="center"/>
        </w:trPr>
        <w:tc>
          <w:tcPr>
            <w:tcW w:w="4772" w:type="dxa"/>
          </w:tcPr>
          <w:p w:rsidR="004F50F6" w:rsidRPr="006A4BCA" w:rsidRDefault="004F50F6" w:rsidP="004F50F6">
            <w:pPr>
              <w:spacing w:line="240" w:lineRule="auto"/>
              <w:jc w:val="both"/>
              <w:rPr>
                <w:rFonts w:ascii="Times New Roman" w:hAnsi="Times New Roman" w:cs="Times New Roman"/>
                <w:b/>
                <w:sz w:val="24"/>
                <w:szCs w:val="24"/>
                <w:lang w:val="es-MX"/>
              </w:rPr>
            </w:pPr>
            <w:r w:rsidRPr="006A4BCA">
              <w:rPr>
                <w:rFonts w:ascii="Times New Roman" w:hAnsi="Times New Roman" w:cs="Times New Roman"/>
                <w:b/>
                <w:sz w:val="24"/>
                <w:szCs w:val="24"/>
                <w:lang w:val="es-MX"/>
              </w:rPr>
              <w:t>Ayuntamiento de</w:t>
            </w:r>
          </w:p>
          <w:p w:rsidR="004F50F6" w:rsidRPr="006A4BCA" w:rsidRDefault="004F50F6" w:rsidP="004F50F6">
            <w:pPr>
              <w:spacing w:line="240" w:lineRule="auto"/>
              <w:jc w:val="both"/>
              <w:rPr>
                <w:rFonts w:ascii="Times New Roman" w:hAnsi="Times New Roman" w:cs="Times New Roman"/>
                <w:b/>
                <w:sz w:val="24"/>
                <w:szCs w:val="24"/>
                <w:lang w:val="es-MX"/>
              </w:rPr>
            </w:pPr>
            <w:r w:rsidRPr="006A4BCA">
              <w:rPr>
                <w:rFonts w:ascii="Times New Roman" w:hAnsi="Times New Roman" w:cs="Times New Roman"/>
                <w:b/>
                <w:sz w:val="24"/>
                <w:szCs w:val="24"/>
                <w:lang w:val="es-MX"/>
              </w:rPr>
              <w:t>Amecameca</w:t>
            </w:r>
          </w:p>
          <w:p w:rsidR="004F50F6" w:rsidRPr="006A4BCA" w:rsidRDefault="004F50F6" w:rsidP="004F50F6">
            <w:pPr>
              <w:spacing w:line="240" w:lineRule="auto"/>
              <w:jc w:val="both"/>
              <w:rPr>
                <w:rFonts w:ascii="Times New Roman" w:hAnsi="Times New Roman" w:cs="Times New Roman"/>
                <w:sz w:val="24"/>
                <w:szCs w:val="24"/>
                <w:lang w:val="es-MX"/>
              </w:rPr>
            </w:pPr>
            <w:r w:rsidRPr="006A4BCA">
              <w:rPr>
                <w:rFonts w:ascii="Times New Roman" w:hAnsi="Times New Roman" w:cs="Times New Roman"/>
                <w:sz w:val="24"/>
                <w:szCs w:val="24"/>
                <w:lang w:val="es-MX"/>
              </w:rPr>
              <w:t>Estado de México</w:t>
            </w:r>
          </w:p>
          <w:p w:rsidR="004F50F6" w:rsidRPr="006A4BCA" w:rsidRDefault="004F50F6" w:rsidP="004F50F6">
            <w:pPr>
              <w:spacing w:line="240" w:lineRule="auto"/>
              <w:jc w:val="both"/>
              <w:rPr>
                <w:rFonts w:ascii="Times New Roman" w:hAnsi="Times New Roman" w:cs="Times New Roman"/>
                <w:b/>
                <w:sz w:val="24"/>
                <w:szCs w:val="24"/>
                <w:lang w:val="es-MX"/>
              </w:rPr>
            </w:pPr>
            <w:r w:rsidRPr="006A4BCA">
              <w:rPr>
                <w:rFonts w:ascii="Times New Roman" w:hAnsi="Times New Roman" w:cs="Times New Roman"/>
                <w:sz w:val="24"/>
                <w:szCs w:val="24"/>
                <w:lang w:val="es-MX"/>
              </w:rPr>
              <w:t>2025-2027</w:t>
            </w:r>
          </w:p>
        </w:tc>
        <w:tc>
          <w:tcPr>
            <w:tcW w:w="4773" w:type="dxa"/>
          </w:tcPr>
          <w:p w:rsidR="004F50F6" w:rsidRPr="006A4BCA" w:rsidRDefault="004F50F6" w:rsidP="004F50F6">
            <w:pPr>
              <w:spacing w:line="240" w:lineRule="auto"/>
              <w:jc w:val="center"/>
              <w:rPr>
                <w:rFonts w:ascii="Times New Roman" w:hAnsi="Times New Roman" w:cs="Times New Roman"/>
                <w:b/>
                <w:sz w:val="24"/>
                <w:szCs w:val="24"/>
                <w:lang w:val="es-MX"/>
              </w:rPr>
            </w:pPr>
            <w:r w:rsidRPr="006A4BCA">
              <w:rPr>
                <w:rFonts w:ascii="Times New Roman" w:hAnsi="Times New Roman" w:cs="Times New Roman"/>
                <w:b/>
                <w:sz w:val="24"/>
                <w:szCs w:val="24"/>
                <w:lang w:val="es-MX"/>
              </w:rPr>
              <w:t>AMECAMECA</w:t>
            </w:r>
          </w:p>
          <w:p w:rsidR="004F50F6" w:rsidRPr="006A4BCA" w:rsidRDefault="004F50F6" w:rsidP="004F50F6">
            <w:pPr>
              <w:spacing w:line="240" w:lineRule="auto"/>
              <w:jc w:val="center"/>
              <w:rPr>
                <w:rFonts w:ascii="Times New Roman" w:hAnsi="Times New Roman" w:cs="Times New Roman"/>
                <w:sz w:val="24"/>
                <w:szCs w:val="24"/>
                <w:lang w:val="es-MX"/>
              </w:rPr>
            </w:pPr>
            <w:r w:rsidRPr="006A4BCA">
              <w:rPr>
                <w:rFonts w:ascii="Times New Roman" w:hAnsi="Times New Roman" w:cs="Times New Roman"/>
                <w:sz w:val="24"/>
                <w:szCs w:val="24"/>
                <w:lang w:val="es-MX"/>
              </w:rPr>
              <w:t>GOBIERNO MUNICIPAL 2025-2027</w:t>
            </w:r>
          </w:p>
          <w:p w:rsidR="004F50F6" w:rsidRPr="006A4BCA" w:rsidRDefault="004F50F6" w:rsidP="004F50F6">
            <w:pPr>
              <w:spacing w:line="240" w:lineRule="auto"/>
              <w:jc w:val="center"/>
              <w:rPr>
                <w:rFonts w:ascii="Times New Roman" w:hAnsi="Times New Roman" w:cs="Times New Roman"/>
                <w:b/>
                <w:sz w:val="24"/>
                <w:szCs w:val="24"/>
                <w:lang w:val="es-MX"/>
              </w:rPr>
            </w:pPr>
            <w:r w:rsidRPr="006A4BCA">
              <w:rPr>
                <w:rFonts w:ascii="Times New Roman" w:hAnsi="Times New Roman" w:cs="Times New Roman"/>
                <w:b/>
                <w:sz w:val="24"/>
                <w:szCs w:val="24"/>
                <w:lang w:val="es-MX"/>
              </w:rPr>
              <w:t>¡Gobierno para todos!</w:t>
            </w:r>
          </w:p>
          <w:p w:rsidR="004F50F6" w:rsidRPr="006A4BCA" w:rsidRDefault="004F50F6" w:rsidP="004F50F6">
            <w:pPr>
              <w:spacing w:line="240" w:lineRule="auto"/>
              <w:jc w:val="both"/>
              <w:rPr>
                <w:rFonts w:ascii="Times New Roman" w:hAnsi="Times New Roman" w:cs="Times New Roman"/>
                <w:b/>
                <w:sz w:val="24"/>
                <w:szCs w:val="24"/>
                <w:lang w:val="es-MX"/>
              </w:rPr>
            </w:pPr>
          </w:p>
        </w:tc>
      </w:tr>
    </w:tbl>
    <w:p w:rsidR="004F50F6" w:rsidRPr="006A4BCA" w:rsidRDefault="004F50F6" w:rsidP="004F50F6">
      <w:pPr>
        <w:spacing w:after="0" w:line="240" w:lineRule="auto"/>
        <w:jc w:val="both"/>
        <w:rPr>
          <w:rFonts w:ascii="Times New Roman" w:hAnsi="Times New Roman" w:cs="Times New Roman"/>
          <w:b/>
          <w:sz w:val="24"/>
          <w:szCs w:val="24"/>
        </w:rPr>
      </w:pPr>
    </w:p>
    <w:p w:rsidR="004F50F6" w:rsidRPr="006A4BCA" w:rsidRDefault="004F50F6" w:rsidP="004F50F6">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"2026. Año del Humanismo Mexicano en el Estado de México'".</w:t>
      </w:r>
    </w:p>
    <w:p w:rsidR="004F50F6" w:rsidRPr="006A4BCA" w:rsidRDefault="004F50F6" w:rsidP="004F50F6">
      <w:pPr>
        <w:spacing w:after="0" w:line="240" w:lineRule="auto"/>
        <w:jc w:val="both"/>
        <w:rPr>
          <w:rFonts w:ascii="Times New Roman" w:hAnsi="Times New Roman" w:cs="Times New Roman"/>
          <w:sz w:val="24"/>
          <w:szCs w:val="24"/>
        </w:rPr>
      </w:pPr>
    </w:p>
    <w:p w:rsidR="004F50F6" w:rsidRPr="006A4BCA" w:rsidRDefault="004F50F6" w:rsidP="004F50F6">
      <w:pPr>
        <w:spacing w:after="0" w:line="240" w:lineRule="auto"/>
        <w:jc w:val="right"/>
        <w:rPr>
          <w:rFonts w:ascii="Times New Roman" w:hAnsi="Times New Roman" w:cs="Times New Roman"/>
          <w:sz w:val="24"/>
          <w:szCs w:val="24"/>
        </w:rPr>
      </w:pPr>
      <w:r w:rsidRPr="006A4BCA">
        <w:rPr>
          <w:rFonts w:ascii="Times New Roman" w:hAnsi="Times New Roman" w:cs="Times New Roman"/>
          <w:sz w:val="24"/>
          <w:szCs w:val="24"/>
        </w:rPr>
        <w:t>PRESIDENCIA MUNICIPAL</w:t>
      </w:r>
    </w:p>
    <w:p w:rsidR="004F50F6" w:rsidRPr="006A4BCA" w:rsidRDefault="004F50F6" w:rsidP="004F50F6">
      <w:pPr>
        <w:spacing w:after="0" w:line="240" w:lineRule="auto"/>
        <w:jc w:val="right"/>
        <w:rPr>
          <w:rFonts w:ascii="Times New Roman" w:hAnsi="Times New Roman" w:cs="Times New Roman"/>
          <w:sz w:val="24"/>
          <w:szCs w:val="24"/>
        </w:rPr>
      </w:pPr>
      <w:r w:rsidRPr="006A4BCA">
        <w:rPr>
          <w:rFonts w:ascii="Times New Roman" w:hAnsi="Times New Roman" w:cs="Times New Roman"/>
          <w:sz w:val="24"/>
          <w:szCs w:val="24"/>
        </w:rPr>
        <w:t>OFICIO No. AME/PM/063/EXT/2026</w:t>
      </w:r>
    </w:p>
    <w:p w:rsidR="004F50F6" w:rsidRPr="006A4BCA" w:rsidRDefault="004F50F6" w:rsidP="004F50F6">
      <w:pPr>
        <w:spacing w:after="0" w:line="240" w:lineRule="auto"/>
        <w:jc w:val="right"/>
        <w:rPr>
          <w:rFonts w:ascii="Times New Roman" w:hAnsi="Times New Roman" w:cs="Times New Roman"/>
          <w:sz w:val="24"/>
          <w:szCs w:val="24"/>
        </w:rPr>
      </w:pPr>
      <w:r w:rsidRPr="006A4BCA">
        <w:rPr>
          <w:rFonts w:ascii="Times New Roman" w:hAnsi="Times New Roman" w:cs="Times New Roman"/>
          <w:sz w:val="24"/>
          <w:szCs w:val="24"/>
        </w:rPr>
        <w:t>AMECAMECA, ESTADO DE MÉXICO, A 04 DE MARZO DE 2026.</w:t>
      </w:r>
    </w:p>
    <w:p w:rsidR="004F50F6" w:rsidRPr="006A4BCA" w:rsidRDefault="004F50F6" w:rsidP="004F50F6">
      <w:pPr>
        <w:spacing w:after="0" w:line="240" w:lineRule="auto"/>
        <w:jc w:val="right"/>
        <w:rPr>
          <w:rFonts w:ascii="Times New Roman" w:hAnsi="Times New Roman" w:cs="Times New Roman"/>
          <w:sz w:val="24"/>
          <w:szCs w:val="24"/>
        </w:rPr>
      </w:pPr>
      <w:r w:rsidRPr="006A4BCA">
        <w:rPr>
          <w:rFonts w:ascii="Times New Roman" w:hAnsi="Times New Roman" w:cs="Times New Roman"/>
          <w:sz w:val="24"/>
          <w:szCs w:val="24"/>
        </w:rPr>
        <w:t>ASUNTO: EL QUE SE INDICA</w:t>
      </w:r>
    </w:p>
    <w:p w:rsidR="004F50F6" w:rsidRPr="006A4BCA" w:rsidRDefault="004F50F6" w:rsidP="004F50F6">
      <w:pPr>
        <w:spacing w:after="0" w:line="240" w:lineRule="auto"/>
        <w:jc w:val="both"/>
        <w:rPr>
          <w:rFonts w:ascii="Times New Roman" w:hAnsi="Times New Roman" w:cs="Times New Roman"/>
          <w:b/>
          <w:sz w:val="24"/>
          <w:szCs w:val="24"/>
        </w:rPr>
      </w:pPr>
    </w:p>
    <w:p w:rsidR="004F50F6" w:rsidRPr="006A4BCA" w:rsidRDefault="004F50F6" w:rsidP="004F50F6">
      <w:pPr>
        <w:spacing w:after="0" w:line="240" w:lineRule="auto"/>
        <w:jc w:val="both"/>
        <w:rPr>
          <w:rFonts w:ascii="Times New Roman" w:hAnsi="Times New Roman" w:cs="Times New Roman"/>
          <w:b/>
          <w:sz w:val="24"/>
          <w:szCs w:val="24"/>
        </w:rPr>
      </w:pPr>
      <w:r w:rsidRPr="006A4BCA">
        <w:rPr>
          <w:rFonts w:ascii="Times New Roman" w:hAnsi="Times New Roman" w:cs="Times New Roman"/>
          <w:b/>
          <w:sz w:val="24"/>
          <w:szCs w:val="24"/>
        </w:rPr>
        <w:t>DIP.</w:t>
      </w:r>
      <w:r w:rsidR="00110F44" w:rsidRPr="006A4BCA">
        <w:rPr>
          <w:rFonts w:ascii="Times New Roman" w:hAnsi="Times New Roman" w:cs="Times New Roman"/>
          <w:b/>
          <w:sz w:val="24"/>
          <w:szCs w:val="24"/>
        </w:rPr>
        <w:t xml:space="preserve"> </w:t>
      </w:r>
      <w:r w:rsidRPr="006A4BCA">
        <w:rPr>
          <w:rFonts w:ascii="Times New Roman" w:hAnsi="Times New Roman" w:cs="Times New Roman"/>
          <w:b/>
          <w:sz w:val="24"/>
          <w:szCs w:val="24"/>
        </w:rPr>
        <w:t>MARTHA AZUCENA CAMACHO REYNOSO</w:t>
      </w:r>
    </w:p>
    <w:p w:rsidR="004F50F6" w:rsidRPr="006A4BCA" w:rsidRDefault="004F50F6" w:rsidP="004F50F6">
      <w:pPr>
        <w:spacing w:after="0" w:line="240" w:lineRule="auto"/>
        <w:jc w:val="both"/>
        <w:rPr>
          <w:rFonts w:ascii="Times New Roman" w:hAnsi="Times New Roman" w:cs="Times New Roman"/>
          <w:b/>
          <w:sz w:val="24"/>
          <w:szCs w:val="24"/>
        </w:rPr>
      </w:pPr>
      <w:r w:rsidRPr="006A4BCA">
        <w:rPr>
          <w:rFonts w:ascii="Times New Roman" w:hAnsi="Times New Roman" w:cs="Times New Roman"/>
          <w:b/>
          <w:sz w:val="24"/>
          <w:szCs w:val="24"/>
        </w:rPr>
        <w:t>PRESIDENTA DE LA MESA DIRECTIVA</w:t>
      </w:r>
    </w:p>
    <w:p w:rsidR="004F50F6" w:rsidRPr="006A4BCA" w:rsidRDefault="004F50F6" w:rsidP="004F50F6">
      <w:pPr>
        <w:spacing w:after="0" w:line="240" w:lineRule="auto"/>
        <w:jc w:val="both"/>
        <w:rPr>
          <w:rFonts w:ascii="Times New Roman" w:hAnsi="Times New Roman" w:cs="Times New Roman"/>
          <w:b/>
          <w:sz w:val="24"/>
          <w:szCs w:val="24"/>
        </w:rPr>
      </w:pPr>
      <w:r w:rsidRPr="006A4BCA">
        <w:rPr>
          <w:rFonts w:ascii="Times New Roman" w:hAnsi="Times New Roman" w:cs="Times New Roman"/>
          <w:b/>
          <w:sz w:val="24"/>
          <w:szCs w:val="24"/>
        </w:rPr>
        <w:t>DEL SEGUNDO PERIODO ORDINARIO DE SESIONES</w:t>
      </w:r>
    </w:p>
    <w:p w:rsidR="004F50F6" w:rsidRPr="006A4BCA" w:rsidRDefault="004F50F6" w:rsidP="004F50F6">
      <w:pPr>
        <w:spacing w:after="0" w:line="240" w:lineRule="auto"/>
        <w:jc w:val="both"/>
        <w:rPr>
          <w:rFonts w:ascii="Times New Roman" w:hAnsi="Times New Roman" w:cs="Times New Roman"/>
          <w:b/>
          <w:sz w:val="24"/>
          <w:szCs w:val="24"/>
        </w:rPr>
      </w:pPr>
      <w:r w:rsidRPr="006A4BCA">
        <w:rPr>
          <w:rFonts w:ascii="Times New Roman" w:hAnsi="Times New Roman" w:cs="Times New Roman"/>
          <w:b/>
          <w:sz w:val="24"/>
          <w:szCs w:val="24"/>
        </w:rPr>
        <w:t>DEL SEGUNDO AÑO DE EJERCICIO CONSTITUCIONAL</w:t>
      </w:r>
    </w:p>
    <w:p w:rsidR="004F50F6" w:rsidRPr="006A4BCA" w:rsidRDefault="004F50F6" w:rsidP="004F50F6">
      <w:pPr>
        <w:spacing w:after="0" w:line="240" w:lineRule="auto"/>
        <w:jc w:val="both"/>
        <w:rPr>
          <w:rFonts w:ascii="Times New Roman" w:hAnsi="Times New Roman" w:cs="Times New Roman"/>
          <w:b/>
          <w:sz w:val="24"/>
          <w:szCs w:val="24"/>
        </w:rPr>
      </w:pPr>
      <w:r w:rsidRPr="006A4BCA">
        <w:rPr>
          <w:rFonts w:ascii="Times New Roman" w:hAnsi="Times New Roman" w:cs="Times New Roman"/>
          <w:b/>
          <w:sz w:val="24"/>
          <w:szCs w:val="24"/>
        </w:rPr>
        <w:t>PRESENTE:</w:t>
      </w:r>
    </w:p>
    <w:p w:rsidR="004F50F6" w:rsidRPr="006A4BCA" w:rsidRDefault="004F50F6" w:rsidP="004F50F6">
      <w:pPr>
        <w:spacing w:after="0" w:line="240" w:lineRule="auto"/>
        <w:jc w:val="both"/>
        <w:rPr>
          <w:rFonts w:ascii="Times New Roman" w:hAnsi="Times New Roman" w:cs="Times New Roman"/>
          <w:sz w:val="24"/>
          <w:szCs w:val="24"/>
        </w:rPr>
      </w:pPr>
    </w:p>
    <w:p w:rsidR="004F50F6" w:rsidRPr="006A4BCA" w:rsidRDefault="004F50F6" w:rsidP="004F50F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La que suscribe. Dra. Ivette Topete García, Presidenta Municipal Constitucional de Amecameca, con fundamento en lo dispuesto por los artículos </w:t>
      </w:r>
      <w:r w:rsidRPr="006A4BCA">
        <w:rPr>
          <w:rFonts w:ascii="Times New Roman" w:hAnsi="Times New Roman" w:cs="Times New Roman"/>
          <w:b/>
          <w:sz w:val="24"/>
          <w:szCs w:val="24"/>
        </w:rPr>
        <w:t xml:space="preserve">48, fracción XIX, </w:t>
      </w:r>
      <w:r w:rsidRPr="006A4BCA">
        <w:rPr>
          <w:rFonts w:ascii="Times New Roman" w:hAnsi="Times New Roman" w:cs="Times New Roman"/>
          <w:sz w:val="24"/>
          <w:szCs w:val="24"/>
        </w:rPr>
        <w:t xml:space="preserve">y demás relativos aplicables de la </w:t>
      </w:r>
      <w:r w:rsidRPr="006A4BCA">
        <w:rPr>
          <w:rFonts w:ascii="Times New Roman" w:hAnsi="Times New Roman" w:cs="Times New Roman"/>
          <w:b/>
          <w:sz w:val="24"/>
          <w:szCs w:val="24"/>
        </w:rPr>
        <w:t xml:space="preserve">Ley Orgánica Municipal del Estado de México, </w:t>
      </w:r>
      <w:r w:rsidRPr="006A4BCA">
        <w:rPr>
          <w:rFonts w:ascii="Times New Roman" w:hAnsi="Times New Roman" w:cs="Times New Roman"/>
          <w:sz w:val="24"/>
          <w:szCs w:val="24"/>
        </w:rPr>
        <w:t xml:space="preserve">que establecen las atribuciones de la Presidenta Municipal y la obligación de dar aviso a la Legislatura cuando se trate de salida del </w:t>
      </w:r>
      <w:r w:rsidRPr="006A4BCA">
        <w:rPr>
          <w:rFonts w:ascii="Times New Roman" w:hAnsi="Times New Roman" w:cs="Times New Roman"/>
          <w:sz w:val="24"/>
          <w:szCs w:val="24"/>
        </w:rPr>
        <w:lastRenderedPageBreak/>
        <w:t xml:space="preserve">territorio nacional, me permito informar que la suscrita se ausentara los días </w:t>
      </w:r>
      <w:r w:rsidRPr="006A4BCA">
        <w:rPr>
          <w:rFonts w:ascii="Times New Roman" w:hAnsi="Times New Roman" w:cs="Times New Roman"/>
          <w:b/>
          <w:sz w:val="24"/>
          <w:szCs w:val="24"/>
        </w:rPr>
        <w:t xml:space="preserve">7, 8, 9, 10 y 11 </w:t>
      </w:r>
      <w:r w:rsidRPr="006A4BCA">
        <w:rPr>
          <w:rFonts w:ascii="Times New Roman" w:hAnsi="Times New Roman" w:cs="Times New Roman"/>
          <w:sz w:val="24"/>
          <w:szCs w:val="24"/>
        </w:rPr>
        <w:t xml:space="preserve">de marzo de </w:t>
      </w:r>
      <w:r w:rsidRPr="006A4BCA">
        <w:rPr>
          <w:rFonts w:ascii="Times New Roman" w:hAnsi="Times New Roman" w:cs="Times New Roman"/>
          <w:b/>
          <w:sz w:val="24"/>
          <w:szCs w:val="24"/>
        </w:rPr>
        <w:t>2026.</w:t>
      </w:r>
    </w:p>
    <w:p w:rsidR="004F50F6" w:rsidRPr="006A4BCA" w:rsidRDefault="004F50F6" w:rsidP="004F50F6">
      <w:pPr>
        <w:spacing w:after="0" w:line="240" w:lineRule="auto"/>
        <w:jc w:val="both"/>
        <w:rPr>
          <w:rFonts w:ascii="Times New Roman" w:hAnsi="Times New Roman" w:cs="Times New Roman"/>
          <w:sz w:val="24"/>
          <w:szCs w:val="24"/>
        </w:rPr>
      </w:pPr>
    </w:p>
    <w:p w:rsidR="004F50F6" w:rsidRPr="006A4BCA" w:rsidRDefault="004F50F6" w:rsidP="004F50F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Lo anterior, con motivo de la </w:t>
      </w:r>
      <w:r w:rsidRPr="006A4BCA">
        <w:rPr>
          <w:rFonts w:ascii="Times New Roman" w:hAnsi="Times New Roman" w:cs="Times New Roman"/>
          <w:b/>
          <w:sz w:val="24"/>
          <w:szCs w:val="24"/>
        </w:rPr>
        <w:t>70th</w:t>
      </w:r>
      <w:r w:rsidRPr="006A4BCA">
        <w:rPr>
          <w:rFonts w:ascii="Times New Roman" w:hAnsi="Times New Roman" w:cs="Times New Roman"/>
          <w:sz w:val="24"/>
          <w:szCs w:val="24"/>
        </w:rPr>
        <w:t xml:space="preserve"> </w:t>
      </w:r>
      <w:r w:rsidRPr="006A4BCA">
        <w:rPr>
          <w:rFonts w:ascii="Times New Roman" w:hAnsi="Times New Roman" w:cs="Times New Roman"/>
          <w:b/>
          <w:sz w:val="24"/>
          <w:szCs w:val="24"/>
        </w:rPr>
        <w:t>Sess</w:t>
      </w:r>
      <w:r w:rsidR="00F202F4" w:rsidRPr="006A4BCA">
        <w:rPr>
          <w:rFonts w:ascii="Times New Roman" w:hAnsi="Times New Roman" w:cs="Times New Roman"/>
          <w:b/>
          <w:sz w:val="24"/>
          <w:szCs w:val="24"/>
        </w:rPr>
        <w:t>i</w:t>
      </w:r>
      <w:r w:rsidRPr="006A4BCA">
        <w:rPr>
          <w:rFonts w:ascii="Times New Roman" w:hAnsi="Times New Roman" w:cs="Times New Roman"/>
          <w:b/>
          <w:sz w:val="24"/>
          <w:szCs w:val="24"/>
        </w:rPr>
        <w:t xml:space="preserve">on of the Commission on the Status of Women (CSW70) </w:t>
      </w:r>
      <w:r w:rsidRPr="006A4BCA">
        <w:rPr>
          <w:rFonts w:ascii="Times New Roman" w:hAnsi="Times New Roman" w:cs="Times New Roman"/>
          <w:sz w:val="24"/>
          <w:szCs w:val="24"/>
        </w:rPr>
        <w:t>convocada por la Organización de las Naciones Unidas, en Nueva York, Estados Unidos; en</w:t>
      </w:r>
      <w:r w:rsidRPr="006A4BCA">
        <w:rPr>
          <w:rFonts w:ascii="Times New Roman" w:hAnsi="Times New Roman" w:cs="Times New Roman"/>
          <w:b/>
          <w:sz w:val="24"/>
          <w:szCs w:val="24"/>
        </w:rPr>
        <w:t xml:space="preserve"> </w:t>
      </w:r>
      <w:r w:rsidRPr="006A4BCA">
        <w:rPr>
          <w:rFonts w:ascii="Times New Roman" w:hAnsi="Times New Roman" w:cs="Times New Roman"/>
          <w:sz w:val="24"/>
          <w:szCs w:val="24"/>
        </w:rPr>
        <w:t>dicho foro internacional se abordan temas prioritarios en materia de igualdad sustantiva, empoderamiento de las mujeres y fortalecimiento de políticas públicas con perspectiva de género,</w:t>
      </w:r>
    </w:p>
    <w:p w:rsidR="004F50F6" w:rsidRPr="006A4BCA" w:rsidRDefault="004F50F6" w:rsidP="004F50F6">
      <w:pPr>
        <w:spacing w:after="0" w:line="240" w:lineRule="auto"/>
        <w:jc w:val="both"/>
        <w:rPr>
          <w:rFonts w:ascii="Times New Roman" w:hAnsi="Times New Roman" w:cs="Times New Roman"/>
          <w:sz w:val="24"/>
          <w:szCs w:val="24"/>
        </w:rPr>
      </w:pPr>
    </w:p>
    <w:p w:rsidR="004F50F6" w:rsidRPr="006A4BCA" w:rsidRDefault="004F50F6" w:rsidP="004F50F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La asistencia a este encuentro internacional tiene como finalidad intercambiar experiencias. fortalecer vínculos de cooperación y promover acciones que contribuyan al desarrollo de estrategias en beneficio de las mujeres y niñas del municipio de Amecameca y del Estado de México.</w:t>
      </w:r>
    </w:p>
    <w:p w:rsidR="004F50F6" w:rsidRPr="006A4BCA" w:rsidRDefault="004F50F6" w:rsidP="004F50F6">
      <w:pPr>
        <w:spacing w:after="0" w:line="240" w:lineRule="auto"/>
        <w:jc w:val="both"/>
        <w:rPr>
          <w:rFonts w:ascii="Times New Roman" w:hAnsi="Times New Roman" w:cs="Times New Roman"/>
          <w:sz w:val="24"/>
          <w:szCs w:val="24"/>
        </w:rPr>
      </w:pPr>
    </w:p>
    <w:p w:rsidR="004F50F6" w:rsidRPr="006A4BCA" w:rsidRDefault="004F50F6" w:rsidP="004F50F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Durante el periodo señalado, las funciones inherentes a la Presidencia Municipal quedarán debidamente atendidas conforme a la normatividad aplicable, garantizando la continuidad de la administración pública municipal.</w:t>
      </w:r>
    </w:p>
    <w:p w:rsidR="004F50F6" w:rsidRPr="006A4BCA" w:rsidRDefault="004F50F6" w:rsidP="004F50F6">
      <w:pPr>
        <w:spacing w:after="0" w:line="240" w:lineRule="auto"/>
        <w:jc w:val="both"/>
        <w:rPr>
          <w:rFonts w:ascii="Times New Roman" w:hAnsi="Times New Roman" w:cs="Times New Roman"/>
          <w:sz w:val="24"/>
          <w:szCs w:val="24"/>
        </w:rPr>
      </w:pPr>
    </w:p>
    <w:p w:rsidR="004F50F6" w:rsidRPr="006A4BCA" w:rsidRDefault="004F50F6" w:rsidP="004F50F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Sin otro particular y agradeciendo de antemano la atención al presente me despido de usted.</w:t>
      </w:r>
    </w:p>
    <w:p w:rsidR="004F50F6" w:rsidRPr="006A4BCA" w:rsidRDefault="004F50F6" w:rsidP="004F50F6">
      <w:pPr>
        <w:spacing w:after="0" w:line="240" w:lineRule="auto"/>
        <w:jc w:val="both"/>
        <w:rPr>
          <w:rFonts w:ascii="Times New Roman" w:hAnsi="Times New Roman" w:cs="Times New Roman"/>
          <w:sz w:val="24"/>
          <w:szCs w:val="24"/>
        </w:rPr>
      </w:pPr>
    </w:p>
    <w:p w:rsidR="004F50F6" w:rsidRPr="006A4BCA" w:rsidRDefault="004F50F6" w:rsidP="004F50F6">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A T E N T A M E N T E</w:t>
      </w:r>
    </w:p>
    <w:p w:rsidR="004F50F6" w:rsidRPr="006A4BCA" w:rsidRDefault="004F50F6" w:rsidP="004F50F6">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“GOBIERNO PARA TODOS”</w:t>
      </w:r>
    </w:p>
    <w:p w:rsidR="004F50F6" w:rsidRPr="006A4BCA" w:rsidRDefault="004F50F6" w:rsidP="004F50F6">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JUNTOS CONSTRUYENDO EL FUTURE</w:t>
      </w:r>
    </w:p>
    <w:p w:rsidR="004F50F6" w:rsidRPr="006A4BCA" w:rsidRDefault="004F50F6" w:rsidP="004F50F6">
      <w:pPr>
        <w:spacing w:after="0" w:line="240" w:lineRule="auto"/>
        <w:jc w:val="center"/>
        <w:rPr>
          <w:rFonts w:ascii="Times New Roman" w:hAnsi="Times New Roman" w:cs="Times New Roman"/>
          <w:b/>
          <w:sz w:val="24"/>
          <w:szCs w:val="24"/>
        </w:rPr>
      </w:pPr>
      <w:r w:rsidRPr="006A4BCA">
        <w:rPr>
          <w:rFonts w:ascii="Times New Roman" w:hAnsi="Times New Roman" w:cs="Times New Roman"/>
          <w:b/>
          <w:sz w:val="24"/>
          <w:szCs w:val="24"/>
        </w:rPr>
        <w:t>DRA. IVETTE TOPETE GARCÍA</w:t>
      </w:r>
    </w:p>
    <w:p w:rsidR="004F50F6" w:rsidRPr="006A4BCA" w:rsidRDefault="004F50F6" w:rsidP="004F50F6">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PRESIDENTA MUNICIPAL CONSTITUCIONAL</w:t>
      </w:r>
    </w:p>
    <w:p w:rsidR="004F50F6" w:rsidRPr="006A4BCA" w:rsidRDefault="004F50F6" w:rsidP="004F50F6">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(RÚBRICA)</w:t>
      </w:r>
    </w:p>
    <w:p w:rsidR="004F50F6" w:rsidRPr="006A4BCA" w:rsidRDefault="004F50F6" w:rsidP="004F50F6">
      <w:pPr>
        <w:spacing w:after="0" w:line="240" w:lineRule="auto"/>
        <w:jc w:val="both"/>
        <w:rPr>
          <w:rFonts w:ascii="Times New Roman" w:hAnsi="Times New Roman" w:cs="Times New Roman"/>
          <w:b/>
          <w:sz w:val="24"/>
          <w:szCs w:val="24"/>
        </w:rPr>
      </w:pPr>
    </w:p>
    <w:p w:rsidR="004F50F6" w:rsidRPr="006A4BCA" w:rsidRDefault="004F50F6" w:rsidP="004F50F6">
      <w:pPr>
        <w:spacing w:after="0" w:line="240" w:lineRule="auto"/>
        <w:jc w:val="both"/>
        <w:rPr>
          <w:rFonts w:ascii="Times New Roman" w:hAnsi="Times New Roman" w:cs="Times New Roman"/>
          <w:b/>
          <w:sz w:val="24"/>
          <w:szCs w:val="24"/>
        </w:rPr>
      </w:pPr>
      <w:r w:rsidRPr="006A4BCA">
        <w:rPr>
          <w:rFonts w:ascii="Times New Roman" w:hAnsi="Times New Roman" w:cs="Times New Roman"/>
          <w:b/>
          <w:sz w:val="24"/>
          <w:szCs w:val="24"/>
        </w:rPr>
        <w:t>C.c.p. Archivo</w:t>
      </w:r>
    </w:p>
    <w:p w:rsidR="004F50F6" w:rsidRPr="006A4BCA" w:rsidRDefault="004F50F6" w:rsidP="004F50F6">
      <w:pPr>
        <w:spacing w:after="0" w:line="240" w:lineRule="auto"/>
        <w:jc w:val="both"/>
        <w:rPr>
          <w:rFonts w:ascii="Times New Roman" w:hAnsi="Times New Roman" w:cs="Times New Roman"/>
          <w:b/>
          <w:sz w:val="24"/>
          <w:szCs w:val="24"/>
        </w:rPr>
      </w:pPr>
      <w:r w:rsidRPr="006A4BCA">
        <w:rPr>
          <w:rFonts w:ascii="Times New Roman" w:hAnsi="Times New Roman" w:cs="Times New Roman"/>
          <w:b/>
          <w:sz w:val="24"/>
          <w:szCs w:val="24"/>
        </w:rPr>
        <w:t>ITG/nvcp</w:t>
      </w:r>
    </w:p>
    <w:p w:rsidR="004F50F6" w:rsidRPr="006A4BCA" w:rsidRDefault="004F50F6" w:rsidP="00CC3A24">
      <w:pPr>
        <w:spacing w:after="0" w:line="240" w:lineRule="auto"/>
        <w:jc w:val="center"/>
        <w:rPr>
          <w:rFonts w:ascii="Times New Roman" w:hAnsi="Times New Roman"/>
          <w:sz w:val="24"/>
          <w:szCs w:val="24"/>
        </w:rPr>
      </w:pPr>
    </w:p>
    <w:p w:rsidR="004F50F6" w:rsidRPr="006A4BCA" w:rsidRDefault="004F50F6" w:rsidP="00CC3A24">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4F50F6" w:rsidRPr="006A4BCA" w:rsidRDefault="004F50F6" w:rsidP="00CC3A24">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PRESIDENTA DIP. MARTHA AZUCENA CAMACHO REYNOSO. Gracias.</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Se tiene por enterada la LXII Legislatura del contenido del comunicado para los efectos procedentes y la Secretaría ha registrado lo necesario.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Diputada Yurixi ¿Con qué objeto? Adelante.</w:t>
      </w:r>
    </w:p>
    <w:p w:rsidR="004A7076" w:rsidRPr="006A4BCA" w:rsidRDefault="004A7076" w:rsidP="004A7076">
      <w:pPr>
        <w:pStyle w:val="Sinespaciado"/>
        <w:jc w:val="both"/>
        <w:rPr>
          <w:rFonts w:ascii="Times New Roman" w:hAnsi="Times New Roman" w:cs="Times New Roman"/>
          <w:sz w:val="24"/>
        </w:rPr>
      </w:pPr>
      <w:r w:rsidRPr="006A4BCA">
        <w:rPr>
          <w:rFonts w:ascii="Times New Roman" w:hAnsi="Times New Roman" w:cs="Times New Roman"/>
          <w:sz w:val="24"/>
        </w:rPr>
        <w:t xml:space="preserve">DIP. ANA YURIXI LEYVA PIÑÓN. Muchas gracias Presidenta, y gracias a mis compañeras y compañeros diputados por seguir aquí a un presente.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Hoy hay siete hogares incompletos, siete mesas donde hay una silla vacía, siete familias que ya no volverán a ser las mismas, siete hogares que son el recordatorio doloroso de que esta lucha aún está lejos de su fin.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Dulce “N”, Toluca; Dafne, Almoloya de Juárez; Teresita y Cindy de Cuautitlán Izcalli; Melanie, Xonacatlán; Ana Karen, Metepec; Patricia, Jocotitlán; Yarim Virginia, Toluca, sus nombres no son solo estadísticas, son historias interrumpidas, ellas eran como cada una de nosotras, hermanas, hijas, amigas, sobrinas, madres, eran sustento de un hogar, eran el brazo cálido de su hija, de su hijo, eran proyectos, sueños, planes para el futuro.</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Este domingo 8 de marzo, miles, salimos a marchar y aún hay quienes se preguntaron ¿Por qué seguimos protestando? ¿Por qué seguimos gritando? ¿Por qué seguimos rompiendo y quemándolo todo? Se preguntan por qué marchamos cada 8 de marzo ¿Se preguntan por qué seguimos tomando las calles? Marchamos porque la historia nos enseñó que los derechos de las </w:t>
      </w:r>
      <w:r w:rsidRPr="006A4BCA">
        <w:rPr>
          <w:rFonts w:ascii="Times New Roman" w:hAnsi="Times New Roman" w:cs="Times New Roman"/>
          <w:sz w:val="24"/>
        </w:rPr>
        <w:lastRenderedPageBreak/>
        <w:t xml:space="preserve">mujeres nunca han sido un regalo, han sido conquistas, marchamos porque el 8 de marzo no es una celebración es memoria, es denuncia, es resistencia. </w:t>
      </w:r>
    </w:p>
    <w:p w:rsidR="004A7076" w:rsidRPr="006A4BCA" w:rsidRDefault="004A7076" w:rsidP="004A7076">
      <w:pPr>
        <w:pStyle w:val="Sinespaciado"/>
        <w:ind w:firstLine="708"/>
        <w:jc w:val="both"/>
        <w:rPr>
          <w:rFonts w:ascii="Times New Roman" w:hAnsi="Times New Roman" w:cs="Times New Roman"/>
          <w:sz w:val="24"/>
        </w:rPr>
      </w:pPr>
      <w:r w:rsidRPr="006A4BCA">
        <w:rPr>
          <w:rFonts w:ascii="Times New Roman" w:hAnsi="Times New Roman" w:cs="Times New Roman"/>
          <w:sz w:val="24"/>
        </w:rPr>
        <w:t xml:space="preserve">El 8 de marzo sigue siendo un día de lucha, porque la igualdad aún no es una realidad para todas, lo seguimos y lo seguiremos haciendo mientras sigan matando a nuestras hijas, mientras no podamos caminar seguras, mientras tengamos que esforzarnos el doble para demostrar lo mismo, mientras el miedo siga siendo parte de nuestra rutina, seguiremos marchando hasta que el grito de ni una más </w:t>
      </w:r>
      <w:r w:rsidRPr="006A4BCA">
        <w:rPr>
          <w:rFonts w:ascii="Times New Roman" w:hAnsi="Times New Roman" w:cs="Times New Roman"/>
          <w:sz w:val="24"/>
          <w:szCs w:val="24"/>
        </w:rPr>
        <w:t>deje de ser consigna y se convierta en realidad porque cada marcha es también un recordatorio de algo que no podemos olvidar, la violencia contra las mujeres no es un hecho aislado, es una herida abierta en nuestra sociedad, este año Dulce, Dafne, Teresita, Cindy, Melanie y Ana Karen, Patricia, Virginia ya no salieron a marchar, pero por ellas salimos cientos, miles de mujeres que seguimos luchando para cambiar esta realidad.</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Por ellas levantamos la voz, por ellas llenamos las calles, por ellas repetimos una y otra vez que ninguna mujer debería perder la vida por el simple de echo de ser mujer, que sus muertes no sean sólo una indignación momentánea, que sea el punto de quiebre, el ya basta para instituciones que no actúan a tiempo, para fiscalías indiferentes al dolor de las familias, para fiscalías que prefieren levantar muros en lugar de tender puentes de comunicación, porque cuando una institución llega tarde la violencia ya ha ganado demasiado terreno.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La crisis que vivimos nos urge a todas y a todos actuar, pero no de manera aislada, no desde la simulación, no desde el cálculo político, esta crisis exige una coordinación real, comunicación efectiva, empatía verdadera, sororidad y respeto y exige también algo que a veces cuesta reconocer, la violencia contra las mujeres no se resolverá con discursos sino con decisiones firmes y acciones contundentes y sobre todo exige algo fundamental, aceptar que el problema que enfrentamos es más grande que las respuestas que hasta ahora hemos dado.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Mientras no asumamos esa realidad con honestidad seguiremos llegando tarde, hoy no hablamos sólo de cifras, hablamos de vidas, de familias rotas, de infancias marcadas por la ausencia, hablamos de madres que buscan, de hermanas que exigen justicia, de familias que se niegan a rendirse, que el dolor de todas estas familias no sea en vano, que su memoria nos obligue a ser más, a ser mejor y hacerlo ahora porque cuando la violencia se vuelve costumbre la injusticia empieza a parecer normal y una sociedad que se acostumbra a la violencia es una sociedad que ha empezado a perder su capacidad de proteger a los suyos, por eso seguimos marchando, por eso seguiremos denunciando, por eso seguimos luchando porque cada nombre importa, cada vida cuenta y cada mujer merece volver a casa.</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¡Vivas se las llevaron, vivas las queremos!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Muchas gracias.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DIP. MARTHA AZUCENA CAMACHO REYNOSO. Gracias diputada Ana Yurixi Leyva Piñón.</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En términos del punto 26, la diputada Vicepresidenta Itzel Guadalupe Pérez Correa, leerá el comunicado de la Presidenta Municipal Constitucional de San Mateo Atenco, en relación con la salida de extranjero a Nueva York, Estados Unidos, del 10 al 15 de marzo de 2026.</w:t>
      </w:r>
    </w:p>
    <w:p w:rsidR="004A7076" w:rsidRPr="006A4BCA" w:rsidRDefault="004A7076" w:rsidP="00DB3B47">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VICEPRESIDENTA DIP. ITZEL GUADALUPE PÉREZ CORREA.</w:t>
      </w:r>
      <w:r w:rsidR="00DB3B47" w:rsidRPr="006A4BCA">
        <w:rPr>
          <w:rFonts w:ascii="Times New Roman" w:hAnsi="Times New Roman" w:cs="Times New Roman"/>
          <w:sz w:val="24"/>
          <w:szCs w:val="24"/>
        </w:rPr>
        <w:t xml:space="preserve"> </w:t>
      </w:r>
      <w:r w:rsidRPr="006A4BCA">
        <w:rPr>
          <w:rFonts w:ascii="Times New Roman" w:hAnsi="Times New Roman" w:cs="Times New Roman"/>
          <w:sz w:val="24"/>
          <w:szCs w:val="24"/>
        </w:rPr>
        <w:t>San Mateo Atenco, México a 5 de marzo de 2026.</w:t>
      </w:r>
    </w:p>
    <w:p w:rsidR="004A7076" w:rsidRPr="006A4BCA" w:rsidRDefault="004A7076" w:rsidP="004A7076">
      <w:pPr>
        <w:spacing w:after="0" w:line="240" w:lineRule="auto"/>
        <w:jc w:val="right"/>
        <w:rPr>
          <w:rFonts w:ascii="Times New Roman" w:hAnsi="Times New Roman" w:cs="Times New Roman"/>
          <w:sz w:val="24"/>
          <w:szCs w:val="24"/>
        </w:rPr>
      </w:pPr>
      <w:r w:rsidRPr="006A4BCA">
        <w:rPr>
          <w:rFonts w:ascii="Times New Roman" w:hAnsi="Times New Roman" w:cs="Times New Roman"/>
          <w:sz w:val="24"/>
          <w:szCs w:val="24"/>
        </w:rPr>
        <w:t>SMA/PM066/2026</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DIPUTADA MARTHA AZUCENA CAMACHO REYNOSO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PRESIDENTA DE LA MESA DIRECTIVA DE LA HONORABLE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LXII LEGISLATURA DEL ESTADO DE MÉXICO</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PRESENTE</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Señora Presidenta, de conformidad con el artículo 128 fracción XIII de la Constitución Política del Estado Libre y Soberano de México, así como en los números 31 fracción XLIII y 48 fracción XIX de la Ley Orgánica Municipal del Estado de México, respetuosamente vengo a </w:t>
      </w:r>
      <w:r w:rsidRPr="006A4BCA">
        <w:rPr>
          <w:rFonts w:ascii="Times New Roman" w:hAnsi="Times New Roman" w:cs="Times New Roman"/>
          <w:sz w:val="24"/>
          <w:szCs w:val="24"/>
        </w:rPr>
        <w:lastRenderedPageBreak/>
        <w:t>exponer que con motivo de comisión oficial acudiré a la 70 Comisión Sobre la Condición Jurídica y Social de la Mujer de ONU Mujeres, a celebrarse en la sede Naciones Unidas, ciudad de Nueva York, Nueva York, Estados Unidos de América, durante el período comprendido del 10 al 15 de marzo del año 2026.</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PROPÓSITOS Y OBJETIVOS:</w:t>
      </w:r>
    </w:p>
    <w:p w:rsidR="004A7076" w:rsidRPr="006A4BCA" w:rsidRDefault="004A7076" w:rsidP="004A7076">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b/>
        <w:t xml:space="preserve">La asistencia y representación como Presidenta Municipal Constitucional de San Mateo Atento, Estado de México y como presidenta de la Red Latinoamericana de Mujeres Municipalistas durante la primera semana de la 70, sede de la CSW70.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La participación durante diversos foros y paneles, ejercer una representación patriótica acorde a los principios del federalismo y buen gobierno, en miras de establecer lazos de cooperación con organismos internacionales y gobiernos locales que permitan a más municipios del país potencializar sus buenas prácticas de gobierno.</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 Sin más, por el momento reciba las muestras de mi consideración distinguida. </w:t>
      </w:r>
    </w:p>
    <w:p w:rsidR="004A7076" w:rsidRPr="006A4BCA" w:rsidRDefault="004A7076" w:rsidP="004A7076">
      <w:pPr>
        <w:pStyle w:val="Sinespaciado"/>
        <w:ind w:firstLine="708"/>
        <w:jc w:val="center"/>
        <w:rPr>
          <w:rFonts w:ascii="Times New Roman" w:hAnsi="Times New Roman" w:cs="Times New Roman"/>
          <w:sz w:val="24"/>
          <w:szCs w:val="24"/>
        </w:rPr>
      </w:pPr>
      <w:r w:rsidRPr="006A4BCA">
        <w:rPr>
          <w:rFonts w:ascii="Times New Roman" w:hAnsi="Times New Roman" w:cs="Times New Roman"/>
          <w:sz w:val="24"/>
          <w:szCs w:val="24"/>
        </w:rPr>
        <w:t>ATENTAMENTE</w:t>
      </w:r>
    </w:p>
    <w:p w:rsidR="004A7076" w:rsidRPr="006A4BCA" w:rsidRDefault="004A7076" w:rsidP="004A7076">
      <w:pPr>
        <w:pStyle w:val="Sinespaciado"/>
        <w:ind w:firstLine="708"/>
        <w:jc w:val="center"/>
        <w:rPr>
          <w:rFonts w:ascii="Times New Roman" w:hAnsi="Times New Roman" w:cs="Times New Roman"/>
          <w:sz w:val="24"/>
          <w:szCs w:val="24"/>
        </w:rPr>
      </w:pPr>
      <w:r w:rsidRPr="006A4BCA">
        <w:rPr>
          <w:rFonts w:ascii="Times New Roman" w:hAnsi="Times New Roman" w:cs="Times New Roman"/>
          <w:sz w:val="24"/>
          <w:szCs w:val="24"/>
        </w:rPr>
        <w:t>MAESTRA ANA AURORA MUÑIZ NEIRA.</w:t>
      </w:r>
    </w:p>
    <w:p w:rsidR="004A7076" w:rsidRPr="006A4BCA" w:rsidRDefault="004A7076" w:rsidP="004A7076">
      <w:pPr>
        <w:pStyle w:val="Sinespaciado"/>
        <w:ind w:firstLine="708"/>
        <w:jc w:val="center"/>
        <w:rPr>
          <w:rFonts w:ascii="Times New Roman" w:hAnsi="Times New Roman" w:cs="Times New Roman"/>
          <w:sz w:val="24"/>
          <w:szCs w:val="24"/>
        </w:rPr>
      </w:pPr>
      <w:r w:rsidRPr="006A4BCA">
        <w:rPr>
          <w:rFonts w:ascii="Times New Roman" w:hAnsi="Times New Roman" w:cs="Times New Roman"/>
          <w:sz w:val="24"/>
          <w:szCs w:val="24"/>
        </w:rPr>
        <w:t>PRESIDENTA MUNICIPAL CONSTITUCIONAL.</w:t>
      </w:r>
    </w:p>
    <w:p w:rsidR="00C14365" w:rsidRPr="006A4BCA" w:rsidRDefault="00C14365" w:rsidP="00CC3A24">
      <w:pPr>
        <w:pStyle w:val="Sinespaciado"/>
        <w:jc w:val="both"/>
        <w:rPr>
          <w:rFonts w:ascii="Times New Roman" w:hAnsi="Times New Roman" w:cs="Times New Roman"/>
          <w:sz w:val="24"/>
          <w:szCs w:val="24"/>
        </w:rPr>
      </w:pPr>
    </w:p>
    <w:p w:rsidR="00C14365" w:rsidRPr="006A4BCA" w:rsidRDefault="00C14365" w:rsidP="00CC3A24">
      <w:pPr>
        <w:spacing w:after="0" w:line="240" w:lineRule="auto"/>
        <w:jc w:val="center"/>
        <w:rPr>
          <w:rFonts w:ascii="Times New Roman" w:hAnsi="Times New Roman"/>
          <w:i/>
          <w:sz w:val="24"/>
          <w:szCs w:val="24"/>
        </w:rPr>
      </w:pPr>
      <w:r w:rsidRPr="006A4BCA">
        <w:rPr>
          <w:rFonts w:ascii="Times New Roman" w:hAnsi="Times New Roman"/>
          <w:i/>
          <w:sz w:val="24"/>
          <w:szCs w:val="24"/>
        </w:rPr>
        <w:t>(Se inserta documento)</w:t>
      </w:r>
    </w:p>
    <w:p w:rsidR="00C14365" w:rsidRPr="006A4BCA" w:rsidRDefault="00C14365" w:rsidP="00CC3A24">
      <w:pPr>
        <w:spacing w:after="0" w:line="240" w:lineRule="auto"/>
        <w:jc w:val="center"/>
        <w:rPr>
          <w:rFonts w:ascii="Times New Roman" w:hAnsi="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713"/>
      </w:tblGrid>
      <w:tr w:rsidR="00C14365" w:rsidRPr="006A4BCA" w:rsidTr="00CC3A24">
        <w:trPr>
          <w:jc w:val="center"/>
        </w:trPr>
        <w:tc>
          <w:tcPr>
            <w:tcW w:w="4907" w:type="dxa"/>
          </w:tcPr>
          <w:p w:rsidR="00C14365" w:rsidRPr="006A4BCA" w:rsidRDefault="00C14365" w:rsidP="00C14365">
            <w:pPr>
              <w:spacing w:line="240" w:lineRule="auto"/>
              <w:rPr>
                <w:rFonts w:ascii="Times New Roman" w:hAnsi="Times New Roman" w:cs="Times New Roman"/>
                <w:sz w:val="24"/>
                <w:szCs w:val="24"/>
                <w:lang w:val="es-MX"/>
              </w:rPr>
            </w:pPr>
            <w:r w:rsidRPr="006A4BCA">
              <w:rPr>
                <w:rFonts w:ascii="Times New Roman" w:hAnsi="Times New Roman" w:cs="Times New Roman"/>
                <w:sz w:val="24"/>
                <w:szCs w:val="24"/>
                <w:lang w:val="es-MX"/>
              </w:rPr>
              <w:t>GOBIERNO MUNICIPAL</w:t>
            </w:r>
          </w:p>
          <w:p w:rsidR="00C14365" w:rsidRPr="006A4BCA" w:rsidRDefault="00C14365" w:rsidP="00C14365">
            <w:pPr>
              <w:spacing w:line="240" w:lineRule="auto"/>
              <w:rPr>
                <w:rFonts w:ascii="Times New Roman" w:hAnsi="Times New Roman" w:cs="Times New Roman"/>
                <w:sz w:val="24"/>
                <w:szCs w:val="24"/>
                <w:lang w:val="es-MX"/>
              </w:rPr>
            </w:pPr>
            <w:r w:rsidRPr="006A4BCA">
              <w:rPr>
                <w:rFonts w:ascii="Times New Roman" w:hAnsi="Times New Roman" w:cs="Times New Roman"/>
                <w:sz w:val="24"/>
                <w:szCs w:val="24"/>
                <w:lang w:val="es-MX"/>
              </w:rPr>
              <w:t>SAN MATEO ATENCO</w:t>
            </w:r>
          </w:p>
          <w:p w:rsidR="00C14365" w:rsidRPr="006A4BCA" w:rsidRDefault="00C14365" w:rsidP="006A4BCA">
            <w:pPr>
              <w:spacing w:line="240" w:lineRule="auto"/>
              <w:rPr>
                <w:rFonts w:ascii="Times New Roman" w:hAnsi="Times New Roman" w:cs="Times New Roman"/>
                <w:sz w:val="24"/>
                <w:szCs w:val="24"/>
                <w:lang w:val="es-MX"/>
              </w:rPr>
            </w:pPr>
            <w:r w:rsidRPr="006A4BCA">
              <w:rPr>
                <w:rFonts w:ascii="Times New Roman" w:hAnsi="Times New Roman" w:cs="Times New Roman"/>
                <w:sz w:val="24"/>
                <w:szCs w:val="24"/>
                <w:lang w:val="es-MX"/>
              </w:rPr>
              <w:t>2025-2027</w:t>
            </w:r>
          </w:p>
        </w:tc>
        <w:tc>
          <w:tcPr>
            <w:tcW w:w="4908" w:type="dxa"/>
          </w:tcPr>
          <w:p w:rsidR="00C14365" w:rsidRPr="006A4BCA" w:rsidRDefault="00C14365" w:rsidP="00C14365">
            <w:pPr>
              <w:spacing w:line="240" w:lineRule="auto"/>
              <w:rPr>
                <w:rFonts w:ascii="Times New Roman" w:hAnsi="Times New Roman" w:cs="Times New Roman"/>
                <w:b/>
                <w:sz w:val="24"/>
                <w:szCs w:val="24"/>
                <w:lang w:val="es-MX"/>
              </w:rPr>
            </w:pPr>
            <w:r w:rsidRPr="006A4BCA">
              <w:rPr>
                <w:rFonts w:ascii="Times New Roman" w:hAnsi="Times New Roman" w:cs="Times New Roman"/>
                <w:b/>
                <w:sz w:val="24"/>
                <w:szCs w:val="24"/>
                <w:lang w:val="es-MX"/>
              </w:rPr>
              <w:t>PRESIDENCIA</w:t>
            </w:r>
          </w:p>
          <w:p w:rsidR="00C14365" w:rsidRPr="006A4BCA" w:rsidRDefault="00C14365" w:rsidP="00C14365">
            <w:pPr>
              <w:spacing w:line="240" w:lineRule="auto"/>
              <w:rPr>
                <w:rFonts w:ascii="Times New Roman" w:hAnsi="Times New Roman" w:cs="Times New Roman"/>
                <w:sz w:val="24"/>
                <w:szCs w:val="24"/>
                <w:lang w:val="es-MX"/>
              </w:rPr>
            </w:pPr>
            <w:r w:rsidRPr="006A4BCA">
              <w:rPr>
                <w:rFonts w:ascii="Times New Roman" w:hAnsi="Times New Roman" w:cs="Times New Roman"/>
                <w:sz w:val="24"/>
                <w:szCs w:val="24"/>
                <w:lang w:val="es-MX"/>
              </w:rPr>
              <w:t>SAN MATEO ATENCO</w:t>
            </w:r>
          </w:p>
        </w:tc>
      </w:tr>
    </w:tbl>
    <w:p w:rsidR="00C14365" w:rsidRPr="006A4BCA" w:rsidRDefault="00C14365" w:rsidP="00C14365">
      <w:pPr>
        <w:autoSpaceDE w:val="0"/>
        <w:autoSpaceDN w:val="0"/>
        <w:adjustRightInd w:val="0"/>
        <w:spacing w:after="0" w:line="240" w:lineRule="auto"/>
        <w:jc w:val="both"/>
        <w:rPr>
          <w:rFonts w:ascii="Times New Roman" w:hAnsi="Times New Roman" w:cs="Times New Roman"/>
          <w:b/>
          <w:bCs/>
          <w:sz w:val="24"/>
          <w:szCs w:val="24"/>
        </w:rPr>
      </w:pPr>
    </w:p>
    <w:p w:rsidR="00C14365" w:rsidRPr="006A4BCA" w:rsidRDefault="00C14365" w:rsidP="00C14365">
      <w:pPr>
        <w:spacing w:after="0" w:line="240" w:lineRule="auto"/>
        <w:jc w:val="center"/>
        <w:rPr>
          <w:rFonts w:ascii="Times New Roman" w:eastAsia="Calibri" w:hAnsi="Times New Roman" w:cs="Times New Roman"/>
          <w:sz w:val="24"/>
          <w:szCs w:val="24"/>
        </w:rPr>
      </w:pPr>
      <w:r w:rsidRPr="006A4BCA">
        <w:rPr>
          <w:rFonts w:ascii="Times New Roman" w:eastAsia="Calibri" w:hAnsi="Times New Roman" w:cs="Times New Roman"/>
          <w:sz w:val="24"/>
          <w:szCs w:val="24"/>
        </w:rPr>
        <w:t>"2026. Año del Humanismo Mexicano en el Estado de México”</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6A4BCA">
      <w:pPr>
        <w:spacing w:after="0" w:line="240" w:lineRule="auto"/>
        <w:jc w:val="right"/>
        <w:rPr>
          <w:rFonts w:ascii="Times New Roman" w:hAnsi="Times New Roman" w:cs="Times New Roman"/>
          <w:sz w:val="24"/>
          <w:szCs w:val="24"/>
        </w:rPr>
      </w:pPr>
      <w:r w:rsidRPr="006A4BCA">
        <w:rPr>
          <w:rFonts w:ascii="Times New Roman" w:hAnsi="Times New Roman" w:cs="Times New Roman"/>
          <w:sz w:val="24"/>
          <w:szCs w:val="24"/>
        </w:rPr>
        <w:t>San Mateo Atenco, México. A 05 de marzo de 2026</w:t>
      </w:r>
    </w:p>
    <w:p w:rsidR="00C14365" w:rsidRPr="006A4BCA" w:rsidRDefault="00C14365" w:rsidP="006A4BCA">
      <w:pPr>
        <w:spacing w:after="0" w:line="240" w:lineRule="auto"/>
        <w:jc w:val="right"/>
        <w:rPr>
          <w:rFonts w:ascii="Times New Roman" w:hAnsi="Times New Roman" w:cs="Times New Roman"/>
          <w:b/>
          <w:sz w:val="24"/>
          <w:szCs w:val="24"/>
        </w:rPr>
      </w:pPr>
      <w:r w:rsidRPr="006A4BCA">
        <w:rPr>
          <w:rFonts w:ascii="Times New Roman" w:hAnsi="Times New Roman" w:cs="Times New Roman"/>
          <w:b/>
          <w:sz w:val="24"/>
          <w:szCs w:val="24"/>
        </w:rPr>
        <w:t>SMA/PM/066/2026</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DIPUTADA</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MARTHA AZUCENA CAMACHO REYNOSO</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PRESIDENTA DE LA MESA DIRECTIVA DE LA</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H. LXII LEGISLATURA DEL ESTADO DE MÉXICO</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PRESENTE</w:t>
      </w:r>
    </w:p>
    <w:p w:rsidR="00C14365" w:rsidRPr="006A4BCA" w:rsidRDefault="00C14365" w:rsidP="00C14365">
      <w:pPr>
        <w:spacing w:after="0" w:line="240" w:lineRule="auto"/>
        <w:rPr>
          <w:rFonts w:ascii="Times New Roman" w:hAnsi="Times New Roman" w:cs="Times New Roman"/>
          <w:i/>
          <w:sz w:val="24"/>
          <w:szCs w:val="24"/>
        </w:rPr>
      </w:pPr>
    </w:p>
    <w:p w:rsidR="00C14365" w:rsidRPr="006A4BCA" w:rsidRDefault="00C14365" w:rsidP="00C14365">
      <w:pPr>
        <w:spacing w:after="0" w:line="240" w:lineRule="auto"/>
        <w:rPr>
          <w:rFonts w:ascii="Times New Roman" w:hAnsi="Times New Roman" w:cs="Times New Roman"/>
          <w:i/>
          <w:sz w:val="24"/>
          <w:szCs w:val="24"/>
        </w:rPr>
      </w:pPr>
      <w:r w:rsidRPr="006A4BCA">
        <w:rPr>
          <w:rFonts w:ascii="Times New Roman" w:hAnsi="Times New Roman" w:cs="Times New Roman"/>
          <w:i/>
          <w:sz w:val="24"/>
          <w:szCs w:val="24"/>
        </w:rPr>
        <w:t>Señora Presidenta:</w:t>
      </w:r>
    </w:p>
    <w:p w:rsidR="00C14365" w:rsidRPr="006A4BCA" w:rsidRDefault="00C14365" w:rsidP="00C14365">
      <w:pPr>
        <w:spacing w:after="0" w:line="240" w:lineRule="auto"/>
        <w:rPr>
          <w:rFonts w:ascii="Times New Roman" w:hAnsi="Times New Roman" w:cs="Times New Roman"/>
          <w:i/>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De conformidad con el artículo 128 fracción XIII de la Constitución Política del Estado Libre y Soberano de México, así como los numerales 31 fracción XLIII y 48 fracción XIX de la Ley Orgánica Municipal del Estado de México; respetuosamente vengo a exponer:</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Que con motivo de comisión oficial acudiré a la 70' Comisión 1:obre la </w:t>
      </w:r>
      <w:r w:rsidRPr="006A4BCA">
        <w:rPr>
          <w:rFonts w:ascii="Times New Roman" w:hAnsi="Times New Roman" w:cs="Times New Roman"/>
          <w:b/>
          <w:sz w:val="24"/>
          <w:szCs w:val="24"/>
        </w:rPr>
        <w:t xml:space="preserve">Condición Jurídica y Social de la </w:t>
      </w:r>
      <w:r w:rsidRPr="006A4BCA">
        <w:rPr>
          <w:rFonts w:ascii="Times New Roman" w:hAnsi="Times New Roman" w:cs="Times New Roman"/>
          <w:sz w:val="24"/>
          <w:szCs w:val="24"/>
        </w:rPr>
        <w:t xml:space="preserve">Mujer (CSW), </w:t>
      </w:r>
      <w:r w:rsidRPr="006A4BCA">
        <w:rPr>
          <w:rFonts w:ascii="Times New Roman" w:hAnsi="Times New Roman" w:cs="Times New Roman"/>
          <w:b/>
          <w:sz w:val="24"/>
          <w:szCs w:val="24"/>
        </w:rPr>
        <w:t xml:space="preserve">de ONU Mujeres, </w:t>
      </w:r>
      <w:r w:rsidRPr="006A4BCA">
        <w:rPr>
          <w:rFonts w:ascii="Times New Roman" w:hAnsi="Times New Roman" w:cs="Times New Roman"/>
          <w:sz w:val="24"/>
          <w:szCs w:val="24"/>
        </w:rPr>
        <w:t xml:space="preserve">a celebrarse en la sede de Naciones Unidas, Ciudad de Nueva </w:t>
      </w:r>
      <w:r w:rsidRPr="006A4BCA">
        <w:rPr>
          <w:rFonts w:ascii="Times New Roman" w:hAnsi="Times New Roman" w:cs="Times New Roman"/>
          <w:b/>
          <w:sz w:val="24"/>
          <w:szCs w:val="24"/>
        </w:rPr>
        <w:t xml:space="preserve">York, Nueva </w:t>
      </w:r>
      <w:r w:rsidRPr="006A4BCA">
        <w:rPr>
          <w:rFonts w:ascii="Times New Roman" w:hAnsi="Times New Roman" w:cs="Times New Roman"/>
          <w:sz w:val="24"/>
          <w:szCs w:val="24"/>
        </w:rPr>
        <w:t xml:space="preserve">York, Estados Unidos de América; durante el periodo comprendido del 10 al 15 de marzo del año </w:t>
      </w:r>
      <w:r w:rsidRPr="006A4BCA">
        <w:rPr>
          <w:rFonts w:ascii="Times New Roman" w:hAnsi="Times New Roman" w:cs="Times New Roman"/>
          <w:b/>
          <w:sz w:val="24"/>
          <w:szCs w:val="24"/>
        </w:rPr>
        <w:t>2026.</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t>ANTECEDENTES</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b/>
          <w:sz w:val="24"/>
          <w:szCs w:val="24"/>
        </w:rPr>
        <w:lastRenderedPageBreak/>
        <w:t>PRIMERO</w:t>
      </w:r>
      <w:r w:rsidRPr="006A4BCA">
        <w:rPr>
          <w:rFonts w:ascii="Times New Roman" w:hAnsi="Times New Roman" w:cs="Times New Roman"/>
          <w:sz w:val="24"/>
          <w:szCs w:val="24"/>
        </w:rPr>
        <w:t xml:space="preserve">. Que en fecha 13 de diciembre </w:t>
      </w:r>
      <w:r w:rsidRPr="006A4BCA">
        <w:rPr>
          <w:rFonts w:ascii="Times New Roman" w:hAnsi="Times New Roman" w:cs="Times New Roman"/>
          <w:b/>
          <w:sz w:val="24"/>
          <w:szCs w:val="24"/>
        </w:rPr>
        <w:t xml:space="preserve">del </w:t>
      </w:r>
      <w:r w:rsidRPr="006A4BCA">
        <w:rPr>
          <w:rFonts w:ascii="Times New Roman" w:hAnsi="Times New Roman" w:cs="Times New Roman"/>
          <w:sz w:val="24"/>
          <w:szCs w:val="24"/>
        </w:rPr>
        <w:t>año 2024 la suscrita tomé protesta como Co-Presidenta de la CONAMM, previa anuencia del ejecutivo de la entidad, y que dicha asociación es reconocida y coordinada por el Instituto Nacional para el Federalismo y el Desarrollo Municipal (INAFED).</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b/>
          <w:sz w:val="24"/>
          <w:szCs w:val="24"/>
        </w:rPr>
        <w:t xml:space="preserve">SEGUNDO. </w:t>
      </w:r>
      <w:r w:rsidRPr="006A4BCA">
        <w:rPr>
          <w:rFonts w:ascii="Times New Roman" w:hAnsi="Times New Roman" w:cs="Times New Roman"/>
          <w:sz w:val="24"/>
          <w:szCs w:val="24"/>
        </w:rPr>
        <w:t>Ciudades y Gobiernos Locales Unidos es una organización mundial con estructura democrática y federal de fundamentos municipalistas y regionales, siendo una de las de mayor representatividad a nivel global con el reconocimiento de la Organización de las Naciones Unidas.</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b/>
          <w:sz w:val="24"/>
          <w:szCs w:val="24"/>
        </w:rPr>
        <w:t>TERCERO</w:t>
      </w:r>
      <w:r w:rsidRPr="006A4BCA">
        <w:rPr>
          <w:rFonts w:ascii="Times New Roman" w:hAnsi="Times New Roman" w:cs="Times New Roman"/>
          <w:sz w:val="24"/>
          <w:szCs w:val="24"/>
        </w:rPr>
        <w:t>. Como le fue informado en su momento, anteriormente la suscrita fui invitada participar en la delegación de Ciudades y Gobiernos Locales Unidos durante la 69' Comisión Sobre la Condición Jurídica y Social de la Mujer en el mes de marzo de 2025, participación que fue informada a la legislatura local para los efectos legales conducentes.</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b/>
          <w:sz w:val="24"/>
          <w:szCs w:val="24"/>
        </w:rPr>
        <w:t>CUARTO</w:t>
      </w:r>
      <w:r w:rsidRPr="006A4BCA">
        <w:rPr>
          <w:rFonts w:ascii="Times New Roman" w:hAnsi="Times New Roman" w:cs="Times New Roman"/>
          <w:sz w:val="24"/>
          <w:szCs w:val="24"/>
        </w:rPr>
        <w:t>. En fecha 05 de marzo del presente año, de conformidad al artículo 31 fracción XLIII de la Ley Orgánica Municipal del Estado de México, se celebró sesión ordinaria de Cabildo donde el cuerpo edilicio fue informado sobre los propósitos y objetivos del viaje; dando éste autorización de la misión oficial en el extranjero del periodo del 10 al 15 de marzo del presente año; destacando que en el acuerdo de cabildo se estableció que no se utilizarán recursos públicos municipales, toda vez que los gastos de hospedaje y transporte son cubiertos por CGLU.</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Aunado a lo anterior, me permito hacer del conocimiento los siguientes:</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jc w:val="center"/>
        <w:rPr>
          <w:rFonts w:ascii="Times New Roman" w:hAnsi="Times New Roman" w:cs="Times New Roman"/>
          <w:b/>
          <w:sz w:val="24"/>
          <w:szCs w:val="24"/>
        </w:rPr>
      </w:pPr>
      <w:r w:rsidRPr="006A4BCA">
        <w:rPr>
          <w:rFonts w:ascii="Times New Roman" w:hAnsi="Times New Roman" w:cs="Times New Roman"/>
          <w:b/>
          <w:sz w:val="24"/>
          <w:szCs w:val="24"/>
        </w:rPr>
        <w:t>PROPÓSITOS Y OBJETIVOS</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numPr>
          <w:ilvl w:val="0"/>
          <w:numId w:val="52"/>
        </w:numPr>
        <w:spacing w:after="0" w:line="240" w:lineRule="auto"/>
        <w:ind w:left="0"/>
        <w:jc w:val="both"/>
        <w:rPr>
          <w:rFonts w:ascii="Times New Roman" w:hAnsi="Times New Roman" w:cs="Times New Roman"/>
          <w:sz w:val="24"/>
          <w:szCs w:val="24"/>
        </w:rPr>
      </w:pPr>
      <w:r w:rsidRPr="006A4BCA">
        <w:rPr>
          <w:rFonts w:ascii="Times New Roman" w:hAnsi="Times New Roman" w:cs="Times New Roman"/>
          <w:sz w:val="24"/>
          <w:szCs w:val="24"/>
        </w:rPr>
        <w:t>La asistencia y representación como Presidenta Municipal Constitucional de San Mateo Atenco, Estado de México, México y como Presidenta de la Red Latinoamericana de Mujeres Municipalistas durante la primera semana de la 70' de la CSW.</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numPr>
          <w:ilvl w:val="0"/>
          <w:numId w:val="52"/>
        </w:numPr>
        <w:spacing w:after="0" w:line="240" w:lineRule="auto"/>
        <w:ind w:left="0"/>
        <w:rPr>
          <w:rFonts w:ascii="Times New Roman" w:hAnsi="Times New Roman" w:cs="Times New Roman"/>
          <w:sz w:val="24"/>
          <w:szCs w:val="24"/>
        </w:rPr>
      </w:pPr>
      <w:r w:rsidRPr="006A4BCA">
        <w:rPr>
          <w:rFonts w:ascii="Times New Roman" w:hAnsi="Times New Roman" w:cs="Times New Roman"/>
          <w:sz w:val="24"/>
          <w:szCs w:val="24"/>
        </w:rPr>
        <w:t>La participación durante diversos foros y paneles destacando las siguientes ponencias:</w:t>
      </w:r>
    </w:p>
    <w:p w:rsidR="00C14365" w:rsidRPr="006A4BCA" w:rsidRDefault="00C14365" w:rsidP="00C14365">
      <w:pPr>
        <w:spacing w:after="0" w:line="240" w:lineRule="auto"/>
        <w:ind w:left="720"/>
        <w:contextualSpacing/>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b/>
          <w:sz w:val="24"/>
          <w:szCs w:val="24"/>
        </w:rPr>
        <w:t>a. 11 de marzo Igualdad y Democracia en la toma de decisiones reales.</w:t>
      </w:r>
      <w:r w:rsidRPr="006A4BCA">
        <w:rPr>
          <w:rFonts w:ascii="Times New Roman" w:hAnsi="Times New Roman" w:cs="Times New Roman"/>
          <w:sz w:val="24"/>
          <w:szCs w:val="24"/>
        </w:rPr>
        <w:t xml:space="preserve"> Participación de la suscrita como ponente a desarrollarse bajo la moderación de Ciudades y Gobiernos Locales y Programa de Naciones Unidas para el Desarrollo.</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6855460</wp:posOffset>
                </wp:positionH>
                <wp:positionV relativeFrom="paragraph">
                  <wp:posOffset>338455</wp:posOffset>
                </wp:positionV>
                <wp:extent cx="0" cy="574040"/>
                <wp:effectExtent l="20320" t="18415" r="17780" b="1714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404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48276" id="Conector recto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8pt,26.65pt" to="539.8pt,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" strokeweight="2.5pt"/>
            </w:pict>
          </mc:Fallback>
        </mc:AlternateContent>
      </w:r>
      <w:r w:rsidRPr="006A4BCA">
        <w:rPr>
          <w:rFonts w:ascii="Times New Roman" w:hAnsi="Times New Roman" w:cs="Times New Roman"/>
          <w:sz w:val="24"/>
          <w:szCs w:val="24"/>
        </w:rPr>
        <w:t>i. Sesión 1: El Movimiento Municipal Feminista Global impulsa la participación política de las mujeres.</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ii. Sesión 2: Renovar el liderazgo, de la práctica política a las instituciones: perspectivas feministas sobre la gobernanza en acción.</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b/>
          <w:sz w:val="24"/>
          <w:szCs w:val="24"/>
        </w:rPr>
        <w:t xml:space="preserve">b. 12 de marzo 1 Un marco político renovado para la igualdad: sistemas locales de cuidados. </w:t>
      </w:r>
      <w:r w:rsidRPr="006A4BCA">
        <w:rPr>
          <w:rFonts w:ascii="Times New Roman" w:hAnsi="Times New Roman" w:cs="Times New Roman"/>
          <w:sz w:val="24"/>
          <w:szCs w:val="24"/>
        </w:rPr>
        <w:t xml:space="preserve">Participación de la suscrita como ponente a desarrollarse bajo la moderación de Ciudades y Gobiernos Locales </w:t>
      </w:r>
      <w:r w:rsidRPr="006A4BCA">
        <w:rPr>
          <w:rFonts w:ascii="Times New Roman" w:hAnsi="Times New Roman" w:cs="Times New Roman"/>
          <w:b/>
          <w:sz w:val="24"/>
          <w:szCs w:val="24"/>
        </w:rPr>
        <w:t xml:space="preserve">y </w:t>
      </w:r>
      <w:r w:rsidRPr="006A4BCA">
        <w:rPr>
          <w:rFonts w:ascii="Times New Roman" w:hAnsi="Times New Roman" w:cs="Times New Roman"/>
          <w:sz w:val="24"/>
          <w:szCs w:val="24"/>
        </w:rPr>
        <w:t>Programa de Naciones Unidas para el Desarrollo.</w:t>
      </w:r>
    </w:p>
    <w:p w:rsidR="00C14365" w:rsidRPr="006A4BCA" w:rsidRDefault="00C14365" w:rsidP="00C14365">
      <w:pPr>
        <w:spacing w:after="0" w:line="240" w:lineRule="auto"/>
        <w:jc w:val="both"/>
        <w:rPr>
          <w:rFonts w:ascii="Times New Roman" w:hAnsi="Times New Roman" w:cs="Times New Roman"/>
          <w:b/>
          <w:sz w:val="24"/>
          <w:szCs w:val="24"/>
        </w:rPr>
      </w:pPr>
    </w:p>
    <w:p w:rsidR="00C14365" w:rsidRPr="006A4BCA" w:rsidRDefault="00C14365" w:rsidP="00C14365">
      <w:pPr>
        <w:tabs>
          <w:tab w:val="decimal" w:pos="720"/>
        </w:tabs>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iii. Sesión 3: La coalición Social Local promueve la igualdad con los movimientos feministas.</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iv. Sesión 4: Los servicios públicos locales como bienes comunes, los sistemas de cuidados locales como infraestructura de igualdad.</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b/>
          <w:sz w:val="24"/>
          <w:szCs w:val="24"/>
        </w:rPr>
        <w:t xml:space="preserve">c. </w:t>
      </w:r>
      <w:r w:rsidRPr="006A4BCA">
        <w:rPr>
          <w:rFonts w:ascii="Times New Roman" w:hAnsi="Times New Roman" w:cs="Times New Roman"/>
          <w:sz w:val="24"/>
          <w:szCs w:val="24"/>
        </w:rPr>
        <w:t xml:space="preserve">De modo enunciativo </w:t>
      </w:r>
      <w:r w:rsidRPr="006A4BCA">
        <w:rPr>
          <w:rFonts w:ascii="Times New Roman" w:hAnsi="Times New Roman" w:cs="Times New Roman"/>
          <w:b/>
          <w:sz w:val="24"/>
          <w:szCs w:val="24"/>
        </w:rPr>
        <w:t xml:space="preserve">las </w:t>
      </w:r>
      <w:r w:rsidRPr="006A4BCA">
        <w:rPr>
          <w:rFonts w:ascii="Times New Roman" w:hAnsi="Times New Roman" w:cs="Times New Roman"/>
          <w:sz w:val="24"/>
          <w:szCs w:val="24"/>
        </w:rPr>
        <w:t xml:space="preserve">anteriores y para mejor proveer se anexan las cartas de invitación </w:t>
      </w:r>
      <w:r w:rsidRPr="006A4BCA">
        <w:rPr>
          <w:rFonts w:ascii="Times New Roman" w:hAnsi="Times New Roman" w:cs="Times New Roman"/>
          <w:b/>
          <w:sz w:val="24"/>
          <w:szCs w:val="24"/>
        </w:rPr>
        <w:t xml:space="preserve">y </w:t>
      </w:r>
      <w:r w:rsidRPr="006A4BCA">
        <w:rPr>
          <w:rFonts w:ascii="Times New Roman" w:hAnsi="Times New Roman" w:cs="Times New Roman"/>
          <w:sz w:val="24"/>
          <w:szCs w:val="24"/>
        </w:rPr>
        <w:t>programas de referencia.</w:t>
      </w:r>
    </w:p>
    <w:p w:rsidR="00C14365" w:rsidRPr="006A4BCA" w:rsidRDefault="00C14365" w:rsidP="00C14365">
      <w:pPr>
        <w:spacing w:after="0" w:line="240" w:lineRule="auto"/>
        <w:jc w:val="both"/>
        <w:rPr>
          <w:rFonts w:ascii="Times New Roman" w:hAnsi="Times New Roman" w:cs="Times New Roman"/>
          <w:b/>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b/>
          <w:sz w:val="24"/>
          <w:szCs w:val="24"/>
        </w:rPr>
        <w:t xml:space="preserve">3. </w:t>
      </w:r>
      <w:r w:rsidRPr="006A4BCA">
        <w:rPr>
          <w:rFonts w:ascii="Times New Roman" w:hAnsi="Times New Roman" w:cs="Times New Roman"/>
          <w:sz w:val="24"/>
          <w:szCs w:val="24"/>
        </w:rPr>
        <w:t>Ejercer una representación patriótica acorde a los principios del federalismo y buen gobierno en miras de establecer lazos de cooperación con organismos internacionales y gobiernos locales que permitan a más municipios del país potencializar sus buenas prácticas de gobierno.</w:t>
      </w:r>
    </w:p>
    <w:p w:rsidR="00C14365" w:rsidRPr="006A4BCA" w:rsidRDefault="00C14365" w:rsidP="00C14365">
      <w:pPr>
        <w:spacing w:after="0" w:line="240" w:lineRule="auto"/>
        <w:jc w:val="both"/>
        <w:rPr>
          <w:rFonts w:ascii="Times New Roman" w:hAnsi="Times New Roman" w:cs="Times New Roman"/>
          <w:b/>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Sin más por el momento, reciba las nuestras de mi considera distinguida.</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jc w:val="center"/>
        <w:rPr>
          <w:rFonts w:ascii="Times New Roman" w:hAnsi="Times New Roman" w:cs="Times New Roman"/>
          <w:b/>
          <w:sz w:val="24"/>
          <w:szCs w:val="24"/>
        </w:rPr>
      </w:pPr>
      <w:r w:rsidRPr="006A4BCA">
        <w:rPr>
          <w:rFonts w:ascii="Times New Roman" w:hAnsi="Times New Roman" w:cs="Times New Roman"/>
          <w:b/>
          <w:sz w:val="24"/>
          <w:szCs w:val="24"/>
        </w:rPr>
        <w:t>ATENTAMENTE</w:t>
      </w:r>
    </w:p>
    <w:p w:rsidR="00C14365" w:rsidRPr="006A4BCA" w:rsidRDefault="00C14365" w:rsidP="00C14365">
      <w:pPr>
        <w:spacing w:after="0" w:line="240" w:lineRule="auto"/>
        <w:jc w:val="center"/>
        <w:rPr>
          <w:rFonts w:ascii="Times New Roman" w:hAnsi="Times New Roman" w:cs="Times New Roman"/>
          <w:b/>
          <w:sz w:val="24"/>
          <w:szCs w:val="24"/>
        </w:rPr>
      </w:pPr>
      <w:r w:rsidRPr="006A4BCA">
        <w:rPr>
          <w:rFonts w:ascii="Times New Roman" w:hAnsi="Times New Roman" w:cs="Times New Roman"/>
          <w:b/>
          <w:sz w:val="24"/>
          <w:szCs w:val="24"/>
        </w:rPr>
        <w:t>MTRA. ANA AURORA MUÑIZ NEYRA</w:t>
      </w:r>
    </w:p>
    <w:p w:rsidR="00C14365" w:rsidRPr="006A4BCA" w:rsidRDefault="00C14365" w:rsidP="00C14365">
      <w:pPr>
        <w:spacing w:after="0" w:line="240" w:lineRule="auto"/>
        <w:jc w:val="center"/>
        <w:rPr>
          <w:rFonts w:ascii="Times New Roman" w:hAnsi="Times New Roman" w:cs="Times New Roman"/>
          <w:b/>
          <w:sz w:val="24"/>
          <w:szCs w:val="24"/>
        </w:rPr>
      </w:pPr>
      <w:r w:rsidRPr="006A4BCA">
        <w:rPr>
          <w:rFonts w:ascii="Times New Roman" w:hAnsi="Times New Roman" w:cs="Times New Roman"/>
          <w:b/>
          <w:sz w:val="24"/>
          <w:szCs w:val="24"/>
        </w:rPr>
        <w:t>PRESIDENTA MUNICIPAL CONSTITUCIONAL</w:t>
      </w:r>
    </w:p>
    <w:p w:rsidR="00C14365" w:rsidRPr="006A4BCA" w:rsidRDefault="00C14365" w:rsidP="00C14365">
      <w:pPr>
        <w:spacing w:after="0" w:line="240" w:lineRule="auto"/>
        <w:jc w:val="center"/>
        <w:rPr>
          <w:rFonts w:ascii="Times New Roman" w:hAnsi="Times New Roman" w:cs="Times New Roman"/>
          <w:b/>
          <w:sz w:val="24"/>
          <w:szCs w:val="24"/>
        </w:rPr>
      </w:pPr>
      <w:r w:rsidRPr="006A4BCA">
        <w:rPr>
          <w:rFonts w:ascii="Times New Roman" w:hAnsi="Times New Roman" w:cs="Times New Roman"/>
          <w:b/>
          <w:sz w:val="24"/>
          <w:szCs w:val="24"/>
        </w:rPr>
        <w:t>(RÚBRICA)</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Ccp. Dip. José Francisco Vázquez Rodríguez. Presidente de la Junta de Coordinación Política JUCOPO.</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Ccp. Dip. Elías Rescala Jiménez. Vicepresidente de la Junta de Coordinación Política. JUCOPO. Ccp. Dip. Mariano Camacho San Martín. Diputado Local por el Distrito XXXV.</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JRAR/ESLP</w:t>
      </w:r>
    </w:p>
    <w:p w:rsidR="00C14365" w:rsidRPr="006A4BCA" w:rsidRDefault="00C14365" w:rsidP="00C14365">
      <w:pPr>
        <w:spacing w:after="0" w:line="240" w:lineRule="auto"/>
        <w:jc w:val="right"/>
        <w:rPr>
          <w:rFonts w:ascii="Times New Roman" w:hAnsi="Times New Roman" w:cs="Times New Roman"/>
          <w:b/>
          <w:sz w:val="24"/>
          <w:szCs w:val="24"/>
        </w:rPr>
      </w:pPr>
    </w:p>
    <w:p w:rsidR="00C14365" w:rsidRPr="006A4BCA" w:rsidRDefault="00C14365" w:rsidP="00C14365">
      <w:pPr>
        <w:spacing w:after="0" w:line="240" w:lineRule="auto"/>
        <w:jc w:val="right"/>
        <w:rPr>
          <w:rFonts w:ascii="Times New Roman" w:hAnsi="Times New Roman" w:cs="Times New Roman"/>
          <w:b/>
          <w:sz w:val="24"/>
          <w:szCs w:val="24"/>
        </w:rPr>
      </w:pPr>
    </w:p>
    <w:p w:rsidR="00C14365" w:rsidRPr="006A4BCA" w:rsidRDefault="00C14365" w:rsidP="00C14365">
      <w:pPr>
        <w:spacing w:after="0" w:line="240" w:lineRule="auto"/>
        <w:jc w:val="right"/>
        <w:rPr>
          <w:rFonts w:ascii="Times New Roman" w:hAnsi="Times New Roman" w:cs="Times New Roman"/>
          <w:b/>
          <w:sz w:val="24"/>
          <w:szCs w:val="24"/>
        </w:rPr>
      </w:pPr>
      <w:r w:rsidRPr="006A4BCA">
        <w:rPr>
          <w:rFonts w:ascii="Times New Roman" w:hAnsi="Times New Roman" w:cs="Times New Roman"/>
          <w:sz w:val="24"/>
          <w:szCs w:val="24"/>
        </w:rPr>
        <w:t>UCLG</w:t>
      </w:r>
      <w:r w:rsidRPr="006A4BCA">
        <w:rPr>
          <w:rFonts w:ascii="Times New Roman" w:hAnsi="Times New Roman" w:cs="Times New Roman"/>
          <w:b/>
          <w:sz w:val="24"/>
          <w:szCs w:val="24"/>
        </w:rPr>
        <w:t>WOMEN</w:t>
      </w:r>
    </w:p>
    <w:p w:rsidR="00C14365" w:rsidRPr="006A4BCA" w:rsidRDefault="00C14365" w:rsidP="00C14365">
      <w:pPr>
        <w:spacing w:after="0" w:line="240" w:lineRule="auto"/>
        <w:jc w:val="right"/>
        <w:rPr>
          <w:rFonts w:ascii="Times New Roman" w:hAnsi="Times New Roman" w:cs="Times New Roman"/>
          <w:sz w:val="24"/>
          <w:szCs w:val="24"/>
        </w:rPr>
      </w:pPr>
    </w:p>
    <w:p w:rsidR="00C14365" w:rsidRPr="006A4BCA" w:rsidRDefault="00C14365" w:rsidP="00C14365">
      <w:pPr>
        <w:spacing w:after="0" w:line="240" w:lineRule="auto"/>
        <w:jc w:val="right"/>
        <w:rPr>
          <w:rFonts w:ascii="Times New Roman" w:hAnsi="Times New Roman" w:cs="Times New Roman"/>
          <w:sz w:val="24"/>
          <w:szCs w:val="24"/>
        </w:rPr>
      </w:pPr>
      <w:r w:rsidRPr="006A4BCA">
        <w:rPr>
          <w:rFonts w:ascii="Times New Roman" w:hAnsi="Times New Roman" w:cs="Times New Roman"/>
          <w:sz w:val="24"/>
          <w:szCs w:val="24"/>
        </w:rPr>
        <w:t>Barcelona, 03 de marzo de 2026</w:t>
      </w:r>
    </w:p>
    <w:p w:rsidR="00C14365" w:rsidRPr="006A4BCA" w:rsidRDefault="00C14365" w:rsidP="00C14365">
      <w:pPr>
        <w:spacing w:after="0" w:line="240" w:lineRule="auto"/>
        <w:jc w:val="right"/>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b/>
          <w:sz w:val="24"/>
          <w:szCs w:val="24"/>
        </w:rPr>
      </w:pPr>
      <w:r w:rsidRPr="006A4BCA">
        <w:rPr>
          <w:rFonts w:ascii="Times New Roman" w:hAnsi="Times New Roman" w:cs="Times New Roman"/>
          <w:b/>
          <w:sz w:val="24"/>
          <w:szCs w:val="24"/>
        </w:rPr>
        <w:t>Sra. Ana Muñiz Neyra</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Presidenta municipal constitucional de San Mateo Ateneo, México</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Estimada Presidenta,</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En nombre del colectivo organizado de gobiernos locales y regionales reunidos en la Global Taskforde, nos complace invitarle al Día de los Gobiernos Locales y Regionales de la CSW 70: Localizando la igualdad, la justicia y la democracia - El poder político de las mujeres y la reinvención de los servicios públicos locales.</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El evento tendrá lugar el 11 de marzo (12:30 - 17:30) y el 12 de marzo de 2026 (10:00 - 13:00), en la Riverview Room del Millennium Hilton New York One UN Plaza, ubicado en 1 UN Plaza, New York, NY.</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A efectos administrativos y migratorios en su país, la misión oficial comprenderá del 10 al 14 de marzo de 2026. Los gastos de transportación aérea internacional y hospedaje en Nueva York serán cubiertos por nuestra organización en el marco del programa.</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Esperamos contar con su presencia en ambas jornadas y nos complacería especialmente su intervención durante la Sesión 2: Renovar el liderazgo, de la práctica política a las instituciones: perspectivas feministas sobre la gobernanta en acción, que tendrá lugar el 11 de marzo de 2026, de 16:00 a 17:30. Valoraríamos particularmente su contribución a la discusión sobre modelos de liderazgo feminista y solidaridad intergeneracional.</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Hoy, más que nunca, nuestras políticas para el futuro deben estar fundamentadas en la realización local de la igualdad, la justicia y la democracia. Quedamos atentas a su respuesta favorable y a su disposición para cualquier información adicional que requiera. En caso de tener alguna consulta, no dude en escribir a </w:t>
      </w:r>
      <w:hyperlink r:id="rId41">
        <w:r w:rsidRPr="006A4BCA">
          <w:rPr>
            <w:rFonts w:ascii="Times New Roman" w:hAnsi="Times New Roman" w:cs="Times New Roman"/>
            <w:sz w:val="24"/>
            <w:szCs w:val="24"/>
            <w:u w:val="single"/>
          </w:rPr>
          <w:t>women@uclg.org</w:t>
        </w:r>
      </w:hyperlink>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Atentamente,</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Emilia Saiz</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Secretaria General</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Ciudades y Gobiernos Locales Unidos (CGLU)</w:t>
      </w:r>
    </w:p>
    <w:p w:rsidR="00A21028" w:rsidRPr="006A4BCA" w:rsidRDefault="00A21028"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(Rúbrica)</w:t>
      </w:r>
    </w:p>
    <w:p w:rsidR="00C14365" w:rsidRPr="006A4BCA" w:rsidRDefault="00C14365" w:rsidP="00C14365">
      <w:pPr>
        <w:spacing w:after="0" w:line="240" w:lineRule="auto"/>
        <w:rPr>
          <w:rFonts w:ascii="Times New Roman" w:hAnsi="Times New Roman" w:cs="Times New Roman"/>
          <w:b/>
          <w:sz w:val="24"/>
          <w:szCs w:val="24"/>
        </w:rPr>
      </w:pPr>
    </w:p>
    <w:p w:rsidR="00C14365" w:rsidRPr="006A4BCA" w:rsidRDefault="00C14365" w:rsidP="00C14365">
      <w:pPr>
        <w:spacing w:after="0" w:line="240" w:lineRule="auto"/>
        <w:rPr>
          <w:rFonts w:ascii="Times New Roman" w:hAnsi="Times New Roman" w:cs="Times New Roman"/>
          <w:b/>
          <w:sz w:val="24"/>
          <w:szCs w:val="24"/>
        </w:rPr>
      </w:pPr>
    </w:p>
    <w:p w:rsidR="00C14365" w:rsidRPr="006A4BCA" w:rsidRDefault="00C14365" w:rsidP="00C14365">
      <w:pPr>
        <w:spacing w:after="0" w:line="240" w:lineRule="auto"/>
        <w:rPr>
          <w:rFonts w:ascii="Times New Roman" w:hAnsi="Times New Roman" w:cs="Times New Roman"/>
          <w:b/>
          <w:sz w:val="24"/>
          <w:szCs w:val="24"/>
        </w:rPr>
      </w:pPr>
      <w:r w:rsidRPr="006A4BCA">
        <w:rPr>
          <w:rFonts w:ascii="Times New Roman" w:hAnsi="Times New Roman" w:cs="Times New Roman"/>
          <w:b/>
          <w:sz w:val="24"/>
          <w:szCs w:val="24"/>
        </w:rPr>
        <w:t>Mtra. Ana Aurora Muñiz Neyra</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Presidenta de la Red Latinoamericana de Mujeres</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Municipalistas y Alcaldesa de San Mateo Atenco, México</w:t>
      </w: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Presente</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right"/>
        <w:rPr>
          <w:rFonts w:ascii="Times New Roman" w:hAnsi="Times New Roman" w:cs="Times New Roman"/>
          <w:b/>
          <w:sz w:val="24"/>
          <w:szCs w:val="24"/>
        </w:rPr>
      </w:pPr>
      <w:r w:rsidRPr="006A4BCA">
        <w:rPr>
          <w:rFonts w:ascii="Times New Roman" w:hAnsi="Times New Roman" w:cs="Times New Roman"/>
          <w:sz w:val="24"/>
          <w:szCs w:val="24"/>
        </w:rPr>
        <w:t xml:space="preserve">Asunto: </w:t>
      </w:r>
      <w:r w:rsidRPr="006A4BCA">
        <w:rPr>
          <w:rFonts w:ascii="Times New Roman" w:hAnsi="Times New Roman" w:cs="Times New Roman"/>
          <w:b/>
          <w:sz w:val="24"/>
          <w:szCs w:val="24"/>
        </w:rPr>
        <w:t>Invitación a la 70</w:t>
      </w:r>
      <w:r w:rsidRPr="006A4BCA">
        <w:rPr>
          <w:rFonts w:ascii="Times New Roman" w:hAnsi="Times New Roman" w:cs="Times New Roman"/>
          <w:b/>
          <w:sz w:val="24"/>
          <w:szCs w:val="24"/>
          <w:vertAlign w:val="superscript"/>
        </w:rPr>
        <w:t>a</w:t>
      </w:r>
      <w:r w:rsidRPr="006A4BCA">
        <w:rPr>
          <w:rFonts w:ascii="Times New Roman" w:hAnsi="Times New Roman" w:cs="Times New Roman"/>
          <w:b/>
          <w:sz w:val="24"/>
          <w:szCs w:val="24"/>
        </w:rPr>
        <w:t xml:space="preserve"> Comisión sobre</w:t>
      </w:r>
    </w:p>
    <w:p w:rsidR="00C14365" w:rsidRPr="006A4BCA" w:rsidRDefault="00C14365" w:rsidP="00C14365">
      <w:pPr>
        <w:spacing w:after="0" w:line="240" w:lineRule="auto"/>
        <w:jc w:val="right"/>
        <w:rPr>
          <w:rFonts w:ascii="Times New Roman" w:hAnsi="Times New Roman" w:cs="Times New Roman"/>
          <w:sz w:val="24"/>
          <w:szCs w:val="24"/>
        </w:rPr>
      </w:pPr>
      <w:r w:rsidRPr="006A4BCA">
        <w:rPr>
          <w:rFonts w:ascii="Times New Roman" w:hAnsi="Times New Roman" w:cs="Times New Roman"/>
          <w:b/>
          <w:sz w:val="24"/>
          <w:szCs w:val="24"/>
        </w:rPr>
        <w:t>la Condición Jurídica y Social de la Mujer.</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Estimada Presidenta:</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Me es grato saludarla con los mejores deseos de salud y bienestar, y en particular invitarla a participar en la 70a Comisión sobre la Condición Jurídica y Social de la Mujer, que se celebrara del 10 al 15 de marzo próximo en la Ciudad de Nueva York, Estados Unidos, la cual tiene como objetivo destacar el papel fundamental de Los gobiernos locales y regionales en la promoción de comunidades inclusivas equitativas en materia de equidad de género.</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De esta manera </w:t>
      </w:r>
      <w:r w:rsidRPr="006A4BCA">
        <w:rPr>
          <w:rFonts w:ascii="Times New Roman" w:hAnsi="Times New Roman" w:cs="Times New Roman"/>
          <w:b/>
          <w:sz w:val="24"/>
          <w:szCs w:val="24"/>
        </w:rPr>
        <w:t xml:space="preserve">el </w:t>
      </w:r>
      <w:r w:rsidRPr="006A4BCA">
        <w:rPr>
          <w:rFonts w:ascii="Times New Roman" w:hAnsi="Times New Roman" w:cs="Times New Roman"/>
          <w:sz w:val="24"/>
          <w:szCs w:val="24"/>
        </w:rPr>
        <w:t xml:space="preserve">evento se erige como un espacio clave para identificar retos, promover alianzas institucionales, intercambiar experiencias y propiciar la participación activa de organismos, ciudades y gobiernos. </w:t>
      </w:r>
      <w:r w:rsidRPr="006A4BCA">
        <w:rPr>
          <w:rFonts w:ascii="Times New Roman" w:hAnsi="Times New Roman" w:cs="Times New Roman"/>
          <w:b/>
          <w:sz w:val="24"/>
          <w:szCs w:val="24"/>
        </w:rPr>
        <w:t xml:space="preserve">Es </w:t>
      </w:r>
      <w:r w:rsidRPr="006A4BCA">
        <w:rPr>
          <w:rFonts w:ascii="Times New Roman" w:hAnsi="Times New Roman" w:cs="Times New Roman"/>
          <w:sz w:val="24"/>
          <w:szCs w:val="24"/>
        </w:rPr>
        <w:t>un evento de alto nivel que reúne a las dirigentes mundiales para revisar los avances hacia la Plataforma de Acción Beijin.</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Consideramos que su participación como representante de FLACMA en estos espacios, en especial en la Sesión: "Renovar el Liderazgo, de la</w:t>
      </w:r>
      <w:r w:rsidRPr="006A4BCA">
        <w:rPr>
          <w:rFonts w:ascii="Times New Roman" w:hAnsi="Times New Roman" w:cs="Times New Roman"/>
          <w:b/>
          <w:sz w:val="24"/>
          <w:szCs w:val="24"/>
        </w:rPr>
        <w:t xml:space="preserve"> </w:t>
      </w:r>
      <w:r w:rsidRPr="006A4BCA">
        <w:rPr>
          <w:rFonts w:ascii="Times New Roman" w:hAnsi="Times New Roman" w:cs="Times New Roman"/>
          <w:sz w:val="24"/>
          <w:szCs w:val="24"/>
        </w:rPr>
        <w:t>práctica política a las instituciones: perspectivas feministas sobre La gobernanza en acción", representa una oportunidad particularmente valiosa de proyección internacional, intercambio político entre pares y vinculación estratégica con agendas globales en materia de igualdad y liderazgo de las mujeres.</w:t>
      </w:r>
    </w:p>
    <w:p w:rsidR="00C14365" w:rsidRPr="006A4BCA" w:rsidRDefault="00C14365" w:rsidP="00C14365">
      <w:pPr>
        <w:spacing w:after="0" w:line="240" w:lineRule="auto"/>
        <w:jc w:val="both"/>
        <w:rPr>
          <w:rFonts w:ascii="Times New Roman" w:hAnsi="Times New Roman" w:cs="Times New Roman"/>
          <w:sz w:val="24"/>
          <w:szCs w:val="24"/>
        </w:rPr>
      </w:pPr>
    </w:p>
    <w:p w:rsidR="00C14365" w:rsidRPr="006A4BCA" w:rsidRDefault="00C14365" w:rsidP="00C14365">
      <w:pPr>
        <w:spacing w:after="0" w:line="240" w:lineRule="auto"/>
        <w:jc w:val="both"/>
        <w:rPr>
          <w:rFonts w:ascii="Times New Roman" w:hAnsi="Times New Roman" w:cs="Times New Roman"/>
          <w:sz w:val="24"/>
          <w:szCs w:val="24"/>
        </w:rPr>
      </w:pPr>
      <w:r w:rsidRPr="006A4BCA">
        <w:rPr>
          <w:rFonts w:ascii="Times New Roman" w:hAnsi="Times New Roman" w:cs="Times New Roman"/>
          <w:sz w:val="24"/>
          <w:szCs w:val="24"/>
        </w:rPr>
        <w:t xml:space="preserve">Haciendo votos porque las actividades dentro de su agenda le permitan participar y formar parte de la delegación latinoamericana, los gastos de participación (traslado aéreo y hospedaje) estarán cubiertos por Ciudades y Gobiernos Locales Unidos (CGLU). quedo atento de sus consideraciones sobre esta invitación en el WhatsApp +52 (55) 3198 8965 y el correo electrónico </w:t>
      </w:r>
      <w:r w:rsidRPr="006A4BCA">
        <w:rPr>
          <w:rFonts w:ascii="Times New Roman" w:hAnsi="Times New Roman" w:cs="Times New Roman"/>
          <w:sz w:val="24"/>
          <w:szCs w:val="24"/>
          <w:u w:val="single"/>
        </w:rPr>
        <w:t>flacma@flacrna.lat</w:t>
      </w:r>
    </w:p>
    <w:p w:rsidR="00C14365" w:rsidRPr="006A4BCA" w:rsidRDefault="00C14365" w:rsidP="00C14365">
      <w:pPr>
        <w:spacing w:after="0" w:line="240" w:lineRule="auto"/>
        <w:rPr>
          <w:rFonts w:ascii="Times New Roman" w:hAnsi="Times New Roman" w:cs="Times New Roman"/>
          <w:sz w:val="24"/>
          <w:szCs w:val="24"/>
        </w:rPr>
      </w:pPr>
    </w:p>
    <w:p w:rsidR="00C14365" w:rsidRPr="006A4BCA" w:rsidRDefault="00C14365" w:rsidP="00C14365">
      <w:pPr>
        <w:spacing w:after="0" w:line="240" w:lineRule="auto"/>
        <w:rPr>
          <w:rFonts w:ascii="Times New Roman" w:hAnsi="Times New Roman" w:cs="Times New Roman"/>
          <w:sz w:val="24"/>
          <w:szCs w:val="24"/>
        </w:rPr>
      </w:pPr>
      <w:r w:rsidRPr="006A4BCA">
        <w:rPr>
          <w:rFonts w:ascii="Times New Roman" w:hAnsi="Times New Roman" w:cs="Times New Roman"/>
          <w:sz w:val="24"/>
          <w:szCs w:val="24"/>
        </w:rPr>
        <w:t>Saludos cordiales.</w:t>
      </w:r>
    </w:p>
    <w:p w:rsidR="00C14365" w:rsidRPr="006A4BCA" w:rsidRDefault="00C14365" w:rsidP="00C14365">
      <w:pPr>
        <w:spacing w:after="0" w:line="240" w:lineRule="auto"/>
        <w:rPr>
          <w:rFonts w:ascii="Times New Roman" w:hAnsi="Times New Roman" w:cs="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C14365" w:rsidRPr="006A4BCA" w:rsidTr="00CC3A24">
        <w:trPr>
          <w:jc w:val="center"/>
        </w:trPr>
        <w:tc>
          <w:tcPr>
            <w:tcW w:w="4772" w:type="dxa"/>
          </w:tcPr>
          <w:p w:rsidR="00C14365" w:rsidRPr="006A4BCA" w:rsidRDefault="00C14365" w:rsidP="00C14365">
            <w:pPr>
              <w:spacing w:line="240" w:lineRule="auto"/>
              <w:jc w:val="center"/>
              <w:rPr>
                <w:rFonts w:ascii="Times New Roman" w:hAnsi="Times New Roman" w:cs="Times New Roman"/>
                <w:b/>
                <w:sz w:val="24"/>
                <w:szCs w:val="24"/>
                <w:lang w:val="es-MX"/>
              </w:rPr>
            </w:pPr>
            <w:r w:rsidRPr="006A4BCA">
              <w:rPr>
                <w:rFonts w:ascii="Times New Roman" w:hAnsi="Times New Roman" w:cs="Times New Roman"/>
                <w:b/>
                <w:sz w:val="24"/>
                <w:szCs w:val="24"/>
                <w:lang w:val="es-MX"/>
              </w:rPr>
              <w:t>Emilia Saiz Carrancedo</w:t>
            </w:r>
          </w:p>
          <w:p w:rsidR="00C14365" w:rsidRPr="006A4BCA" w:rsidRDefault="00C14365" w:rsidP="00205289">
            <w:pPr>
              <w:spacing w:line="240" w:lineRule="auto"/>
              <w:jc w:val="center"/>
              <w:rPr>
                <w:rFonts w:ascii="Times New Roman" w:hAnsi="Times New Roman" w:cs="Times New Roman"/>
                <w:sz w:val="24"/>
                <w:szCs w:val="24"/>
                <w:lang w:val="es-MX"/>
              </w:rPr>
            </w:pPr>
            <w:r w:rsidRPr="006A4BCA">
              <w:rPr>
                <w:rFonts w:ascii="Times New Roman" w:hAnsi="Times New Roman" w:cs="Times New Roman"/>
                <w:sz w:val="24"/>
                <w:szCs w:val="24"/>
                <w:lang w:val="es-MX"/>
              </w:rPr>
              <w:lastRenderedPageBreak/>
              <w:t>Secretaria General de CGLU</w:t>
            </w:r>
          </w:p>
          <w:p w:rsidR="00FC65F2" w:rsidRPr="006A4BCA" w:rsidRDefault="00FC65F2" w:rsidP="00205289">
            <w:pPr>
              <w:spacing w:line="240" w:lineRule="auto"/>
              <w:jc w:val="center"/>
              <w:rPr>
                <w:rFonts w:ascii="Times New Roman" w:hAnsi="Times New Roman" w:cs="Times New Roman"/>
                <w:sz w:val="24"/>
                <w:szCs w:val="24"/>
                <w:lang w:val="es-MX"/>
              </w:rPr>
            </w:pPr>
            <w:r w:rsidRPr="006A4BCA">
              <w:rPr>
                <w:rFonts w:ascii="Times New Roman" w:hAnsi="Times New Roman" w:cs="Times New Roman"/>
                <w:sz w:val="24"/>
                <w:szCs w:val="24"/>
                <w:lang w:val="es-MX"/>
              </w:rPr>
              <w:t>(Rúbrica)</w:t>
            </w:r>
          </w:p>
        </w:tc>
        <w:tc>
          <w:tcPr>
            <w:tcW w:w="4773" w:type="dxa"/>
          </w:tcPr>
          <w:p w:rsidR="00C14365" w:rsidRPr="006A4BCA" w:rsidRDefault="00C14365" w:rsidP="00C14365">
            <w:pPr>
              <w:spacing w:line="240" w:lineRule="auto"/>
              <w:jc w:val="center"/>
              <w:rPr>
                <w:rFonts w:ascii="Times New Roman" w:hAnsi="Times New Roman" w:cs="Times New Roman"/>
                <w:b/>
                <w:sz w:val="24"/>
                <w:szCs w:val="24"/>
                <w:lang w:val="es-MX"/>
              </w:rPr>
            </w:pPr>
            <w:r w:rsidRPr="006A4BCA">
              <w:rPr>
                <w:rFonts w:ascii="Times New Roman" w:hAnsi="Times New Roman" w:cs="Times New Roman"/>
                <w:b/>
                <w:sz w:val="24"/>
                <w:szCs w:val="24"/>
                <w:lang w:val="es-MX"/>
              </w:rPr>
              <w:lastRenderedPageBreak/>
              <w:t>Sergio Arredondo Olvera</w:t>
            </w:r>
          </w:p>
          <w:p w:rsidR="00C14365" w:rsidRPr="006A4BCA" w:rsidRDefault="00C14365" w:rsidP="00C14365">
            <w:pPr>
              <w:spacing w:line="240" w:lineRule="auto"/>
              <w:jc w:val="center"/>
              <w:rPr>
                <w:rFonts w:ascii="Times New Roman" w:hAnsi="Times New Roman" w:cs="Times New Roman"/>
                <w:sz w:val="24"/>
                <w:szCs w:val="24"/>
                <w:lang w:val="es-MX"/>
              </w:rPr>
            </w:pPr>
            <w:r w:rsidRPr="006A4BCA">
              <w:rPr>
                <w:rFonts w:ascii="Times New Roman" w:hAnsi="Times New Roman" w:cs="Times New Roman"/>
                <w:sz w:val="24"/>
                <w:szCs w:val="24"/>
                <w:lang w:val="es-MX"/>
              </w:rPr>
              <w:lastRenderedPageBreak/>
              <w:t>Secretario General de FLACMA</w:t>
            </w:r>
          </w:p>
          <w:p w:rsidR="00FC65F2" w:rsidRPr="006A4BCA" w:rsidRDefault="00FC65F2" w:rsidP="00C14365">
            <w:pPr>
              <w:spacing w:line="240" w:lineRule="auto"/>
              <w:jc w:val="center"/>
              <w:rPr>
                <w:rFonts w:ascii="Times New Roman" w:hAnsi="Times New Roman" w:cs="Times New Roman"/>
                <w:sz w:val="24"/>
                <w:szCs w:val="24"/>
                <w:lang w:val="es-MX"/>
              </w:rPr>
            </w:pPr>
            <w:r w:rsidRPr="006A4BCA">
              <w:rPr>
                <w:rFonts w:ascii="Times New Roman" w:hAnsi="Times New Roman" w:cs="Times New Roman"/>
                <w:sz w:val="24"/>
                <w:szCs w:val="24"/>
                <w:lang w:val="es-MX"/>
              </w:rPr>
              <w:t>(Rúbrica)</w:t>
            </w:r>
          </w:p>
        </w:tc>
      </w:tr>
    </w:tbl>
    <w:p w:rsidR="00C14365" w:rsidRPr="006A4BCA" w:rsidRDefault="00C14365" w:rsidP="00C14365">
      <w:pPr>
        <w:spacing w:after="0" w:line="240" w:lineRule="auto"/>
        <w:jc w:val="center"/>
        <w:rPr>
          <w:rFonts w:ascii="Times New Roman" w:hAnsi="Times New Roman" w:cs="Times New Roman"/>
          <w:sz w:val="24"/>
          <w:szCs w:val="24"/>
        </w:rPr>
      </w:pPr>
      <w:r w:rsidRPr="006A4BCA">
        <w:rPr>
          <w:rFonts w:ascii="Times New Roman" w:hAnsi="Times New Roman" w:cs="Times New Roman"/>
          <w:sz w:val="24"/>
          <w:szCs w:val="24"/>
        </w:rPr>
        <w:lastRenderedPageBreak/>
        <w:t>Febrero de 2026</w:t>
      </w:r>
    </w:p>
    <w:p w:rsidR="00C14365" w:rsidRPr="006A4BCA" w:rsidRDefault="00C14365" w:rsidP="00CC3A24">
      <w:pPr>
        <w:spacing w:after="0" w:line="240" w:lineRule="auto"/>
        <w:jc w:val="center"/>
        <w:rPr>
          <w:rFonts w:ascii="Times New Roman" w:hAnsi="Times New Roman"/>
          <w:sz w:val="24"/>
          <w:szCs w:val="24"/>
        </w:rPr>
      </w:pPr>
    </w:p>
    <w:p w:rsidR="00C14365" w:rsidRPr="006A4BCA" w:rsidRDefault="00C14365" w:rsidP="00CC3A24">
      <w:pPr>
        <w:spacing w:after="0" w:line="240" w:lineRule="auto"/>
        <w:jc w:val="center"/>
        <w:rPr>
          <w:rFonts w:ascii="Times New Roman" w:hAnsi="Times New Roman"/>
          <w:i/>
          <w:sz w:val="24"/>
          <w:szCs w:val="24"/>
        </w:rPr>
      </w:pPr>
      <w:r w:rsidRPr="006A4BCA">
        <w:rPr>
          <w:rFonts w:ascii="Times New Roman" w:hAnsi="Times New Roman"/>
          <w:i/>
          <w:sz w:val="24"/>
          <w:szCs w:val="24"/>
        </w:rPr>
        <w:t>(Fin del documento)</w:t>
      </w:r>
    </w:p>
    <w:p w:rsidR="00C14365" w:rsidRPr="006A4BCA" w:rsidRDefault="00C14365" w:rsidP="00CC3A24">
      <w:pPr>
        <w:spacing w:after="0" w:line="240" w:lineRule="auto"/>
        <w:jc w:val="center"/>
        <w:rPr>
          <w:rFonts w:ascii="Times New Roman" w:hAnsi="Times New Roman"/>
          <w:sz w:val="24"/>
          <w:szCs w:val="24"/>
        </w:rPr>
      </w:pP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Gracias Vicepresidenta.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Se da por enterada la LXII Legislatura del contenido del comunicado para los efectos necesarios y la Secretaría hará el registro correspondiente.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Han concluido…</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VICEPRESIDENTA DIP. SARA ALICIA RAMÍREZ DE LA O. A continuación, daré lectura a los comunicados.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Autoría: Diputada Elena García Martínez, Iniciativa con Proyecto de Decreto por el que se reforman los artículos 3.38 Bis y 3.38 Ter del Código Civil del Estado de México, programada para el jueves 12 de marzo de 2026, a las 11:00 horas, en el Salón Narciso Bassols, en modalidad mixta. Comisión Procuración y Administración de Justicia, reunión de trabajo y, en su caso, dictaminación.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Autoría: Presidente del Tribunal Superior de Justicia, Iniciativa con Proyecto de Decreto que reforme el artículo 47 de la Ley Orgánica del Poder Judicial del Estado de México, el jueves 12 de marzo de 2026 a las 11:30 horas, en el Salón Narciso Bassols y en modalidad mixta. Comisión de Procuración y Administración de Justicia y es reunión de trabajo.</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Autoría: Presidente del Tribunal Superior de Justicia e Iniciativa con Proyecto de Decreto que adiciona los artículos 1.5 Bis al 1.5 Quater del Código Civil del Estado de México, el jueves 12 de marzo de 2026 a las 12:00 horas, en el Salón Narciso Bassols y en modalidad mixta. Comisión de Procuración y Administración de Justicia, y es reunión de trabajo.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Es cuanto.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SECRETARIA DIP. MARICELA BELTRÁN SÁNCHEZ. Han concluido los asuntos del orden del día.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Gracias Secretaria.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Registre la Secretaría, la asistencia a la sesión.</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SECRETARIA DIP. MARICELA BELTRÁN SÁNCHEZ. Ha sido registrada la asistencia.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PRESIDENTA DIP. MARTHA AZUCENA CAMACHO REYNOSO.  Habiendo agotado los asuntos en cartera.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 xml:space="preserve">Se levanta la Sesión Deliberante, siendo diecisiete horas con veinte minutos del día miércoles once de marzo del año en curso y se cita la Legislatura a la sesión que celebraremos el día dieciocho de marzo del año en curso a doce horas en este recinto. </w:t>
      </w:r>
    </w:p>
    <w:p w:rsidR="004A7076" w:rsidRPr="006A4BCA" w:rsidRDefault="004A7076" w:rsidP="004A7076">
      <w:pPr>
        <w:pStyle w:val="Sinespaciado"/>
        <w:jc w:val="both"/>
        <w:rPr>
          <w:rFonts w:ascii="Times New Roman" w:hAnsi="Times New Roman" w:cs="Times New Roman"/>
          <w:sz w:val="24"/>
          <w:szCs w:val="24"/>
        </w:rPr>
      </w:pPr>
      <w:r w:rsidRPr="006A4BCA">
        <w:rPr>
          <w:rFonts w:ascii="Times New Roman" w:hAnsi="Times New Roman" w:cs="Times New Roman"/>
          <w:sz w:val="24"/>
          <w:szCs w:val="24"/>
        </w:rPr>
        <w:t xml:space="preserve">SECRETARIA DIP. MARICELA BELTRÁN SÁNCHEZ. Esta sesión ha quedado grabada en la cinta marcada con la clave número 107-A-LXII. </w:t>
      </w:r>
    </w:p>
    <w:p w:rsidR="004A7076" w:rsidRPr="006A4BCA" w:rsidRDefault="004A7076" w:rsidP="004A7076">
      <w:pPr>
        <w:pStyle w:val="Sinespaciado"/>
        <w:ind w:firstLine="708"/>
        <w:jc w:val="both"/>
        <w:rPr>
          <w:rFonts w:ascii="Times New Roman" w:hAnsi="Times New Roman" w:cs="Times New Roman"/>
          <w:sz w:val="24"/>
          <w:szCs w:val="24"/>
        </w:rPr>
      </w:pPr>
      <w:r w:rsidRPr="006A4BCA">
        <w:rPr>
          <w:rFonts w:ascii="Times New Roman" w:hAnsi="Times New Roman" w:cs="Times New Roman"/>
          <w:sz w:val="24"/>
          <w:szCs w:val="24"/>
        </w:rPr>
        <w:t>Muchas gracias.</w:t>
      </w:r>
    </w:p>
    <w:p w:rsidR="006A4BCA" w:rsidRPr="006A4BCA" w:rsidRDefault="006A4BCA">
      <w:pPr>
        <w:pStyle w:val="Sinespaciado"/>
        <w:ind w:firstLine="708"/>
        <w:jc w:val="both"/>
        <w:rPr>
          <w:rFonts w:ascii="Times New Roman" w:hAnsi="Times New Roman" w:cs="Times New Roman"/>
          <w:sz w:val="24"/>
          <w:szCs w:val="24"/>
        </w:rPr>
      </w:pPr>
    </w:p>
    <w:sectPr w:rsidR="006A4BCA" w:rsidRPr="006A4BCA" w:rsidSect="00C80DF4">
      <w:headerReference w:type="default" r:id="rId42"/>
      <w:footerReference w:type="default" r:id="rId4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86F" w:rsidRDefault="00E4086F" w:rsidP="001105DF">
      <w:pPr>
        <w:spacing w:after="0" w:line="240" w:lineRule="auto"/>
      </w:pPr>
      <w:r>
        <w:separator/>
      </w:r>
    </w:p>
  </w:endnote>
  <w:endnote w:type="continuationSeparator" w:id="0">
    <w:p w:rsidR="00E4086F" w:rsidRDefault="00E4086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Aptos">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069954"/>
      <w:docPartObj>
        <w:docPartGallery w:val="Page Numbers (Bottom of Page)"/>
        <w:docPartUnique/>
      </w:docPartObj>
    </w:sdtPr>
    <w:sdtContent>
      <w:p w:rsidR="00935257" w:rsidRDefault="00935257" w:rsidP="00CE231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86F" w:rsidRDefault="00E4086F" w:rsidP="001105DF">
      <w:pPr>
        <w:spacing w:after="0" w:line="240" w:lineRule="auto"/>
      </w:pPr>
      <w:r>
        <w:separator/>
      </w:r>
    </w:p>
  </w:footnote>
  <w:footnote w:type="continuationSeparator" w:id="0">
    <w:p w:rsidR="00E4086F" w:rsidRDefault="00E4086F" w:rsidP="001105DF">
      <w:pPr>
        <w:spacing w:after="0" w:line="240" w:lineRule="auto"/>
      </w:pPr>
      <w:r>
        <w:continuationSeparator/>
      </w:r>
    </w:p>
  </w:footnote>
  <w:footnote w:id="1">
    <w:p w:rsidR="00935257" w:rsidRDefault="00935257" w:rsidP="00A60CD6">
      <w:pPr>
        <w:pStyle w:val="Textonotapie1"/>
        <w:jc w:val="both"/>
        <w:rPr>
          <w:rFonts w:ascii="Arial" w:hAnsi="Arial" w:cs="Arial"/>
        </w:rPr>
      </w:pPr>
      <w:r>
        <w:rPr>
          <w:rStyle w:val="Refdenotaalpie"/>
        </w:rPr>
        <w:footnoteRef/>
      </w:r>
      <w:r>
        <w:t xml:space="preserve"> </w:t>
      </w:r>
      <w:r w:rsidRPr="00C85B58">
        <w:rPr>
          <w:rFonts w:ascii="Arial" w:hAnsi="Arial" w:cs="Arial"/>
        </w:rPr>
        <w:t>DECRETO por el que se reforman, adicionan y derogan diversas disposiciones de la Ley General de Salud</w:t>
      </w:r>
      <w:r>
        <w:rPr>
          <w:rFonts w:ascii="Arial" w:hAnsi="Arial" w:cs="Arial"/>
        </w:rPr>
        <w:t>, disponible en:</w:t>
      </w:r>
      <w:r w:rsidRPr="00C85B58">
        <w:t xml:space="preserve"> </w:t>
      </w:r>
      <w:hyperlink r:id="rId1" w:history="1">
        <w:r w:rsidRPr="00970119">
          <w:rPr>
            <w:rStyle w:val="Hipervnculo1"/>
            <w:rFonts w:ascii="Arial" w:hAnsi="Arial" w:cs="Arial"/>
          </w:rPr>
          <w:t>https://gaceta.diputados.gob.mx/PDF/66/2025/dic/DOF15ENE2025-VariosLeyGralSaludVapeadores.pdf</w:t>
        </w:r>
      </w:hyperlink>
      <w:r>
        <w:rPr>
          <w:rFonts w:ascii="Arial" w:hAnsi="Arial" w:cs="Arial"/>
        </w:rPr>
        <w:t>,</w:t>
      </w:r>
      <w:r w:rsidRPr="00027975">
        <w:rPr>
          <w:rFonts w:ascii="Arial" w:hAnsi="Arial" w:cs="Arial"/>
          <w:bCs/>
        </w:rPr>
        <w:t xml:space="preserve"> </w:t>
      </w:r>
      <w:r w:rsidRPr="002D51F4">
        <w:rPr>
          <w:rFonts w:ascii="Arial" w:hAnsi="Arial" w:cs="Arial"/>
          <w:bCs/>
        </w:rPr>
        <w:t>consultada el día 08-</w:t>
      </w:r>
      <w:r>
        <w:rPr>
          <w:rFonts w:ascii="Arial" w:hAnsi="Arial" w:cs="Arial"/>
          <w:bCs/>
        </w:rPr>
        <w:t>02</w:t>
      </w:r>
      <w:r w:rsidRPr="002D51F4">
        <w:rPr>
          <w:rFonts w:ascii="Arial" w:hAnsi="Arial" w:cs="Arial"/>
          <w:bCs/>
        </w:rPr>
        <w:t>-202</w:t>
      </w:r>
      <w:r>
        <w:rPr>
          <w:rFonts w:ascii="Arial" w:hAnsi="Arial" w:cs="Arial"/>
          <w:bCs/>
        </w:rPr>
        <w:t>6</w:t>
      </w:r>
      <w:r w:rsidRPr="002D51F4">
        <w:rPr>
          <w:rFonts w:ascii="Arial" w:hAnsi="Arial" w:cs="Arial"/>
          <w:bCs/>
        </w:rPr>
        <w:t>.</w:t>
      </w:r>
    </w:p>
    <w:p w:rsidR="00935257" w:rsidRDefault="00935257" w:rsidP="00A60CD6">
      <w:pPr>
        <w:pStyle w:val="Textonotapie1"/>
      </w:pPr>
    </w:p>
  </w:footnote>
  <w:footnote w:id="2">
    <w:p w:rsidR="00935257" w:rsidRPr="002D51F4" w:rsidRDefault="00935257" w:rsidP="00A60CD6">
      <w:pPr>
        <w:pStyle w:val="Textonotapie1"/>
        <w:jc w:val="both"/>
        <w:rPr>
          <w:rFonts w:ascii="Arial" w:hAnsi="Arial" w:cs="Arial"/>
          <w:bCs/>
        </w:rPr>
      </w:pPr>
      <w:r>
        <w:rPr>
          <w:rStyle w:val="Refdenotaalpie"/>
        </w:rPr>
        <w:footnoteRef/>
      </w:r>
      <w:r>
        <w:t xml:space="preserve"> </w:t>
      </w:r>
      <w:r w:rsidRPr="002D51F4">
        <w:rPr>
          <w:rFonts w:ascii="Arial" w:hAnsi="Arial" w:cs="Arial"/>
          <w:bCs/>
        </w:rPr>
        <w:t xml:space="preserve">Informe Anual </w:t>
      </w:r>
      <w:r>
        <w:rPr>
          <w:rFonts w:ascii="Arial" w:hAnsi="Arial" w:cs="Arial"/>
          <w:bCs/>
        </w:rPr>
        <w:t>s</w:t>
      </w:r>
      <w:r w:rsidRPr="002D51F4">
        <w:rPr>
          <w:rFonts w:ascii="Arial" w:hAnsi="Arial" w:cs="Arial"/>
          <w:bCs/>
        </w:rPr>
        <w:t xml:space="preserve">obre </w:t>
      </w:r>
      <w:r>
        <w:rPr>
          <w:rFonts w:ascii="Arial" w:hAnsi="Arial" w:cs="Arial"/>
          <w:bCs/>
        </w:rPr>
        <w:t>l</w:t>
      </w:r>
      <w:r w:rsidRPr="002D51F4">
        <w:rPr>
          <w:rFonts w:ascii="Arial" w:hAnsi="Arial" w:cs="Arial"/>
          <w:bCs/>
        </w:rPr>
        <w:t>a Situaci</w:t>
      </w:r>
      <w:r w:rsidRPr="002D51F4">
        <w:rPr>
          <w:rFonts w:ascii="Arial" w:hAnsi="Arial" w:cs="Arial" w:hint="eastAsia"/>
          <w:bCs/>
        </w:rPr>
        <w:t>ó</w:t>
      </w:r>
      <w:r w:rsidRPr="002D51F4">
        <w:rPr>
          <w:rFonts w:ascii="Arial" w:hAnsi="Arial" w:cs="Arial"/>
          <w:bCs/>
        </w:rPr>
        <w:t xml:space="preserve">n </w:t>
      </w:r>
      <w:r>
        <w:rPr>
          <w:rFonts w:ascii="Arial" w:hAnsi="Arial" w:cs="Arial"/>
          <w:bCs/>
        </w:rPr>
        <w:t>d</w:t>
      </w:r>
      <w:r w:rsidRPr="002D51F4">
        <w:rPr>
          <w:rFonts w:ascii="Arial" w:hAnsi="Arial" w:cs="Arial"/>
          <w:bCs/>
        </w:rPr>
        <w:t xml:space="preserve">e Pobreza </w:t>
      </w:r>
      <w:r>
        <w:rPr>
          <w:rFonts w:ascii="Arial" w:hAnsi="Arial" w:cs="Arial"/>
          <w:bCs/>
        </w:rPr>
        <w:t>y</w:t>
      </w:r>
      <w:r w:rsidRPr="002D51F4">
        <w:rPr>
          <w:rFonts w:ascii="Arial" w:hAnsi="Arial" w:cs="Arial"/>
          <w:bCs/>
        </w:rPr>
        <w:t xml:space="preserve"> Rezago Social 2026</w:t>
      </w:r>
      <w:r>
        <w:rPr>
          <w:rFonts w:ascii="Arial" w:hAnsi="Arial" w:cs="Arial"/>
          <w:bCs/>
        </w:rPr>
        <w:t xml:space="preserve">, de la Secretaría de Bienestar, disponible en: </w:t>
      </w:r>
      <w:hyperlink r:id="rId2" w:history="1">
        <w:r w:rsidRPr="001972D4">
          <w:rPr>
            <w:rStyle w:val="Hipervnculo1"/>
            <w:rFonts w:ascii="Arial" w:hAnsi="Arial" w:cs="Arial"/>
            <w:bCs/>
          </w:rPr>
          <w:t>https://www.gob.mx/cms/uploads/attachment/file/1060729/15_Mexico_2026.pdf</w:t>
        </w:r>
      </w:hyperlink>
      <w:r>
        <w:rPr>
          <w:rFonts w:ascii="Arial" w:hAnsi="Arial" w:cs="Arial"/>
          <w:bCs/>
        </w:rPr>
        <w:t>,</w:t>
      </w:r>
      <w:r w:rsidRPr="002D51F4">
        <w:rPr>
          <w:sz w:val="22"/>
          <w:szCs w:val="22"/>
        </w:rPr>
        <w:t xml:space="preserve"> </w:t>
      </w:r>
      <w:r w:rsidRPr="002D51F4">
        <w:rPr>
          <w:rFonts w:ascii="Arial" w:hAnsi="Arial" w:cs="Arial"/>
          <w:bCs/>
        </w:rPr>
        <w:t>consultada el día 08-</w:t>
      </w:r>
      <w:r>
        <w:rPr>
          <w:rFonts w:ascii="Arial" w:hAnsi="Arial" w:cs="Arial"/>
          <w:bCs/>
        </w:rPr>
        <w:t>03</w:t>
      </w:r>
      <w:r w:rsidRPr="002D51F4">
        <w:rPr>
          <w:rFonts w:ascii="Arial" w:hAnsi="Arial" w:cs="Arial"/>
          <w:bCs/>
        </w:rPr>
        <w:t>-202</w:t>
      </w:r>
      <w:r>
        <w:rPr>
          <w:rFonts w:ascii="Arial" w:hAnsi="Arial" w:cs="Arial"/>
          <w:bCs/>
        </w:rPr>
        <w:t>6</w:t>
      </w:r>
      <w:r w:rsidRPr="002D51F4">
        <w:rPr>
          <w:rFonts w:ascii="Arial" w:hAnsi="Arial" w:cs="Arial"/>
          <w:bCs/>
        </w:rPr>
        <w:t>.</w:t>
      </w:r>
      <w:r>
        <w:rPr>
          <w:rFonts w:ascii="Arial" w:hAnsi="Arial" w:cs="Arial"/>
          <w:bCs/>
        </w:rPr>
        <w:t xml:space="preserve"> </w:t>
      </w:r>
    </w:p>
  </w:footnote>
  <w:footnote w:id="3">
    <w:p w:rsidR="00935257" w:rsidRPr="00CC5D29" w:rsidRDefault="00935257" w:rsidP="00A60CD6">
      <w:pPr>
        <w:pStyle w:val="Textonotapie1"/>
        <w:jc w:val="both"/>
        <w:rPr>
          <w:rFonts w:ascii="Arial" w:hAnsi="Arial" w:cs="Arial"/>
        </w:rPr>
      </w:pPr>
      <w:r w:rsidRPr="00CC5D29">
        <w:rPr>
          <w:rStyle w:val="Refdenotaalpie"/>
          <w:rFonts w:ascii="Arial" w:hAnsi="Arial" w:cs="Arial"/>
        </w:rPr>
        <w:footnoteRef/>
      </w:r>
      <w:r w:rsidRPr="00CC5D29">
        <w:rPr>
          <w:rFonts w:ascii="Arial" w:hAnsi="Arial" w:cs="Arial"/>
        </w:rPr>
        <w:t xml:space="preserve"> Ibidem.</w:t>
      </w:r>
    </w:p>
  </w:footnote>
  <w:footnote w:id="4">
    <w:p w:rsidR="00935257" w:rsidRPr="00CC5D29" w:rsidRDefault="00935257" w:rsidP="00A60CD6">
      <w:pPr>
        <w:pStyle w:val="Textonotapie1"/>
        <w:jc w:val="both"/>
        <w:rPr>
          <w:rFonts w:ascii="Arial" w:hAnsi="Arial" w:cs="Arial"/>
        </w:rPr>
      </w:pPr>
      <w:r w:rsidRPr="00CC5D29">
        <w:rPr>
          <w:rStyle w:val="Refdenotaalpie"/>
          <w:rFonts w:ascii="Arial" w:hAnsi="Arial" w:cs="Arial"/>
        </w:rPr>
        <w:footnoteRef/>
      </w:r>
      <w:r w:rsidRPr="00CC5D29">
        <w:rPr>
          <w:rFonts w:ascii="Arial" w:hAnsi="Arial" w:cs="Arial"/>
        </w:rPr>
        <w:t xml:space="preserve"> OCDE, Mexico – Country Note: Health at a Glance 2023: OECD Indicators, 2023. Disponible en:</w:t>
      </w:r>
    </w:p>
    <w:p w:rsidR="00935257" w:rsidRPr="00CC5D29" w:rsidRDefault="00935257" w:rsidP="00A60CD6">
      <w:pPr>
        <w:pStyle w:val="Textonotapie1"/>
        <w:jc w:val="both"/>
        <w:rPr>
          <w:rFonts w:ascii="Arial" w:hAnsi="Arial" w:cs="Arial"/>
        </w:rPr>
      </w:pPr>
      <w:hyperlink r:id="rId3" w:history="1">
        <w:r w:rsidRPr="00CC5D29">
          <w:rPr>
            <w:rStyle w:val="Hipervnculo1"/>
            <w:rFonts w:ascii="Arial" w:hAnsi="Arial" w:cs="Arial"/>
          </w:rPr>
          <w:t>https://www.oecd.org/content/dam/oecd/en/publications/reports/2025/07/health-at-a-glance-2023_39bcb58d/mexico_ca28b701/fe098241-en.pdf</w:t>
        </w:r>
      </w:hyperlink>
      <w:r w:rsidRPr="00CC5D29">
        <w:rPr>
          <w:rFonts w:ascii="Arial" w:hAnsi="Arial" w:cs="Arial"/>
        </w:rPr>
        <w:t>, consultada el día 08-11-2025.</w:t>
      </w:r>
    </w:p>
    <w:p w:rsidR="00935257" w:rsidRDefault="00935257" w:rsidP="00A60CD6">
      <w:pPr>
        <w:pStyle w:val="Textonotapie1"/>
      </w:pPr>
    </w:p>
    <w:p w:rsidR="00935257" w:rsidRDefault="00935257" w:rsidP="00A60CD6">
      <w:pPr>
        <w:pStyle w:val="Textonotapie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257" w:rsidRPr="00CE231A" w:rsidRDefault="00935257" w:rsidP="00CE231A">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4AD1"/>
    <w:multiLevelType w:val="hybridMultilevel"/>
    <w:tmpl w:val="D3E462D6"/>
    <w:lvl w:ilvl="0" w:tplc="4C143472">
      <w:start w:val="1"/>
      <w:numFmt w:val="upperRoman"/>
      <w:lvlText w:val="%1."/>
      <w:lvlJc w:val="left"/>
      <w:pPr>
        <w:ind w:left="881" w:hanging="488"/>
        <w:jc w:val="right"/>
      </w:pPr>
      <w:rPr>
        <w:rFonts w:ascii="Times New Roman" w:eastAsia="Calibri" w:hAnsi="Times New Roman" w:cs="Times New Roman" w:hint="default"/>
        <w:b/>
        <w:bCs/>
        <w:i w:val="0"/>
        <w:iCs w:val="0"/>
        <w:spacing w:val="0"/>
        <w:w w:val="100"/>
        <w:sz w:val="24"/>
        <w:szCs w:val="24"/>
        <w:lang w:val="es-ES" w:eastAsia="en-US" w:bidi="ar-SA"/>
      </w:rPr>
    </w:lvl>
    <w:lvl w:ilvl="1" w:tplc="19CE55B2">
      <w:numFmt w:val="bullet"/>
      <w:lvlText w:val="•"/>
      <w:lvlJc w:val="left"/>
      <w:pPr>
        <w:ind w:left="1728" w:hanging="488"/>
      </w:pPr>
      <w:rPr>
        <w:rFonts w:hint="default"/>
        <w:lang w:val="es-ES" w:eastAsia="en-US" w:bidi="ar-SA"/>
      </w:rPr>
    </w:lvl>
    <w:lvl w:ilvl="2" w:tplc="F3C097E6">
      <w:numFmt w:val="bullet"/>
      <w:lvlText w:val="•"/>
      <w:lvlJc w:val="left"/>
      <w:pPr>
        <w:ind w:left="2576" w:hanging="488"/>
      </w:pPr>
      <w:rPr>
        <w:rFonts w:hint="default"/>
        <w:lang w:val="es-ES" w:eastAsia="en-US" w:bidi="ar-SA"/>
      </w:rPr>
    </w:lvl>
    <w:lvl w:ilvl="3" w:tplc="B97AFCB0">
      <w:numFmt w:val="bullet"/>
      <w:lvlText w:val="•"/>
      <w:lvlJc w:val="left"/>
      <w:pPr>
        <w:ind w:left="3424" w:hanging="488"/>
      </w:pPr>
      <w:rPr>
        <w:rFonts w:hint="default"/>
        <w:lang w:val="es-ES" w:eastAsia="en-US" w:bidi="ar-SA"/>
      </w:rPr>
    </w:lvl>
    <w:lvl w:ilvl="4" w:tplc="A5FA083A">
      <w:numFmt w:val="bullet"/>
      <w:lvlText w:val="•"/>
      <w:lvlJc w:val="left"/>
      <w:pPr>
        <w:ind w:left="4272" w:hanging="488"/>
      </w:pPr>
      <w:rPr>
        <w:rFonts w:hint="default"/>
        <w:lang w:val="es-ES" w:eastAsia="en-US" w:bidi="ar-SA"/>
      </w:rPr>
    </w:lvl>
    <w:lvl w:ilvl="5" w:tplc="115E8CD8">
      <w:numFmt w:val="bullet"/>
      <w:lvlText w:val="•"/>
      <w:lvlJc w:val="left"/>
      <w:pPr>
        <w:ind w:left="5120" w:hanging="488"/>
      </w:pPr>
      <w:rPr>
        <w:rFonts w:hint="default"/>
        <w:lang w:val="es-ES" w:eastAsia="en-US" w:bidi="ar-SA"/>
      </w:rPr>
    </w:lvl>
    <w:lvl w:ilvl="6" w:tplc="CBC268A4">
      <w:numFmt w:val="bullet"/>
      <w:lvlText w:val="•"/>
      <w:lvlJc w:val="left"/>
      <w:pPr>
        <w:ind w:left="5968" w:hanging="488"/>
      </w:pPr>
      <w:rPr>
        <w:rFonts w:hint="default"/>
        <w:lang w:val="es-ES" w:eastAsia="en-US" w:bidi="ar-SA"/>
      </w:rPr>
    </w:lvl>
    <w:lvl w:ilvl="7" w:tplc="CA383BBE">
      <w:numFmt w:val="bullet"/>
      <w:lvlText w:val="•"/>
      <w:lvlJc w:val="left"/>
      <w:pPr>
        <w:ind w:left="6816" w:hanging="488"/>
      </w:pPr>
      <w:rPr>
        <w:rFonts w:hint="default"/>
        <w:lang w:val="es-ES" w:eastAsia="en-US" w:bidi="ar-SA"/>
      </w:rPr>
    </w:lvl>
    <w:lvl w:ilvl="8" w:tplc="6D9687D4">
      <w:numFmt w:val="bullet"/>
      <w:lvlText w:val="•"/>
      <w:lvlJc w:val="left"/>
      <w:pPr>
        <w:ind w:left="7664" w:hanging="488"/>
      </w:pPr>
      <w:rPr>
        <w:rFonts w:hint="default"/>
        <w:lang w:val="es-ES" w:eastAsia="en-US" w:bidi="ar-SA"/>
      </w:rPr>
    </w:lvl>
  </w:abstractNum>
  <w:abstractNum w:abstractNumId="1" w15:restartNumberingAfterBreak="0">
    <w:nsid w:val="024A7525"/>
    <w:multiLevelType w:val="hybridMultilevel"/>
    <w:tmpl w:val="DF66CC5A"/>
    <w:lvl w:ilvl="0" w:tplc="25E89B68">
      <w:start w:val="26"/>
      <w:numFmt w:val="upperRoman"/>
      <w:lvlText w:val="%1."/>
      <w:lvlJc w:val="left"/>
      <w:pPr>
        <w:ind w:left="105" w:hanging="712"/>
      </w:pPr>
      <w:rPr>
        <w:rFonts w:ascii="Arial" w:eastAsia="Arial" w:hAnsi="Arial" w:cs="Arial" w:hint="default"/>
        <w:b/>
        <w:bCs/>
        <w:i w:val="0"/>
        <w:iCs w:val="0"/>
        <w:spacing w:val="-2"/>
        <w:w w:val="100"/>
        <w:sz w:val="20"/>
        <w:szCs w:val="20"/>
        <w:lang w:val="es-ES" w:eastAsia="en-US" w:bidi="ar-SA"/>
      </w:rPr>
    </w:lvl>
    <w:lvl w:ilvl="1" w:tplc="6296A53C">
      <w:numFmt w:val="bullet"/>
      <w:lvlText w:val="•"/>
      <w:lvlJc w:val="left"/>
      <w:pPr>
        <w:ind w:left="556" w:hanging="712"/>
      </w:pPr>
      <w:rPr>
        <w:rFonts w:hint="default"/>
        <w:lang w:val="es-ES" w:eastAsia="en-US" w:bidi="ar-SA"/>
      </w:rPr>
    </w:lvl>
    <w:lvl w:ilvl="2" w:tplc="8F703280">
      <w:numFmt w:val="bullet"/>
      <w:lvlText w:val="•"/>
      <w:lvlJc w:val="left"/>
      <w:pPr>
        <w:ind w:left="1013" w:hanging="712"/>
      </w:pPr>
      <w:rPr>
        <w:rFonts w:hint="default"/>
        <w:lang w:val="es-ES" w:eastAsia="en-US" w:bidi="ar-SA"/>
      </w:rPr>
    </w:lvl>
    <w:lvl w:ilvl="3" w:tplc="B5A40C5C">
      <w:numFmt w:val="bullet"/>
      <w:lvlText w:val="•"/>
      <w:lvlJc w:val="left"/>
      <w:pPr>
        <w:ind w:left="1469" w:hanging="712"/>
      </w:pPr>
      <w:rPr>
        <w:rFonts w:hint="default"/>
        <w:lang w:val="es-ES" w:eastAsia="en-US" w:bidi="ar-SA"/>
      </w:rPr>
    </w:lvl>
    <w:lvl w:ilvl="4" w:tplc="79FA0250">
      <w:numFmt w:val="bullet"/>
      <w:lvlText w:val="•"/>
      <w:lvlJc w:val="left"/>
      <w:pPr>
        <w:ind w:left="1926" w:hanging="712"/>
      </w:pPr>
      <w:rPr>
        <w:rFonts w:hint="default"/>
        <w:lang w:val="es-ES" w:eastAsia="en-US" w:bidi="ar-SA"/>
      </w:rPr>
    </w:lvl>
    <w:lvl w:ilvl="5" w:tplc="27D46666">
      <w:numFmt w:val="bullet"/>
      <w:lvlText w:val="•"/>
      <w:lvlJc w:val="left"/>
      <w:pPr>
        <w:ind w:left="2382" w:hanging="712"/>
      </w:pPr>
      <w:rPr>
        <w:rFonts w:hint="default"/>
        <w:lang w:val="es-ES" w:eastAsia="en-US" w:bidi="ar-SA"/>
      </w:rPr>
    </w:lvl>
    <w:lvl w:ilvl="6" w:tplc="C064704C">
      <w:numFmt w:val="bullet"/>
      <w:lvlText w:val="•"/>
      <w:lvlJc w:val="left"/>
      <w:pPr>
        <w:ind w:left="2839" w:hanging="712"/>
      </w:pPr>
      <w:rPr>
        <w:rFonts w:hint="default"/>
        <w:lang w:val="es-ES" w:eastAsia="en-US" w:bidi="ar-SA"/>
      </w:rPr>
    </w:lvl>
    <w:lvl w:ilvl="7" w:tplc="84844F66">
      <w:numFmt w:val="bullet"/>
      <w:lvlText w:val="•"/>
      <w:lvlJc w:val="left"/>
      <w:pPr>
        <w:ind w:left="3295" w:hanging="712"/>
      </w:pPr>
      <w:rPr>
        <w:rFonts w:hint="default"/>
        <w:lang w:val="es-ES" w:eastAsia="en-US" w:bidi="ar-SA"/>
      </w:rPr>
    </w:lvl>
    <w:lvl w:ilvl="8" w:tplc="71288E9E">
      <w:numFmt w:val="bullet"/>
      <w:lvlText w:val="•"/>
      <w:lvlJc w:val="left"/>
      <w:pPr>
        <w:ind w:left="3752" w:hanging="712"/>
      </w:pPr>
      <w:rPr>
        <w:rFonts w:hint="default"/>
        <w:lang w:val="es-ES" w:eastAsia="en-US" w:bidi="ar-SA"/>
      </w:rPr>
    </w:lvl>
  </w:abstractNum>
  <w:abstractNum w:abstractNumId="2" w15:restartNumberingAfterBreak="0">
    <w:nsid w:val="02B74458"/>
    <w:multiLevelType w:val="multilevel"/>
    <w:tmpl w:val="BB2AD290"/>
    <w:lvl w:ilvl="0">
      <w:start w:val="1"/>
      <w:numFmt w:val="decimal"/>
      <w:lvlText w:val="%1."/>
      <w:lvlJc w:val="left"/>
      <w:pPr>
        <w:tabs>
          <w:tab w:val="decimal" w:pos="432"/>
        </w:tabs>
        <w:ind w:left="720"/>
      </w:pPr>
      <w:rPr>
        <w:rFonts w:ascii="Times New Roman" w:hAnsi="Times New Roman" w:cs="Times New Roman" w:hint="default"/>
        <w:strike w:val="0"/>
        <w:color w:val="000000"/>
        <w:spacing w:val="33"/>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F567C7"/>
    <w:multiLevelType w:val="hybridMultilevel"/>
    <w:tmpl w:val="7CA41A48"/>
    <w:lvl w:ilvl="0" w:tplc="7F58CA8C">
      <w:start w:val="1"/>
      <w:numFmt w:val="upperRoman"/>
      <w:lvlText w:val="%1."/>
      <w:lvlJc w:val="left"/>
      <w:pPr>
        <w:ind w:left="720" w:hanging="720"/>
      </w:pPr>
      <w:rPr>
        <w:rFonts w:ascii="Times New Roman" w:eastAsia="Microsoft Sans Serif" w:hAnsi="Times New Roman" w:cs="Times New Roman" w:hint="default"/>
        <w:b w:val="0"/>
        <w:bCs w:val="0"/>
        <w:i w:val="0"/>
        <w:iCs w:val="0"/>
        <w:spacing w:val="0"/>
        <w:w w:val="100"/>
        <w:sz w:val="24"/>
        <w:szCs w:val="24"/>
        <w:lang w:val="es-ES" w:eastAsia="en-US" w:bidi="ar-SA"/>
      </w:rPr>
    </w:lvl>
    <w:lvl w:ilvl="1" w:tplc="E76CC0E8">
      <w:numFmt w:val="bullet"/>
      <w:lvlText w:val="•"/>
      <w:lvlJc w:val="left"/>
      <w:pPr>
        <w:ind w:left="1567" w:hanging="720"/>
      </w:pPr>
      <w:rPr>
        <w:rFonts w:hint="default"/>
        <w:lang w:val="es-ES" w:eastAsia="en-US" w:bidi="ar-SA"/>
      </w:rPr>
    </w:lvl>
    <w:lvl w:ilvl="2" w:tplc="1DE41A86">
      <w:numFmt w:val="bullet"/>
      <w:lvlText w:val="•"/>
      <w:lvlJc w:val="left"/>
      <w:pPr>
        <w:ind w:left="2411" w:hanging="720"/>
      </w:pPr>
      <w:rPr>
        <w:rFonts w:hint="default"/>
        <w:lang w:val="es-ES" w:eastAsia="en-US" w:bidi="ar-SA"/>
      </w:rPr>
    </w:lvl>
    <w:lvl w:ilvl="3" w:tplc="E47637E0">
      <w:numFmt w:val="bullet"/>
      <w:lvlText w:val="•"/>
      <w:lvlJc w:val="left"/>
      <w:pPr>
        <w:ind w:left="3255" w:hanging="720"/>
      </w:pPr>
      <w:rPr>
        <w:rFonts w:hint="default"/>
        <w:lang w:val="es-ES" w:eastAsia="en-US" w:bidi="ar-SA"/>
      </w:rPr>
    </w:lvl>
    <w:lvl w:ilvl="4" w:tplc="1CD46B32">
      <w:numFmt w:val="bullet"/>
      <w:lvlText w:val="•"/>
      <w:lvlJc w:val="left"/>
      <w:pPr>
        <w:ind w:left="4099" w:hanging="720"/>
      </w:pPr>
      <w:rPr>
        <w:rFonts w:hint="default"/>
        <w:lang w:val="es-ES" w:eastAsia="en-US" w:bidi="ar-SA"/>
      </w:rPr>
    </w:lvl>
    <w:lvl w:ilvl="5" w:tplc="B5703E0E">
      <w:numFmt w:val="bullet"/>
      <w:lvlText w:val="•"/>
      <w:lvlJc w:val="left"/>
      <w:pPr>
        <w:ind w:left="4943" w:hanging="720"/>
      </w:pPr>
      <w:rPr>
        <w:rFonts w:hint="default"/>
        <w:lang w:val="es-ES" w:eastAsia="en-US" w:bidi="ar-SA"/>
      </w:rPr>
    </w:lvl>
    <w:lvl w:ilvl="6" w:tplc="FCFE2364">
      <w:numFmt w:val="bullet"/>
      <w:lvlText w:val="•"/>
      <w:lvlJc w:val="left"/>
      <w:pPr>
        <w:ind w:left="5787" w:hanging="720"/>
      </w:pPr>
      <w:rPr>
        <w:rFonts w:hint="default"/>
        <w:lang w:val="es-ES" w:eastAsia="en-US" w:bidi="ar-SA"/>
      </w:rPr>
    </w:lvl>
    <w:lvl w:ilvl="7" w:tplc="2A320662">
      <w:numFmt w:val="bullet"/>
      <w:lvlText w:val="•"/>
      <w:lvlJc w:val="left"/>
      <w:pPr>
        <w:ind w:left="6631" w:hanging="720"/>
      </w:pPr>
      <w:rPr>
        <w:rFonts w:hint="default"/>
        <w:lang w:val="es-ES" w:eastAsia="en-US" w:bidi="ar-SA"/>
      </w:rPr>
    </w:lvl>
    <w:lvl w:ilvl="8" w:tplc="26D05C20">
      <w:numFmt w:val="bullet"/>
      <w:lvlText w:val="•"/>
      <w:lvlJc w:val="left"/>
      <w:pPr>
        <w:ind w:left="7475" w:hanging="720"/>
      </w:pPr>
      <w:rPr>
        <w:rFonts w:hint="default"/>
        <w:lang w:val="es-ES" w:eastAsia="en-US" w:bidi="ar-SA"/>
      </w:rPr>
    </w:lvl>
  </w:abstractNum>
  <w:abstractNum w:abstractNumId="4" w15:restartNumberingAfterBreak="0">
    <w:nsid w:val="06CC6262"/>
    <w:multiLevelType w:val="hybridMultilevel"/>
    <w:tmpl w:val="B168697C"/>
    <w:lvl w:ilvl="0" w:tplc="177C6064">
      <w:start w:val="1"/>
      <w:numFmt w:val="upperRoman"/>
      <w:lvlText w:val="%1."/>
      <w:lvlJc w:val="left"/>
      <w:pPr>
        <w:ind w:left="1080"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66263784">
      <w:numFmt w:val="bullet"/>
      <w:lvlText w:val="•"/>
      <w:lvlJc w:val="left"/>
      <w:pPr>
        <w:ind w:left="1980" w:hanging="494"/>
      </w:pPr>
      <w:rPr>
        <w:rFonts w:hint="default"/>
        <w:lang w:val="es-ES" w:eastAsia="en-US" w:bidi="ar-SA"/>
      </w:rPr>
    </w:lvl>
    <w:lvl w:ilvl="2" w:tplc="28DCE640">
      <w:numFmt w:val="bullet"/>
      <w:lvlText w:val="•"/>
      <w:lvlJc w:val="left"/>
      <w:pPr>
        <w:ind w:left="2880" w:hanging="494"/>
      </w:pPr>
      <w:rPr>
        <w:rFonts w:hint="default"/>
        <w:lang w:val="es-ES" w:eastAsia="en-US" w:bidi="ar-SA"/>
      </w:rPr>
    </w:lvl>
    <w:lvl w:ilvl="3" w:tplc="E47AD586">
      <w:numFmt w:val="bullet"/>
      <w:lvlText w:val="•"/>
      <w:lvlJc w:val="left"/>
      <w:pPr>
        <w:ind w:left="3780" w:hanging="494"/>
      </w:pPr>
      <w:rPr>
        <w:rFonts w:hint="default"/>
        <w:lang w:val="es-ES" w:eastAsia="en-US" w:bidi="ar-SA"/>
      </w:rPr>
    </w:lvl>
    <w:lvl w:ilvl="4" w:tplc="14CAFEA8">
      <w:numFmt w:val="bullet"/>
      <w:lvlText w:val="•"/>
      <w:lvlJc w:val="left"/>
      <w:pPr>
        <w:ind w:left="4680" w:hanging="494"/>
      </w:pPr>
      <w:rPr>
        <w:rFonts w:hint="default"/>
        <w:lang w:val="es-ES" w:eastAsia="en-US" w:bidi="ar-SA"/>
      </w:rPr>
    </w:lvl>
    <w:lvl w:ilvl="5" w:tplc="FCAAC8AC">
      <w:numFmt w:val="bullet"/>
      <w:lvlText w:val="•"/>
      <w:lvlJc w:val="left"/>
      <w:pPr>
        <w:ind w:left="5580" w:hanging="494"/>
      </w:pPr>
      <w:rPr>
        <w:rFonts w:hint="default"/>
        <w:lang w:val="es-ES" w:eastAsia="en-US" w:bidi="ar-SA"/>
      </w:rPr>
    </w:lvl>
    <w:lvl w:ilvl="6" w:tplc="02DCF3BE">
      <w:numFmt w:val="bullet"/>
      <w:lvlText w:val="•"/>
      <w:lvlJc w:val="left"/>
      <w:pPr>
        <w:ind w:left="6480" w:hanging="494"/>
      </w:pPr>
      <w:rPr>
        <w:rFonts w:hint="default"/>
        <w:lang w:val="es-ES" w:eastAsia="en-US" w:bidi="ar-SA"/>
      </w:rPr>
    </w:lvl>
    <w:lvl w:ilvl="7" w:tplc="5712AEE8">
      <w:numFmt w:val="bullet"/>
      <w:lvlText w:val="•"/>
      <w:lvlJc w:val="left"/>
      <w:pPr>
        <w:ind w:left="7380" w:hanging="494"/>
      </w:pPr>
      <w:rPr>
        <w:rFonts w:hint="default"/>
        <w:lang w:val="es-ES" w:eastAsia="en-US" w:bidi="ar-SA"/>
      </w:rPr>
    </w:lvl>
    <w:lvl w:ilvl="8" w:tplc="81A044B4">
      <w:numFmt w:val="bullet"/>
      <w:lvlText w:val="•"/>
      <w:lvlJc w:val="left"/>
      <w:pPr>
        <w:ind w:left="8280" w:hanging="494"/>
      </w:pPr>
      <w:rPr>
        <w:rFonts w:hint="default"/>
        <w:lang w:val="es-ES" w:eastAsia="en-US" w:bidi="ar-SA"/>
      </w:rPr>
    </w:lvl>
  </w:abstractNum>
  <w:abstractNum w:abstractNumId="5" w15:restartNumberingAfterBreak="0">
    <w:nsid w:val="073B1D17"/>
    <w:multiLevelType w:val="hybridMultilevel"/>
    <w:tmpl w:val="B3CC356E"/>
    <w:lvl w:ilvl="0" w:tplc="17C05FA8">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CA686F02">
      <w:numFmt w:val="bullet"/>
      <w:lvlText w:val="•"/>
      <w:lvlJc w:val="left"/>
      <w:pPr>
        <w:ind w:left="2304" w:hanging="720"/>
      </w:pPr>
      <w:rPr>
        <w:rFonts w:hint="default"/>
        <w:lang w:val="es-ES" w:eastAsia="en-US" w:bidi="ar-SA"/>
      </w:rPr>
    </w:lvl>
    <w:lvl w:ilvl="2" w:tplc="3FF60FA8">
      <w:numFmt w:val="bullet"/>
      <w:lvlText w:val="•"/>
      <w:lvlJc w:val="left"/>
      <w:pPr>
        <w:ind w:left="3168" w:hanging="720"/>
      </w:pPr>
      <w:rPr>
        <w:rFonts w:hint="default"/>
        <w:lang w:val="es-ES" w:eastAsia="en-US" w:bidi="ar-SA"/>
      </w:rPr>
    </w:lvl>
    <w:lvl w:ilvl="3" w:tplc="24C05B72">
      <w:numFmt w:val="bullet"/>
      <w:lvlText w:val="•"/>
      <w:lvlJc w:val="left"/>
      <w:pPr>
        <w:ind w:left="4032" w:hanging="720"/>
      </w:pPr>
      <w:rPr>
        <w:rFonts w:hint="default"/>
        <w:lang w:val="es-ES" w:eastAsia="en-US" w:bidi="ar-SA"/>
      </w:rPr>
    </w:lvl>
    <w:lvl w:ilvl="4" w:tplc="88443698">
      <w:numFmt w:val="bullet"/>
      <w:lvlText w:val="•"/>
      <w:lvlJc w:val="left"/>
      <w:pPr>
        <w:ind w:left="4896" w:hanging="720"/>
      </w:pPr>
      <w:rPr>
        <w:rFonts w:hint="default"/>
        <w:lang w:val="es-ES" w:eastAsia="en-US" w:bidi="ar-SA"/>
      </w:rPr>
    </w:lvl>
    <w:lvl w:ilvl="5" w:tplc="E612DCF0">
      <w:numFmt w:val="bullet"/>
      <w:lvlText w:val="•"/>
      <w:lvlJc w:val="left"/>
      <w:pPr>
        <w:ind w:left="5760" w:hanging="720"/>
      </w:pPr>
      <w:rPr>
        <w:rFonts w:hint="default"/>
        <w:lang w:val="es-ES" w:eastAsia="en-US" w:bidi="ar-SA"/>
      </w:rPr>
    </w:lvl>
    <w:lvl w:ilvl="6" w:tplc="5B86A1EC">
      <w:numFmt w:val="bullet"/>
      <w:lvlText w:val="•"/>
      <w:lvlJc w:val="left"/>
      <w:pPr>
        <w:ind w:left="6624" w:hanging="720"/>
      </w:pPr>
      <w:rPr>
        <w:rFonts w:hint="default"/>
        <w:lang w:val="es-ES" w:eastAsia="en-US" w:bidi="ar-SA"/>
      </w:rPr>
    </w:lvl>
    <w:lvl w:ilvl="7" w:tplc="840E9DB8">
      <w:numFmt w:val="bullet"/>
      <w:lvlText w:val="•"/>
      <w:lvlJc w:val="left"/>
      <w:pPr>
        <w:ind w:left="7488" w:hanging="720"/>
      </w:pPr>
      <w:rPr>
        <w:rFonts w:hint="default"/>
        <w:lang w:val="es-ES" w:eastAsia="en-US" w:bidi="ar-SA"/>
      </w:rPr>
    </w:lvl>
    <w:lvl w:ilvl="8" w:tplc="2FB8FC22">
      <w:numFmt w:val="bullet"/>
      <w:lvlText w:val="•"/>
      <w:lvlJc w:val="left"/>
      <w:pPr>
        <w:ind w:left="8352" w:hanging="720"/>
      </w:pPr>
      <w:rPr>
        <w:rFonts w:hint="default"/>
        <w:lang w:val="es-ES" w:eastAsia="en-US" w:bidi="ar-SA"/>
      </w:rPr>
    </w:lvl>
  </w:abstractNum>
  <w:abstractNum w:abstractNumId="6" w15:restartNumberingAfterBreak="0">
    <w:nsid w:val="0B9D31FF"/>
    <w:multiLevelType w:val="hybridMultilevel"/>
    <w:tmpl w:val="7894614E"/>
    <w:lvl w:ilvl="0" w:tplc="5C161F36">
      <w:start w:val="1"/>
      <w:numFmt w:val="upperRoman"/>
      <w:lvlText w:val="%1."/>
      <w:lvlJc w:val="left"/>
      <w:pPr>
        <w:ind w:left="276" w:hanging="167"/>
      </w:pPr>
      <w:rPr>
        <w:rFonts w:ascii="Arial MT" w:eastAsia="Arial MT" w:hAnsi="Arial MT" w:cs="Arial MT" w:hint="default"/>
        <w:b w:val="0"/>
        <w:bCs w:val="0"/>
        <w:i w:val="0"/>
        <w:iCs w:val="0"/>
        <w:spacing w:val="-1"/>
        <w:w w:val="100"/>
        <w:sz w:val="20"/>
        <w:szCs w:val="20"/>
        <w:lang w:val="es-ES" w:eastAsia="en-US" w:bidi="ar-SA"/>
      </w:rPr>
    </w:lvl>
    <w:lvl w:ilvl="1" w:tplc="E27A23BE">
      <w:numFmt w:val="bullet"/>
      <w:lvlText w:val="•"/>
      <w:lvlJc w:val="left"/>
      <w:pPr>
        <w:ind w:left="718" w:hanging="167"/>
      </w:pPr>
      <w:rPr>
        <w:rFonts w:hint="default"/>
        <w:lang w:val="es-ES" w:eastAsia="en-US" w:bidi="ar-SA"/>
      </w:rPr>
    </w:lvl>
    <w:lvl w:ilvl="2" w:tplc="87B49EE0">
      <w:numFmt w:val="bullet"/>
      <w:lvlText w:val="•"/>
      <w:lvlJc w:val="left"/>
      <w:pPr>
        <w:ind w:left="1157" w:hanging="167"/>
      </w:pPr>
      <w:rPr>
        <w:rFonts w:hint="default"/>
        <w:lang w:val="es-ES" w:eastAsia="en-US" w:bidi="ar-SA"/>
      </w:rPr>
    </w:lvl>
    <w:lvl w:ilvl="3" w:tplc="7C3EE500">
      <w:numFmt w:val="bullet"/>
      <w:lvlText w:val="•"/>
      <w:lvlJc w:val="left"/>
      <w:pPr>
        <w:ind w:left="1595" w:hanging="167"/>
      </w:pPr>
      <w:rPr>
        <w:rFonts w:hint="default"/>
        <w:lang w:val="es-ES" w:eastAsia="en-US" w:bidi="ar-SA"/>
      </w:rPr>
    </w:lvl>
    <w:lvl w:ilvl="4" w:tplc="F816FB4E">
      <w:numFmt w:val="bullet"/>
      <w:lvlText w:val="•"/>
      <w:lvlJc w:val="left"/>
      <w:pPr>
        <w:ind w:left="2034" w:hanging="167"/>
      </w:pPr>
      <w:rPr>
        <w:rFonts w:hint="default"/>
        <w:lang w:val="es-ES" w:eastAsia="en-US" w:bidi="ar-SA"/>
      </w:rPr>
    </w:lvl>
    <w:lvl w:ilvl="5" w:tplc="A798E30A">
      <w:numFmt w:val="bullet"/>
      <w:lvlText w:val="•"/>
      <w:lvlJc w:val="left"/>
      <w:pPr>
        <w:ind w:left="2472" w:hanging="167"/>
      </w:pPr>
      <w:rPr>
        <w:rFonts w:hint="default"/>
        <w:lang w:val="es-ES" w:eastAsia="en-US" w:bidi="ar-SA"/>
      </w:rPr>
    </w:lvl>
    <w:lvl w:ilvl="6" w:tplc="BC545620">
      <w:numFmt w:val="bullet"/>
      <w:lvlText w:val="•"/>
      <w:lvlJc w:val="left"/>
      <w:pPr>
        <w:ind w:left="2911" w:hanging="167"/>
      </w:pPr>
      <w:rPr>
        <w:rFonts w:hint="default"/>
        <w:lang w:val="es-ES" w:eastAsia="en-US" w:bidi="ar-SA"/>
      </w:rPr>
    </w:lvl>
    <w:lvl w:ilvl="7" w:tplc="911A3D3C">
      <w:numFmt w:val="bullet"/>
      <w:lvlText w:val="•"/>
      <w:lvlJc w:val="left"/>
      <w:pPr>
        <w:ind w:left="3349" w:hanging="167"/>
      </w:pPr>
      <w:rPr>
        <w:rFonts w:hint="default"/>
        <w:lang w:val="es-ES" w:eastAsia="en-US" w:bidi="ar-SA"/>
      </w:rPr>
    </w:lvl>
    <w:lvl w:ilvl="8" w:tplc="B4C8FFAC">
      <w:numFmt w:val="bullet"/>
      <w:lvlText w:val="•"/>
      <w:lvlJc w:val="left"/>
      <w:pPr>
        <w:ind w:left="3788" w:hanging="167"/>
      </w:pPr>
      <w:rPr>
        <w:rFonts w:hint="default"/>
        <w:lang w:val="es-ES" w:eastAsia="en-US" w:bidi="ar-SA"/>
      </w:rPr>
    </w:lvl>
  </w:abstractNum>
  <w:abstractNum w:abstractNumId="7" w15:restartNumberingAfterBreak="0">
    <w:nsid w:val="0CC8123E"/>
    <w:multiLevelType w:val="hybridMultilevel"/>
    <w:tmpl w:val="06F6636C"/>
    <w:lvl w:ilvl="0" w:tplc="AD0671B6">
      <w:start w:val="15"/>
      <w:numFmt w:val="upperRoman"/>
      <w:lvlText w:val="%1."/>
      <w:lvlJc w:val="left"/>
      <w:pPr>
        <w:ind w:left="105" w:hanging="526"/>
      </w:pPr>
      <w:rPr>
        <w:rFonts w:ascii="Arial" w:eastAsia="Arial" w:hAnsi="Arial" w:cs="Arial" w:hint="default"/>
        <w:b/>
        <w:bCs/>
        <w:i w:val="0"/>
        <w:iCs w:val="0"/>
        <w:spacing w:val="-2"/>
        <w:w w:val="100"/>
        <w:sz w:val="20"/>
        <w:szCs w:val="20"/>
        <w:lang w:val="es-ES" w:eastAsia="en-US" w:bidi="ar-SA"/>
      </w:rPr>
    </w:lvl>
    <w:lvl w:ilvl="1" w:tplc="F17A5F0C">
      <w:numFmt w:val="bullet"/>
      <w:lvlText w:val="•"/>
      <w:lvlJc w:val="left"/>
      <w:pPr>
        <w:ind w:left="556" w:hanging="526"/>
      </w:pPr>
      <w:rPr>
        <w:rFonts w:hint="default"/>
        <w:lang w:val="es-ES" w:eastAsia="en-US" w:bidi="ar-SA"/>
      </w:rPr>
    </w:lvl>
    <w:lvl w:ilvl="2" w:tplc="BB18FF3C">
      <w:numFmt w:val="bullet"/>
      <w:lvlText w:val="•"/>
      <w:lvlJc w:val="left"/>
      <w:pPr>
        <w:ind w:left="1013" w:hanging="526"/>
      </w:pPr>
      <w:rPr>
        <w:rFonts w:hint="default"/>
        <w:lang w:val="es-ES" w:eastAsia="en-US" w:bidi="ar-SA"/>
      </w:rPr>
    </w:lvl>
    <w:lvl w:ilvl="3" w:tplc="31B0848A">
      <w:numFmt w:val="bullet"/>
      <w:lvlText w:val="•"/>
      <w:lvlJc w:val="left"/>
      <w:pPr>
        <w:ind w:left="1469" w:hanging="526"/>
      </w:pPr>
      <w:rPr>
        <w:rFonts w:hint="default"/>
        <w:lang w:val="es-ES" w:eastAsia="en-US" w:bidi="ar-SA"/>
      </w:rPr>
    </w:lvl>
    <w:lvl w:ilvl="4" w:tplc="16FC150E">
      <w:numFmt w:val="bullet"/>
      <w:lvlText w:val="•"/>
      <w:lvlJc w:val="left"/>
      <w:pPr>
        <w:ind w:left="1926" w:hanging="526"/>
      </w:pPr>
      <w:rPr>
        <w:rFonts w:hint="default"/>
        <w:lang w:val="es-ES" w:eastAsia="en-US" w:bidi="ar-SA"/>
      </w:rPr>
    </w:lvl>
    <w:lvl w:ilvl="5" w:tplc="20AA930E">
      <w:numFmt w:val="bullet"/>
      <w:lvlText w:val="•"/>
      <w:lvlJc w:val="left"/>
      <w:pPr>
        <w:ind w:left="2382" w:hanging="526"/>
      </w:pPr>
      <w:rPr>
        <w:rFonts w:hint="default"/>
        <w:lang w:val="es-ES" w:eastAsia="en-US" w:bidi="ar-SA"/>
      </w:rPr>
    </w:lvl>
    <w:lvl w:ilvl="6" w:tplc="FD2ADBEC">
      <w:numFmt w:val="bullet"/>
      <w:lvlText w:val="•"/>
      <w:lvlJc w:val="left"/>
      <w:pPr>
        <w:ind w:left="2839" w:hanging="526"/>
      </w:pPr>
      <w:rPr>
        <w:rFonts w:hint="default"/>
        <w:lang w:val="es-ES" w:eastAsia="en-US" w:bidi="ar-SA"/>
      </w:rPr>
    </w:lvl>
    <w:lvl w:ilvl="7" w:tplc="AA4A5B8E">
      <w:numFmt w:val="bullet"/>
      <w:lvlText w:val="•"/>
      <w:lvlJc w:val="left"/>
      <w:pPr>
        <w:ind w:left="3295" w:hanging="526"/>
      </w:pPr>
      <w:rPr>
        <w:rFonts w:hint="default"/>
        <w:lang w:val="es-ES" w:eastAsia="en-US" w:bidi="ar-SA"/>
      </w:rPr>
    </w:lvl>
    <w:lvl w:ilvl="8" w:tplc="B978E360">
      <w:numFmt w:val="bullet"/>
      <w:lvlText w:val="•"/>
      <w:lvlJc w:val="left"/>
      <w:pPr>
        <w:ind w:left="3752" w:hanging="526"/>
      </w:pPr>
      <w:rPr>
        <w:rFonts w:hint="default"/>
        <w:lang w:val="es-ES" w:eastAsia="en-US" w:bidi="ar-SA"/>
      </w:rPr>
    </w:lvl>
  </w:abstractNum>
  <w:abstractNum w:abstractNumId="8" w15:restartNumberingAfterBreak="0">
    <w:nsid w:val="12E812B0"/>
    <w:multiLevelType w:val="hybridMultilevel"/>
    <w:tmpl w:val="D36A4740"/>
    <w:lvl w:ilvl="0" w:tplc="DA268F0C">
      <w:start w:val="1"/>
      <w:numFmt w:val="lowerLetter"/>
      <w:lvlText w:val="%1)"/>
      <w:lvlJc w:val="left"/>
      <w:pPr>
        <w:ind w:left="36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47445756">
      <w:numFmt w:val="bullet"/>
      <w:lvlText w:val=""/>
      <w:lvlJc w:val="left"/>
      <w:pPr>
        <w:ind w:left="1080" w:hanging="360"/>
      </w:pPr>
      <w:rPr>
        <w:rFonts w:ascii="Symbol" w:eastAsia="Symbol" w:hAnsi="Symbol" w:cs="Symbol" w:hint="default"/>
        <w:b w:val="0"/>
        <w:bCs w:val="0"/>
        <w:i w:val="0"/>
        <w:iCs w:val="0"/>
        <w:spacing w:val="0"/>
        <w:w w:val="100"/>
        <w:sz w:val="24"/>
        <w:szCs w:val="24"/>
        <w:lang w:val="es-ES" w:eastAsia="en-US" w:bidi="ar-SA"/>
      </w:rPr>
    </w:lvl>
    <w:lvl w:ilvl="2" w:tplc="E8664E32">
      <w:numFmt w:val="bullet"/>
      <w:lvlText w:val="•"/>
      <w:lvlJc w:val="left"/>
      <w:pPr>
        <w:ind w:left="2000" w:hanging="360"/>
      </w:pPr>
      <w:rPr>
        <w:rFonts w:hint="default"/>
        <w:lang w:val="es-ES" w:eastAsia="en-US" w:bidi="ar-SA"/>
      </w:rPr>
    </w:lvl>
    <w:lvl w:ilvl="3" w:tplc="4ECA1DA2">
      <w:numFmt w:val="bullet"/>
      <w:lvlText w:val="•"/>
      <w:lvlJc w:val="left"/>
      <w:pPr>
        <w:ind w:left="2920" w:hanging="360"/>
      </w:pPr>
      <w:rPr>
        <w:rFonts w:hint="default"/>
        <w:lang w:val="es-ES" w:eastAsia="en-US" w:bidi="ar-SA"/>
      </w:rPr>
    </w:lvl>
    <w:lvl w:ilvl="4" w:tplc="28162C20">
      <w:numFmt w:val="bullet"/>
      <w:lvlText w:val="•"/>
      <w:lvlJc w:val="left"/>
      <w:pPr>
        <w:ind w:left="3840" w:hanging="360"/>
      </w:pPr>
      <w:rPr>
        <w:rFonts w:hint="default"/>
        <w:lang w:val="es-ES" w:eastAsia="en-US" w:bidi="ar-SA"/>
      </w:rPr>
    </w:lvl>
    <w:lvl w:ilvl="5" w:tplc="486CE366">
      <w:numFmt w:val="bullet"/>
      <w:lvlText w:val="•"/>
      <w:lvlJc w:val="left"/>
      <w:pPr>
        <w:ind w:left="4760" w:hanging="360"/>
      </w:pPr>
      <w:rPr>
        <w:rFonts w:hint="default"/>
        <w:lang w:val="es-ES" w:eastAsia="en-US" w:bidi="ar-SA"/>
      </w:rPr>
    </w:lvl>
    <w:lvl w:ilvl="6" w:tplc="511CF238">
      <w:numFmt w:val="bullet"/>
      <w:lvlText w:val="•"/>
      <w:lvlJc w:val="left"/>
      <w:pPr>
        <w:ind w:left="5680" w:hanging="360"/>
      </w:pPr>
      <w:rPr>
        <w:rFonts w:hint="default"/>
        <w:lang w:val="es-ES" w:eastAsia="en-US" w:bidi="ar-SA"/>
      </w:rPr>
    </w:lvl>
    <w:lvl w:ilvl="7" w:tplc="F1B8BCE4">
      <w:numFmt w:val="bullet"/>
      <w:lvlText w:val="•"/>
      <w:lvlJc w:val="left"/>
      <w:pPr>
        <w:ind w:left="6600" w:hanging="360"/>
      </w:pPr>
      <w:rPr>
        <w:rFonts w:hint="default"/>
        <w:lang w:val="es-ES" w:eastAsia="en-US" w:bidi="ar-SA"/>
      </w:rPr>
    </w:lvl>
    <w:lvl w:ilvl="8" w:tplc="1A569B94">
      <w:numFmt w:val="bullet"/>
      <w:lvlText w:val="•"/>
      <w:lvlJc w:val="left"/>
      <w:pPr>
        <w:ind w:left="7520" w:hanging="360"/>
      </w:pPr>
      <w:rPr>
        <w:rFonts w:hint="default"/>
        <w:lang w:val="es-ES" w:eastAsia="en-US" w:bidi="ar-SA"/>
      </w:rPr>
    </w:lvl>
  </w:abstractNum>
  <w:abstractNum w:abstractNumId="9" w15:restartNumberingAfterBreak="0">
    <w:nsid w:val="13D45146"/>
    <w:multiLevelType w:val="multilevel"/>
    <w:tmpl w:val="6F1631E4"/>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0" w15:restartNumberingAfterBreak="0">
    <w:nsid w:val="14966680"/>
    <w:multiLevelType w:val="hybridMultilevel"/>
    <w:tmpl w:val="5900C8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2A38B8"/>
    <w:multiLevelType w:val="hybridMultilevel"/>
    <w:tmpl w:val="D6D4457E"/>
    <w:lvl w:ilvl="0" w:tplc="770ED0CE">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54189160">
      <w:numFmt w:val="bullet"/>
      <w:lvlText w:val="•"/>
      <w:lvlJc w:val="left"/>
      <w:pPr>
        <w:ind w:left="2304" w:hanging="720"/>
      </w:pPr>
      <w:rPr>
        <w:rFonts w:hint="default"/>
        <w:lang w:val="es-ES" w:eastAsia="en-US" w:bidi="ar-SA"/>
      </w:rPr>
    </w:lvl>
    <w:lvl w:ilvl="2" w:tplc="B656872E">
      <w:numFmt w:val="bullet"/>
      <w:lvlText w:val="•"/>
      <w:lvlJc w:val="left"/>
      <w:pPr>
        <w:ind w:left="3168" w:hanging="720"/>
      </w:pPr>
      <w:rPr>
        <w:rFonts w:hint="default"/>
        <w:lang w:val="es-ES" w:eastAsia="en-US" w:bidi="ar-SA"/>
      </w:rPr>
    </w:lvl>
    <w:lvl w:ilvl="3" w:tplc="801E9F44">
      <w:numFmt w:val="bullet"/>
      <w:lvlText w:val="•"/>
      <w:lvlJc w:val="left"/>
      <w:pPr>
        <w:ind w:left="4032" w:hanging="720"/>
      </w:pPr>
      <w:rPr>
        <w:rFonts w:hint="default"/>
        <w:lang w:val="es-ES" w:eastAsia="en-US" w:bidi="ar-SA"/>
      </w:rPr>
    </w:lvl>
    <w:lvl w:ilvl="4" w:tplc="6884FCCE">
      <w:numFmt w:val="bullet"/>
      <w:lvlText w:val="•"/>
      <w:lvlJc w:val="left"/>
      <w:pPr>
        <w:ind w:left="4896" w:hanging="720"/>
      </w:pPr>
      <w:rPr>
        <w:rFonts w:hint="default"/>
        <w:lang w:val="es-ES" w:eastAsia="en-US" w:bidi="ar-SA"/>
      </w:rPr>
    </w:lvl>
    <w:lvl w:ilvl="5" w:tplc="35E6272C">
      <w:numFmt w:val="bullet"/>
      <w:lvlText w:val="•"/>
      <w:lvlJc w:val="left"/>
      <w:pPr>
        <w:ind w:left="5760" w:hanging="720"/>
      </w:pPr>
      <w:rPr>
        <w:rFonts w:hint="default"/>
        <w:lang w:val="es-ES" w:eastAsia="en-US" w:bidi="ar-SA"/>
      </w:rPr>
    </w:lvl>
    <w:lvl w:ilvl="6" w:tplc="2C02AE2C">
      <w:numFmt w:val="bullet"/>
      <w:lvlText w:val="•"/>
      <w:lvlJc w:val="left"/>
      <w:pPr>
        <w:ind w:left="6624" w:hanging="720"/>
      </w:pPr>
      <w:rPr>
        <w:rFonts w:hint="default"/>
        <w:lang w:val="es-ES" w:eastAsia="en-US" w:bidi="ar-SA"/>
      </w:rPr>
    </w:lvl>
    <w:lvl w:ilvl="7" w:tplc="5B2E6CB4">
      <w:numFmt w:val="bullet"/>
      <w:lvlText w:val="•"/>
      <w:lvlJc w:val="left"/>
      <w:pPr>
        <w:ind w:left="7488" w:hanging="720"/>
      </w:pPr>
      <w:rPr>
        <w:rFonts w:hint="default"/>
        <w:lang w:val="es-ES" w:eastAsia="en-US" w:bidi="ar-SA"/>
      </w:rPr>
    </w:lvl>
    <w:lvl w:ilvl="8" w:tplc="BEE614AC">
      <w:numFmt w:val="bullet"/>
      <w:lvlText w:val="•"/>
      <w:lvlJc w:val="left"/>
      <w:pPr>
        <w:ind w:left="8352" w:hanging="720"/>
      </w:pPr>
      <w:rPr>
        <w:rFonts w:hint="default"/>
        <w:lang w:val="es-ES" w:eastAsia="en-US" w:bidi="ar-SA"/>
      </w:rPr>
    </w:lvl>
  </w:abstractNum>
  <w:abstractNum w:abstractNumId="12" w15:restartNumberingAfterBreak="0">
    <w:nsid w:val="1907648A"/>
    <w:multiLevelType w:val="hybridMultilevel"/>
    <w:tmpl w:val="9C1C442C"/>
    <w:lvl w:ilvl="0" w:tplc="E2800DCC">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351A9146">
      <w:numFmt w:val="bullet"/>
      <w:lvlText w:val="•"/>
      <w:lvlJc w:val="left"/>
      <w:pPr>
        <w:ind w:left="2304" w:hanging="720"/>
      </w:pPr>
      <w:rPr>
        <w:rFonts w:hint="default"/>
        <w:lang w:val="es-ES" w:eastAsia="en-US" w:bidi="ar-SA"/>
      </w:rPr>
    </w:lvl>
    <w:lvl w:ilvl="2" w:tplc="AA4A7F14">
      <w:numFmt w:val="bullet"/>
      <w:lvlText w:val="•"/>
      <w:lvlJc w:val="left"/>
      <w:pPr>
        <w:ind w:left="3168" w:hanging="720"/>
      </w:pPr>
      <w:rPr>
        <w:rFonts w:hint="default"/>
        <w:lang w:val="es-ES" w:eastAsia="en-US" w:bidi="ar-SA"/>
      </w:rPr>
    </w:lvl>
    <w:lvl w:ilvl="3" w:tplc="9924A8FE">
      <w:numFmt w:val="bullet"/>
      <w:lvlText w:val="•"/>
      <w:lvlJc w:val="left"/>
      <w:pPr>
        <w:ind w:left="4032" w:hanging="720"/>
      </w:pPr>
      <w:rPr>
        <w:rFonts w:hint="default"/>
        <w:lang w:val="es-ES" w:eastAsia="en-US" w:bidi="ar-SA"/>
      </w:rPr>
    </w:lvl>
    <w:lvl w:ilvl="4" w:tplc="B18E317E">
      <w:numFmt w:val="bullet"/>
      <w:lvlText w:val="•"/>
      <w:lvlJc w:val="left"/>
      <w:pPr>
        <w:ind w:left="4896" w:hanging="720"/>
      </w:pPr>
      <w:rPr>
        <w:rFonts w:hint="default"/>
        <w:lang w:val="es-ES" w:eastAsia="en-US" w:bidi="ar-SA"/>
      </w:rPr>
    </w:lvl>
    <w:lvl w:ilvl="5" w:tplc="3E38587E">
      <w:numFmt w:val="bullet"/>
      <w:lvlText w:val="•"/>
      <w:lvlJc w:val="left"/>
      <w:pPr>
        <w:ind w:left="5760" w:hanging="720"/>
      </w:pPr>
      <w:rPr>
        <w:rFonts w:hint="default"/>
        <w:lang w:val="es-ES" w:eastAsia="en-US" w:bidi="ar-SA"/>
      </w:rPr>
    </w:lvl>
    <w:lvl w:ilvl="6" w:tplc="5C2C7BC2">
      <w:numFmt w:val="bullet"/>
      <w:lvlText w:val="•"/>
      <w:lvlJc w:val="left"/>
      <w:pPr>
        <w:ind w:left="6624" w:hanging="720"/>
      </w:pPr>
      <w:rPr>
        <w:rFonts w:hint="default"/>
        <w:lang w:val="es-ES" w:eastAsia="en-US" w:bidi="ar-SA"/>
      </w:rPr>
    </w:lvl>
    <w:lvl w:ilvl="7" w:tplc="3FB67434">
      <w:numFmt w:val="bullet"/>
      <w:lvlText w:val="•"/>
      <w:lvlJc w:val="left"/>
      <w:pPr>
        <w:ind w:left="7488" w:hanging="720"/>
      </w:pPr>
      <w:rPr>
        <w:rFonts w:hint="default"/>
        <w:lang w:val="es-ES" w:eastAsia="en-US" w:bidi="ar-SA"/>
      </w:rPr>
    </w:lvl>
    <w:lvl w:ilvl="8" w:tplc="56EE7BD8">
      <w:numFmt w:val="bullet"/>
      <w:lvlText w:val="•"/>
      <w:lvlJc w:val="left"/>
      <w:pPr>
        <w:ind w:left="8352" w:hanging="720"/>
      </w:pPr>
      <w:rPr>
        <w:rFonts w:hint="default"/>
        <w:lang w:val="es-ES" w:eastAsia="en-US" w:bidi="ar-SA"/>
      </w:rPr>
    </w:lvl>
  </w:abstractNum>
  <w:abstractNum w:abstractNumId="13" w15:restartNumberingAfterBreak="0">
    <w:nsid w:val="19A86AF8"/>
    <w:multiLevelType w:val="hybridMultilevel"/>
    <w:tmpl w:val="CE2E3036"/>
    <w:lvl w:ilvl="0" w:tplc="FF6A26D8">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C2801A60">
      <w:numFmt w:val="bullet"/>
      <w:lvlText w:val="•"/>
      <w:lvlJc w:val="left"/>
      <w:pPr>
        <w:ind w:left="2304" w:hanging="720"/>
      </w:pPr>
      <w:rPr>
        <w:rFonts w:hint="default"/>
        <w:lang w:val="es-ES" w:eastAsia="en-US" w:bidi="ar-SA"/>
      </w:rPr>
    </w:lvl>
    <w:lvl w:ilvl="2" w:tplc="3258E74C">
      <w:numFmt w:val="bullet"/>
      <w:lvlText w:val="•"/>
      <w:lvlJc w:val="left"/>
      <w:pPr>
        <w:ind w:left="3168" w:hanging="720"/>
      </w:pPr>
      <w:rPr>
        <w:rFonts w:hint="default"/>
        <w:lang w:val="es-ES" w:eastAsia="en-US" w:bidi="ar-SA"/>
      </w:rPr>
    </w:lvl>
    <w:lvl w:ilvl="3" w:tplc="D04A23F0">
      <w:numFmt w:val="bullet"/>
      <w:lvlText w:val="•"/>
      <w:lvlJc w:val="left"/>
      <w:pPr>
        <w:ind w:left="4032" w:hanging="720"/>
      </w:pPr>
      <w:rPr>
        <w:rFonts w:hint="default"/>
        <w:lang w:val="es-ES" w:eastAsia="en-US" w:bidi="ar-SA"/>
      </w:rPr>
    </w:lvl>
    <w:lvl w:ilvl="4" w:tplc="39ACE77C">
      <w:numFmt w:val="bullet"/>
      <w:lvlText w:val="•"/>
      <w:lvlJc w:val="left"/>
      <w:pPr>
        <w:ind w:left="4896" w:hanging="720"/>
      </w:pPr>
      <w:rPr>
        <w:rFonts w:hint="default"/>
        <w:lang w:val="es-ES" w:eastAsia="en-US" w:bidi="ar-SA"/>
      </w:rPr>
    </w:lvl>
    <w:lvl w:ilvl="5" w:tplc="0C44D894">
      <w:numFmt w:val="bullet"/>
      <w:lvlText w:val="•"/>
      <w:lvlJc w:val="left"/>
      <w:pPr>
        <w:ind w:left="5760" w:hanging="720"/>
      </w:pPr>
      <w:rPr>
        <w:rFonts w:hint="default"/>
        <w:lang w:val="es-ES" w:eastAsia="en-US" w:bidi="ar-SA"/>
      </w:rPr>
    </w:lvl>
    <w:lvl w:ilvl="6" w:tplc="438E1C24">
      <w:numFmt w:val="bullet"/>
      <w:lvlText w:val="•"/>
      <w:lvlJc w:val="left"/>
      <w:pPr>
        <w:ind w:left="6624" w:hanging="720"/>
      </w:pPr>
      <w:rPr>
        <w:rFonts w:hint="default"/>
        <w:lang w:val="es-ES" w:eastAsia="en-US" w:bidi="ar-SA"/>
      </w:rPr>
    </w:lvl>
    <w:lvl w:ilvl="7" w:tplc="D8249B94">
      <w:numFmt w:val="bullet"/>
      <w:lvlText w:val="•"/>
      <w:lvlJc w:val="left"/>
      <w:pPr>
        <w:ind w:left="7488" w:hanging="720"/>
      </w:pPr>
      <w:rPr>
        <w:rFonts w:hint="default"/>
        <w:lang w:val="es-ES" w:eastAsia="en-US" w:bidi="ar-SA"/>
      </w:rPr>
    </w:lvl>
    <w:lvl w:ilvl="8" w:tplc="2884D7B2">
      <w:numFmt w:val="bullet"/>
      <w:lvlText w:val="•"/>
      <w:lvlJc w:val="left"/>
      <w:pPr>
        <w:ind w:left="8352" w:hanging="720"/>
      </w:pPr>
      <w:rPr>
        <w:rFonts w:hint="default"/>
        <w:lang w:val="es-ES" w:eastAsia="en-US" w:bidi="ar-SA"/>
      </w:rPr>
    </w:lvl>
  </w:abstractNum>
  <w:abstractNum w:abstractNumId="14" w15:restartNumberingAfterBreak="0">
    <w:nsid w:val="1A987D5B"/>
    <w:multiLevelType w:val="hybridMultilevel"/>
    <w:tmpl w:val="1A4E799C"/>
    <w:lvl w:ilvl="0" w:tplc="E032585C">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36249366">
      <w:numFmt w:val="bullet"/>
      <w:lvlText w:val="•"/>
      <w:lvlJc w:val="left"/>
      <w:pPr>
        <w:ind w:left="2304" w:hanging="720"/>
      </w:pPr>
      <w:rPr>
        <w:rFonts w:hint="default"/>
        <w:lang w:val="es-ES" w:eastAsia="en-US" w:bidi="ar-SA"/>
      </w:rPr>
    </w:lvl>
    <w:lvl w:ilvl="2" w:tplc="5588CA16">
      <w:numFmt w:val="bullet"/>
      <w:lvlText w:val="•"/>
      <w:lvlJc w:val="left"/>
      <w:pPr>
        <w:ind w:left="3168" w:hanging="720"/>
      </w:pPr>
      <w:rPr>
        <w:rFonts w:hint="default"/>
        <w:lang w:val="es-ES" w:eastAsia="en-US" w:bidi="ar-SA"/>
      </w:rPr>
    </w:lvl>
    <w:lvl w:ilvl="3" w:tplc="4CB07860">
      <w:numFmt w:val="bullet"/>
      <w:lvlText w:val="•"/>
      <w:lvlJc w:val="left"/>
      <w:pPr>
        <w:ind w:left="4032" w:hanging="720"/>
      </w:pPr>
      <w:rPr>
        <w:rFonts w:hint="default"/>
        <w:lang w:val="es-ES" w:eastAsia="en-US" w:bidi="ar-SA"/>
      </w:rPr>
    </w:lvl>
    <w:lvl w:ilvl="4" w:tplc="59A8F668">
      <w:numFmt w:val="bullet"/>
      <w:lvlText w:val="•"/>
      <w:lvlJc w:val="left"/>
      <w:pPr>
        <w:ind w:left="4896" w:hanging="720"/>
      </w:pPr>
      <w:rPr>
        <w:rFonts w:hint="default"/>
        <w:lang w:val="es-ES" w:eastAsia="en-US" w:bidi="ar-SA"/>
      </w:rPr>
    </w:lvl>
    <w:lvl w:ilvl="5" w:tplc="B636E26C">
      <w:numFmt w:val="bullet"/>
      <w:lvlText w:val="•"/>
      <w:lvlJc w:val="left"/>
      <w:pPr>
        <w:ind w:left="5760" w:hanging="720"/>
      </w:pPr>
      <w:rPr>
        <w:rFonts w:hint="default"/>
        <w:lang w:val="es-ES" w:eastAsia="en-US" w:bidi="ar-SA"/>
      </w:rPr>
    </w:lvl>
    <w:lvl w:ilvl="6" w:tplc="DE7A8074">
      <w:numFmt w:val="bullet"/>
      <w:lvlText w:val="•"/>
      <w:lvlJc w:val="left"/>
      <w:pPr>
        <w:ind w:left="6624" w:hanging="720"/>
      </w:pPr>
      <w:rPr>
        <w:rFonts w:hint="default"/>
        <w:lang w:val="es-ES" w:eastAsia="en-US" w:bidi="ar-SA"/>
      </w:rPr>
    </w:lvl>
    <w:lvl w:ilvl="7" w:tplc="8B188B8C">
      <w:numFmt w:val="bullet"/>
      <w:lvlText w:val="•"/>
      <w:lvlJc w:val="left"/>
      <w:pPr>
        <w:ind w:left="7488" w:hanging="720"/>
      </w:pPr>
      <w:rPr>
        <w:rFonts w:hint="default"/>
        <w:lang w:val="es-ES" w:eastAsia="en-US" w:bidi="ar-SA"/>
      </w:rPr>
    </w:lvl>
    <w:lvl w:ilvl="8" w:tplc="F27AC0D4">
      <w:numFmt w:val="bullet"/>
      <w:lvlText w:val="•"/>
      <w:lvlJc w:val="left"/>
      <w:pPr>
        <w:ind w:left="8352" w:hanging="720"/>
      </w:pPr>
      <w:rPr>
        <w:rFonts w:hint="default"/>
        <w:lang w:val="es-ES" w:eastAsia="en-US" w:bidi="ar-SA"/>
      </w:rPr>
    </w:lvl>
  </w:abstractNum>
  <w:abstractNum w:abstractNumId="15" w15:restartNumberingAfterBreak="0">
    <w:nsid w:val="1DB43722"/>
    <w:multiLevelType w:val="hybridMultilevel"/>
    <w:tmpl w:val="F112D748"/>
    <w:lvl w:ilvl="0" w:tplc="871A65AE">
      <w:start w:val="1"/>
      <w:numFmt w:val="upperRoman"/>
      <w:lvlText w:val="%1."/>
      <w:lvlJc w:val="left"/>
      <w:pPr>
        <w:ind w:left="398" w:hanging="201"/>
      </w:pPr>
      <w:rPr>
        <w:rFonts w:ascii="Times New Roman" w:eastAsia="Microsoft Sans Serif" w:hAnsi="Times New Roman" w:cs="Times New Roman" w:hint="default"/>
        <w:b w:val="0"/>
        <w:bCs w:val="0"/>
        <w:i w:val="0"/>
        <w:iCs w:val="0"/>
        <w:spacing w:val="0"/>
        <w:w w:val="100"/>
        <w:sz w:val="24"/>
        <w:szCs w:val="24"/>
        <w:lang w:val="es-ES" w:eastAsia="en-US" w:bidi="ar-SA"/>
      </w:rPr>
    </w:lvl>
    <w:lvl w:ilvl="1" w:tplc="51FE01B2">
      <w:numFmt w:val="bullet"/>
      <w:lvlText w:val="•"/>
      <w:lvlJc w:val="left"/>
      <w:pPr>
        <w:ind w:left="1332" w:hanging="201"/>
      </w:pPr>
      <w:rPr>
        <w:rFonts w:hint="default"/>
        <w:lang w:val="es-ES" w:eastAsia="en-US" w:bidi="ar-SA"/>
      </w:rPr>
    </w:lvl>
    <w:lvl w:ilvl="2" w:tplc="446418BC">
      <w:numFmt w:val="bullet"/>
      <w:lvlText w:val="•"/>
      <w:lvlJc w:val="left"/>
      <w:pPr>
        <w:ind w:left="2264" w:hanging="201"/>
      </w:pPr>
      <w:rPr>
        <w:rFonts w:hint="default"/>
        <w:lang w:val="es-ES" w:eastAsia="en-US" w:bidi="ar-SA"/>
      </w:rPr>
    </w:lvl>
    <w:lvl w:ilvl="3" w:tplc="45E4BE4C">
      <w:numFmt w:val="bullet"/>
      <w:lvlText w:val="•"/>
      <w:lvlJc w:val="left"/>
      <w:pPr>
        <w:ind w:left="3196" w:hanging="201"/>
      </w:pPr>
      <w:rPr>
        <w:rFonts w:hint="default"/>
        <w:lang w:val="es-ES" w:eastAsia="en-US" w:bidi="ar-SA"/>
      </w:rPr>
    </w:lvl>
    <w:lvl w:ilvl="4" w:tplc="FD068962">
      <w:numFmt w:val="bullet"/>
      <w:lvlText w:val="•"/>
      <w:lvlJc w:val="left"/>
      <w:pPr>
        <w:ind w:left="4128" w:hanging="201"/>
      </w:pPr>
      <w:rPr>
        <w:rFonts w:hint="default"/>
        <w:lang w:val="es-ES" w:eastAsia="en-US" w:bidi="ar-SA"/>
      </w:rPr>
    </w:lvl>
    <w:lvl w:ilvl="5" w:tplc="D428A7F2">
      <w:numFmt w:val="bullet"/>
      <w:lvlText w:val="•"/>
      <w:lvlJc w:val="left"/>
      <w:pPr>
        <w:ind w:left="5060" w:hanging="201"/>
      </w:pPr>
      <w:rPr>
        <w:rFonts w:hint="default"/>
        <w:lang w:val="es-ES" w:eastAsia="en-US" w:bidi="ar-SA"/>
      </w:rPr>
    </w:lvl>
    <w:lvl w:ilvl="6" w:tplc="965E26D2">
      <w:numFmt w:val="bullet"/>
      <w:lvlText w:val="•"/>
      <w:lvlJc w:val="left"/>
      <w:pPr>
        <w:ind w:left="5992" w:hanging="201"/>
      </w:pPr>
      <w:rPr>
        <w:rFonts w:hint="default"/>
        <w:lang w:val="es-ES" w:eastAsia="en-US" w:bidi="ar-SA"/>
      </w:rPr>
    </w:lvl>
    <w:lvl w:ilvl="7" w:tplc="9482A568">
      <w:numFmt w:val="bullet"/>
      <w:lvlText w:val="•"/>
      <w:lvlJc w:val="left"/>
      <w:pPr>
        <w:ind w:left="6924" w:hanging="201"/>
      </w:pPr>
      <w:rPr>
        <w:rFonts w:hint="default"/>
        <w:lang w:val="es-ES" w:eastAsia="en-US" w:bidi="ar-SA"/>
      </w:rPr>
    </w:lvl>
    <w:lvl w:ilvl="8" w:tplc="2708E674">
      <w:numFmt w:val="bullet"/>
      <w:lvlText w:val="•"/>
      <w:lvlJc w:val="left"/>
      <w:pPr>
        <w:ind w:left="7856" w:hanging="201"/>
      </w:pPr>
      <w:rPr>
        <w:rFonts w:hint="default"/>
        <w:lang w:val="es-ES" w:eastAsia="en-US" w:bidi="ar-SA"/>
      </w:rPr>
    </w:lvl>
  </w:abstractNum>
  <w:abstractNum w:abstractNumId="16" w15:restartNumberingAfterBreak="0">
    <w:nsid w:val="1E4D1694"/>
    <w:multiLevelType w:val="hybridMultilevel"/>
    <w:tmpl w:val="B63819A6"/>
    <w:lvl w:ilvl="0" w:tplc="686A4C86">
      <w:start w:val="1"/>
      <w:numFmt w:val="decimal"/>
      <w:lvlText w:val="%1."/>
      <w:lvlJc w:val="left"/>
      <w:pPr>
        <w:ind w:left="266" w:hanging="267"/>
      </w:pPr>
      <w:rPr>
        <w:rFonts w:ascii="Times New Roman" w:eastAsia="Arial" w:hAnsi="Times New Roman" w:cs="Times New Roman" w:hint="default"/>
        <w:b/>
        <w:bCs/>
        <w:i w:val="0"/>
        <w:iCs w:val="0"/>
        <w:spacing w:val="0"/>
        <w:w w:val="100"/>
        <w:sz w:val="24"/>
        <w:szCs w:val="24"/>
        <w:lang w:val="es-ES" w:eastAsia="en-US" w:bidi="ar-SA"/>
      </w:rPr>
    </w:lvl>
    <w:lvl w:ilvl="1" w:tplc="ECE6D238">
      <w:numFmt w:val="bullet"/>
      <w:lvlText w:val="•"/>
      <w:lvlJc w:val="left"/>
      <w:pPr>
        <w:ind w:left="1206" w:hanging="267"/>
      </w:pPr>
      <w:rPr>
        <w:rFonts w:hint="default"/>
        <w:lang w:val="es-ES" w:eastAsia="en-US" w:bidi="ar-SA"/>
      </w:rPr>
    </w:lvl>
    <w:lvl w:ilvl="2" w:tplc="5DECA294">
      <w:numFmt w:val="bullet"/>
      <w:lvlText w:val="•"/>
      <w:lvlJc w:val="left"/>
      <w:pPr>
        <w:ind w:left="2152" w:hanging="267"/>
      </w:pPr>
      <w:rPr>
        <w:rFonts w:hint="default"/>
        <w:lang w:val="es-ES" w:eastAsia="en-US" w:bidi="ar-SA"/>
      </w:rPr>
    </w:lvl>
    <w:lvl w:ilvl="3" w:tplc="7AAEF444">
      <w:numFmt w:val="bullet"/>
      <w:lvlText w:val="•"/>
      <w:lvlJc w:val="left"/>
      <w:pPr>
        <w:ind w:left="3098" w:hanging="267"/>
      </w:pPr>
      <w:rPr>
        <w:rFonts w:hint="default"/>
        <w:lang w:val="es-ES" w:eastAsia="en-US" w:bidi="ar-SA"/>
      </w:rPr>
    </w:lvl>
    <w:lvl w:ilvl="4" w:tplc="7B2225FA">
      <w:numFmt w:val="bullet"/>
      <w:lvlText w:val="•"/>
      <w:lvlJc w:val="left"/>
      <w:pPr>
        <w:ind w:left="4044" w:hanging="267"/>
      </w:pPr>
      <w:rPr>
        <w:rFonts w:hint="default"/>
        <w:lang w:val="es-ES" w:eastAsia="en-US" w:bidi="ar-SA"/>
      </w:rPr>
    </w:lvl>
    <w:lvl w:ilvl="5" w:tplc="719AB660">
      <w:numFmt w:val="bullet"/>
      <w:lvlText w:val="•"/>
      <w:lvlJc w:val="left"/>
      <w:pPr>
        <w:ind w:left="4990" w:hanging="267"/>
      </w:pPr>
      <w:rPr>
        <w:rFonts w:hint="default"/>
        <w:lang w:val="es-ES" w:eastAsia="en-US" w:bidi="ar-SA"/>
      </w:rPr>
    </w:lvl>
    <w:lvl w:ilvl="6" w:tplc="139CC56E">
      <w:numFmt w:val="bullet"/>
      <w:lvlText w:val="•"/>
      <w:lvlJc w:val="left"/>
      <w:pPr>
        <w:ind w:left="5936" w:hanging="267"/>
      </w:pPr>
      <w:rPr>
        <w:rFonts w:hint="default"/>
        <w:lang w:val="es-ES" w:eastAsia="en-US" w:bidi="ar-SA"/>
      </w:rPr>
    </w:lvl>
    <w:lvl w:ilvl="7" w:tplc="B616E8AE">
      <w:numFmt w:val="bullet"/>
      <w:lvlText w:val="•"/>
      <w:lvlJc w:val="left"/>
      <w:pPr>
        <w:ind w:left="6882" w:hanging="267"/>
      </w:pPr>
      <w:rPr>
        <w:rFonts w:hint="default"/>
        <w:lang w:val="es-ES" w:eastAsia="en-US" w:bidi="ar-SA"/>
      </w:rPr>
    </w:lvl>
    <w:lvl w:ilvl="8" w:tplc="0660DAB0">
      <w:numFmt w:val="bullet"/>
      <w:lvlText w:val="•"/>
      <w:lvlJc w:val="left"/>
      <w:pPr>
        <w:ind w:left="7828" w:hanging="267"/>
      </w:pPr>
      <w:rPr>
        <w:rFonts w:hint="default"/>
        <w:lang w:val="es-ES" w:eastAsia="en-US" w:bidi="ar-SA"/>
      </w:rPr>
    </w:lvl>
  </w:abstractNum>
  <w:abstractNum w:abstractNumId="17" w15:restartNumberingAfterBreak="0">
    <w:nsid w:val="1EC51033"/>
    <w:multiLevelType w:val="hybridMultilevel"/>
    <w:tmpl w:val="398625AE"/>
    <w:lvl w:ilvl="0" w:tplc="CF1CDBD6">
      <w:start w:val="1"/>
      <w:numFmt w:val="upperRoman"/>
      <w:lvlText w:val="%1."/>
      <w:lvlJc w:val="left"/>
      <w:pPr>
        <w:ind w:left="398" w:hanging="201"/>
      </w:pPr>
      <w:rPr>
        <w:rFonts w:ascii="Times New Roman" w:eastAsia="Microsoft Sans Serif" w:hAnsi="Times New Roman" w:cs="Times New Roman" w:hint="default"/>
        <w:b w:val="0"/>
        <w:bCs w:val="0"/>
        <w:i w:val="0"/>
        <w:iCs w:val="0"/>
        <w:spacing w:val="0"/>
        <w:w w:val="100"/>
        <w:sz w:val="24"/>
        <w:szCs w:val="24"/>
        <w:lang w:val="es-ES" w:eastAsia="en-US" w:bidi="ar-SA"/>
      </w:rPr>
    </w:lvl>
    <w:lvl w:ilvl="1" w:tplc="D0002610">
      <w:numFmt w:val="bullet"/>
      <w:lvlText w:val="•"/>
      <w:lvlJc w:val="left"/>
      <w:pPr>
        <w:ind w:left="1332" w:hanging="201"/>
      </w:pPr>
      <w:rPr>
        <w:rFonts w:hint="default"/>
        <w:lang w:val="es-ES" w:eastAsia="en-US" w:bidi="ar-SA"/>
      </w:rPr>
    </w:lvl>
    <w:lvl w:ilvl="2" w:tplc="ACD846CA">
      <w:numFmt w:val="bullet"/>
      <w:lvlText w:val="•"/>
      <w:lvlJc w:val="left"/>
      <w:pPr>
        <w:ind w:left="2264" w:hanging="201"/>
      </w:pPr>
      <w:rPr>
        <w:rFonts w:hint="default"/>
        <w:lang w:val="es-ES" w:eastAsia="en-US" w:bidi="ar-SA"/>
      </w:rPr>
    </w:lvl>
    <w:lvl w:ilvl="3" w:tplc="096CBC80">
      <w:numFmt w:val="bullet"/>
      <w:lvlText w:val="•"/>
      <w:lvlJc w:val="left"/>
      <w:pPr>
        <w:ind w:left="3196" w:hanging="201"/>
      </w:pPr>
      <w:rPr>
        <w:rFonts w:hint="default"/>
        <w:lang w:val="es-ES" w:eastAsia="en-US" w:bidi="ar-SA"/>
      </w:rPr>
    </w:lvl>
    <w:lvl w:ilvl="4" w:tplc="33D0F9B2">
      <w:numFmt w:val="bullet"/>
      <w:lvlText w:val="•"/>
      <w:lvlJc w:val="left"/>
      <w:pPr>
        <w:ind w:left="4128" w:hanging="201"/>
      </w:pPr>
      <w:rPr>
        <w:rFonts w:hint="default"/>
        <w:lang w:val="es-ES" w:eastAsia="en-US" w:bidi="ar-SA"/>
      </w:rPr>
    </w:lvl>
    <w:lvl w:ilvl="5" w:tplc="B8AE6F04">
      <w:numFmt w:val="bullet"/>
      <w:lvlText w:val="•"/>
      <w:lvlJc w:val="left"/>
      <w:pPr>
        <w:ind w:left="5060" w:hanging="201"/>
      </w:pPr>
      <w:rPr>
        <w:rFonts w:hint="default"/>
        <w:lang w:val="es-ES" w:eastAsia="en-US" w:bidi="ar-SA"/>
      </w:rPr>
    </w:lvl>
    <w:lvl w:ilvl="6" w:tplc="5D7823FA">
      <w:numFmt w:val="bullet"/>
      <w:lvlText w:val="•"/>
      <w:lvlJc w:val="left"/>
      <w:pPr>
        <w:ind w:left="5992" w:hanging="201"/>
      </w:pPr>
      <w:rPr>
        <w:rFonts w:hint="default"/>
        <w:lang w:val="es-ES" w:eastAsia="en-US" w:bidi="ar-SA"/>
      </w:rPr>
    </w:lvl>
    <w:lvl w:ilvl="7" w:tplc="904C462C">
      <w:numFmt w:val="bullet"/>
      <w:lvlText w:val="•"/>
      <w:lvlJc w:val="left"/>
      <w:pPr>
        <w:ind w:left="6924" w:hanging="201"/>
      </w:pPr>
      <w:rPr>
        <w:rFonts w:hint="default"/>
        <w:lang w:val="es-ES" w:eastAsia="en-US" w:bidi="ar-SA"/>
      </w:rPr>
    </w:lvl>
    <w:lvl w:ilvl="8" w:tplc="9C5268C2">
      <w:numFmt w:val="bullet"/>
      <w:lvlText w:val="•"/>
      <w:lvlJc w:val="left"/>
      <w:pPr>
        <w:ind w:left="7856" w:hanging="201"/>
      </w:pPr>
      <w:rPr>
        <w:rFonts w:hint="default"/>
        <w:lang w:val="es-ES" w:eastAsia="en-US" w:bidi="ar-SA"/>
      </w:rPr>
    </w:lvl>
  </w:abstractNum>
  <w:abstractNum w:abstractNumId="18" w15:restartNumberingAfterBreak="0">
    <w:nsid w:val="1F3A3038"/>
    <w:multiLevelType w:val="hybridMultilevel"/>
    <w:tmpl w:val="E6141942"/>
    <w:lvl w:ilvl="0" w:tplc="3A7874B8">
      <w:start w:val="1"/>
      <w:numFmt w:val="upperRoman"/>
      <w:lvlText w:val="%1."/>
      <w:lvlJc w:val="left"/>
      <w:pPr>
        <w:ind w:left="1080"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8E446C90">
      <w:numFmt w:val="bullet"/>
      <w:lvlText w:val="•"/>
      <w:lvlJc w:val="left"/>
      <w:pPr>
        <w:ind w:left="1980" w:hanging="494"/>
      </w:pPr>
      <w:rPr>
        <w:rFonts w:hint="default"/>
        <w:lang w:val="es-ES" w:eastAsia="en-US" w:bidi="ar-SA"/>
      </w:rPr>
    </w:lvl>
    <w:lvl w:ilvl="2" w:tplc="4EEADFC2">
      <w:numFmt w:val="bullet"/>
      <w:lvlText w:val="•"/>
      <w:lvlJc w:val="left"/>
      <w:pPr>
        <w:ind w:left="2880" w:hanging="494"/>
      </w:pPr>
      <w:rPr>
        <w:rFonts w:hint="default"/>
        <w:lang w:val="es-ES" w:eastAsia="en-US" w:bidi="ar-SA"/>
      </w:rPr>
    </w:lvl>
    <w:lvl w:ilvl="3" w:tplc="D1FAF01A">
      <w:numFmt w:val="bullet"/>
      <w:lvlText w:val="•"/>
      <w:lvlJc w:val="left"/>
      <w:pPr>
        <w:ind w:left="3780" w:hanging="494"/>
      </w:pPr>
      <w:rPr>
        <w:rFonts w:hint="default"/>
        <w:lang w:val="es-ES" w:eastAsia="en-US" w:bidi="ar-SA"/>
      </w:rPr>
    </w:lvl>
    <w:lvl w:ilvl="4" w:tplc="98707E0A">
      <w:numFmt w:val="bullet"/>
      <w:lvlText w:val="•"/>
      <w:lvlJc w:val="left"/>
      <w:pPr>
        <w:ind w:left="4680" w:hanging="494"/>
      </w:pPr>
      <w:rPr>
        <w:rFonts w:hint="default"/>
        <w:lang w:val="es-ES" w:eastAsia="en-US" w:bidi="ar-SA"/>
      </w:rPr>
    </w:lvl>
    <w:lvl w:ilvl="5" w:tplc="BFFCA960">
      <w:numFmt w:val="bullet"/>
      <w:lvlText w:val="•"/>
      <w:lvlJc w:val="left"/>
      <w:pPr>
        <w:ind w:left="5580" w:hanging="494"/>
      </w:pPr>
      <w:rPr>
        <w:rFonts w:hint="default"/>
        <w:lang w:val="es-ES" w:eastAsia="en-US" w:bidi="ar-SA"/>
      </w:rPr>
    </w:lvl>
    <w:lvl w:ilvl="6" w:tplc="5B50A310">
      <w:numFmt w:val="bullet"/>
      <w:lvlText w:val="•"/>
      <w:lvlJc w:val="left"/>
      <w:pPr>
        <w:ind w:left="6480" w:hanging="494"/>
      </w:pPr>
      <w:rPr>
        <w:rFonts w:hint="default"/>
        <w:lang w:val="es-ES" w:eastAsia="en-US" w:bidi="ar-SA"/>
      </w:rPr>
    </w:lvl>
    <w:lvl w:ilvl="7" w:tplc="39DE44FE">
      <w:numFmt w:val="bullet"/>
      <w:lvlText w:val="•"/>
      <w:lvlJc w:val="left"/>
      <w:pPr>
        <w:ind w:left="7380" w:hanging="494"/>
      </w:pPr>
      <w:rPr>
        <w:rFonts w:hint="default"/>
        <w:lang w:val="es-ES" w:eastAsia="en-US" w:bidi="ar-SA"/>
      </w:rPr>
    </w:lvl>
    <w:lvl w:ilvl="8" w:tplc="4E4655CC">
      <w:numFmt w:val="bullet"/>
      <w:lvlText w:val="•"/>
      <w:lvlJc w:val="left"/>
      <w:pPr>
        <w:ind w:left="8280" w:hanging="494"/>
      </w:pPr>
      <w:rPr>
        <w:rFonts w:hint="default"/>
        <w:lang w:val="es-ES" w:eastAsia="en-US" w:bidi="ar-SA"/>
      </w:rPr>
    </w:lvl>
  </w:abstractNum>
  <w:abstractNum w:abstractNumId="19" w15:restartNumberingAfterBreak="0">
    <w:nsid w:val="20AE78A4"/>
    <w:multiLevelType w:val="hybridMultilevel"/>
    <w:tmpl w:val="896A29BC"/>
    <w:lvl w:ilvl="0" w:tplc="64DA803C">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95CE7BD6">
      <w:numFmt w:val="bullet"/>
      <w:lvlText w:val="•"/>
      <w:lvlJc w:val="left"/>
      <w:pPr>
        <w:ind w:left="2304" w:hanging="720"/>
      </w:pPr>
      <w:rPr>
        <w:rFonts w:hint="default"/>
        <w:lang w:val="es-ES" w:eastAsia="en-US" w:bidi="ar-SA"/>
      </w:rPr>
    </w:lvl>
    <w:lvl w:ilvl="2" w:tplc="1C0ECB66">
      <w:numFmt w:val="bullet"/>
      <w:lvlText w:val="•"/>
      <w:lvlJc w:val="left"/>
      <w:pPr>
        <w:ind w:left="3168" w:hanging="720"/>
      </w:pPr>
      <w:rPr>
        <w:rFonts w:hint="default"/>
        <w:lang w:val="es-ES" w:eastAsia="en-US" w:bidi="ar-SA"/>
      </w:rPr>
    </w:lvl>
    <w:lvl w:ilvl="3" w:tplc="9F68E5A8">
      <w:numFmt w:val="bullet"/>
      <w:lvlText w:val="•"/>
      <w:lvlJc w:val="left"/>
      <w:pPr>
        <w:ind w:left="4032" w:hanging="720"/>
      </w:pPr>
      <w:rPr>
        <w:rFonts w:hint="default"/>
        <w:lang w:val="es-ES" w:eastAsia="en-US" w:bidi="ar-SA"/>
      </w:rPr>
    </w:lvl>
    <w:lvl w:ilvl="4" w:tplc="0E949E90">
      <w:numFmt w:val="bullet"/>
      <w:lvlText w:val="•"/>
      <w:lvlJc w:val="left"/>
      <w:pPr>
        <w:ind w:left="4896" w:hanging="720"/>
      </w:pPr>
      <w:rPr>
        <w:rFonts w:hint="default"/>
        <w:lang w:val="es-ES" w:eastAsia="en-US" w:bidi="ar-SA"/>
      </w:rPr>
    </w:lvl>
    <w:lvl w:ilvl="5" w:tplc="87B21F96">
      <w:numFmt w:val="bullet"/>
      <w:lvlText w:val="•"/>
      <w:lvlJc w:val="left"/>
      <w:pPr>
        <w:ind w:left="5760" w:hanging="720"/>
      </w:pPr>
      <w:rPr>
        <w:rFonts w:hint="default"/>
        <w:lang w:val="es-ES" w:eastAsia="en-US" w:bidi="ar-SA"/>
      </w:rPr>
    </w:lvl>
    <w:lvl w:ilvl="6" w:tplc="0A6AC836">
      <w:numFmt w:val="bullet"/>
      <w:lvlText w:val="•"/>
      <w:lvlJc w:val="left"/>
      <w:pPr>
        <w:ind w:left="6624" w:hanging="720"/>
      </w:pPr>
      <w:rPr>
        <w:rFonts w:hint="default"/>
        <w:lang w:val="es-ES" w:eastAsia="en-US" w:bidi="ar-SA"/>
      </w:rPr>
    </w:lvl>
    <w:lvl w:ilvl="7" w:tplc="463CBC44">
      <w:numFmt w:val="bullet"/>
      <w:lvlText w:val="•"/>
      <w:lvlJc w:val="left"/>
      <w:pPr>
        <w:ind w:left="7488" w:hanging="720"/>
      </w:pPr>
      <w:rPr>
        <w:rFonts w:hint="default"/>
        <w:lang w:val="es-ES" w:eastAsia="en-US" w:bidi="ar-SA"/>
      </w:rPr>
    </w:lvl>
    <w:lvl w:ilvl="8" w:tplc="025AAD2C">
      <w:numFmt w:val="bullet"/>
      <w:lvlText w:val="•"/>
      <w:lvlJc w:val="left"/>
      <w:pPr>
        <w:ind w:left="8352" w:hanging="720"/>
      </w:pPr>
      <w:rPr>
        <w:rFonts w:hint="default"/>
        <w:lang w:val="es-ES" w:eastAsia="en-US" w:bidi="ar-SA"/>
      </w:rPr>
    </w:lvl>
  </w:abstractNum>
  <w:abstractNum w:abstractNumId="20" w15:restartNumberingAfterBreak="0">
    <w:nsid w:val="225F471D"/>
    <w:multiLevelType w:val="hybridMultilevel"/>
    <w:tmpl w:val="1E6C5B38"/>
    <w:lvl w:ilvl="0" w:tplc="D4E83FD2">
      <w:start w:val="1"/>
      <w:numFmt w:val="upperRoman"/>
      <w:lvlText w:val="%1."/>
      <w:lvlJc w:val="left"/>
      <w:pPr>
        <w:ind w:left="360" w:hanging="368"/>
      </w:pPr>
      <w:rPr>
        <w:rFonts w:ascii="Times New Roman" w:eastAsia="Arial" w:hAnsi="Times New Roman" w:cs="Times New Roman" w:hint="default"/>
        <w:b/>
        <w:bCs/>
        <w:i w:val="0"/>
        <w:iCs w:val="0"/>
        <w:spacing w:val="0"/>
        <w:w w:val="100"/>
        <w:sz w:val="24"/>
        <w:szCs w:val="24"/>
        <w:lang w:val="es-ES" w:eastAsia="en-US" w:bidi="ar-SA"/>
      </w:rPr>
    </w:lvl>
    <w:lvl w:ilvl="1" w:tplc="80C4591E">
      <w:start w:val="1"/>
      <w:numFmt w:val="upperRoman"/>
      <w:lvlText w:val="%2."/>
      <w:lvlJc w:val="left"/>
      <w:pPr>
        <w:ind w:left="1440" w:hanging="720"/>
      </w:pPr>
      <w:rPr>
        <w:rFonts w:ascii="Times New Roman" w:eastAsia="Arial" w:hAnsi="Times New Roman" w:cs="Times New Roman" w:hint="default"/>
        <w:b/>
        <w:bCs/>
        <w:i w:val="0"/>
        <w:iCs w:val="0"/>
        <w:spacing w:val="0"/>
        <w:w w:val="100"/>
        <w:sz w:val="24"/>
        <w:szCs w:val="24"/>
        <w:lang w:val="es-ES" w:eastAsia="en-US" w:bidi="ar-SA"/>
      </w:rPr>
    </w:lvl>
    <w:lvl w:ilvl="2" w:tplc="91C0D4EC">
      <w:start w:val="1"/>
      <w:numFmt w:val="lowerLetter"/>
      <w:lvlText w:val="%3)"/>
      <w:lvlJc w:val="left"/>
      <w:pPr>
        <w:ind w:left="1080" w:hanging="360"/>
      </w:pPr>
      <w:rPr>
        <w:rFonts w:ascii="Times New Roman" w:eastAsia="Arial" w:hAnsi="Times New Roman" w:cs="Times New Roman" w:hint="default"/>
        <w:b/>
        <w:bCs/>
        <w:i w:val="0"/>
        <w:iCs w:val="0"/>
        <w:spacing w:val="0"/>
        <w:w w:val="100"/>
        <w:sz w:val="24"/>
        <w:szCs w:val="24"/>
        <w:lang w:val="es-ES" w:eastAsia="en-US" w:bidi="ar-SA"/>
      </w:rPr>
    </w:lvl>
    <w:lvl w:ilvl="3" w:tplc="E794A672">
      <w:start w:val="1"/>
      <w:numFmt w:val="upperRoman"/>
      <w:lvlText w:val="%4."/>
      <w:lvlJc w:val="left"/>
      <w:pPr>
        <w:ind w:left="1440" w:hanging="720"/>
      </w:pPr>
      <w:rPr>
        <w:rFonts w:ascii="Times New Roman" w:eastAsia="Arial" w:hAnsi="Times New Roman" w:cs="Times New Roman" w:hint="default"/>
        <w:b/>
        <w:bCs/>
        <w:i w:val="0"/>
        <w:iCs w:val="0"/>
        <w:spacing w:val="0"/>
        <w:w w:val="100"/>
        <w:sz w:val="24"/>
        <w:szCs w:val="24"/>
        <w:lang w:val="es-ES" w:eastAsia="en-US" w:bidi="ar-SA"/>
      </w:rPr>
    </w:lvl>
    <w:lvl w:ilvl="4" w:tplc="023E5D3C">
      <w:numFmt w:val="bullet"/>
      <w:lvlText w:val="•"/>
      <w:lvlJc w:val="left"/>
      <w:pPr>
        <w:ind w:left="3600" w:hanging="720"/>
      </w:pPr>
      <w:rPr>
        <w:rFonts w:hint="default"/>
        <w:lang w:val="es-ES" w:eastAsia="en-US" w:bidi="ar-SA"/>
      </w:rPr>
    </w:lvl>
    <w:lvl w:ilvl="5" w:tplc="26CCED5C">
      <w:numFmt w:val="bullet"/>
      <w:lvlText w:val="•"/>
      <w:lvlJc w:val="left"/>
      <w:pPr>
        <w:ind w:left="4680" w:hanging="720"/>
      </w:pPr>
      <w:rPr>
        <w:rFonts w:hint="default"/>
        <w:lang w:val="es-ES" w:eastAsia="en-US" w:bidi="ar-SA"/>
      </w:rPr>
    </w:lvl>
    <w:lvl w:ilvl="6" w:tplc="60343DD2">
      <w:numFmt w:val="bullet"/>
      <w:lvlText w:val="•"/>
      <w:lvlJc w:val="left"/>
      <w:pPr>
        <w:ind w:left="5760" w:hanging="720"/>
      </w:pPr>
      <w:rPr>
        <w:rFonts w:hint="default"/>
        <w:lang w:val="es-ES" w:eastAsia="en-US" w:bidi="ar-SA"/>
      </w:rPr>
    </w:lvl>
    <w:lvl w:ilvl="7" w:tplc="2A4879A0">
      <w:numFmt w:val="bullet"/>
      <w:lvlText w:val="•"/>
      <w:lvlJc w:val="left"/>
      <w:pPr>
        <w:ind w:left="6840" w:hanging="720"/>
      </w:pPr>
      <w:rPr>
        <w:rFonts w:hint="default"/>
        <w:lang w:val="es-ES" w:eastAsia="en-US" w:bidi="ar-SA"/>
      </w:rPr>
    </w:lvl>
    <w:lvl w:ilvl="8" w:tplc="9314EA10">
      <w:numFmt w:val="bullet"/>
      <w:lvlText w:val="•"/>
      <w:lvlJc w:val="left"/>
      <w:pPr>
        <w:ind w:left="7920" w:hanging="720"/>
      </w:pPr>
      <w:rPr>
        <w:rFonts w:hint="default"/>
        <w:lang w:val="es-ES" w:eastAsia="en-US" w:bidi="ar-SA"/>
      </w:rPr>
    </w:lvl>
  </w:abstractNum>
  <w:abstractNum w:abstractNumId="21" w15:restartNumberingAfterBreak="0">
    <w:nsid w:val="29333A41"/>
    <w:multiLevelType w:val="hybridMultilevel"/>
    <w:tmpl w:val="7A044AD0"/>
    <w:lvl w:ilvl="0" w:tplc="8CB0E440">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2514C49A">
      <w:numFmt w:val="bullet"/>
      <w:lvlText w:val="•"/>
      <w:lvlJc w:val="left"/>
      <w:pPr>
        <w:ind w:left="2304" w:hanging="720"/>
      </w:pPr>
      <w:rPr>
        <w:rFonts w:hint="default"/>
        <w:lang w:val="es-ES" w:eastAsia="en-US" w:bidi="ar-SA"/>
      </w:rPr>
    </w:lvl>
    <w:lvl w:ilvl="2" w:tplc="C392538E">
      <w:numFmt w:val="bullet"/>
      <w:lvlText w:val="•"/>
      <w:lvlJc w:val="left"/>
      <w:pPr>
        <w:ind w:left="3168" w:hanging="720"/>
      </w:pPr>
      <w:rPr>
        <w:rFonts w:hint="default"/>
        <w:lang w:val="es-ES" w:eastAsia="en-US" w:bidi="ar-SA"/>
      </w:rPr>
    </w:lvl>
    <w:lvl w:ilvl="3" w:tplc="DA52F5DC">
      <w:numFmt w:val="bullet"/>
      <w:lvlText w:val="•"/>
      <w:lvlJc w:val="left"/>
      <w:pPr>
        <w:ind w:left="4032" w:hanging="720"/>
      </w:pPr>
      <w:rPr>
        <w:rFonts w:hint="default"/>
        <w:lang w:val="es-ES" w:eastAsia="en-US" w:bidi="ar-SA"/>
      </w:rPr>
    </w:lvl>
    <w:lvl w:ilvl="4" w:tplc="BEEE60A4">
      <w:numFmt w:val="bullet"/>
      <w:lvlText w:val="•"/>
      <w:lvlJc w:val="left"/>
      <w:pPr>
        <w:ind w:left="4896" w:hanging="720"/>
      </w:pPr>
      <w:rPr>
        <w:rFonts w:hint="default"/>
        <w:lang w:val="es-ES" w:eastAsia="en-US" w:bidi="ar-SA"/>
      </w:rPr>
    </w:lvl>
    <w:lvl w:ilvl="5" w:tplc="D29410D4">
      <w:numFmt w:val="bullet"/>
      <w:lvlText w:val="•"/>
      <w:lvlJc w:val="left"/>
      <w:pPr>
        <w:ind w:left="5760" w:hanging="720"/>
      </w:pPr>
      <w:rPr>
        <w:rFonts w:hint="default"/>
        <w:lang w:val="es-ES" w:eastAsia="en-US" w:bidi="ar-SA"/>
      </w:rPr>
    </w:lvl>
    <w:lvl w:ilvl="6" w:tplc="EBCEE2C6">
      <w:numFmt w:val="bullet"/>
      <w:lvlText w:val="•"/>
      <w:lvlJc w:val="left"/>
      <w:pPr>
        <w:ind w:left="6624" w:hanging="720"/>
      </w:pPr>
      <w:rPr>
        <w:rFonts w:hint="default"/>
        <w:lang w:val="es-ES" w:eastAsia="en-US" w:bidi="ar-SA"/>
      </w:rPr>
    </w:lvl>
    <w:lvl w:ilvl="7" w:tplc="43627B08">
      <w:numFmt w:val="bullet"/>
      <w:lvlText w:val="•"/>
      <w:lvlJc w:val="left"/>
      <w:pPr>
        <w:ind w:left="7488" w:hanging="720"/>
      </w:pPr>
      <w:rPr>
        <w:rFonts w:hint="default"/>
        <w:lang w:val="es-ES" w:eastAsia="en-US" w:bidi="ar-SA"/>
      </w:rPr>
    </w:lvl>
    <w:lvl w:ilvl="8" w:tplc="4D622566">
      <w:numFmt w:val="bullet"/>
      <w:lvlText w:val="•"/>
      <w:lvlJc w:val="left"/>
      <w:pPr>
        <w:ind w:left="8352" w:hanging="720"/>
      </w:pPr>
      <w:rPr>
        <w:rFonts w:hint="default"/>
        <w:lang w:val="es-ES" w:eastAsia="en-US" w:bidi="ar-SA"/>
      </w:rPr>
    </w:lvl>
  </w:abstractNum>
  <w:abstractNum w:abstractNumId="22" w15:restartNumberingAfterBreak="0">
    <w:nsid w:val="2A095680"/>
    <w:multiLevelType w:val="hybridMultilevel"/>
    <w:tmpl w:val="95F2E5EE"/>
    <w:lvl w:ilvl="0" w:tplc="9BB0234C">
      <w:start w:val="1"/>
      <w:numFmt w:val="upperRoman"/>
      <w:lvlText w:val="%1."/>
      <w:lvlJc w:val="left"/>
      <w:pPr>
        <w:ind w:left="197" w:hanging="214"/>
      </w:pPr>
      <w:rPr>
        <w:rFonts w:ascii="Times New Roman" w:eastAsia="Microsoft Sans Serif" w:hAnsi="Times New Roman" w:cs="Times New Roman" w:hint="default"/>
        <w:b w:val="0"/>
        <w:bCs w:val="0"/>
        <w:i w:val="0"/>
        <w:iCs w:val="0"/>
        <w:spacing w:val="0"/>
        <w:w w:val="100"/>
        <w:sz w:val="24"/>
        <w:szCs w:val="24"/>
        <w:lang w:val="es-ES" w:eastAsia="en-US" w:bidi="ar-SA"/>
      </w:rPr>
    </w:lvl>
    <w:lvl w:ilvl="1" w:tplc="28CC668E">
      <w:numFmt w:val="bullet"/>
      <w:lvlText w:val="•"/>
      <w:lvlJc w:val="left"/>
      <w:pPr>
        <w:ind w:left="1152" w:hanging="214"/>
      </w:pPr>
      <w:rPr>
        <w:rFonts w:hint="default"/>
        <w:lang w:val="es-ES" w:eastAsia="en-US" w:bidi="ar-SA"/>
      </w:rPr>
    </w:lvl>
    <w:lvl w:ilvl="2" w:tplc="BCE062DA">
      <w:numFmt w:val="bullet"/>
      <w:lvlText w:val="•"/>
      <w:lvlJc w:val="left"/>
      <w:pPr>
        <w:ind w:left="2104" w:hanging="214"/>
      </w:pPr>
      <w:rPr>
        <w:rFonts w:hint="default"/>
        <w:lang w:val="es-ES" w:eastAsia="en-US" w:bidi="ar-SA"/>
      </w:rPr>
    </w:lvl>
    <w:lvl w:ilvl="3" w:tplc="C4FEEAF4">
      <w:numFmt w:val="bullet"/>
      <w:lvlText w:val="•"/>
      <w:lvlJc w:val="left"/>
      <w:pPr>
        <w:ind w:left="3056" w:hanging="214"/>
      </w:pPr>
      <w:rPr>
        <w:rFonts w:hint="default"/>
        <w:lang w:val="es-ES" w:eastAsia="en-US" w:bidi="ar-SA"/>
      </w:rPr>
    </w:lvl>
    <w:lvl w:ilvl="4" w:tplc="3D149A12">
      <w:numFmt w:val="bullet"/>
      <w:lvlText w:val="•"/>
      <w:lvlJc w:val="left"/>
      <w:pPr>
        <w:ind w:left="4008" w:hanging="214"/>
      </w:pPr>
      <w:rPr>
        <w:rFonts w:hint="default"/>
        <w:lang w:val="es-ES" w:eastAsia="en-US" w:bidi="ar-SA"/>
      </w:rPr>
    </w:lvl>
    <w:lvl w:ilvl="5" w:tplc="25581A48">
      <w:numFmt w:val="bullet"/>
      <w:lvlText w:val="•"/>
      <w:lvlJc w:val="left"/>
      <w:pPr>
        <w:ind w:left="4960" w:hanging="214"/>
      </w:pPr>
      <w:rPr>
        <w:rFonts w:hint="default"/>
        <w:lang w:val="es-ES" w:eastAsia="en-US" w:bidi="ar-SA"/>
      </w:rPr>
    </w:lvl>
    <w:lvl w:ilvl="6" w:tplc="AC747932">
      <w:numFmt w:val="bullet"/>
      <w:lvlText w:val="•"/>
      <w:lvlJc w:val="left"/>
      <w:pPr>
        <w:ind w:left="5912" w:hanging="214"/>
      </w:pPr>
      <w:rPr>
        <w:rFonts w:hint="default"/>
        <w:lang w:val="es-ES" w:eastAsia="en-US" w:bidi="ar-SA"/>
      </w:rPr>
    </w:lvl>
    <w:lvl w:ilvl="7" w:tplc="E4ECD7C8">
      <w:numFmt w:val="bullet"/>
      <w:lvlText w:val="•"/>
      <w:lvlJc w:val="left"/>
      <w:pPr>
        <w:ind w:left="6864" w:hanging="214"/>
      </w:pPr>
      <w:rPr>
        <w:rFonts w:hint="default"/>
        <w:lang w:val="es-ES" w:eastAsia="en-US" w:bidi="ar-SA"/>
      </w:rPr>
    </w:lvl>
    <w:lvl w:ilvl="8" w:tplc="BE4E5C04">
      <w:numFmt w:val="bullet"/>
      <w:lvlText w:val="•"/>
      <w:lvlJc w:val="left"/>
      <w:pPr>
        <w:ind w:left="7816" w:hanging="214"/>
      </w:pPr>
      <w:rPr>
        <w:rFonts w:hint="default"/>
        <w:lang w:val="es-ES" w:eastAsia="en-US" w:bidi="ar-SA"/>
      </w:rPr>
    </w:lvl>
  </w:abstractNum>
  <w:abstractNum w:abstractNumId="23" w15:restartNumberingAfterBreak="0">
    <w:nsid w:val="2F3B154E"/>
    <w:multiLevelType w:val="hybridMultilevel"/>
    <w:tmpl w:val="08B8DC6E"/>
    <w:lvl w:ilvl="0" w:tplc="FB9C3858">
      <w:start w:val="1"/>
      <w:numFmt w:val="upperRoman"/>
      <w:lvlText w:val="%1."/>
      <w:lvlJc w:val="left"/>
      <w:pPr>
        <w:ind w:left="197" w:hanging="199"/>
      </w:pPr>
      <w:rPr>
        <w:rFonts w:ascii="Times New Roman" w:eastAsia="Microsoft Sans Serif" w:hAnsi="Times New Roman" w:cs="Times New Roman" w:hint="default"/>
        <w:b w:val="0"/>
        <w:bCs w:val="0"/>
        <w:i w:val="0"/>
        <w:iCs w:val="0"/>
        <w:spacing w:val="0"/>
        <w:w w:val="100"/>
        <w:sz w:val="24"/>
        <w:szCs w:val="24"/>
        <w:lang w:val="es-ES" w:eastAsia="en-US" w:bidi="ar-SA"/>
      </w:rPr>
    </w:lvl>
    <w:lvl w:ilvl="1" w:tplc="F482B3D8">
      <w:numFmt w:val="bullet"/>
      <w:lvlText w:val="•"/>
      <w:lvlJc w:val="left"/>
      <w:pPr>
        <w:ind w:left="1152" w:hanging="199"/>
      </w:pPr>
      <w:rPr>
        <w:rFonts w:hint="default"/>
        <w:lang w:val="es-ES" w:eastAsia="en-US" w:bidi="ar-SA"/>
      </w:rPr>
    </w:lvl>
    <w:lvl w:ilvl="2" w:tplc="E564CBD8">
      <w:numFmt w:val="bullet"/>
      <w:lvlText w:val="•"/>
      <w:lvlJc w:val="left"/>
      <w:pPr>
        <w:ind w:left="2104" w:hanging="199"/>
      </w:pPr>
      <w:rPr>
        <w:rFonts w:hint="default"/>
        <w:lang w:val="es-ES" w:eastAsia="en-US" w:bidi="ar-SA"/>
      </w:rPr>
    </w:lvl>
    <w:lvl w:ilvl="3" w:tplc="B9EC1636">
      <w:numFmt w:val="bullet"/>
      <w:lvlText w:val="•"/>
      <w:lvlJc w:val="left"/>
      <w:pPr>
        <w:ind w:left="3056" w:hanging="199"/>
      </w:pPr>
      <w:rPr>
        <w:rFonts w:hint="default"/>
        <w:lang w:val="es-ES" w:eastAsia="en-US" w:bidi="ar-SA"/>
      </w:rPr>
    </w:lvl>
    <w:lvl w:ilvl="4" w:tplc="53F8EA82">
      <w:numFmt w:val="bullet"/>
      <w:lvlText w:val="•"/>
      <w:lvlJc w:val="left"/>
      <w:pPr>
        <w:ind w:left="4008" w:hanging="199"/>
      </w:pPr>
      <w:rPr>
        <w:rFonts w:hint="default"/>
        <w:lang w:val="es-ES" w:eastAsia="en-US" w:bidi="ar-SA"/>
      </w:rPr>
    </w:lvl>
    <w:lvl w:ilvl="5" w:tplc="FE525B5C">
      <w:numFmt w:val="bullet"/>
      <w:lvlText w:val="•"/>
      <w:lvlJc w:val="left"/>
      <w:pPr>
        <w:ind w:left="4960" w:hanging="199"/>
      </w:pPr>
      <w:rPr>
        <w:rFonts w:hint="default"/>
        <w:lang w:val="es-ES" w:eastAsia="en-US" w:bidi="ar-SA"/>
      </w:rPr>
    </w:lvl>
    <w:lvl w:ilvl="6" w:tplc="2EE0AECC">
      <w:numFmt w:val="bullet"/>
      <w:lvlText w:val="•"/>
      <w:lvlJc w:val="left"/>
      <w:pPr>
        <w:ind w:left="5912" w:hanging="199"/>
      </w:pPr>
      <w:rPr>
        <w:rFonts w:hint="default"/>
        <w:lang w:val="es-ES" w:eastAsia="en-US" w:bidi="ar-SA"/>
      </w:rPr>
    </w:lvl>
    <w:lvl w:ilvl="7" w:tplc="56F20748">
      <w:numFmt w:val="bullet"/>
      <w:lvlText w:val="•"/>
      <w:lvlJc w:val="left"/>
      <w:pPr>
        <w:ind w:left="6864" w:hanging="199"/>
      </w:pPr>
      <w:rPr>
        <w:rFonts w:hint="default"/>
        <w:lang w:val="es-ES" w:eastAsia="en-US" w:bidi="ar-SA"/>
      </w:rPr>
    </w:lvl>
    <w:lvl w:ilvl="8" w:tplc="C2DE313A">
      <w:numFmt w:val="bullet"/>
      <w:lvlText w:val="•"/>
      <w:lvlJc w:val="left"/>
      <w:pPr>
        <w:ind w:left="7816" w:hanging="199"/>
      </w:pPr>
      <w:rPr>
        <w:rFonts w:hint="default"/>
        <w:lang w:val="es-ES" w:eastAsia="en-US" w:bidi="ar-SA"/>
      </w:rPr>
    </w:lvl>
  </w:abstractNum>
  <w:abstractNum w:abstractNumId="24" w15:restartNumberingAfterBreak="0">
    <w:nsid w:val="32CC7777"/>
    <w:multiLevelType w:val="hybridMultilevel"/>
    <w:tmpl w:val="6A862756"/>
    <w:lvl w:ilvl="0" w:tplc="826285C4">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EF540EB6">
      <w:numFmt w:val="bullet"/>
      <w:lvlText w:val="•"/>
      <w:lvlJc w:val="left"/>
      <w:pPr>
        <w:ind w:left="2304" w:hanging="720"/>
      </w:pPr>
      <w:rPr>
        <w:rFonts w:hint="default"/>
        <w:lang w:val="es-ES" w:eastAsia="en-US" w:bidi="ar-SA"/>
      </w:rPr>
    </w:lvl>
    <w:lvl w:ilvl="2" w:tplc="AD9A76F2">
      <w:numFmt w:val="bullet"/>
      <w:lvlText w:val="•"/>
      <w:lvlJc w:val="left"/>
      <w:pPr>
        <w:ind w:left="3168" w:hanging="720"/>
      </w:pPr>
      <w:rPr>
        <w:rFonts w:hint="default"/>
        <w:lang w:val="es-ES" w:eastAsia="en-US" w:bidi="ar-SA"/>
      </w:rPr>
    </w:lvl>
    <w:lvl w:ilvl="3" w:tplc="C07C0B92">
      <w:numFmt w:val="bullet"/>
      <w:lvlText w:val="•"/>
      <w:lvlJc w:val="left"/>
      <w:pPr>
        <w:ind w:left="4032" w:hanging="720"/>
      </w:pPr>
      <w:rPr>
        <w:rFonts w:hint="default"/>
        <w:lang w:val="es-ES" w:eastAsia="en-US" w:bidi="ar-SA"/>
      </w:rPr>
    </w:lvl>
    <w:lvl w:ilvl="4" w:tplc="4CF4B6A6">
      <w:numFmt w:val="bullet"/>
      <w:lvlText w:val="•"/>
      <w:lvlJc w:val="left"/>
      <w:pPr>
        <w:ind w:left="4896" w:hanging="720"/>
      </w:pPr>
      <w:rPr>
        <w:rFonts w:hint="default"/>
        <w:lang w:val="es-ES" w:eastAsia="en-US" w:bidi="ar-SA"/>
      </w:rPr>
    </w:lvl>
    <w:lvl w:ilvl="5" w:tplc="78D88D1E">
      <w:numFmt w:val="bullet"/>
      <w:lvlText w:val="•"/>
      <w:lvlJc w:val="left"/>
      <w:pPr>
        <w:ind w:left="5760" w:hanging="720"/>
      </w:pPr>
      <w:rPr>
        <w:rFonts w:hint="default"/>
        <w:lang w:val="es-ES" w:eastAsia="en-US" w:bidi="ar-SA"/>
      </w:rPr>
    </w:lvl>
    <w:lvl w:ilvl="6" w:tplc="4BBE29E2">
      <w:numFmt w:val="bullet"/>
      <w:lvlText w:val="•"/>
      <w:lvlJc w:val="left"/>
      <w:pPr>
        <w:ind w:left="6624" w:hanging="720"/>
      </w:pPr>
      <w:rPr>
        <w:rFonts w:hint="default"/>
        <w:lang w:val="es-ES" w:eastAsia="en-US" w:bidi="ar-SA"/>
      </w:rPr>
    </w:lvl>
    <w:lvl w:ilvl="7" w:tplc="1046C340">
      <w:numFmt w:val="bullet"/>
      <w:lvlText w:val="•"/>
      <w:lvlJc w:val="left"/>
      <w:pPr>
        <w:ind w:left="7488" w:hanging="720"/>
      </w:pPr>
      <w:rPr>
        <w:rFonts w:hint="default"/>
        <w:lang w:val="es-ES" w:eastAsia="en-US" w:bidi="ar-SA"/>
      </w:rPr>
    </w:lvl>
    <w:lvl w:ilvl="8" w:tplc="09404BE8">
      <w:numFmt w:val="bullet"/>
      <w:lvlText w:val="•"/>
      <w:lvlJc w:val="left"/>
      <w:pPr>
        <w:ind w:left="8352" w:hanging="720"/>
      </w:pPr>
      <w:rPr>
        <w:rFonts w:hint="default"/>
        <w:lang w:val="es-ES" w:eastAsia="en-US" w:bidi="ar-SA"/>
      </w:rPr>
    </w:lvl>
  </w:abstractNum>
  <w:abstractNum w:abstractNumId="25" w15:restartNumberingAfterBreak="0">
    <w:nsid w:val="34ED2596"/>
    <w:multiLevelType w:val="hybridMultilevel"/>
    <w:tmpl w:val="23FE222A"/>
    <w:lvl w:ilvl="0" w:tplc="17F44C50">
      <w:start w:val="1"/>
      <w:numFmt w:val="upperRoman"/>
      <w:lvlText w:val="%1."/>
      <w:lvlJc w:val="left"/>
      <w:pPr>
        <w:ind w:left="1080"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165C4FE2">
      <w:start w:val="1"/>
      <w:numFmt w:val="upperRoman"/>
      <w:lvlText w:val="%2."/>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2" w:tplc="6970798A">
      <w:numFmt w:val="bullet"/>
      <w:lvlText w:val="•"/>
      <w:lvlJc w:val="left"/>
      <w:pPr>
        <w:ind w:left="2400" w:hanging="720"/>
      </w:pPr>
      <w:rPr>
        <w:rFonts w:hint="default"/>
        <w:lang w:val="es-ES" w:eastAsia="en-US" w:bidi="ar-SA"/>
      </w:rPr>
    </w:lvl>
    <w:lvl w:ilvl="3" w:tplc="FF9C97BE">
      <w:numFmt w:val="bullet"/>
      <w:lvlText w:val="•"/>
      <w:lvlJc w:val="left"/>
      <w:pPr>
        <w:ind w:left="3360" w:hanging="720"/>
      </w:pPr>
      <w:rPr>
        <w:rFonts w:hint="default"/>
        <w:lang w:val="es-ES" w:eastAsia="en-US" w:bidi="ar-SA"/>
      </w:rPr>
    </w:lvl>
    <w:lvl w:ilvl="4" w:tplc="D9843734">
      <w:numFmt w:val="bullet"/>
      <w:lvlText w:val="•"/>
      <w:lvlJc w:val="left"/>
      <w:pPr>
        <w:ind w:left="4320" w:hanging="720"/>
      </w:pPr>
      <w:rPr>
        <w:rFonts w:hint="default"/>
        <w:lang w:val="es-ES" w:eastAsia="en-US" w:bidi="ar-SA"/>
      </w:rPr>
    </w:lvl>
    <w:lvl w:ilvl="5" w:tplc="4C32A874">
      <w:numFmt w:val="bullet"/>
      <w:lvlText w:val="•"/>
      <w:lvlJc w:val="left"/>
      <w:pPr>
        <w:ind w:left="5280" w:hanging="720"/>
      </w:pPr>
      <w:rPr>
        <w:rFonts w:hint="default"/>
        <w:lang w:val="es-ES" w:eastAsia="en-US" w:bidi="ar-SA"/>
      </w:rPr>
    </w:lvl>
    <w:lvl w:ilvl="6" w:tplc="18001520">
      <w:numFmt w:val="bullet"/>
      <w:lvlText w:val="•"/>
      <w:lvlJc w:val="left"/>
      <w:pPr>
        <w:ind w:left="6240" w:hanging="720"/>
      </w:pPr>
      <w:rPr>
        <w:rFonts w:hint="default"/>
        <w:lang w:val="es-ES" w:eastAsia="en-US" w:bidi="ar-SA"/>
      </w:rPr>
    </w:lvl>
    <w:lvl w:ilvl="7" w:tplc="D8A2628A">
      <w:numFmt w:val="bullet"/>
      <w:lvlText w:val="•"/>
      <w:lvlJc w:val="left"/>
      <w:pPr>
        <w:ind w:left="7200" w:hanging="720"/>
      </w:pPr>
      <w:rPr>
        <w:rFonts w:hint="default"/>
        <w:lang w:val="es-ES" w:eastAsia="en-US" w:bidi="ar-SA"/>
      </w:rPr>
    </w:lvl>
    <w:lvl w:ilvl="8" w:tplc="E06C118A">
      <w:numFmt w:val="bullet"/>
      <w:lvlText w:val="•"/>
      <w:lvlJc w:val="left"/>
      <w:pPr>
        <w:ind w:left="8160" w:hanging="720"/>
      </w:pPr>
      <w:rPr>
        <w:rFonts w:hint="default"/>
        <w:lang w:val="es-ES" w:eastAsia="en-US" w:bidi="ar-SA"/>
      </w:rPr>
    </w:lvl>
  </w:abstractNum>
  <w:abstractNum w:abstractNumId="26" w15:restartNumberingAfterBreak="0">
    <w:nsid w:val="36B03697"/>
    <w:multiLevelType w:val="hybridMultilevel"/>
    <w:tmpl w:val="5582D074"/>
    <w:lvl w:ilvl="0" w:tplc="717C0FCE">
      <w:start w:val="1"/>
      <w:numFmt w:val="upperRoman"/>
      <w:lvlText w:val="%1."/>
      <w:lvlJc w:val="left"/>
      <w:pPr>
        <w:ind w:left="398" w:hanging="202"/>
      </w:pPr>
      <w:rPr>
        <w:rFonts w:ascii="Times New Roman" w:eastAsia="Microsoft Sans Serif" w:hAnsi="Times New Roman" w:cs="Times New Roman" w:hint="default"/>
        <w:b w:val="0"/>
        <w:bCs w:val="0"/>
        <w:i w:val="0"/>
        <w:iCs w:val="0"/>
        <w:spacing w:val="0"/>
        <w:w w:val="100"/>
        <w:sz w:val="24"/>
        <w:szCs w:val="24"/>
        <w:lang w:val="es-ES" w:eastAsia="en-US" w:bidi="ar-SA"/>
      </w:rPr>
    </w:lvl>
    <w:lvl w:ilvl="1" w:tplc="2732190E">
      <w:numFmt w:val="bullet"/>
      <w:lvlText w:val="•"/>
      <w:lvlJc w:val="left"/>
      <w:pPr>
        <w:ind w:left="1332" w:hanging="202"/>
      </w:pPr>
      <w:rPr>
        <w:rFonts w:hint="default"/>
        <w:lang w:val="es-ES" w:eastAsia="en-US" w:bidi="ar-SA"/>
      </w:rPr>
    </w:lvl>
    <w:lvl w:ilvl="2" w:tplc="9C063EC2">
      <w:numFmt w:val="bullet"/>
      <w:lvlText w:val="•"/>
      <w:lvlJc w:val="left"/>
      <w:pPr>
        <w:ind w:left="2264" w:hanging="202"/>
      </w:pPr>
      <w:rPr>
        <w:rFonts w:hint="default"/>
        <w:lang w:val="es-ES" w:eastAsia="en-US" w:bidi="ar-SA"/>
      </w:rPr>
    </w:lvl>
    <w:lvl w:ilvl="3" w:tplc="08D0800A">
      <w:numFmt w:val="bullet"/>
      <w:lvlText w:val="•"/>
      <w:lvlJc w:val="left"/>
      <w:pPr>
        <w:ind w:left="3196" w:hanging="202"/>
      </w:pPr>
      <w:rPr>
        <w:rFonts w:hint="default"/>
        <w:lang w:val="es-ES" w:eastAsia="en-US" w:bidi="ar-SA"/>
      </w:rPr>
    </w:lvl>
    <w:lvl w:ilvl="4" w:tplc="87DC6FB8">
      <w:numFmt w:val="bullet"/>
      <w:lvlText w:val="•"/>
      <w:lvlJc w:val="left"/>
      <w:pPr>
        <w:ind w:left="4128" w:hanging="202"/>
      </w:pPr>
      <w:rPr>
        <w:rFonts w:hint="default"/>
        <w:lang w:val="es-ES" w:eastAsia="en-US" w:bidi="ar-SA"/>
      </w:rPr>
    </w:lvl>
    <w:lvl w:ilvl="5" w:tplc="532672D8">
      <w:numFmt w:val="bullet"/>
      <w:lvlText w:val="•"/>
      <w:lvlJc w:val="left"/>
      <w:pPr>
        <w:ind w:left="5060" w:hanging="202"/>
      </w:pPr>
      <w:rPr>
        <w:rFonts w:hint="default"/>
        <w:lang w:val="es-ES" w:eastAsia="en-US" w:bidi="ar-SA"/>
      </w:rPr>
    </w:lvl>
    <w:lvl w:ilvl="6" w:tplc="5D10AC42">
      <w:numFmt w:val="bullet"/>
      <w:lvlText w:val="•"/>
      <w:lvlJc w:val="left"/>
      <w:pPr>
        <w:ind w:left="5992" w:hanging="202"/>
      </w:pPr>
      <w:rPr>
        <w:rFonts w:hint="default"/>
        <w:lang w:val="es-ES" w:eastAsia="en-US" w:bidi="ar-SA"/>
      </w:rPr>
    </w:lvl>
    <w:lvl w:ilvl="7" w:tplc="1068AAFA">
      <w:numFmt w:val="bullet"/>
      <w:lvlText w:val="•"/>
      <w:lvlJc w:val="left"/>
      <w:pPr>
        <w:ind w:left="6924" w:hanging="202"/>
      </w:pPr>
      <w:rPr>
        <w:rFonts w:hint="default"/>
        <w:lang w:val="es-ES" w:eastAsia="en-US" w:bidi="ar-SA"/>
      </w:rPr>
    </w:lvl>
    <w:lvl w:ilvl="8" w:tplc="B316EF3C">
      <w:numFmt w:val="bullet"/>
      <w:lvlText w:val="•"/>
      <w:lvlJc w:val="left"/>
      <w:pPr>
        <w:ind w:left="7856" w:hanging="202"/>
      </w:pPr>
      <w:rPr>
        <w:rFonts w:hint="default"/>
        <w:lang w:val="es-ES" w:eastAsia="en-US" w:bidi="ar-SA"/>
      </w:rPr>
    </w:lvl>
  </w:abstractNum>
  <w:abstractNum w:abstractNumId="27" w15:restartNumberingAfterBreak="0">
    <w:nsid w:val="38461324"/>
    <w:multiLevelType w:val="hybridMultilevel"/>
    <w:tmpl w:val="74AA3458"/>
    <w:lvl w:ilvl="0" w:tplc="98CE9D72">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2A38ED18">
      <w:numFmt w:val="bullet"/>
      <w:lvlText w:val="•"/>
      <w:lvlJc w:val="left"/>
      <w:pPr>
        <w:ind w:left="2304" w:hanging="720"/>
      </w:pPr>
      <w:rPr>
        <w:rFonts w:hint="default"/>
        <w:lang w:val="es-ES" w:eastAsia="en-US" w:bidi="ar-SA"/>
      </w:rPr>
    </w:lvl>
    <w:lvl w:ilvl="2" w:tplc="5EEE6392">
      <w:numFmt w:val="bullet"/>
      <w:lvlText w:val="•"/>
      <w:lvlJc w:val="left"/>
      <w:pPr>
        <w:ind w:left="3168" w:hanging="720"/>
      </w:pPr>
      <w:rPr>
        <w:rFonts w:hint="default"/>
        <w:lang w:val="es-ES" w:eastAsia="en-US" w:bidi="ar-SA"/>
      </w:rPr>
    </w:lvl>
    <w:lvl w:ilvl="3" w:tplc="34366DB8">
      <w:numFmt w:val="bullet"/>
      <w:lvlText w:val="•"/>
      <w:lvlJc w:val="left"/>
      <w:pPr>
        <w:ind w:left="4032" w:hanging="720"/>
      </w:pPr>
      <w:rPr>
        <w:rFonts w:hint="default"/>
        <w:lang w:val="es-ES" w:eastAsia="en-US" w:bidi="ar-SA"/>
      </w:rPr>
    </w:lvl>
    <w:lvl w:ilvl="4" w:tplc="B7523820">
      <w:numFmt w:val="bullet"/>
      <w:lvlText w:val="•"/>
      <w:lvlJc w:val="left"/>
      <w:pPr>
        <w:ind w:left="4896" w:hanging="720"/>
      </w:pPr>
      <w:rPr>
        <w:rFonts w:hint="default"/>
        <w:lang w:val="es-ES" w:eastAsia="en-US" w:bidi="ar-SA"/>
      </w:rPr>
    </w:lvl>
    <w:lvl w:ilvl="5" w:tplc="A156EE9C">
      <w:numFmt w:val="bullet"/>
      <w:lvlText w:val="•"/>
      <w:lvlJc w:val="left"/>
      <w:pPr>
        <w:ind w:left="5760" w:hanging="720"/>
      </w:pPr>
      <w:rPr>
        <w:rFonts w:hint="default"/>
        <w:lang w:val="es-ES" w:eastAsia="en-US" w:bidi="ar-SA"/>
      </w:rPr>
    </w:lvl>
    <w:lvl w:ilvl="6" w:tplc="6EE60C04">
      <w:numFmt w:val="bullet"/>
      <w:lvlText w:val="•"/>
      <w:lvlJc w:val="left"/>
      <w:pPr>
        <w:ind w:left="6624" w:hanging="720"/>
      </w:pPr>
      <w:rPr>
        <w:rFonts w:hint="default"/>
        <w:lang w:val="es-ES" w:eastAsia="en-US" w:bidi="ar-SA"/>
      </w:rPr>
    </w:lvl>
    <w:lvl w:ilvl="7" w:tplc="5C9402DA">
      <w:numFmt w:val="bullet"/>
      <w:lvlText w:val="•"/>
      <w:lvlJc w:val="left"/>
      <w:pPr>
        <w:ind w:left="7488" w:hanging="720"/>
      </w:pPr>
      <w:rPr>
        <w:rFonts w:hint="default"/>
        <w:lang w:val="es-ES" w:eastAsia="en-US" w:bidi="ar-SA"/>
      </w:rPr>
    </w:lvl>
    <w:lvl w:ilvl="8" w:tplc="BF5E321E">
      <w:numFmt w:val="bullet"/>
      <w:lvlText w:val="•"/>
      <w:lvlJc w:val="left"/>
      <w:pPr>
        <w:ind w:left="8352" w:hanging="720"/>
      </w:pPr>
      <w:rPr>
        <w:rFonts w:hint="default"/>
        <w:lang w:val="es-ES" w:eastAsia="en-US" w:bidi="ar-SA"/>
      </w:rPr>
    </w:lvl>
  </w:abstractNum>
  <w:abstractNum w:abstractNumId="28" w15:restartNumberingAfterBreak="0">
    <w:nsid w:val="387D54F9"/>
    <w:multiLevelType w:val="hybridMultilevel"/>
    <w:tmpl w:val="54D61886"/>
    <w:lvl w:ilvl="0" w:tplc="480433E0">
      <w:start w:val="12"/>
      <w:numFmt w:val="upperRoman"/>
      <w:lvlText w:val="%1."/>
      <w:lvlJc w:val="left"/>
      <w:pPr>
        <w:ind w:left="0" w:hanging="467"/>
      </w:pPr>
      <w:rPr>
        <w:rFonts w:hint="default"/>
        <w:spacing w:val="0"/>
        <w:w w:val="100"/>
        <w:lang w:val="es-ES" w:eastAsia="en-US" w:bidi="ar-SA"/>
      </w:rPr>
    </w:lvl>
    <w:lvl w:ilvl="1" w:tplc="9A120AC8">
      <w:numFmt w:val="bullet"/>
      <w:lvlText w:val="•"/>
      <w:lvlJc w:val="left"/>
      <w:pPr>
        <w:ind w:left="972" w:hanging="467"/>
      </w:pPr>
      <w:rPr>
        <w:rFonts w:hint="default"/>
        <w:lang w:val="es-ES" w:eastAsia="en-US" w:bidi="ar-SA"/>
      </w:rPr>
    </w:lvl>
    <w:lvl w:ilvl="2" w:tplc="D486DA64">
      <w:numFmt w:val="bullet"/>
      <w:lvlText w:val="•"/>
      <w:lvlJc w:val="left"/>
      <w:pPr>
        <w:ind w:left="1944" w:hanging="467"/>
      </w:pPr>
      <w:rPr>
        <w:rFonts w:hint="default"/>
        <w:lang w:val="es-ES" w:eastAsia="en-US" w:bidi="ar-SA"/>
      </w:rPr>
    </w:lvl>
    <w:lvl w:ilvl="3" w:tplc="DAC2CA54">
      <w:numFmt w:val="bullet"/>
      <w:lvlText w:val="•"/>
      <w:lvlJc w:val="left"/>
      <w:pPr>
        <w:ind w:left="2916" w:hanging="467"/>
      </w:pPr>
      <w:rPr>
        <w:rFonts w:hint="default"/>
        <w:lang w:val="es-ES" w:eastAsia="en-US" w:bidi="ar-SA"/>
      </w:rPr>
    </w:lvl>
    <w:lvl w:ilvl="4" w:tplc="ACBC302A">
      <w:numFmt w:val="bullet"/>
      <w:lvlText w:val="•"/>
      <w:lvlJc w:val="left"/>
      <w:pPr>
        <w:ind w:left="3888" w:hanging="467"/>
      </w:pPr>
      <w:rPr>
        <w:rFonts w:hint="default"/>
        <w:lang w:val="es-ES" w:eastAsia="en-US" w:bidi="ar-SA"/>
      </w:rPr>
    </w:lvl>
    <w:lvl w:ilvl="5" w:tplc="2D4875DC">
      <w:numFmt w:val="bullet"/>
      <w:lvlText w:val="•"/>
      <w:lvlJc w:val="left"/>
      <w:pPr>
        <w:ind w:left="4860" w:hanging="467"/>
      </w:pPr>
      <w:rPr>
        <w:rFonts w:hint="default"/>
        <w:lang w:val="es-ES" w:eastAsia="en-US" w:bidi="ar-SA"/>
      </w:rPr>
    </w:lvl>
    <w:lvl w:ilvl="6" w:tplc="024806AC">
      <w:numFmt w:val="bullet"/>
      <w:lvlText w:val="•"/>
      <w:lvlJc w:val="left"/>
      <w:pPr>
        <w:ind w:left="5832" w:hanging="467"/>
      </w:pPr>
      <w:rPr>
        <w:rFonts w:hint="default"/>
        <w:lang w:val="es-ES" w:eastAsia="en-US" w:bidi="ar-SA"/>
      </w:rPr>
    </w:lvl>
    <w:lvl w:ilvl="7" w:tplc="3AD46646">
      <w:numFmt w:val="bullet"/>
      <w:lvlText w:val="•"/>
      <w:lvlJc w:val="left"/>
      <w:pPr>
        <w:ind w:left="6804" w:hanging="467"/>
      </w:pPr>
      <w:rPr>
        <w:rFonts w:hint="default"/>
        <w:lang w:val="es-ES" w:eastAsia="en-US" w:bidi="ar-SA"/>
      </w:rPr>
    </w:lvl>
    <w:lvl w:ilvl="8" w:tplc="25DCEFF6">
      <w:numFmt w:val="bullet"/>
      <w:lvlText w:val="•"/>
      <w:lvlJc w:val="left"/>
      <w:pPr>
        <w:ind w:left="7776" w:hanging="467"/>
      </w:pPr>
      <w:rPr>
        <w:rFonts w:hint="default"/>
        <w:lang w:val="es-ES" w:eastAsia="en-US" w:bidi="ar-SA"/>
      </w:rPr>
    </w:lvl>
  </w:abstractNum>
  <w:abstractNum w:abstractNumId="29" w15:restartNumberingAfterBreak="0">
    <w:nsid w:val="3CDB6413"/>
    <w:multiLevelType w:val="hybridMultilevel"/>
    <w:tmpl w:val="BDF289D0"/>
    <w:lvl w:ilvl="0" w:tplc="6B5648A2">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83E2FD52">
      <w:numFmt w:val="bullet"/>
      <w:lvlText w:val="•"/>
      <w:lvlJc w:val="left"/>
      <w:pPr>
        <w:ind w:left="2304" w:hanging="720"/>
      </w:pPr>
      <w:rPr>
        <w:rFonts w:hint="default"/>
        <w:lang w:val="es-ES" w:eastAsia="en-US" w:bidi="ar-SA"/>
      </w:rPr>
    </w:lvl>
    <w:lvl w:ilvl="2" w:tplc="F738D9B8">
      <w:numFmt w:val="bullet"/>
      <w:lvlText w:val="•"/>
      <w:lvlJc w:val="left"/>
      <w:pPr>
        <w:ind w:left="3168" w:hanging="720"/>
      </w:pPr>
      <w:rPr>
        <w:rFonts w:hint="default"/>
        <w:lang w:val="es-ES" w:eastAsia="en-US" w:bidi="ar-SA"/>
      </w:rPr>
    </w:lvl>
    <w:lvl w:ilvl="3" w:tplc="03F2B6BE">
      <w:numFmt w:val="bullet"/>
      <w:lvlText w:val="•"/>
      <w:lvlJc w:val="left"/>
      <w:pPr>
        <w:ind w:left="4032" w:hanging="720"/>
      </w:pPr>
      <w:rPr>
        <w:rFonts w:hint="default"/>
        <w:lang w:val="es-ES" w:eastAsia="en-US" w:bidi="ar-SA"/>
      </w:rPr>
    </w:lvl>
    <w:lvl w:ilvl="4" w:tplc="4D343F0E">
      <w:numFmt w:val="bullet"/>
      <w:lvlText w:val="•"/>
      <w:lvlJc w:val="left"/>
      <w:pPr>
        <w:ind w:left="4896" w:hanging="720"/>
      </w:pPr>
      <w:rPr>
        <w:rFonts w:hint="default"/>
        <w:lang w:val="es-ES" w:eastAsia="en-US" w:bidi="ar-SA"/>
      </w:rPr>
    </w:lvl>
    <w:lvl w:ilvl="5" w:tplc="70166F38">
      <w:numFmt w:val="bullet"/>
      <w:lvlText w:val="•"/>
      <w:lvlJc w:val="left"/>
      <w:pPr>
        <w:ind w:left="5760" w:hanging="720"/>
      </w:pPr>
      <w:rPr>
        <w:rFonts w:hint="default"/>
        <w:lang w:val="es-ES" w:eastAsia="en-US" w:bidi="ar-SA"/>
      </w:rPr>
    </w:lvl>
    <w:lvl w:ilvl="6" w:tplc="2160B34C">
      <w:numFmt w:val="bullet"/>
      <w:lvlText w:val="•"/>
      <w:lvlJc w:val="left"/>
      <w:pPr>
        <w:ind w:left="6624" w:hanging="720"/>
      </w:pPr>
      <w:rPr>
        <w:rFonts w:hint="default"/>
        <w:lang w:val="es-ES" w:eastAsia="en-US" w:bidi="ar-SA"/>
      </w:rPr>
    </w:lvl>
    <w:lvl w:ilvl="7" w:tplc="14BCB712">
      <w:numFmt w:val="bullet"/>
      <w:lvlText w:val="•"/>
      <w:lvlJc w:val="left"/>
      <w:pPr>
        <w:ind w:left="7488" w:hanging="720"/>
      </w:pPr>
      <w:rPr>
        <w:rFonts w:hint="default"/>
        <w:lang w:val="es-ES" w:eastAsia="en-US" w:bidi="ar-SA"/>
      </w:rPr>
    </w:lvl>
    <w:lvl w:ilvl="8" w:tplc="D5468082">
      <w:numFmt w:val="bullet"/>
      <w:lvlText w:val="•"/>
      <w:lvlJc w:val="left"/>
      <w:pPr>
        <w:ind w:left="8352" w:hanging="720"/>
      </w:pPr>
      <w:rPr>
        <w:rFonts w:hint="default"/>
        <w:lang w:val="es-ES" w:eastAsia="en-US" w:bidi="ar-SA"/>
      </w:rPr>
    </w:lvl>
  </w:abstractNum>
  <w:abstractNum w:abstractNumId="30" w15:restartNumberingAfterBreak="0">
    <w:nsid w:val="401B0E0D"/>
    <w:multiLevelType w:val="hybridMultilevel"/>
    <w:tmpl w:val="7EBA0DEE"/>
    <w:lvl w:ilvl="0" w:tplc="D4CE9B86">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DF10FA38">
      <w:numFmt w:val="bullet"/>
      <w:lvlText w:val="•"/>
      <w:lvlJc w:val="left"/>
      <w:pPr>
        <w:ind w:left="2304" w:hanging="720"/>
      </w:pPr>
      <w:rPr>
        <w:rFonts w:hint="default"/>
        <w:lang w:val="es-ES" w:eastAsia="en-US" w:bidi="ar-SA"/>
      </w:rPr>
    </w:lvl>
    <w:lvl w:ilvl="2" w:tplc="F4167AD4">
      <w:numFmt w:val="bullet"/>
      <w:lvlText w:val="•"/>
      <w:lvlJc w:val="left"/>
      <w:pPr>
        <w:ind w:left="3168" w:hanging="720"/>
      </w:pPr>
      <w:rPr>
        <w:rFonts w:hint="default"/>
        <w:lang w:val="es-ES" w:eastAsia="en-US" w:bidi="ar-SA"/>
      </w:rPr>
    </w:lvl>
    <w:lvl w:ilvl="3" w:tplc="84D45F7A">
      <w:numFmt w:val="bullet"/>
      <w:lvlText w:val="•"/>
      <w:lvlJc w:val="left"/>
      <w:pPr>
        <w:ind w:left="4032" w:hanging="720"/>
      </w:pPr>
      <w:rPr>
        <w:rFonts w:hint="default"/>
        <w:lang w:val="es-ES" w:eastAsia="en-US" w:bidi="ar-SA"/>
      </w:rPr>
    </w:lvl>
    <w:lvl w:ilvl="4" w:tplc="3BEE6EC8">
      <w:numFmt w:val="bullet"/>
      <w:lvlText w:val="•"/>
      <w:lvlJc w:val="left"/>
      <w:pPr>
        <w:ind w:left="4896" w:hanging="720"/>
      </w:pPr>
      <w:rPr>
        <w:rFonts w:hint="default"/>
        <w:lang w:val="es-ES" w:eastAsia="en-US" w:bidi="ar-SA"/>
      </w:rPr>
    </w:lvl>
    <w:lvl w:ilvl="5" w:tplc="9294C928">
      <w:numFmt w:val="bullet"/>
      <w:lvlText w:val="•"/>
      <w:lvlJc w:val="left"/>
      <w:pPr>
        <w:ind w:left="5760" w:hanging="720"/>
      </w:pPr>
      <w:rPr>
        <w:rFonts w:hint="default"/>
        <w:lang w:val="es-ES" w:eastAsia="en-US" w:bidi="ar-SA"/>
      </w:rPr>
    </w:lvl>
    <w:lvl w:ilvl="6" w:tplc="AC2A7C68">
      <w:numFmt w:val="bullet"/>
      <w:lvlText w:val="•"/>
      <w:lvlJc w:val="left"/>
      <w:pPr>
        <w:ind w:left="6624" w:hanging="720"/>
      </w:pPr>
      <w:rPr>
        <w:rFonts w:hint="default"/>
        <w:lang w:val="es-ES" w:eastAsia="en-US" w:bidi="ar-SA"/>
      </w:rPr>
    </w:lvl>
    <w:lvl w:ilvl="7" w:tplc="0AC81A2C">
      <w:numFmt w:val="bullet"/>
      <w:lvlText w:val="•"/>
      <w:lvlJc w:val="left"/>
      <w:pPr>
        <w:ind w:left="7488" w:hanging="720"/>
      </w:pPr>
      <w:rPr>
        <w:rFonts w:hint="default"/>
        <w:lang w:val="es-ES" w:eastAsia="en-US" w:bidi="ar-SA"/>
      </w:rPr>
    </w:lvl>
    <w:lvl w:ilvl="8" w:tplc="816EF5D8">
      <w:numFmt w:val="bullet"/>
      <w:lvlText w:val="•"/>
      <w:lvlJc w:val="left"/>
      <w:pPr>
        <w:ind w:left="8352" w:hanging="720"/>
      </w:pPr>
      <w:rPr>
        <w:rFonts w:hint="default"/>
        <w:lang w:val="es-ES" w:eastAsia="en-US" w:bidi="ar-SA"/>
      </w:rPr>
    </w:lvl>
  </w:abstractNum>
  <w:abstractNum w:abstractNumId="31" w15:restartNumberingAfterBreak="0">
    <w:nsid w:val="427F4EDA"/>
    <w:multiLevelType w:val="hybridMultilevel"/>
    <w:tmpl w:val="7B8C41C2"/>
    <w:lvl w:ilvl="0" w:tplc="0A7C821C">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20166DC8">
      <w:numFmt w:val="bullet"/>
      <w:lvlText w:val="•"/>
      <w:lvlJc w:val="left"/>
      <w:pPr>
        <w:ind w:left="2304" w:hanging="720"/>
      </w:pPr>
      <w:rPr>
        <w:rFonts w:hint="default"/>
        <w:lang w:val="es-ES" w:eastAsia="en-US" w:bidi="ar-SA"/>
      </w:rPr>
    </w:lvl>
    <w:lvl w:ilvl="2" w:tplc="2530F0F6">
      <w:numFmt w:val="bullet"/>
      <w:lvlText w:val="•"/>
      <w:lvlJc w:val="left"/>
      <w:pPr>
        <w:ind w:left="3168" w:hanging="720"/>
      </w:pPr>
      <w:rPr>
        <w:rFonts w:hint="default"/>
        <w:lang w:val="es-ES" w:eastAsia="en-US" w:bidi="ar-SA"/>
      </w:rPr>
    </w:lvl>
    <w:lvl w:ilvl="3" w:tplc="CA84B57A">
      <w:numFmt w:val="bullet"/>
      <w:lvlText w:val="•"/>
      <w:lvlJc w:val="left"/>
      <w:pPr>
        <w:ind w:left="4032" w:hanging="720"/>
      </w:pPr>
      <w:rPr>
        <w:rFonts w:hint="default"/>
        <w:lang w:val="es-ES" w:eastAsia="en-US" w:bidi="ar-SA"/>
      </w:rPr>
    </w:lvl>
    <w:lvl w:ilvl="4" w:tplc="79DC5DBE">
      <w:numFmt w:val="bullet"/>
      <w:lvlText w:val="•"/>
      <w:lvlJc w:val="left"/>
      <w:pPr>
        <w:ind w:left="4896" w:hanging="720"/>
      </w:pPr>
      <w:rPr>
        <w:rFonts w:hint="default"/>
        <w:lang w:val="es-ES" w:eastAsia="en-US" w:bidi="ar-SA"/>
      </w:rPr>
    </w:lvl>
    <w:lvl w:ilvl="5" w:tplc="C2AE3E6E">
      <w:numFmt w:val="bullet"/>
      <w:lvlText w:val="•"/>
      <w:lvlJc w:val="left"/>
      <w:pPr>
        <w:ind w:left="5760" w:hanging="720"/>
      </w:pPr>
      <w:rPr>
        <w:rFonts w:hint="default"/>
        <w:lang w:val="es-ES" w:eastAsia="en-US" w:bidi="ar-SA"/>
      </w:rPr>
    </w:lvl>
    <w:lvl w:ilvl="6" w:tplc="61DEEE62">
      <w:numFmt w:val="bullet"/>
      <w:lvlText w:val="•"/>
      <w:lvlJc w:val="left"/>
      <w:pPr>
        <w:ind w:left="6624" w:hanging="720"/>
      </w:pPr>
      <w:rPr>
        <w:rFonts w:hint="default"/>
        <w:lang w:val="es-ES" w:eastAsia="en-US" w:bidi="ar-SA"/>
      </w:rPr>
    </w:lvl>
    <w:lvl w:ilvl="7" w:tplc="B85C4268">
      <w:numFmt w:val="bullet"/>
      <w:lvlText w:val="•"/>
      <w:lvlJc w:val="left"/>
      <w:pPr>
        <w:ind w:left="7488" w:hanging="720"/>
      </w:pPr>
      <w:rPr>
        <w:rFonts w:hint="default"/>
        <w:lang w:val="es-ES" w:eastAsia="en-US" w:bidi="ar-SA"/>
      </w:rPr>
    </w:lvl>
    <w:lvl w:ilvl="8" w:tplc="DB48F22E">
      <w:numFmt w:val="bullet"/>
      <w:lvlText w:val="•"/>
      <w:lvlJc w:val="left"/>
      <w:pPr>
        <w:ind w:left="8352" w:hanging="720"/>
      </w:pPr>
      <w:rPr>
        <w:rFonts w:hint="default"/>
        <w:lang w:val="es-ES" w:eastAsia="en-US" w:bidi="ar-SA"/>
      </w:rPr>
    </w:lvl>
  </w:abstractNum>
  <w:abstractNum w:abstractNumId="32" w15:restartNumberingAfterBreak="0">
    <w:nsid w:val="42980531"/>
    <w:multiLevelType w:val="hybridMultilevel"/>
    <w:tmpl w:val="B10CA820"/>
    <w:lvl w:ilvl="0" w:tplc="6B9E02EE">
      <w:start w:val="1"/>
      <w:numFmt w:val="upperRoman"/>
      <w:lvlText w:val="%1."/>
      <w:lvlJc w:val="left"/>
      <w:pPr>
        <w:ind w:left="272" w:hanging="167"/>
      </w:pPr>
      <w:rPr>
        <w:rFonts w:ascii="Arial MT" w:eastAsia="Arial MT" w:hAnsi="Arial MT" w:cs="Arial MT" w:hint="default"/>
        <w:b w:val="0"/>
        <w:bCs w:val="0"/>
        <w:i w:val="0"/>
        <w:iCs w:val="0"/>
        <w:spacing w:val="-1"/>
        <w:w w:val="100"/>
        <w:sz w:val="20"/>
        <w:szCs w:val="20"/>
        <w:lang w:val="es-ES" w:eastAsia="en-US" w:bidi="ar-SA"/>
      </w:rPr>
    </w:lvl>
    <w:lvl w:ilvl="1" w:tplc="D93EC282">
      <w:numFmt w:val="bullet"/>
      <w:lvlText w:val="•"/>
      <w:lvlJc w:val="left"/>
      <w:pPr>
        <w:ind w:left="718" w:hanging="167"/>
      </w:pPr>
      <w:rPr>
        <w:rFonts w:hint="default"/>
        <w:lang w:val="es-ES" w:eastAsia="en-US" w:bidi="ar-SA"/>
      </w:rPr>
    </w:lvl>
    <w:lvl w:ilvl="2" w:tplc="A838E7A2">
      <w:numFmt w:val="bullet"/>
      <w:lvlText w:val="•"/>
      <w:lvlJc w:val="left"/>
      <w:pPr>
        <w:ind w:left="1157" w:hanging="167"/>
      </w:pPr>
      <w:rPr>
        <w:rFonts w:hint="default"/>
        <w:lang w:val="es-ES" w:eastAsia="en-US" w:bidi="ar-SA"/>
      </w:rPr>
    </w:lvl>
    <w:lvl w:ilvl="3" w:tplc="F1ACE792">
      <w:numFmt w:val="bullet"/>
      <w:lvlText w:val="•"/>
      <w:lvlJc w:val="left"/>
      <w:pPr>
        <w:ind w:left="1595" w:hanging="167"/>
      </w:pPr>
      <w:rPr>
        <w:rFonts w:hint="default"/>
        <w:lang w:val="es-ES" w:eastAsia="en-US" w:bidi="ar-SA"/>
      </w:rPr>
    </w:lvl>
    <w:lvl w:ilvl="4" w:tplc="94286090">
      <w:numFmt w:val="bullet"/>
      <w:lvlText w:val="•"/>
      <w:lvlJc w:val="left"/>
      <w:pPr>
        <w:ind w:left="2034" w:hanging="167"/>
      </w:pPr>
      <w:rPr>
        <w:rFonts w:hint="default"/>
        <w:lang w:val="es-ES" w:eastAsia="en-US" w:bidi="ar-SA"/>
      </w:rPr>
    </w:lvl>
    <w:lvl w:ilvl="5" w:tplc="DE04D83A">
      <w:numFmt w:val="bullet"/>
      <w:lvlText w:val="•"/>
      <w:lvlJc w:val="left"/>
      <w:pPr>
        <w:ind w:left="2472" w:hanging="167"/>
      </w:pPr>
      <w:rPr>
        <w:rFonts w:hint="default"/>
        <w:lang w:val="es-ES" w:eastAsia="en-US" w:bidi="ar-SA"/>
      </w:rPr>
    </w:lvl>
    <w:lvl w:ilvl="6" w:tplc="D78A5270">
      <w:numFmt w:val="bullet"/>
      <w:lvlText w:val="•"/>
      <w:lvlJc w:val="left"/>
      <w:pPr>
        <w:ind w:left="2911" w:hanging="167"/>
      </w:pPr>
      <w:rPr>
        <w:rFonts w:hint="default"/>
        <w:lang w:val="es-ES" w:eastAsia="en-US" w:bidi="ar-SA"/>
      </w:rPr>
    </w:lvl>
    <w:lvl w:ilvl="7" w:tplc="E238362A">
      <w:numFmt w:val="bullet"/>
      <w:lvlText w:val="•"/>
      <w:lvlJc w:val="left"/>
      <w:pPr>
        <w:ind w:left="3349" w:hanging="167"/>
      </w:pPr>
      <w:rPr>
        <w:rFonts w:hint="default"/>
        <w:lang w:val="es-ES" w:eastAsia="en-US" w:bidi="ar-SA"/>
      </w:rPr>
    </w:lvl>
    <w:lvl w:ilvl="8" w:tplc="4BDA5E88">
      <w:numFmt w:val="bullet"/>
      <w:lvlText w:val="•"/>
      <w:lvlJc w:val="left"/>
      <w:pPr>
        <w:ind w:left="3788" w:hanging="167"/>
      </w:pPr>
      <w:rPr>
        <w:rFonts w:hint="default"/>
        <w:lang w:val="es-ES" w:eastAsia="en-US" w:bidi="ar-SA"/>
      </w:rPr>
    </w:lvl>
  </w:abstractNum>
  <w:abstractNum w:abstractNumId="33" w15:restartNumberingAfterBreak="0">
    <w:nsid w:val="42EF7F1C"/>
    <w:multiLevelType w:val="hybridMultilevel"/>
    <w:tmpl w:val="E32E0D44"/>
    <w:lvl w:ilvl="0" w:tplc="61080D00">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01D498FC">
      <w:numFmt w:val="bullet"/>
      <w:lvlText w:val="•"/>
      <w:lvlJc w:val="left"/>
      <w:pPr>
        <w:ind w:left="2304" w:hanging="720"/>
      </w:pPr>
      <w:rPr>
        <w:rFonts w:hint="default"/>
        <w:lang w:val="es-ES" w:eastAsia="en-US" w:bidi="ar-SA"/>
      </w:rPr>
    </w:lvl>
    <w:lvl w:ilvl="2" w:tplc="9EEA0A60">
      <w:numFmt w:val="bullet"/>
      <w:lvlText w:val="•"/>
      <w:lvlJc w:val="left"/>
      <w:pPr>
        <w:ind w:left="3168" w:hanging="720"/>
      </w:pPr>
      <w:rPr>
        <w:rFonts w:hint="default"/>
        <w:lang w:val="es-ES" w:eastAsia="en-US" w:bidi="ar-SA"/>
      </w:rPr>
    </w:lvl>
    <w:lvl w:ilvl="3" w:tplc="5ABE8E78">
      <w:numFmt w:val="bullet"/>
      <w:lvlText w:val="•"/>
      <w:lvlJc w:val="left"/>
      <w:pPr>
        <w:ind w:left="4032" w:hanging="720"/>
      </w:pPr>
      <w:rPr>
        <w:rFonts w:hint="default"/>
        <w:lang w:val="es-ES" w:eastAsia="en-US" w:bidi="ar-SA"/>
      </w:rPr>
    </w:lvl>
    <w:lvl w:ilvl="4" w:tplc="369C735E">
      <w:numFmt w:val="bullet"/>
      <w:lvlText w:val="•"/>
      <w:lvlJc w:val="left"/>
      <w:pPr>
        <w:ind w:left="4896" w:hanging="720"/>
      </w:pPr>
      <w:rPr>
        <w:rFonts w:hint="default"/>
        <w:lang w:val="es-ES" w:eastAsia="en-US" w:bidi="ar-SA"/>
      </w:rPr>
    </w:lvl>
    <w:lvl w:ilvl="5" w:tplc="4CBAECC4">
      <w:numFmt w:val="bullet"/>
      <w:lvlText w:val="•"/>
      <w:lvlJc w:val="left"/>
      <w:pPr>
        <w:ind w:left="5760" w:hanging="720"/>
      </w:pPr>
      <w:rPr>
        <w:rFonts w:hint="default"/>
        <w:lang w:val="es-ES" w:eastAsia="en-US" w:bidi="ar-SA"/>
      </w:rPr>
    </w:lvl>
    <w:lvl w:ilvl="6" w:tplc="BB9E5270">
      <w:numFmt w:val="bullet"/>
      <w:lvlText w:val="•"/>
      <w:lvlJc w:val="left"/>
      <w:pPr>
        <w:ind w:left="6624" w:hanging="720"/>
      </w:pPr>
      <w:rPr>
        <w:rFonts w:hint="default"/>
        <w:lang w:val="es-ES" w:eastAsia="en-US" w:bidi="ar-SA"/>
      </w:rPr>
    </w:lvl>
    <w:lvl w:ilvl="7" w:tplc="E6C49960">
      <w:numFmt w:val="bullet"/>
      <w:lvlText w:val="•"/>
      <w:lvlJc w:val="left"/>
      <w:pPr>
        <w:ind w:left="7488" w:hanging="720"/>
      </w:pPr>
      <w:rPr>
        <w:rFonts w:hint="default"/>
        <w:lang w:val="es-ES" w:eastAsia="en-US" w:bidi="ar-SA"/>
      </w:rPr>
    </w:lvl>
    <w:lvl w:ilvl="8" w:tplc="9C447F58">
      <w:numFmt w:val="bullet"/>
      <w:lvlText w:val="•"/>
      <w:lvlJc w:val="left"/>
      <w:pPr>
        <w:ind w:left="8352" w:hanging="720"/>
      </w:pPr>
      <w:rPr>
        <w:rFonts w:hint="default"/>
        <w:lang w:val="es-ES" w:eastAsia="en-US" w:bidi="ar-SA"/>
      </w:rPr>
    </w:lvl>
  </w:abstractNum>
  <w:abstractNum w:abstractNumId="34" w15:restartNumberingAfterBreak="0">
    <w:nsid w:val="4932496B"/>
    <w:multiLevelType w:val="hybridMultilevel"/>
    <w:tmpl w:val="D584CB6A"/>
    <w:lvl w:ilvl="0" w:tplc="26447ADE">
      <w:start w:val="1"/>
      <w:numFmt w:val="upperRoman"/>
      <w:lvlText w:val="%1."/>
      <w:lvlJc w:val="left"/>
      <w:pPr>
        <w:ind w:left="398" w:hanging="201"/>
      </w:pPr>
      <w:rPr>
        <w:rFonts w:ascii="Times New Roman" w:eastAsia="Microsoft Sans Serif" w:hAnsi="Times New Roman" w:cs="Times New Roman" w:hint="default"/>
        <w:b w:val="0"/>
        <w:bCs w:val="0"/>
        <w:i w:val="0"/>
        <w:iCs w:val="0"/>
        <w:spacing w:val="0"/>
        <w:w w:val="100"/>
        <w:sz w:val="24"/>
        <w:szCs w:val="24"/>
        <w:lang w:val="es-ES" w:eastAsia="en-US" w:bidi="ar-SA"/>
      </w:rPr>
    </w:lvl>
    <w:lvl w:ilvl="1" w:tplc="F5F4542E">
      <w:numFmt w:val="bullet"/>
      <w:lvlText w:val="•"/>
      <w:lvlJc w:val="left"/>
      <w:pPr>
        <w:ind w:left="1332" w:hanging="201"/>
      </w:pPr>
      <w:rPr>
        <w:rFonts w:hint="default"/>
        <w:lang w:val="es-ES" w:eastAsia="en-US" w:bidi="ar-SA"/>
      </w:rPr>
    </w:lvl>
    <w:lvl w:ilvl="2" w:tplc="E25EF44A">
      <w:numFmt w:val="bullet"/>
      <w:lvlText w:val="•"/>
      <w:lvlJc w:val="left"/>
      <w:pPr>
        <w:ind w:left="2264" w:hanging="201"/>
      </w:pPr>
      <w:rPr>
        <w:rFonts w:hint="default"/>
        <w:lang w:val="es-ES" w:eastAsia="en-US" w:bidi="ar-SA"/>
      </w:rPr>
    </w:lvl>
    <w:lvl w:ilvl="3" w:tplc="62FCE838">
      <w:numFmt w:val="bullet"/>
      <w:lvlText w:val="•"/>
      <w:lvlJc w:val="left"/>
      <w:pPr>
        <w:ind w:left="3196" w:hanging="201"/>
      </w:pPr>
      <w:rPr>
        <w:rFonts w:hint="default"/>
        <w:lang w:val="es-ES" w:eastAsia="en-US" w:bidi="ar-SA"/>
      </w:rPr>
    </w:lvl>
    <w:lvl w:ilvl="4" w:tplc="5484DA14">
      <w:numFmt w:val="bullet"/>
      <w:lvlText w:val="•"/>
      <w:lvlJc w:val="left"/>
      <w:pPr>
        <w:ind w:left="4128" w:hanging="201"/>
      </w:pPr>
      <w:rPr>
        <w:rFonts w:hint="default"/>
        <w:lang w:val="es-ES" w:eastAsia="en-US" w:bidi="ar-SA"/>
      </w:rPr>
    </w:lvl>
    <w:lvl w:ilvl="5" w:tplc="B420E03A">
      <w:numFmt w:val="bullet"/>
      <w:lvlText w:val="•"/>
      <w:lvlJc w:val="left"/>
      <w:pPr>
        <w:ind w:left="5060" w:hanging="201"/>
      </w:pPr>
      <w:rPr>
        <w:rFonts w:hint="default"/>
        <w:lang w:val="es-ES" w:eastAsia="en-US" w:bidi="ar-SA"/>
      </w:rPr>
    </w:lvl>
    <w:lvl w:ilvl="6" w:tplc="99EC80A8">
      <w:numFmt w:val="bullet"/>
      <w:lvlText w:val="•"/>
      <w:lvlJc w:val="left"/>
      <w:pPr>
        <w:ind w:left="5992" w:hanging="201"/>
      </w:pPr>
      <w:rPr>
        <w:rFonts w:hint="default"/>
        <w:lang w:val="es-ES" w:eastAsia="en-US" w:bidi="ar-SA"/>
      </w:rPr>
    </w:lvl>
    <w:lvl w:ilvl="7" w:tplc="0B10B204">
      <w:numFmt w:val="bullet"/>
      <w:lvlText w:val="•"/>
      <w:lvlJc w:val="left"/>
      <w:pPr>
        <w:ind w:left="6924" w:hanging="201"/>
      </w:pPr>
      <w:rPr>
        <w:rFonts w:hint="default"/>
        <w:lang w:val="es-ES" w:eastAsia="en-US" w:bidi="ar-SA"/>
      </w:rPr>
    </w:lvl>
    <w:lvl w:ilvl="8" w:tplc="F8987434">
      <w:numFmt w:val="bullet"/>
      <w:lvlText w:val="•"/>
      <w:lvlJc w:val="left"/>
      <w:pPr>
        <w:ind w:left="7856" w:hanging="201"/>
      </w:pPr>
      <w:rPr>
        <w:rFonts w:hint="default"/>
        <w:lang w:val="es-ES" w:eastAsia="en-US" w:bidi="ar-SA"/>
      </w:rPr>
    </w:lvl>
  </w:abstractNum>
  <w:abstractNum w:abstractNumId="35" w15:restartNumberingAfterBreak="0">
    <w:nsid w:val="4A741395"/>
    <w:multiLevelType w:val="hybridMultilevel"/>
    <w:tmpl w:val="754A1FAE"/>
    <w:lvl w:ilvl="0" w:tplc="9F3C2CEA">
      <w:start w:val="1"/>
      <w:numFmt w:val="upperRoman"/>
      <w:lvlText w:val="%1."/>
      <w:lvlJc w:val="left"/>
      <w:pPr>
        <w:ind w:left="200"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BBD45B98">
      <w:numFmt w:val="bullet"/>
      <w:lvlText w:val="•"/>
      <w:lvlJc w:val="left"/>
      <w:pPr>
        <w:ind w:left="1152" w:hanging="201"/>
      </w:pPr>
      <w:rPr>
        <w:rFonts w:hint="default"/>
        <w:lang w:val="es-ES" w:eastAsia="en-US" w:bidi="ar-SA"/>
      </w:rPr>
    </w:lvl>
    <w:lvl w:ilvl="2" w:tplc="6BC001E8">
      <w:numFmt w:val="bullet"/>
      <w:lvlText w:val="•"/>
      <w:lvlJc w:val="left"/>
      <w:pPr>
        <w:ind w:left="2104" w:hanging="201"/>
      </w:pPr>
      <w:rPr>
        <w:rFonts w:hint="default"/>
        <w:lang w:val="es-ES" w:eastAsia="en-US" w:bidi="ar-SA"/>
      </w:rPr>
    </w:lvl>
    <w:lvl w:ilvl="3" w:tplc="A05EE6A2">
      <w:numFmt w:val="bullet"/>
      <w:lvlText w:val="•"/>
      <w:lvlJc w:val="left"/>
      <w:pPr>
        <w:ind w:left="3056" w:hanging="201"/>
      </w:pPr>
      <w:rPr>
        <w:rFonts w:hint="default"/>
        <w:lang w:val="es-ES" w:eastAsia="en-US" w:bidi="ar-SA"/>
      </w:rPr>
    </w:lvl>
    <w:lvl w:ilvl="4" w:tplc="86944E16">
      <w:numFmt w:val="bullet"/>
      <w:lvlText w:val="•"/>
      <w:lvlJc w:val="left"/>
      <w:pPr>
        <w:ind w:left="4008" w:hanging="201"/>
      </w:pPr>
      <w:rPr>
        <w:rFonts w:hint="default"/>
        <w:lang w:val="es-ES" w:eastAsia="en-US" w:bidi="ar-SA"/>
      </w:rPr>
    </w:lvl>
    <w:lvl w:ilvl="5" w:tplc="10644584">
      <w:numFmt w:val="bullet"/>
      <w:lvlText w:val="•"/>
      <w:lvlJc w:val="left"/>
      <w:pPr>
        <w:ind w:left="4960" w:hanging="201"/>
      </w:pPr>
      <w:rPr>
        <w:rFonts w:hint="default"/>
        <w:lang w:val="es-ES" w:eastAsia="en-US" w:bidi="ar-SA"/>
      </w:rPr>
    </w:lvl>
    <w:lvl w:ilvl="6" w:tplc="45400664">
      <w:numFmt w:val="bullet"/>
      <w:lvlText w:val="•"/>
      <w:lvlJc w:val="left"/>
      <w:pPr>
        <w:ind w:left="5912" w:hanging="201"/>
      </w:pPr>
      <w:rPr>
        <w:rFonts w:hint="default"/>
        <w:lang w:val="es-ES" w:eastAsia="en-US" w:bidi="ar-SA"/>
      </w:rPr>
    </w:lvl>
    <w:lvl w:ilvl="7" w:tplc="7BDC3E6E">
      <w:numFmt w:val="bullet"/>
      <w:lvlText w:val="•"/>
      <w:lvlJc w:val="left"/>
      <w:pPr>
        <w:ind w:left="6864" w:hanging="201"/>
      </w:pPr>
      <w:rPr>
        <w:rFonts w:hint="default"/>
        <w:lang w:val="es-ES" w:eastAsia="en-US" w:bidi="ar-SA"/>
      </w:rPr>
    </w:lvl>
    <w:lvl w:ilvl="8" w:tplc="8AB0FBE0">
      <w:numFmt w:val="bullet"/>
      <w:lvlText w:val="•"/>
      <w:lvlJc w:val="left"/>
      <w:pPr>
        <w:ind w:left="7816" w:hanging="201"/>
      </w:pPr>
      <w:rPr>
        <w:rFonts w:hint="default"/>
        <w:lang w:val="es-ES" w:eastAsia="en-US" w:bidi="ar-SA"/>
      </w:rPr>
    </w:lvl>
  </w:abstractNum>
  <w:abstractNum w:abstractNumId="36" w15:restartNumberingAfterBreak="0">
    <w:nsid w:val="4BC16151"/>
    <w:multiLevelType w:val="hybridMultilevel"/>
    <w:tmpl w:val="989E76E8"/>
    <w:lvl w:ilvl="0" w:tplc="428A0660">
      <w:start w:val="1"/>
      <w:numFmt w:val="upperRoman"/>
      <w:lvlText w:val="%1."/>
      <w:lvlJc w:val="left"/>
      <w:pPr>
        <w:ind w:left="1353"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22FEDCEA">
      <w:start w:val="1"/>
      <w:numFmt w:val="upperRoman"/>
      <w:lvlText w:val="%2."/>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2" w:tplc="997C97F4">
      <w:numFmt w:val="bullet"/>
      <w:lvlText w:val="•"/>
      <w:lvlJc w:val="left"/>
      <w:pPr>
        <w:ind w:left="2400" w:hanging="720"/>
      </w:pPr>
      <w:rPr>
        <w:rFonts w:hint="default"/>
        <w:lang w:val="es-ES" w:eastAsia="en-US" w:bidi="ar-SA"/>
      </w:rPr>
    </w:lvl>
    <w:lvl w:ilvl="3" w:tplc="1AAECD2A">
      <w:numFmt w:val="bullet"/>
      <w:lvlText w:val="•"/>
      <w:lvlJc w:val="left"/>
      <w:pPr>
        <w:ind w:left="3360" w:hanging="720"/>
      </w:pPr>
      <w:rPr>
        <w:rFonts w:hint="default"/>
        <w:lang w:val="es-ES" w:eastAsia="en-US" w:bidi="ar-SA"/>
      </w:rPr>
    </w:lvl>
    <w:lvl w:ilvl="4" w:tplc="4B322E58">
      <w:numFmt w:val="bullet"/>
      <w:lvlText w:val="•"/>
      <w:lvlJc w:val="left"/>
      <w:pPr>
        <w:ind w:left="4320" w:hanging="720"/>
      </w:pPr>
      <w:rPr>
        <w:rFonts w:hint="default"/>
        <w:lang w:val="es-ES" w:eastAsia="en-US" w:bidi="ar-SA"/>
      </w:rPr>
    </w:lvl>
    <w:lvl w:ilvl="5" w:tplc="3B8CCA64">
      <w:numFmt w:val="bullet"/>
      <w:lvlText w:val="•"/>
      <w:lvlJc w:val="left"/>
      <w:pPr>
        <w:ind w:left="5280" w:hanging="720"/>
      </w:pPr>
      <w:rPr>
        <w:rFonts w:hint="default"/>
        <w:lang w:val="es-ES" w:eastAsia="en-US" w:bidi="ar-SA"/>
      </w:rPr>
    </w:lvl>
    <w:lvl w:ilvl="6" w:tplc="FDC4039C">
      <w:numFmt w:val="bullet"/>
      <w:lvlText w:val="•"/>
      <w:lvlJc w:val="left"/>
      <w:pPr>
        <w:ind w:left="6240" w:hanging="720"/>
      </w:pPr>
      <w:rPr>
        <w:rFonts w:hint="default"/>
        <w:lang w:val="es-ES" w:eastAsia="en-US" w:bidi="ar-SA"/>
      </w:rPr>
    </w:lvl>
    <w:lvl w:ilvl="7" w:tplc="D59A05E8">
      <w:numFmt w:val="bullet"/>
      <w:lvlText w:val="•"/>
      <w:lvlJc w:val="left"/>
      <w:pPr>
        <w:ind w:left="7200" w:hanging="720"/>
      </w:pPr>
      <w:rPr>
        <w:rFonts w:hint="default"/>
        <w:lang w:val="es-ES" w:eastAsia="en-US" w:bidi="ar-SA"/>
      </w:rPr>
    </w:lvl>
    <w:lvl w:ilvl="8" w:tplc="ED80DC56">
      <w:numFmt w:val="bullet"/>
      <w:lvlText w:val="•"/>
      <w:lvlJc w:val="left"/>
      <w:pPr>
        <w:ind w:left="8160" w:hanging="720"/>
      </w:pPr>
      <w:rPr>
        <w:rFonts w:hint="default"/>
        <w:lang w:val="es-ES" w:eastAsia="en-US" w:bidi="ar-SA"/>
      </w:rPr>
    </w:lvl>
  </w:abstractNum>
  <w:abstractNum w:abstractNumId="37" w15:restartNumberingAfterBreak="0">
    <w:nsid w:val="4D7833C1"/>
    <w:multiLevelType w:val="hybridMultilevel"/>
    <w:tmpl w:val="F2564C50"/>
    <w:lvl w:ilvl="0" w:tplc="0EA2BA6A">
      <w:start w:val="36"/>
      <w:numFmt w:val="upperRoman"/>
      <w:lvlText w:val="%1."/>
      <w:lvlJc w:val="left"/>
      <w:pPr>
        <w:ind w:left="262" w:hanging="792"/>
      </w:pPr>
      <w:rPr>
        <w:rFonts w:ascii="Times New Roman" w:eastAsia="Trebuchet MS" w:hAnsi="Times New Roman" w:cs="Times New Roman" w:hint="default"/>
        <w:b/>
        <w:bCs/>
        <w:i w:val="0"/>
        <w:iCs w:val="0"/>
        <w:spacing w:val="-1"/>
        <w:w w:val="81"/>
        <w:sz w:val="24"/>
        <w:szCs w:val="24"/>
        <w:lang w:val="es-ES" w:eastAsia="en-US" w:bidi="ar-SA"/>
      </w:rPr>
    </w:lvl>
    <w:lvl w:ilvl="1" w:tplc="7C0C383C">
      <w:numFmt w:val="bullet"/>
      <w:lvlText w:val="•"/>
      <w:lvlJc w:val="left"/>
      <w:pPr>
        <w:ind w:left="1170" w:hanging="792"/>
      </w:pPr>
      <w:rPr>
        <w:rFonts w:hint="default"/>
        <w:lang w:val="es-ES" w:eastAsia="en-US" w:bidi="ar-SA"/>
      </w:rPr>
    </w:lvl>
    <w:lvl w:ilvl="2" w:tplc="C2D4F9D8">
      <w:numFmt w:val="bullet"/>
      <w:lvlText w:val="•"/>
      <w:lvlJc w:val="left"/>
      <w:pPr>
        <w:ind w:left="2080" w:hanging="792"/>
      </w:pPr>
      <w:rPr>
        <w:rFonts w:hint="default"/>
        <w:lang w:val="es-ES" w:eastAsia="en-US" w:bidi="ar-SA"/>
      </w:rPr>
    </w:lvl>
    <w:lvl w:ilvl="3" w:tplc="5882EE92">
      <w:numFmt w:val="bullet"/>
      <w:lvlText w:val="•"/>
      <w:lvlJc w:val="left"/>
      <w:pPr>
        <w:ind w:left="2990" w:hanging="792"/>
      </w:pPr>
      <w:rPr>
        <w:rFonts w:hint="default"/>
        <w:lang w:val="es-ES" w:eastAsia="en-US" w:bidi="ar-SA"/>
      </w:rPr>
    </w:lvl>
    <w:lvl w:ilvl="4" w:tplc="EB0A881C">
      <w:numFmt w:val="bullet"/>
      <w:lvlText w:val="•"/>
      <w:lvlJc w:val="left"/>
      <w:pPr>
        <w:ind w:left="3900" w:hanging="792"/>
      </w:pPr>
      <w:rPr>
        <w:rFonts w:hint="default"/>
        <w:lang w:val="es-ES" w:eastAsia="en-US" w:bidi="ar-SA"/>
      </w:rPr>
    </w:lvl>
    <w:lvl w:ilvl="5" w:tplc="3C14363C">
      <w:numFmt w:val="bullet"/>
      <w:lvlText w:val="•"/>
      <w:lvlJc w:val="left"/>
      <w:pPr>
        <w:ind w:left="4810" w:hanging="792"/>
      </w:pPr>
      <w:rPr>
        <w:rFonts w:hint="default"/>
        <w:lang w:val="es-ES" w:eastAsia="en-US" w:bidi="ar-SA"/>
      </w:rPr>
    </w:lvl>
    <w:lvl w:ilvl="6" w:tplc="18083BD8">
      <w:numFmt w:val="bullet"/>
      <w:lvlText w:val="•"/>
      <w:lvlJc w:val="left"/>
      <w:pPr>
        <w:ind w:left="5720" w:hanging="792"/>
      </w:pPr>
      <w:rPr>
        <w:rFonts w:hint="default"/>
        <w:lang w:val="es-ES" w:eastAsia="en-US" w:bidi="ar-SA"/>
      </w:rPr>
    </w:lvl>
    <w:lvl w:ilvl="7" w:tplc="5038F4D4">
      <w:numFmt w:val="bullet"/>
      <w:lvlText w:val="•"/>
      <w:lvlJc w:val="left"/>
      <w:pPr>
        <w:ind w:left="6630" w:hanging="792"/>
      </w:pPr>
      <w:rPr>
        <w:rFonts w:hint="default"/>
        <w:lang w:val="es-ES" w:eastAsia="en-US" w:bidi="ar-SA"/>
      </w:rPr>
    </w:lvl>
    <w:lvl w:ilvl="8" w:tplc="FB20C798">
      <w:numFmt w:val="bullet"/>
      <w:lvlText w:val="•"/>
      <w:lvlJc w:val="left"/>
      <w:pPr>
        <w:ind w:left="7540" w:hanging="792"/>
      </w:pPr>
      <w:rPr>
        <w:rFonts w:hint="default"/>
        <w:lang w:val="es-ES" w:eastAsia="en-US" w:bidi="ar-SA"/>
      </w:rPr>
    </w:lvl>
  </w:abstractNum>
  <w:abstractNum w:abstractNumId="38" w15:restartNumberingAfterBreak="0">
    <w:nsid w:val="54B202E2"/>
    <w:multiLevelType w:val="hybridMultilevel"/>
    <w:tmpl w:val="A8961F62"/>
    <w:lvl w:ilvl="0" w:tplc="4E4AD0C6">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EBE8DCEE">
      <w:numFmt w:val="bullet"/>
      <w:lvlText w:val="•"/>
      <w:lvlJc w:val="left"/>
      <w:pPr>
        <w:ind w:left="2304" w:hanging="720"/>
      </w:pPr>
      <w:rPr>
        <w:rFonts w:hint="default"/>
        <w:lang w:val="es-ES" w:eastAsia="en-US" w:bidi="ar-SA"/>
      </w:rPr>
    </w:lvl>
    <w:lvl w:ilvl="2" w:tplc="5B3A2D68">
      <w:numFmt w:val="bullet"/>
      <w:lvlText w:val="•"/>
      <w:lvlJc w:val="left"/>
      <w:pPr>
        <w:ind w:left="3168" w:hanging="720"/>
      </w:pPr>
      <w:rPr>
        <w:rFonts w:hint="default"/>
        <w:lang w:val="es-ES" w:eastAsia="en-US" w:bidi="ar-SA"/>
      </w:rPr>
    </w:lvl>
    <w:lvl w:ilvl="3" w:tplc="48F2EFDA">
      <w:numFmt w:val="bullet"/>
      <w:lvlText w:val="•"/>
      <w:lvlJc w:val="left"/>
      <w:pPr>
        <w:ind w:left="4032" w:hanging="720"/>
      </w:pPr>
      <w:rPr>
        <w:rFonts w:hint="default"/>
        <w:lang w:val="es-ES" w:eastAsia="en-US" w:bidi="ar-SA"/>
      </w:rPr>
    </w:lvl>
    <w:lvl w:ilvl="4" w:tplc="1772F660">
      <w:numFmt w:val="bullet"/>
      <w:lvlText w:val="•"/>
      <w:lvlJc w:val="left"/>
      <w:pPr>
        <w:ind w:left="4896" w:hanging="720"/>
      </w:pPr>
      <w:rPr>
        <w:rFonts w:hint="default"/>
        <w:lang w:val="es-ES" w:eastAsia="en-US" w:bidi="ar-SA"/>
      </w:rPr>
    </w:lvl>
    <w:lvl w:ilvl="5" w:tplc="708C4128">
      <w:numFmt w:val="bullet"/>
      <w:lvlText w:val="•"/>
      <w:lvlJc w:val="left"/>
      <w:pPr>
        <w:ind w:left="5760" w:hanging="720"/>
      </w:pPr>
      <w:rPr>
        <w:rFonts w:hint="default"/>
        <w:lang w:val="es-ES" w:eastAsia="en-US" w:bidi="ar-SA"/>
      </w:rPr>
    </w:lvl>
    <w:lvl w:ilvl="6" w:tplc="ED5809DA">
      <w:numFmt w:val="bullet"/>
      <w:lvlText w:val="•"/>
      <w:lvlJc w:val="left"/>
      <w:pPr>
        <w:ind w:left="6624" w:hanging="720"/>
      </w:pPr>
      <w:rPr>
        <w:rFonts w:hint="default"/>
        <w:lang w:val="es-ES" w:eastAsia="en-US" w:bidi="ar-SA"/>
      </w:rPr>
    </w:lvl>
    <w:lvl w:ilvl="7" w:tplc="73D07856">
      <w:numFmt w:val="bullet"/>
      <w:lvlText w:val="•"/>
      <w:lvlJc w:val="left"/>
      <w:pPr>
        <w:ind w:left="7488" w:hanging="720"/>
      </w:pPr>
      <w:rPr>
        <w:rFonts w:hint="default"/>
        <w:lang w:val="es-ES" w:eastAsia="en-US" w:bidi="ar-SA"/>
      </w:rPr>
    </w:lvl>
    <w:lvl w:ilvl="8" w:tplc="EA7E8D18">
      <w:numFmt w:val="bullet"/>
      <w:lvlText w:val="•"/>
      <w:lvlJc w:val="left"/>
      <w:pPr>
        <w:ind w:left="8352" w:hanging="720"/>
      </w:pPr>
      <w:rPr>
        <w:rFonts w:hint="default"/>
        <w:lang w:val="es-ES" w:eastAsia="en-US" w:bidi="ar-SA"/>
      </w:rPr>
    </w:lvl>
  </w:abstractNum>
  <w:abstractNum w:abstractNumId="39" w15:restartNumberingAfterBreak="0">
    <w:nsid w:val="5A762609"/>
    <w:multiLevelType w:val="hybridMultilevel"/>
    <w:tmpl w:val="1FA8DCA6"/>
    <w:lvl w:ilvl="0" w:tplc="0814231E">
      <w:start w:val="1"/>
      <w:numFmt w:val="upperRoman"/>
      <w:lvlText w:val="%1."/>
      <w:lvlJc w:val="left"/>
      <w:pPr>
        <w:ind w:left="1080"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5D1C9714">
      <w:start w:val="1"/>
      <w:numFmt w:val="upperRoman"/>
      <w:lvlText w:val="%2."/>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2" w:tplc="C25255DE">
      <w:numFmt w:val="bullet"/>
      <w:lvlText w:val="•"/>
      <w:lvlJc w:val="left"/>
      <w:pPr>
        <w:ind w:left="2400" w:hanging="720"/>
      </w:pPr>
      <w:rPr>
        <w:rFonts w:hint="default"/>
        <w:lang w:val="es-ES" w:eastAsia="en-US" w:bidi="ar-SA"/>
      </w:rPr>
    </w:lvl>
    <w:lvl w:ilvl="3" w:tplc="B12A1536">
      <w:numFmt w:val="bullet"/>
      <w:lvlText w:val="•"/>
      <w:lvlJc w:val="left"/>
      <w:pPr>
        <w:ind w:left="3360" w:hanging="720"/>
      </w:pPr>
      <w:rPr>
        <w:rFonts w:hint="default"/>
        <w:lang w:val="es-ES" w:eastAsia="en-US" w:bidi="ar-SA"/>
      </w:rPr>
    </w:lvl>
    <w:lvl w:ilvl="4" w:tplc="FEFEF1A6">
      <w:numFmt w:val="bullet"/>
      <w:lvlText w:val="•"/>
      <w:lvlJc w:val="left"/>
      <w:pPr>
        <w:ind w:left="4320" w:hanging="720"/>
      </w:pPr>
      <w:rPr>
        <w:rFonts w:hint="default"/>
        <w:lang w:val="es-ES" w:eastAsia="en-US" w:bidi="ar-SA"/>
      </w:rPr>
    </w:lvl>
    <w:lvl w:ilvl="5" w:tplc="09EE2D90">
      <w:numFmt w:val="bullet"/>
      <w:lvlText w:val="•"/>
      <w:lvlJc w:val="left"/>
      <w:pPr>
        <w:ind w:left="5280" w:hanging="720"/>
      </w:pPr>
      <w:rPr>
        <w:rFonts w:hint="default"/>
        <w:lang w:val="es-ES" w:eastAsia="en-US" w:bidi="ar-SA"/>
      </w:rPr>
    </w:lvl>
    <w:lvl w:ilvl="6" w:tplc="3280A9C6">
      <w:numFmt w:val="bullet"/>
      <w:lvlText w:val="•"/>
      <w:lvlJc w:val="left"/>
      <w:pPr>
        <w:ind w:left="6240" w:hanging="720"/>
      </w:pPr>
      <w:rPr>
        <w:rFonts w:hint="default"/>
        <w:lang w:val="es-ES" w:eastAsia="en-US" w:bidi="ar-SA"/>
      </w:rPr>
    </w:lvl>
    <w:lvl w:ilvl="7" w:tplc="A55C2876">
      <w:numFmt w:val="bullet"/>
      <w:lvlText w:val="•"/>
      <w:lvlJc w:val="left"/>
      <w:pPr>
        <w:ind w:left="7200" w:hanging="720"/>
      </w:pPr>
      <w:rPr>
        <w:rFonts w:hint="default"/>
        <w:lang w:val="es-ES" w:eastAsia="en-US" w:bidi="ar-SA"/>
      </w:rPr>
    </w:lvl>
    <w:lvl w:ilvl="8" w:tplc="9814E1B4">
      <w:numFmt w:val="bullet"/>
      <w:lvlText w:val="•"/>
      <w:lvlJc w:val="left"/>
      <w:pPr>
        <w:ind w:left="8160" w:hanging="720"/>
      </w:pPr>
      <w:rPr>
        <w:rFonts w:hint="default"/>
        <w:lang w:val="es-ES" w:eastAsia="en-US" w:bidi="ar-SA"/>
      </w:rPr>
    </w:lvl>
  </w:abstractNum>
  <w:abstractNum w:abstractNumId="40" w15:restartNumberingAfterBreak="0">
    <w:nsid w:val="5A9A08BB"/>
    <w:multiLevelType w:val="hybridMultilevel"/>
    <w:tmpl w:val="683C5184"/>
    <w:lvl w:ilvl="0" w:tplc="992E243A">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D0EA3F54">
      <w:numFmt w:val="bullet"/>
      <w:lvlText w:val="•"/>
      <w:lvlJc w:val="left"/>
      <w:pPr>
        <w:ind w:left="2304" w:hanging="720"/>
      </w:pPr>
      <w:rPr>
        <w:rFonts w:hint="default"/>
        <w:lang w:val="es-ES" w:eastAsia="en-US" w:bidi="ar-SA"/>
      </w:rPr>
    </w:lvl>
    <w:lvl w:ilvl="2" w:tplc="EF6813E6">
      <w:numFmt w:val="bullet"/>
      <w:lvlText w:val="•"/>
      <w:lvlJc w:val="left"/>
      <w:pPr>
        <w:ind w:left="3168" w:hanging="720"/>
      </w:pPr>
      <w:rPr>
        <w:rFonts w:hint="default"/>
        <w:lang w:val="es-ES" w:eastAsia="en-US" w:bidi="ar-SA"/>
      </w:rPr>
    </w:lvl>
    <w:lvl w:ilvl="3" w:tplc="B96050B2">
      <w:numFmt w:val="bullet"/>
      <w:lvlText w:val="•"/>
      <w:lvlJc w:val="left"/>
      <w:pPr>
        <w:ind w:left="4032" w:hanging="720"/>
      </w:pPr>
      <w:rPr>
        <w:rFonts w:hint="default"/>
        <w:lang w:val="es-ES" w:eastAsia="en-US" w:bidi="ar-SA"/>
      </w:rPr>
    </w:lvl>
    <w:lvl w:ilvl="4" w:tplc="18AE506E">
      <w:numFmt w:val="bullet"/>
      <w:lvlText w:val="•"/>
      <w:lvlJc w:val="left"/>
      <w:pPr>
        <w:ind w:left="4896" w:hanging="720"/>
      </w:pPr>
      <w:rPr>
        <w:rFonts w:hint="default"/>
        <w:lang w:val="es-ES" w:eastAsia="en-US" w:bidi="ar-SA"/>
      </w:rPr>
    </w:lvl>
    <w:lvl w:ilvl="5" w:tplc="DB34F13C">
      <w:numFmt w:val="bullet"/>
      <w:lvlText w:val="•"/>
      <w:lvlJc w:val="left"/>
      <w:pPr>
        <w:ind w:left="5760" w:hanging="720"/>
      </w:pPr>
      <w:rPr>
        <w:rFonts w:hint="default"/>
        <w:lang w:val="es-ES" w:eastAsia="en-US" w:bidi="ar-SA"/>
      </w:rPr>
    </w:lvl>
    <w:lvl w:ilvl="6" w:tplc="41326F14">
      <w:numFmt w:val="bullet"/>
      <w:lvlText w:val="•"/>
      <w:lvlJc w:val="left"/>
      <w:pPr>
        <w:ind w:left="6624" w:hanging="720"/>
      </w:pPr>
      <w:rPr>
        <w:rFonts w:hint="default"/>
        <w:lang w:val="es-ES" w:eastAsia="en-US" w:bidi="ar-SA"/>
      </w:rPr>
    </w:lvl>
    <w:lvl w:ilvl="7" w:tplc="BA0628D8">
      <w:numFmt w:val="bullet"/>
      <w:lvlText w:val="•"/>
      <w:lvlJc w:val="left"/>
      <w:pPr>
        <w:ind w:left="7488" w:hanging="720"/>
      </w:pPr>
      <w:rPr>
        <w:rFonts w:hint="default"/>
        <w:lang w:val="es-ES" w:eastAsia="en-US" w:bidi="ar-SA"/>
      </w:rPr>
    </w:lvl>
    <w:lvl w:ilvl="8" w:tplc="471C58F8">
      <w:numFmt w:val="bullet"/>
      <w:lvlText w:val="•"/>
      <w:lvlJc w:val="left"/>
      <w:pPr>
        <w:ind w:left="8352" w:hanging="720"/>
      </w:pPr>
      <w:rPr>
        <w:rFonts w:hint="default"/>
        <w:lang w:val="es-ES" w:eastAsia="en-US" w:bidi="ar-SA"/>
      </w:rPr>
    </w:lvl>
  </w:abstractNum>
  <w:abstractNum w:abstractNumId="41" w15:restartNumberingAfterBreak="0">
    <w:nsid w:val="60376260"/>
    <w:multiLevelType w:val="hybridMultilevel"/>
    <w:tmpl w:val="7BE693B6"/>
    <w:lvl w:ilvl="0" w:tplc="291A2334">
      <w:numFmt w:val="bullet"/>
      <w:lvlText w:val="●"/>
      <w:lvlJc w:val="left"/>
      <w:pPr>
        <w:ind w:left="343" w:hanging="146"/>
      </w:pPr>
      <w:rPr>
        <w:rFonts w:ascii="Microsoft Sans Serif" w:eastAsia="Microsoft Sans Serif" w:hAnsi="Microsoft Sans Serif" w:cs="Microsoft Sans Serif" w:hint="default"/>
        <w:b w:val="0"/>
        <w:bCs w:val="0"/>
        <w:i w:val="0"/>
        <w:iCs w:val="0"/>
        <w:spacing w:val="-1"/>
        <w:w w:val="94"/>
        <w:sz w:val="22"/>
        <w:szCs w:val="22"/>
        <w:lang w:val="es-ES" w:eastAsia="en-US" w:bidi="ar-SA"/>
      </w:rPr>
    </w:lvl>
    <w:lvl w:ilvl="1" w:tplc="FF564208">
      <w:numFmt w:val="bullet"/>
      <w:lvlText w:val="•"/>
      <w:lvlJc w:val="left"/>
      <w:pPr>
        <w:ind w:left="1278" w:hanging="146"/>
      </w:pPr>
      <w:rPr>
        <w:rFonts w:hint="default"/>
        <w:lang w:val="es-ES" w:eastAsia="en-US" w:bidi="ar-SA"/>
      </w:rPr>
    </w:lvl>
    <w:lvl w:ilvl="2" w:tplc="9808FC2C">
      <w:numFmt w:val="bullet"/>
      <w:lvlText w:val="•"/>
      <w:lvlJc w:val="left"/>
      <w:pPr>
        <w:ind w:left="2216" w:hanging="146"/>
      </w:pPr>
      <w:rPr>
        <w:rFonts w:hint="default"/>
        <w:lang w:val="es-ES" w:eastAsia="en-US" w:bidi="ar-SA"/>
      </w:rPr>
    </w:lvl>
    <w:lvl w:ilvl="3" w:tplc="DEF02870">
      <w:numFmt w:val="bullet"/>
      <w:lvlText w:val="•"/>
      <w:lvlJc w:val="left"/>
      <w:pPr>
        <w:ind w:left="3154" w:hanging="146"/>
      </w:pPr>
      <w:rPr>
        <w:rFonts w:hint="default"/>
        <w:lang w:val="es-ES" w:eastAsia="en-US" w:bidi="ar-SA"/>
      </w:rPr>
    </w:lvl>
    <w:lvl w:ilvl="4" w:tplc="A544A8B4">
      <w:numFmt w:val="bullet"/>
      <w:lvlText w:val="•"/>
      <w:lvlJc w:val="left"/>
      <w:pPr>
        <w:ind w:left="4092" w:hanging="146"/>
      </w:pPr>
      <w:rPr>
        <w:rFonts w:hint="default"/>
        <w:lang w:val="es-ES" w:eastAsia="en-US" w:bidi="ar-SA"/>
      </w:rPr>
    </w:lvl>
    <w:lvl w:ilvl="5" w:tplc="7F3CB260">
      <w:numFmt w:val="bullet"/>
      <w:lvlText w:val="•"/>
      <w:lvlJc w:val="left"/>
      <w:pPr>
        <w:ind w:left="5030" w:hanging="146"/>
      </w:pPr>
      <w:rPr>
        <w:rFonts w:hint="default"/>
        <w:lang w:val="es-ES" w:eastAsia="en-US" w:bidi="ar-SA"/>
      </w:rPr>
    </w:lvl>
    <w:lvl w:ilvl="6" w:tplc="7BBEC072">
      <w:numFmt w:val="bullet"/>
      <w:lvlText w:val="•"/>
      <w:lvlJc w:val="left"/>
      <w:pPr>
        <w:ind w:left="5968" w:hanging="146"/>
      </w:pPr>
      <w:rPr>
        <w:rFonts w:hint="default"/>
        <w:lang w:val="es-ES" w:eastAsia="en-US" w:bidi="ar-SA"/>
      </w:rPr>
    </w:lvl>
    <w:lvl w:ilvl="7" w:tplc="5D88863C">
      <w:numFmt w:val="bullet"/>
      <w:lvlText w:val="•"/>
      <w:lvlJc w:val="left"/>
      <w:pPr>
        <w:ind w:left="6906" w:hanging="146"/>
      </w:pPr>
      <w:rPr>
        <w:rFonts w:hint="default"/>
        <w:lang w:val="es-ES" w:eastAsia="en-US" w:bidi="ar-SA"/>
      </w:rPr>
    </w:lvl>
    <w:lvl w:ilvl="8" w:tplc="1C9CEFB4">
      <w:numFmt w:val="bullet"/>
      <w:lvlText w:val="•"/>
      <w:lvlJc w:val="left"/>
      <w:pPr>
        <w:ind w:left="7844" w:hanging="146"/>
      </w:pPr>
      <w:rPr>
        <w:rFonts w:hint="default"/>
        <w:lang w:val="es-ES" w:eastAsia="en-US" w:bidi="ar-SA"/>
      </w:rPr>
    </w:lvl>
  </w:abstractNum>
  <w:abstractNum w:abstractNumId="42" w15:restartNumberingAfterBreak="0">
    <w:nsid w:val="60795C47"/>
    <w:multiLevelType w:val="hybridMultilevel"/>
    <w:tmpl w:val="0400B00E"/>
    <w:lvl w:ilvl="0" w:tplc="B776C584">
      <w:start w:val="1"/>
      <w:numFmt w:val="upperRoman"/>
      <w:lvlText w:val="%1."/>
      <w:lvlJc w:val="left"/>
      <w:pPr>
        <w:ind w:left="1080" w:hanging="720"/>
      </w:pPr>
      <w:rPr>
        <w:rFonts w:ascii="Times New Roman"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353398D"/>
    <w:multiLevelType w:val="hybridMultilevel"/>
    <w:tmpl w:val="C36A6510"/>
    <w:lvl w:ilvl="0" w:tplc="B1F0EB90">
      <w:start w:val="1"/>
      <w:numFmt w:val="upperRoman"/>
      <w:lvlText w:val="%1."/>
      <w:lvlJc w:val="left"/>
      <w:pPr>
        <w:ind w:left="881" w:hanging="488"/>
        <w:jc w:val="right"/>
      </w:pPr>
      <w:rPr>
        <w:rFonts w:ascii="Times New Roman" w:eastAsia="Calibri" w:hAnsi="Times New Roman" w:cs="Times New Roman" w:hint="default"/>
        <w:b/>
        <w:bCs/>
        <w:i w:val="0"/>
        <w:iCs w:val="0"/>
        <w:spacing w:val="0"/>
        <w:w w:val="100"/>
        <w:sz w:val="24"/>
        <w:szCs w:val="24"/>
        <w:lang w:val="es-ES" w:eastAsia="en-US" w:bidi="ar-SA"/>
      </w:rPr>
    </w:lvl>
    <w:lvl w:ilvl="1" w:tplc="041621D4">
      <w:numFmt w:val="bullet"/>
      <w:lvlText w:val="•"/>
      <w:lvlJc w:val="left"/>
      <w:pPr>
        <w:ind w:left="1728" w:hanging="488"/>
      </w:pPr>
      <w:rPr>
        <w:rFonts w:hint="default"/>
        <w:lang w:val="es-ES" w:eastAsia="en-US" w:bidi="ar-SA"/>
      </w:rPr>
    </w:lvl>
    <w:lvl w:ilvl="2" w:tplc="1792B7D4">
      <w:numFmt w:val="bullet"/>
      <w:lvlText w:val="•"/>
      <w:lvlJc w:val="left"/>
      <w:pPr>
        <w:ind w:left="2576" w:hanging="488"/>
      </w:pPr>
      <w:rPr>
        <w:rFonts w:hint="default"/>
        <w:lang w:val="es-ES" w:eastAsia="en-US" w:bidi="ar-SA"/>
      </w:rPr>
    </w:lvl>
    <w:lvl w:ilvl="3" w:tplc="EB52597C">
      <w:numFmt w:val="bullet"/>
      <w:lvlText w:val="•"/>
      <w:lvlJc w:val="left"/>
      <w:pPr>
        <w:ind w:left="3424" w:hanging="488"/>
      </w:pPr>
      <w:rPr>
        <w:rFonts w:hint="default"/>
        <w:lang w:val="es-ES" w:eastAsia="en-US" w:bidi="ar-SA"/>
      </w:rPr>
    </w:lvl>
    <w:lvl w:ilvl="4" w:tplc="4E0C7FBE">
      <w:numFmt w:val="bullet"/>
      <w:lvlText w:val="•"/>
      <w:lvlJc w:val="left"/>
      <w:pPr>
        <w:ind w:left="4272" w:hanging="488"/>
      </w:pPr>
      <w:rPr>
        <w:rFonts w:hint="default"/>
        <w:lang w:val="es-ES" w:eastAsia="en-US" w:bidi="ar-SA"/>
      </w:rPr>
    </w:lvl>
    <w:lvl w:ilvl="5" w:tplc="3288E8FC">
      <w:numFmt w:val="bullet"/>
      <w:lvlText w:val="•"/>
      <w:lvlJc w:val="left"/>
      <w:pPr>
        <w:ind w:left="5120" w:hanging="488"/>
      </w:pPr>
      <w:rPr>
        <w:rFonts w:hint="default"/>
        <w:lang w:val="es-ES" w:eastAsia="en-US" w:bidi="ar-SA"/>
      </w:rPr>
    </w:lvl>
    <w:lvl w:ilvl="6" w:tplc="B0506014">
      <w:numFmt w:val="bullet"/>
      <w:lvlText w:val="•"/>
      <w:lvlJc w:val="left"/>
      <w:pPr>
        <w:ind w:left="5968" w:hanging="488"/>
      </w:pPr>
      <w:rPr>
        <w:rFonts w:hint="default"/>
        <w:lang w:val="es-ES" w:eastAsia="en-US" w:bidi="ar-SA"/>
      </w:rPr>
    </w:lvl>
    <w:lvl w:ilvl="7" w:tplc="5060CB7C">
      <w:numFmt w:val="bullet"/>
      <w:lvlText w:val="•"/>
      <w:lvlJc w:val="left"/>
      <w:pPr>
        <w:ind w:left="6816" w:hanging="488"/>
      </w:pPr>
      <w:rPr>
        <w:rFonts w:hint="default"/>
        <w:lang w:val="es-ES" w:eastAsia="en-US" w:bidi="ar-SA"/>
      </w:rPr>
    </w:lvl>
    <w:lvl w:ilvl="8" w:tplc="11DA284A">
      <w:numFmt w:val="bullet"/>
      <w:lvlText w:val="•"/>
      <w:lvlJc w:val="left"/>
      <w:pPr>
        <w:ind w:left="7664" w:hanging="488"/>
      </w:pPr>
      <w:rPr>
        <w:rFonts w:hint="default"/>
        <w:lang w:val="es-ES" w:eastAsia="en-US" w:bidi="ar-SA"/>
      </w:rPr>
    </w:lvl>
  </w:abstractNum>
  <w:abstractNum w:abstractNumId="44" w15:restartNumberingAfterBreak="0">
    <w:nsid w:val="662A2F71"/>
    <w:multiLevelType w:val="hybridMultilevel"/>
    <w:tmpl w:val="9FDADAB0"/>
    <w:lvl w:ilvl="0" w:tplc="41F49C94">
      <w:numFmt w:val="bullet"/>
      <w:lvlText w:val="•"/>
      <w:lvlJc w:val="left"/>
      <w:pPr>
        <w:ind w:left="720" w:hanging="360"/>
      </w:pPr>
      <w:rPr>
        <w:rFonts w:ascii="Arial MT" w:eastAsia="Arial MT" w:hAnsi="Arial MT" w:cs="Arial MT" w:hint="default"/>
        <w:b w:val="0"/>
        <w:bCs w:val="0"/>
        <w:i w:val="0"/>
        <w:iCs w:val="0"/>
        <w:spacing w:val="0"/>
        <w:w w:val="100"/>
        <w:sz w:val="24"/>
        <w:szCs w:val="24"/>
        <w:lang w:val="es-ES" w:eastAsia="en-US" w:bidi="ar-SA"/>
      </w:rPr>
    </w:lvl>
    <w:lvl w:ilvl="1" w:tplc="609837EA">
      <w:numFmt w:val="bullet"/>
      <w:lvlText w:val="•"/>
      <w:lvlJc w:val="left"/>
      <w:pPr>
        <w:ind w:left="1620" w:hanging="360"/>
      </w:pPr>
      <w:rPr>
        <w:rFonts w:hint="default"/>
        <w:lang w:val="es-ES" w:eastAsia="en-US" w:bidi="ar-SA"/>
      </w:rPr>
    </w:lvl>
    <w:lvl w:ilvl="2" w:tplc="67B87714">
      <w:numFmt w:val="bullet"/>
      <w:lvlText w:val="•"/>
      <w:lvlJc w:val="left"/>
      <w:pPr>
        <w:ind w:left="2520" w:hanging="360"/>
      </w:pPr>
      <w:rPr>
        <w:rFonts w:hint="default"/>
        <w:lang w:val="es-ES" w:eastAsia="en-US" w:bidi="ar-SA"/>
      </w:rPr>
    </w:lvl>
    <w:lvl w:ilvl="3" w:tplc="9980300C">
      <w:numFmt w:val="bullet"/>
      <w:lvlText w:val="•"/>
      <w:lvlJc w:val="left"/>
      <w:pPr>
        <w:ind w:left="3420" w:hanging="360"/>
      </w:pPr>
      <w:rPr>
        <w:rFonts w:hint="default"/>
        <w:lang w:val="es-ES" w:eastAsia="en-US" w:bidi="ar-SA"/>
      </w:rPr>
    </w:lvl>
    <w:lvl w:ilvl="4" w:tplc="CA80339C">
      <w:numFmt w:val="bullet"/>
      <w:lvlText w:val="•"/>
      <w:lvlJc w:val="left"/>
      <w:pPr>
        <w:ind w:left="4320" w:hanging="360"/>
      </w:pPr>
      <w:rPr>
        <w:rFonts w:hint="default"/>
        <w:lang w:val="es-ES" w:eastAsia="en-US" w:bidi="ar-SA"/>
      </w:rPr>
    </w:lvl>
    <w:lvl w:ilvl="5" w:tplc="5AB89BDE">
      <w:numFmt w:val="bullet"/>
      <w:lvlText w:val="•"/>
      <w:lvlJc w:val="left"/>
      <w:pPr>
        <w:ind w:left="5220" w:hanging="360"/>
      </w:pPr>
      <w:rPr>
        <w:rFonts w:hint="default"/>
        <w:lang w:val="es-ES" w:eastAsia="en-US" w:bidi="ar-SA"/>
      </w:rPr>
    </w:lvl>
    <w:lvl w:ilvl="6" w:tplc="17100C5A">
      <w:numFmt w:val="bullet"/>
      <w:lvlText w:val="•"/>
      <w:lvlJc w:val="left"/>
      <w:pPr>
        <w:ind w:left="6120" w:hanging="360"/>
      </w:pPr>
      <w:rPr>
        <w:rFonts w:hint="default"/>
        <w:lang w:val="es-ES" w:eastAsia="en-US" w:bidi="ar-SA"/>
      </w:rPr>
    </w:lvl>
    <w:lvl w:ilvl="7" w:tplc="1316ACFE">
      <w:numFmt w:val="bullet"/>
      <w:lvlText w:val="•"/>
      <w:lvlJc w:val="left"/>
      <w:pPr>
        <w:ind w:left="7020" w:hanging="360"/>
      </w:pPr>
      <w:rPr>
        <w:rFonts w:hint="default"/>
        <w:lang w:val="es-ES" w:eastAsia="en-US" w:bidi="ar-SA"/>
      </w:rPr>
    </w:lvl>
    <w:lvl w:ilvl="8" w:tplc="401CC7A6">
      <w:numFmt w:val="bullet"/>
      <w:lvlText w:val="•"/>
      <w:lvlJc w:val="left"/>
      <w:pPr>
        <w:ind w:left="7920" w:hanging="360"/>
      </w:pPr>
      <w:rPr>
        <w:rFonts w:hint="default"/>
        <w:lang w:val="es-ES" w:eastAsia="en-US" w:bidi="ar-SA"/>
      </w:rPr>
    </w:lvl>
  </w:abstractNum>
  <w:abstractNum w:abstractNumId="45" w15:restartNumberingAfterBreak="0">
    <w:nsid w:val="678103A0"/>
    <w:multiLevelType w:val="hybridMultilevel"/>
    <w:tmpl w:val="9926E316"/>
    <w:lvl w:ilvl="0" w:tplc="486CC998">
      <w:numFmt w:val="bullet"/>
      <w:lvlText w:val=""/>
      <w:lvlJc w:val="left"/>
      <w:pPr>
        <w:ind w:left="979" w:hanging="360"/>
      </w:pPr>
      <w:rPr>
        <w:rFonts w:ascii="Symbol" w:eastAsia="Symbol" w:hAnsi="Symbol" w:cs="Symbol" w:hint="default"/>
        <w:b w:val="0"/>
        <w:bCs w:val="0"/>
        <w:i w:val="0"/>
        <w:iCs w:val="0"/>
        <w:spacing w:val="0"/>
        <w:w w:val="100"/>
        <w:sz w:val="20"/>
        <w:szCs w:val="20"/>
        <w:lang w:val="es-ES" w:eastAsia="en-US" w:bidi="ar-SA"/>
      </w:rPr>
    </w:lvl>
    <w:lvl w:ilvl="1" w:tplc="6BDE8A96">
      <w:numFmt w:val="bullet"/>
      <w:lvlText w:val="•"/>
      <w:lvlJc w:val="left"/>
      <w:pPr>
        <w:ind w:left="1818" w:hanging="360"/>
      </w:pPr>
      <w:rPr>
        <w:rFonts w:hint="default"/>
        <w:lang w:val="es-ES" w:eastAsia="en-US" w:bidi="ar-SA"/>
      </w:rPr>
    </w:lvl>
    <w:lvl w:ilvl="2" w:tplc="1AE6490C">
      <w:numFmt w:val="bullet"/>
      <w:lvlText w:val="•"/>
      <w:lvlJc w:val="left"/>
      <w:pPr>
        <w:ind w:left="2656" w:hanging="360"/>
      </w:pPr>
      <w:rPr>
        <w:rFonts w:hint="default"/>
        <w:lang w:val="es-ES" w:eastAsia="en-US" w:bidi="ar-SA"/>
      </w:rPr>
    </w:lvl>
    <w:lvl w:ilvl="3" w:tplc="D1E00A10">
      <w:numFmt w:val="bullet"/>
      <w:lvlText w:val="•"/>
      <w:lvlJc w:val="left"/>
      <w:pPr>
        <w:ind w:left="3494" w:hanging="360"/>
      </w:pPr>
      <w:rPr>
        <w:rFonts w:hint="default"/>
        <w:lang w:val="es-ES" w:eastAsia="en-US" w:bidi="ar-SA"/>
      </w:rPr>
    </w:lvl>
    <w:lvl w:ilvl="4" w:tplc="7428C142">
      <w:numFmt w:val="bullet"/>
      <w:lvlText w:val="•"/>
      <w:lvlJc w:val="left"/>
      <w:pPr>
        <w:ind w:left="4332" w:hanging="360"/>
      </w:pPr>
      <w:rPr>
        <w:rFonts w:hint="default"/>
        <w:lang w:val="es-ES" w:eastAsia="en-US" w:bidi="ar-SA"/>
      </w:rPr>
    </w:lvl>
    <w:lvl w:ilvl="5" w:tplc="ADE25972">
      <w:numFmt w:val="bullet"/>
      <w:lvlText w:val="•"/>
      <w:lvlJc w:val="left"/>
      <w:pPr>
        <w:ind w:left="5170" w:hanging="360"/>
      </w:pPr>
      <w:rPr>
        <w:rFonts w:hint="default"/>
        <w:lang w:val="es-ES" w:eastAsia="en-US" w:bidi="ar-SA"/>
      </w:rPr>
    </w:lvl>
    <w:lvl w:ilvl="6" w:tplc="CDEEDA24">
      <w:numFmt w:val="bullet"/>
      <w:lvlText w:val="•"/>
      <w:lvlJc w:val="left"/>
      <w:pPr>
        <w:ind w:left="6008" w:hanging="360"/>
      </w:pPr>
      <w:rPr>
        <w:rFonts w:hint="default"/>
        <w:lang w:val="es-ES" w:eastAsia="en-US" w:bidi="ar-SA"/>
      </w:rPr>
    </w:lvl>
    <w:lvl w:ilvl="7" w:tplc="110C3B5E">
      <w:numFmt w:val="bullet"/>
      <w:lvlText w:val="•"/>
      <w:lvlJc w:val="left"/>
      <w:pPr>
        <w:ind w:left="6846" w:hanging="360"/>
      </w:pPr>
      <w:rPr>
        <w:rFonts w:hint="default"/>
        <w:lang w:val="es-ES" w:eastAsia="en-US" w:bidi="ar-SA"/>
      </w:rPr>
    </w:lvl>
    <w:lvl w:ilvl="8" w:tplc="F4B8FEF0">
      <w:numFmt w:val="bullet"/>
      <w:lvlText w:val="•"/>
      <w:lvlJc w:val="left"/>
      <w:pPr>
        <w:ind w:left="7684" w:hanging="360"/>
      </w:pPr>
      <w:rPr>
        <w:rFonts w:hint="default"/>
        <w:lang w:val="es-ES" w:eastAsia="en-US" w:bidi="ar-SA"/>
      </w:rPr>
    </w:lvl>
  </w:abstractNum>
  <w:abstractNum w:abstractNumId="46" w15:restartNumberingAfterBreak="0">
    <w:nsid w:val="6CA11B40"/>
    <w:multiLevelType w:val="hybridMultilevel"/>
    <w:tmpl w:val="11D0C45E"/>
    <w:lvl w:ilvl="0" w:tplc="F66886F0">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4D10E972">
      <w:numFmt w:val="bullet"/>
      <w:lvlText w:val="•"/>
      <w:lvlJc w:val="left"/>
      <w:pPr>
        <w:ind w:left="2304" w:hanging="720"/>
      </w:pPr>
      <w:rPr>
        <w:rFonts w:hint="default"/>
        <w:lang w:val="es-ES" w:eastAsia="en-US" w:bidi="ar-SA"/>
      </w:rPr>
    </w:lvl>
    <w:lvl w:ilvl="2" w:tplc="4DFAC200">
      <w:numFmt w:val="bullet"/>
      <w:lvlText w:val="•"/>
      <w:lvlJc w:val="left"/>
      <w:pPr>
        <w:ind w:left="3168" w:hanging="720"/>
      </w:pPr>
      <w:rPr>
        <w:rFonts w:hint="default"/>
        <w:lang w:val="es-ES" w:eastAsia="en-US" w:bidi="ar-SA"/>
      </w:rPr>
    </w:lvl>
    <w:lvl w:ilvl="3" w:tplc="084A40A2">
      <w:numFmt w:val="bullet"/>
      <w:lvlText w:val="•"/>
      <w:lvlJc w:val="left"/>
      <w:pPr>
        <w:ind w:left="4032" w:hanging="720"/>
      </w:pPr>
      <w:rPr>
        <w:rFonts w:hint="default"/>
        <w:lang w:val="es-ES" w:eastAsia="en-US" w:bidi="ar-SA"/>
      </w:rPr>
    </w:lvl>
    <w:lvl w:ilvl="4" w:tplc="F1EEDDB8">
      <w:numFmt w:val="bullet"/>
      <w:lvlText w:val="•"/>
      <w:lvlJc w:val="left"/>
      <w:pPr>
        <w:ind w:left="4896" w:hanging="720"/>
      </w:pPr>
      <w:rPr>
        <w:rFonts w:hint="default"/>
        <w:lang w:val="es-ES" w:eastAsia="en-US" w:bidi="ar-SA"/>
      </w:rPr>
    </w:lvl>
    <w:lvl w:ilvl="5" w:tplc="711CDB92">
      <w:numFmt w:val="bullet"/>
      <w:lvlText w:val="•"/>
      <w:lvlJc w:val="left"/>
      <w:pPr>
        <w:ind w:left="5760" w:hanging="720"/>
      </w:pPr>
      <w:rPr>
        <w:rFonts w:hint="default"/>
        <w:lang w:val="es-ES" w:eastAsia="en-US" w:bidi="ar-SA"/>
      </w:rPr>
    </w:lvl>
    <w:lvl w:ilvl="6" w:tplc="298C4D82">
      <w:numFmt w:val="bullet"/>
      <w:lvlText w:val="•"/>
      <w:lvlJc w:val="left"/>
      <w:pPr>
        <w:ind w:left="6624" w:hanging="720"/>
      </w:pPr>
      <w:rPr>
        <w:rFonts w:hint="default"/>
        <w:lang w:val="es-ES" w:eastAsia="en-US" w:bidi="ar-SA"/>
      </w:rPr>
    </w:lvl>
    <w:lvl w:ilvl="7" w:tplc="F6D01168">
      <w:numFmt w:val="bullet"/>
      <w:lvlText w:val="•"/>
      <w:lvlJc w:val="left"/>
      <w:pPr>
        <w:ind w:left="7488" w:hanging="720"/>
      </w:pPr>
      <w:rPr>
        <w:rFonts w:hint="default"/>
        <w:lang w:val="es-ES" w:eastAsia="en-US" w:bidi="ar-SA"/>
      </w:rPr>
    </w:lvl>
    <w:lvl w:ilvl="8" w:tplc="3E4C5660">
      <w:numFmt w:val="bullet"/>
      <w:lvlText w:val="•"/>
      <w:lvlJc w:val="left"/>
      <w:pPr>
        <w:ind w:left="8352" w:hanging="720"/>
      </w:pPr>
      <w:rPr>
        <w:rFonts w:hint="default"/>
        <w:lang w:val="es-ES" w:eastAsia="en-US" w:bidi="ar-SA"/>
      </w:rPr>
    </w:lvl>
  </w:abstractNum>
  <w:abstractNum w:abstractNumId="47" w15:restartNumberingAfterBreak="0">
    <w:nsid w:val="73486FBF"/>
    <w:multiLevelType w:val="hybridMultilevel"/>
    <w:tmpl w:val="5114EBFE"/>
    <w:lvl w:ilvl="0" w:tplc="18D29ED8">
      <w:start w:val="1"/>
      <w:numFmt w:val="upperRoman"/>
      <w:lvlText w:val="%1."/>
      <w:lvlJc w:val="left"/>
      <w:pPr>
        <w:ind w:left="1437"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FFC00158">
      <w:numFmt w:val="bullet"/>
      <w:lvlText w:val="•"/>
      <w:lvlJc w:val="left"/>
      <w:pPr>
        <w:ind w:left="2304" w:hanging="720"/>
      </w:pPr>
      <w:rPr>
        <w:rFonts w:hint="default"/>
        <w:lang w:val="es-ES" w:eastAsia="en-US" w:bidi="ar-SA"/>
      </w:rPr>
    </w:lvl>
    <w:lvl w:ilvl="2" w:tplc="D204986E">
      <w:numFmt w:val="bullet"/>
      <w:lvlText w:val="•"/>
      <w:lvlJc w:val="left"/>
      <w:pPr>
        <w:ind w:left="3168" w:hanging="720"/>
      </w:pPr>
      <w:rPr>
        <w:rFonts w:hint="default"/>
        <w:lang w:val="es-ES" w:eastAsia="en-US" w:bidi="ar-SA"/>
      </w:rPr>
    </w:lvl>
    <w:lvl w:ilvl="3" w:tplc="57BC55BC">
      <w:numFmt w:val="bullet"/>
      <w:lvlText w:val="•"/>
      <w:lvlJc w:val="left"/>
      <w:pPr>
        <w:ind w:left="4032" w:hanging="720"/>
      </w:pPr>
      <w:rPr>
        <w:rFonts w:hint="default"/>
        <w:lang w:val="es-ES" w:eastAsia="en-US" w:bidi="ar-SA"/>
      </w:rPr>
    </w:lvl>
    <w:lvl w:ilvl="4" w:tplc="A1A24010">
      <w:numFmt w:val="bullet"/>
      <w:lvlText w:val="•"/>
      <w:lvlJc w:val="left"/>
      <w:pPr>
        <w:ind w:left="4896" w:hanging="720"/>
      </w:pPr>
      <w:rPr>
        <w:rFonts w:hint="default"/>
        <w:lang w:val="es-ES" w:eastAsia="en-US" w:bidi="ar-SA"/>
      </w:rPr>
    </w:lvl>
    <w:lvl w:ilvl="5" w:tplc="25301C3E">
      <w:numFmt w:val="bullet"/>
      <w:lvlText w:val="•"/>
      <w:lvlJc w:val="left"/>
      <w:pPr>
        <w:ind w:left="5760" w:hanging="720"/>
      </w:pPr>
      <w:rPr>
        <w:rFonts w:hint="default"/>
        <w:lang w:val="es-ES" w:eastAsia="en-US" w:bidi="ar-SA"/>
      </w:rPr>
    </w:lvl>
    <w:lvl w:ilvl="6" w:tplc="DB029F48">
      <w:numFmt w:val="bullet"/>
      <w:lvlText w:val="•"/>
      <w:lvlJc w:val="left"/>
      <w:pPr>
        <w:ind w:left="6624" w:hanging="720"/>
      </w:pPr>
      <w:rPr>
        <w:rFonts w:hint="default"/>
        <w:lang w:val="es-ES" w:eastAsia="en-US" w:bidi="ar-SA"/>
      </w:rPr>
    </w:lvl>
    <w:lvl w:ilvl="7" w:tplc="3BD24608">
      <w:numFmt w:val="bullet"/>
      <w:lvlText w:val="•"/>
      <w:lvlJc w:val="left"/>
      <w:pPr>
        <w:ind w:left="7488" w:hanging="720"/>
      </w:pPr>
      <w:rPr>
        <w:rFonts w:hint="default"/>
        <w:lang w:val="es-ES" w:eastAsia="en-US" w:bidi="ar-SA"/>
      </w:rPr>
    </w:lvl>
    <w:lvl w:ilvl="8" w:tplc="2E608070">
      <w:numFmt w:val="bullet"/>
      <w:lvlText w:val="•"/>
      <w:lvlJc w:val="left"/>
      <w:pPr>
        <w:ind w:left="8352" w:hanging="720"/>
      </w:pPr>
      <w:rPr>
        <w:rFonts w:hint="default"/>
        <w:lang w:val="es-ES" w:eastAsia="en-US" w:bidi="ar-SA"/>
      </w:rPr>
    </w:lvl>
  </w:abstractNum>
  <w:abstractNum w:abstractNumId="48" w15:restartNumberingAfterBreak="0">
    <w:nsid w:val="73EB4823"/>
    <w:multiLevelType w:val="hybridMultilevel"/>
    <w:tmpl w:val="ED22F15A"/>
    <w:lvl w:ilvl="0" w:tplc="08D2993C">
      <w:start w:val="1"/>
      <w:numFmt w:val="upperRoman"/>
      <w:lvlText w:val="%1."/>
      <w:lvlJc w:val="left"/>
      <w:pPr>
        <w:ind w:left="1080"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A68CF2AC">
      <w:start w:val="1"/>
      <w:numFmt w:val="upperRoman"/>
      <w:lvlText w:val="%2."/>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2" w:tplc="1AC68B9C">
      <w:numFmt w:val="bullet"/>
      <w:lvlText w:val="•"/>
      <w:lvlJc w:val="left"/>
      <w:pPr>
        <w:ind w:left="2400" w:hanging="720"/>
      </w:pPr>
      <w:rPr>
        <w:rFonts w:hint="default"/>
        <w:lang w:val="es-ES" w:eastAsia="en-US" w:bidi="ar-SA"/>
      </w:rPr>
    </w:lvl>
    <w:lvl w:ilvl="3" w:tplc="7EF890E2">
      <w:numFmt w:val="bullet"/>
      <w:lvlText w:val="•"/>
      <w:lvlJc w:val="left"/>
      <w:pPr>
        <w:ind w:left="3360" w:hanging="720"/>
      </w:pPr>
      <w:rPr>
        <w:rFonts w:hint="default"/>
        <w:lang w:val="es-ES" w:eastAsia="en-US" w:bidi="ar-SA"/>
      </w:rPr>
    </w:lvl>
    <w:lvl w:ilvl="4" w:tplc="98D22888">
      <w:numFmt w:val="bullet"/>
      <w:lvlText w:val="•"/>
      <w:lvlJc w:val="left"/>
      <w:pPr>
        <w:ind w:left="4320" w:hanging="720"/>
      </w:pPr>
      <w:rPr>
        <w:rFonts w:hint="default"/>
        <w:lang w:val="es-ES" w:eastAsia="en-US" w:bidi="ar-SA"/>
      </w:rPr>
    </w:lvl>
    <w:lvl w:ilvl="5" w:tplc="3640C764">
      <w:numFmt w:val="bullet"/>
      <w:lvlText w:val="•"/>
      <w:lvlJc w:val="left"/>
      <w:pPr>
        <w:ind w:left="5280" w:hanging="720"/>
      </w:pPr>
      <w:rPr>
        <w:rFonts w:hint="default"/>
        <w:lang w:val="es-ES" w:eastAsia="en-US" w:bidi="ar-SA"/>
      </w:rPr>
    </w:lvl>
    <w:lvl w:ilvl="6" w:tplc="FD8812AC">
      <w:numFmt w:val="bullet"/>
      <w:lvlText w:val="•"/>
      <w:lvlJc w:val="left"/>
      <w:pPr>
        <w:ind w:left="6240" w:hanging="720"/>
      </w:pPr>
      <w:rPr>
        <w:rFonts w:hint="default"/>
        <w:lang w:val="es-ES" w:eastAsia="en-US" w:bidi="ar-SA"/>
      </w:rPr>
    </w:lvl>
    <w:lvl w:ilvl="7" w:tplc="A78AE3A0">
      <w:numFmt w:val="bullet"/>
      <w:lvlText w:val="•"/>
      <w:lvlJc w:val="left"/>
      <w:pPr>
        <w:ind w:left="7200" w:hanging="720"/>
      </w:pPr>
      <w:rPr>
        <w:rFonts w:hint="default"/>
        <w:lang w:val="es-ES" w:eastAsia="en-US" w:bidi="ar-SA"/>
      </w:rPr>
    </w:lvl>
    <w:lvl w:ilvl="8" w:tplc="17B4B152">
      <w:numFmt w:val="bullet"/>
      <w:lvlText w:val="•"/>
      <w:lvlJc w:val="left"/>
      <w:pPr>
        <w:ind w:left="8160" w:hanging="720"/>
      </w:pPr>
      <w:rPr>
        <w:rFonts w:hint="default"/>
        <w:lang w:val="es-ES" w:eastAsia="en-US" w:bidi="ar-SA"/>
      </w:rPr>
    </w:lvl>
  </w:abstractNum>
  <w:abstractNum w:abstractNumId="49" w15:restartNumberingAfterBreak="0">
    <w:nsid w:val="74692344"/>
    <w:multiLevelType w:val="hybridMultilevel"/>
    <w:tmpl w:val="608C61E8"/>
    <w:lvl w:ilvl="0" w:tplc="85848432">
      <w:numFmt w:val="bullet"/>
      <w:lvlText w:val=""/>
      <w:lvlJc w:val="left"/>
      <w:pPr>
        <w:ind w:left="619" w:hanging="360"/>
      </w:pPr>
      <w:rPr>
        <w:rFonts w:ascii="Symbol" w:eastAsia="Symbol" w:hAnsi="Symbol" w:cs="Symbol" w:hint="default"/>
        <w:b w:val="0"/>
        <w:bCs w:val="0"/>
        <w:i w:val="0"/>
        <w:iCs w:val="0"/>
        <w:spacing w:val="0"/>
        <w:w w:val="100"/>
        <w:sz w:val="24"/>
        <w:szCs w:val="24"/>
        <w:lang w:val="es-ES" w:eastAsia="en-US" w:bidi="ar-SA"/>
      </w:rPr>
    </w:lvl>
    <w:lvl w:ilvl="1" w:tplc="E0E446B6">
      <w:numFmt w:val="bullet"/>
      <w:lvlText w:val="•"/>
      <w:lvlJc w:val="left"/>
      <w:pPr>
        <w:ind w:left="1494" w:hanging="360"/>
      </w:pPr>
      <w:rPr>
        <w:rFonts w:hint="default"/>
        <w:lang w:val="es-ES" w:eastAsia="en-US" w:bidi="ar-SA"/>
      </w:rPr>
    </w:lvl>
    <w:lvl w:ilvl="2" w:tplc="04406484">
      <w:numFmt w:val="bullet"/>
      <w:lvlText w:val="•"/>
      <w:lvlJc w:val="left"/>
      <w:pPr>
        <w:ind w:left="2368" w:hanging="360"/>
      </w:pPr>
      <w:rPr>
        <w:rFonts w:hint="default"/>
        <w:lang w:val="es-ES" w:eastAsia="en-US" w:bidi="ar-SA"/>
      </w:rPr>
    </w:lvl>
    <w:lvl w:ilvl="3" w:tplc="B6320E1E">
      <w:numFmt w:val="bullet"/>
      <w:lvlText w:val="•"/>
      <w:lvlJc w:val="left"/>
      <w:pPr>
        <w:ind w:left="3242" w:hanging="360"/>
      </w:pPr>
      <w:rPr>
        <w:rFonts w:hint="default"/>
        <w:lang w:val="es-ES" w:eastAsia="en-US" w:bidi="ar-SA"/>
      </w:rPr>
    </w:lvl>
    <w:lvl w:ilvl="4" w:tplc="083EAC84">
      <w:numFmt w:val="bullet"/>
      <w:lvlText w:val="•"/>
      <w:lvlJc w:val="left"/>
      <w:pPr>
        <w:ind w:left="4116" w:hanging="360"/>
      </w:pPr>
      <w:rPr>
        <w:rFonts w:hint="default"/>
        <w:lang w:val="es-ES" w:eastAsia="en-US" w:bidi="ar-SA"/>
      </w:rPr>
    </w:lvl>
    <w:lvl w:ilvl="5" w:tplc="D0FE23B0">
      <w:numFmt w:val="bullet"/>
      <w:lvlText w:val="•"/>
      <w:lvlJc w:val="left"/>
      <w:pPr>
        <w:ind w:left="4990" w:hanging="360"/>
      </w:pPr>
      <w:rPr>
        <w:rFonts w:hint="default"/>
        <w:lang w:val="es-ES" w:eastAsia="en-US" w:bidi="ar-SA"/>
      </w:rPr>
    </w:lvl>
    <w:lvl w:ilvl="6" w:tplc="8FFE6BC6">
      <w:numFmt w:val="bullet"/>
      <w:lvlText w:val="•"/>
      <w:lvlJc w:val="left"/>
      <w:pPr>
        <w:ind w:left="5864" w:hanging="360"/>
      </w:pPr>
      <w:rPr>
        <w:rFonts w:hint="default"/>
        <w:lang w:val="es-ES" w:eastAsia="en-US" w:bidi="ar-SA"/>
      </w:rPr>
    </w:lvl>
    <w:lvl w:ilvl="7" w:tplc="269EE5CC">
      <w:numFmt w:val="bullet"/>
      <w:lvlText w:val="•"/>
      <w:lvlJc w:val="left"/>
      <w:pPr>
        <w:ind w:left="6738" w:hanging="360"/>
      </w:pPr>
      <w:rPr>
        <w:rFonts w:hint="default"/>
        <w:lang w:val="es-ES" w:eastAsia="en-US" w:bidi="ar-SA"/>
      </w:rPr>
    </w:lvl>
    <w:lvl w:ilvl="8" w:tplc="7B2E3368">
      <w:numFmt w:val="bullet"/>
      <w:lvlText w:val="•"/>
      <w:lvlJc w:val="left"/>
      <w:pPr>
        <w:ind w:left="7612" w:hanging="360"/>
      </w:pPr>
      <w:rPr>
        <w:rFonts w:hint="default"/>
        <w:lang w:val="es-ES" w:eastAsia="en-US" w:bidi="ar-SA"/>
      </w:rPr>
    </w:lvl>
  </w:abstractNum>
  <w:abstractNum w:abstractNumId="50" w15:restartNumberingAfterBreak="0">
    <w:nsid w:val="76CD6044"/>
    <w:multiLevelType w:val="hybridMultilevel"/>
    <w:tmpl w:val="992A8E38"/>
    <w:lvl w:ilvl="0" w:tplc="907E9672">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6136F482">
      <w:numFmt w:val="bullet"/>
      <w:lvlText w:val="•"/>
      <w:lvlJc w:val="left"/>
      <w:pPr>
        <w:ind w:left="2304" w:hanging="720"/>
      </w:pPr>
      <w:rPr>
        <w:rFonts w:hint="default"/>
        <w:lang w:val="es-ES" w:eastAsia="en-US" w:bidi="ar-SA"/>
      </w:rPr>
    </w:lvl>
    <w:lvl w:ilvl="2" w:tplc="E340D1B4">
      <w:numFmt w:val="bullet"/>
      <w:lvlText w:val="•"/>
      <w:lvlJc w:val="left"/>
      <w:pPr>
        <w:ind w:left="3168" w:hanging="720"/>
      </w:pPr>
      <w:rPr>
        <w:rFonts w:hint="default"/>
        <w:lang w:val="es-ES" w:eastAsia="en-US" w:bidi="ar-SA"/>
      </w:rPr>
    </w:lvl>
    <w:lvl w:ilvl="3" w:tplc="7C925E18">
      <w:numFmt w:val="bullet"/>
      <w:lvlText w:val="•"/>
      <w:lvlJc w:val="left"/>
      <w:pPr>
        <w:ind w:left="4032" w:hanging="720"/>
      </w:pPr>
      <w:rPr>
        <w:rFonts w:hint="default"/>
        <w:lang w:val="es-ES" w:eastAsia="en-US" w:bidi="ar-SA"/>
      </w:rPr>
    </w:lvl>
    <w:lvl w:ilvl="4" w:tplc="546C3440">
      <w:numFmt w:val="bullet"/>
      <w:lvlText w:val="•"/>
      <w:lvlJc w:val="left"/>
      <w:pPr>
        <w:ind w:left="4896" w:hanging="720"/>
      </w:pPr>
      <w:rPr>
        <w:rFonts w:hint="default"/>
        <w:lang w:val="es-ES" w:eastAsia="en-US" w:bidi="ar-SA"/>
      </w:rPr>
    </w:lvl>
    <w:lvl w:ilvl="5" w:tplc="F8265276">
      <w:numFmt w:val="bullet"/>
      <w:lvlText w:val="•"/>
      <w:lvlJc w:val="left"/>
      <w:pPr>
        <w:ind w:left="5760" w:hanging="720"/>
      </w:pPr>
      <w:rPr>
        <w:rFonts w:hint="default"/>
        <w:lang w:val="es-ES" w:eastAsia="en-US" w:bidi="ar-SA"/>
      </w:rPr>
    </w:lvl>
    <w:lvl w:ilvl="6" w:tplc="D818B79A">
      <w:numFmt w:val="bullet"/>
      <w:lvlText w:val="•"/>
      <w:lvlJc w:val="left"/>
      <w:pPr>
        <w:ind w:left="6624" w:hanging="720"/>
      </w:pPr>
      <w:rPr>
        <w:rFonts w:hint="default"/>
        <w:lang w:val="es-ES" w:eastAsia="en-US" w:bidi="ar-SA"/>
      </w:rPr>
    </w:lvl>
    <w:lvl w:ilvl="7" w:tplc="0CE2A260">
      <w:numFmt w:val="bullet"/>
      <w:lvlText w:val="•"/>
      <w:lvlJc w:val="left"/>
      <w:pPr>
        <w:ind w:left="7488" w:hanging="720"/>
      </w:pPr>
      <w:rPr>
        <w:rFonts w:hint="default"/>
        <w:lang w:val="es-ES" w:eastAsia="en-US" w:bidi="ar-SA"/>
      </w:rPr>
    </w:lvl>
    <w:lvl w:ilvl="8" w:tplc="BC687752">
      <w:numFmt w:val="bullet"/>
      <w:lvlText w:val="•"/>
      <w:lvlJc w:val="left"/>
      <w:pPr>
        <w:ind w:left="8352" w:hanging="720"/>
      </w:pPr>
      <w:rPr>
        <w:rFonts w:hint="default"/>
        <w:lang w:val="es-ES" w:eastAsia="en-US" w:bidi="ar-SA"/>
      </w:rPr>
    </w:lvl>
  </w:abstractNum>
  <w:abstractNum w:abstractNumId="51" w15:restartNumberingAfterBreak="0">
    <w:nsid w:val="782F01BF"/>
    <w:multiLevelType w:val="hybridMultilevel"/>
    <w:tmpl w:val="C4581A40"/>
    <w:lvl w:ilvl="0" w:tplc="7D409B3E">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2C2C049A">
      <w:numFmt w:val="bullet"/>
      <w:lvlText w:val="•"/>
      <w:lvlJc w:val="left"/>
      <w:pPr>
        <w:ind w:left="2304" w:hanging="720"/>
      </w:pPr>
      <w:rPr>
        <w:rFonts w:hint="default"/>
        <w:lang w:val="es-ES" w:eastAsia="en-US" w:bidi="ar-SA"/>
      </w:rPr>
    </w:lvl>
    <w:lvl w:ilvl="2" w:tplc="08261BEE">
      <w:numFmt w:val="bullet"/>
      <w:lvlText w:val="•"/>
      <w:lvlJc w:val="left"/>
      <w:pPr>
        <w:ind w:left="3168" w:hanging="720"/>
      </w:pPr>
      <w:rPr>
        <w:rFonts w:hint="default"/>
        <w:lang w:val="es-ES" w:eastAsia="en-US" w:bidi="ar-SA"/>
      </w:rPr>
    </w:lvl>
    <w:lvl w:ilvl="3" w:tplc="BFD4B85A">
      <w:numFmt w:val="bullet"/>
      <w:lvlText w:val="•"/>
      <w:lvlJc w:val="left"/>
      <w:pPr>
        <w:ind w:left="4032" w:hanging="720"/>
      </w:pPr>
      <w:rPr>
        <w:rFonts w:hint="default"/>
        <w:lang w:val="es-ES" w:eastAsia="en-US" w:bidi="ar-SA"/>
      </w:rPr>
    </w:lvl>
    <w:lvl w:ilvl="4" w:tplc="FA227A98">
      <w:numFmt w:val="bullet"/>
      <w:lvlText w:val="•"/>
      <w:lvlJc w:val="left"/>
      <w:pPr>
        <w:ind w:left="4896" w:hanging="720"/>
      </w:pPr>
      <w:rPr>
        <w:rFonts w:hint="default"/>
        <w:lang w:val="es-ES" w:eastAsia="en-US" w:bidi="ar-SA"/>
      </w:rPr>
    </w:lvl>
    <w:lvl w:ilvl="5" w:tplc="799275E8">
      <w:numFmt w:val="bullet"/>
      <w:lvlText w:val="•"/>
      <w:lvlJc w:val="left"/>
      <w:pPr>
        <w:ind w:left="5760" w:hanging="720"/>
      </w:pPr>
      <w:rPr>
        <w:rFonts w:hint="default"/>
        <w:lang w:val="es-ES" w:eastAsia="en-US" w:bidi="ar-SA"/>
      </w:rPr>
    </w:lvl>
    <w:lvl w:ilvl="6" w:tplc="B8D2D954">
      <w:numFmt w:val="bullet"/>
      <w:lvlText w:val="•"/>
      <w:lvlJc w:val="left"/>
      <w:pPr>
        <w:ind w:left="6624" w:hanging="720"/>
      </w:pPr>
      <w:rPr>
        <w:rFonts w:hint="default"/>
        <w:lang w:val="es-ES" w:eastAsia="en-US" w:bidi="ar-SA"/>
      </w:rPr>
    </w:lvl>
    <w:lvl w:ilvl="7" w:tplc="EFDA3F46">
      <w:numFmt w:val="bullet"/>
      <w:lvlText w:val="•"/>
      <w:lvlJc w:val="left"/>
      <w:pPr>
        <w:ind w:left="7488" w:hanging="720"/>
      </w:pPr>
      <w:rPr>
        <w:rFonts w:hint="default"/>
        <w:lang w:val="es-ES" w:eastAsia="en-US" w:bidi="ar-SA"/>
      </w:rPr>
    </w:lvl>
    <w:lvl w:ilvl="8" w:tplc="C61001D6">
      <w:numFmt w:val="bullet"/>
      <w:lvlText w:val="•"/>
      <w:lvlJc w:val="left"/>
      <w:pPr>
        <w:ind w:left="8352" w:hanging="720"/>
      </w:pPr>
      <w:rPr>
        <w:rFonts w:hint="default"/>
        <w:lang w:val="es-ES" w:eastAsia="en-US" w:bidi="ar-SA"/>
      </w:rPr>
    </w:lvl>
  </w:abstractNum>
  <w:abstractNum w:abstractNumId="52" w15:restartNumberingAfterBreak="0">
    <w:nsid w:val="7DBC59A5"/>
    <w:multiLevelType w:val="hybridMultilevel"/>
    <w:tmpl w:val="C450DC70"/>
    <w:lvl w:ilvl="0" w:tplc="63484C88">
      <w:start w:val="1"/>
      <w:numFmt w:val="upperRoman"/>
      <w:lvlText w:val="%1."/>
      <w:lvlJc w:val="left"/>
      <w:pPr>
        <w:ind w:left="144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99EA3104">
      <w:numFmt w:val="bullet"/>
      <w:lvlText w:val="•"/>
      <w:lvlJc w:val="left"/>
      <w:pPr>
        <w:ind w:left="2304" w:hanging="720"/>
      </w:pPr>
      <w:rPr>
        <w:rFonts w:hint="default"/>
        <w:lang w:val="es-ES" w:eastAsia="en-US" w:bidi="ar-SA"/>
      </w:rPr>
    </w:lvl>
    <w:lvl w:ilvl="2" w:tplc="E99EFC80">
      <w:numFmt w:val="bullet"/>
      <w:lvlText w:val="•"/>
      <w:lvlJc w:val="left"/>
      <w:pPr>
        <w:ind w:left="3168" w:hanging="720"/>
      </w:pPr>
      <w:rPr>
        <w:rFonts w:hint="default"/>
        <w:lang w:val="es-ES" w:eastAsia="en-US" w:bidi="ar-SA"/>
      </w:rPr>
    </w:lvl>
    <w:lvl w:ilvl="3" w:tplc="49A22AC2">
      <w:numFmt w:val="bullet"/>
      <w:lvlText w:val="•"/>
      <w:lvlJc w:val="left"/>
      <w:pPr>
        <w:ind w:left="4032" w:hanging="720"/>
      </w:pPr>
      <w:rPr>
        <w:rFonts w:hint="default"/>
        <w:lang w:val="es-ES" w:eastAsia="en-US" w:bidi="ar-SA"/>
      </w:rPr>
    </w:lvl>
    <w:lvl w:ilvl="4" w:tplc="9DF40D60">
      <w:numFmt w:val="bullet"/>
      <w:lvlText w:val="•"/>
      <w:lvlJc w:val="left"/>
      <w:pPr>
        <w:ind w:left="4896" w:hanging="720"/>
      </w:pPr>
      <w:rPr>
        <w:rFonts w:hint="default"/>
        <w:lang w:val="es-ES" w:eastAsia="en-US" w:bidi="ar-SA"/>
      </w:rPr>
    </w:lvl>
    <w:lvl w:ilvl="5" w:tplc="95B6E704">
      <w:numFmt w:val="bullet"/>
      <w:lvlText w:val="•"/>
      <w:lvlJc w:val="left"/>
      <w:pPr>
        <w:ind w:left="5760" w:hanging="720"/>
      </w:pPr>
      <w:rPr>
        <w:rFonts w:hint="default"/>
        <w:lang w:val="es-ES" w:eastAsia="en-US" w:bidi="ar-SA"/>
      </w:rPr>
    </w:lvl>
    <w:lvl w:ilvl="6" w:tplc="29AAB098">
      <w:numFmt w:val="bullet"/>
      <w:lvlText w:val="•"/>
      <w:lvlJc w:val="left"/>
      <w:pPr>
        <w:ind w:left="6624" w:hanging="720"/>
      </w:pPr>
      <w:rPr>
        <w:rFonts w:hint="default"/>
        <w:lang w:val="es-ES" w:eastAsia="en-US" w:bidi="ar-SA"/>
      </w:rPr>
    </w:lvl>
    <w:lvl w:ilvl="7" w:tplc="61161D16">
      <w:numFmt w:val="bullet"/>
      <w:lvlText w:val="•"/>
      <w:lvlJc w:val="left"/>
      <w:pPr>
        <w:ind w:left="7488" w:hanging="720"/>
      </w:pPr>
      <w:rPr>
        <w:rFonts w:hint="default"/>
        <w:lang w:val="es-ES" w:eastAsia="en-US" w:bidi="ar-SA"/>
      </w:rPr>
    </w:lvl>
    <w:lvl w:ilvl="8" w:tplc="4A5E7A2E">
      <w:numFmt w:val="bullet"/>
      <w:lvlText w:val="•"/>
      <w:lvlJc w:val="left"/>
      <w:pPr>
        <w:ind w:left="8352" w:hanging="720"/>
      </w:pPr>
      <w:rPr>
        <w:rFonts w:hint="default"/>
        <w:lang w:val="es-ES" w:eastAsia="en-US" w:bidi="ar-SA"/>
      </w:rPr>
    </w:lvl>
  </w:abstractNum>
  <w:abstractNum w:abstractNumId="53" w15:restartNumberingAfterBreak="0">
    <w:nsid w:val="7FAA63D7"/>
    <w:multiLevelType w:val="hybridMultilevel"/>
    <w:tmpl w:val="0CD83BF2"/>
    <w:lvl w:ilvl="0" w:tplc="FD123BCE">
      <w:start w:val="7"/>
      <w:numFmt w:val="lowerLetter"/>
      <w:lvlText w:val="%1)"/>
      <w:lvlJc w:val="left"/>
      <w:pPr>
        <w:ind w:left="360" w:hanging="281"/>
      </w:pPr>
      <w:rPr>
        <w:rFonts w:ascii="Arial MT" w:eastAsia="Arial MT" w:hAnsi="Arial MT" w:cs="Arial MT" w:hint="default"/>
        <w:b w:val="0"/>
        <w:bCs w:val="0"/>
        <w:i w:val="0"/>
        <w:iCs w:val="0"/>
        <w:spacing w:val="0"/>
        <w:w w:val="100"/>
        <w:sz w:val="24"/>
        <w:szCs w:val="24"/>
        <w:lang w:val="es-ES" w:eastAsia="en-US" w:bidi="ar-SA"/>
      </w:rPr>
    </w:lvl>
    <w:lvl w:ilvl="1" w:tplc="9E603FA0">
      <w:start w:val="1"/>
      <w:numFmt w:val="upperRoman"/>
      <w:lvlText w:val="%2."/>
      <w:lvlJc w:val="left"/>
      <w:pPr>
        <w:ind w:left="360" w:hanging="218"/>
      </w:pPr>
      <w:rPr>
        <w:rFonts w:hint="default"/>
        <w:spacing w:val="0"/>
        <w:w w:val="100"/>
        <w:lang w:val="es-ES" w:eastAsia="en-US" w:bidi="ar-SA"/>
      </w:rPr>
    </w:lvl>
    <w:lvl w:ilvl="2" w:tplc="57885FC6">
      <w:numFmt w:val="bullet"/>
      <w:lvlText w:val="•"/>
      <w:lvlJc w:val="left"/>
      <w:pPr>
        <w:ind w:left="2304" w:hanging="218"/>
      </w:pPr>
      <w:rPr>
        <w:rFonts w:hint="default"/>
        <w:lang w:val="es-ES" w:eastAsia="en-US" w:bidi="ar-SA"/>
      </w:rPr>
    </w:lvl>
    <w:lvl w:ilvl="3" w:tplc="88E429EA">
      <w:numFmt w:val="bullet"/>
      <w:lvlText w:val="•"/>
      <w:lvlJc w:val="left"/>
      <w:pPr>
        <w:ind w:left="3276" w:hanging="218"/>
      </w:pPr>
      <w:rPr>
        <w:rFonts w:hint="default"/>
        <w:lang w:val="es-ES" w:eastAsia="en-US" w:bidi="ar-SA"/>
      </w:rPr>
    </w:lvl>
    <w:lvl w:ilvl="4" w:tplc="81760042">
      <w:numFmt w:val="bullet"/>
      <w:lvlText w:val="•"/>
      <w:lvlJc w:val="left"/>
      <w:pPr>
        <w:ind w:left="4248" w:hanging="218"/>
      </w:pPr>
      <w:rPr>
        <w:rFonts w:hint="default"/>
        <w:lang w:val="es-ES" w:eastAsia="en-US" w:bidi="ar-SA"/>
      </w:rPr>
    </w:lvl>
    <w:lvl w:ilvl="5" w:tplc="3D94CC6C">
      <w:numFmt w:val="bullet"/>
      <w:lvlText w:val="•"/>
      <w:lvlJc w:val="left"/>
      <w:pPr>
        <w:ind w:left="5220" w:hanging="218"/>
      </w:pPr>
      <w:rPr>
        <w:rFonts w:hint="default"/>
        <w:lang w:val="es-ES" w:eastAsia="en-US" w:bidi="ar-SA"/>
      </w:rPr>
    </w:lvl>
    <w:lvl w:ilvl="6" w:tplc="086209DC">
      <w:numFmt w:val="bullet"/>
      <w:lvlText w:val="•"/>
      <w:lvlJc w:val="left"/>
      <w:pPr>
        <w:ind w:left="6192" w:hanging="218"/>
      </w:pPr>
      <w:rPr>
        <w:rFonts w:hint="default"/>
        <w:lang w:val="es-ES" w:eastAsia="en-US" w:bidi="ar-SA"/>
      </w:rPr>
    </w:lvl>
    <w:lvl w:ilvl="7" w:tplc="BC3E4D42">
      <w:numFmt w:val="bullet"/>
      <w:lvlText w:val="•"/>
      <w:lvlJc w:val="left"/>
      <w:pPr>
        <w:ind w:left="7164" w:hanging="218"/>
      </w:pPr>
      <w:rPr>
        <w:rFonts w:hint="default"/>
        <w:lang w:val="es-ES" w:eastAsia="en-US" w:bidi="ar-SA"/>
      </w:rPr>
    </w:lvl>
    <w:lvl w:ilvl="8" w:tplc="48181FA8">
      <w:numFmt w:val="bullet"/>
      <w:lvlText w:val="•"/>
      <w:lvlJc w:val="left"/>
      <w:pPr>
        <w:ind w:left="8136" w:hanging="218"/>
      </w:pPr>
      <w:rPr>
        <w:rFonts w:hint="default"/>
        <w:lang w:val="es-ES" w:eastAsia="en-US" w:bidi="ar-SA"/>
      </w:rPr>
    </w:lvl>
  </w:abstractNum>
  <w:num w:numId="1">
    <w:abstractNumId w:val="17"/>
  </w:num>
  <w:num w:numId="2">
    <w:abstractNumId w:val="15"/>
  </w:num>
  <w:num w:numId="3">
    <w:abstractNumId w:val="34"/>
  </w:num>
  <w:num w:numId="4">
    <w:abstractNumId w:val="26"/>
  </w:num>
  <w:num w:numId="5">
    <w:abstractNumId w:val="22"/>
  </w:num>
  <w:num w:numId="6">
    <w:abstractNumId w:val="23"/>
  </w:num>
  <w:num w:numId="7">
    <w:abstractNumId w:val="3"/>
  </w:num>
  <w:num w:numId="8">
    <w:abstractNumId w:val="41"/>
  </w:num>
  <w:num w:numId="9">
    <w:abstractNumId w:val="7"/>
  </w:num>
  <w:num w:numId="10">
    <w:abstractNumId w:val="32"/>
  </w:num>
  <w:num w:numId="11">
    <w:abstractNumId w:val="6"/>
  </w:num>
  <w:num w:numId="12">
    <w:abstractNumId w:val="1"/>
  </w:num>
  <w:num w:numId="13">
    <w:abstractNumId w:val="44"/>
  </w:num>
  <w:num w:numId="14">
    <w:abstractNumId w:val="20"/>
  </w:num>
  <w:num w:numId="15">
    <w:abstractNumId w:val="53"/>
  </w:num>
  <w:num w:numId="16">
    <w:abstractNumId w:val="47"/>
  </w:num>
  <w:num w:numId="17">
    <w:abstractNumId w:val="50"/>
  </w:num>
  <w:num w:numId="18">
    <w:abstractNumId w:val="48"/>
  </w:num>
  <w:num w:numId="19">
    <w:abstractNumId w:val="13"/>
  </w:num>
  <w:num w:numId="20">
    <w:abstractNumId w:val="31"/>
  </w:num>
  <w:num w:numId="21">
    <w:abstractNumId w:val="21"/>
  </w:num>
  <w:num w:numId="22">
    <w:abstractNumId w:val="52"/>
  </w:num>
  <w:num w:numId="23">
    <w:abstractNumId w:val="40"/>
  </w:num>
  <w:num w:numId="24">
    <w:abstractNumId w:val="33"/>
  </w:num>
  <w:num w:numId="25">
    <w:abstractNumId w:val="46"/>
  </w:num>
  <w:num w:numId="26">
    <w:abstractNumId w:val="11"/>
  </w:num>
  <w:num w:numId="27">
    <w:abstractNumId w:val="30"/>
  </w:num>
  <w:num w:numId="28">
    <w:abstractNumId w:val="5"/>
  </w:num>
  <w:num w:numId="29">
    <w:abstractNumId w:val="12"/>
  </w:num>
  <w:num w:numId="30">
    <w:abstractNumId w:val="38"/>
  </w:num>
  <w:num w:numId="31">
    <w:abstractNumId w:val="27"/>
  </w:num>
  <w:num w:numId="32">
    <w:abstractNumId w:val="14"/>
  </w:num>
  <w:num w:numId="33">
    <w:abstractNumId w:val="19"/>
  </w:num>
  <w:num w:numId="34">
    <w:abstractNumId w:val="51"/>
  </w:num>
  <w:num w:numId="35">
    <w:abstractNumId w:val="39"/>
  </w:num>
  <w:num w:numId="36">
    <w:abstractNumId w:val="24"/>
  </w:num>
  <w:num w:numId="37">
    <w:abstractNumId w:val="29"/>
  </w:num>
  <w:num w:numId="38">
    <w:abstractNumId w:val="36"/>
  </w:num>
  <w:num w:numId="39">
    <w:abstractNumId w:val="25"/>
  </w:num>
  <w:num w:numId="40">
    <w:abstractNumId w:val="18"/>
  </w:num>
  <w:num w:numId="41">
    <w:abstractNumId w:val="4"/>
  </w:num>
  <w:num w:numId="42">
    <w:abstractNumId w:val="8"/>
  </w:num>
  <w:num w:numId="43">
    <w:abstractNumId w:val="42"/>
  </w:num>
  <w:num w:numId="44">
    <w:abstractNumId w:val="35"/>
  </w:num>
  <w:num w:numId="45">
    <w:abstractNumId w:val="28"/>
  </w:num>
  <w:num w:numId="46">
    <w:abstractNumId w:val="16"/>
  </w:num>
  <w:num w:numId="47">
    <w:abstractNumId w:val="45"/>
  </w:num>
  <w:num w:numId="48">
    <w:abstractNumId w:val="49"/>
  </w:num>
  <w:num w:numId="49">
    <w:abstractNumId w:val="37"/>
  </w:num>
  <w:num w:numId="50">
    <w:abstractNumId w:val="43"/>
  </w:num>
  <w:num w:numId="51">
    <w:abstractNumId w:val="0"/>
  </w:num>
  <w:num w:numId="52">
    <w:abstractNumId w:val="2"/>
  </w:num>
  <w:num w:numId="53">
    <w:abstractNumId w:val="9"/>
  </w:num>
  <w:num w:numId="54">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749"/>
    <w:rsid w:val="000148A2"/>
    <w:rsid w:val="000207B5"/>
    <w:rsid w:val="00021373"/>
    <w:rsid w:val="00026445"/>
    <w:rsid w:val="00031D7B"/>
    <w:rsid w:val="000336FB"/>
    <w:rsid w:val="00035B58"/>
    <w:rsid w:val="0003764E"/>
    <w:rsid w:val="00041263"/>
    <w:rsid w:val="00056D3F"/>
    <w:rsid w:val="00060111"/>
    <w:rsid w:val="00061143"/>
    <w:rsid w:val="00062B20"/>
    <w:rsid w:val="00070162"/>
    <w:rsid w:val="00070315"/>
    <w:rsid w:val="000755CA"/>
    <w:rsid w:val="00075B07"/>
    <w:rsid w:val="000771DA"/>
    <w:rsid w:val="00093E8F"/>
    <w:rsid w:val="00095DD7"/>
    <w:rsid w:val="0009608B"/>
    <w:rsid w:val="000B06E4"/>
    <w:rsid w:val="000C04B9"/>
    <w:rsid w:val="000C393E"/>
    <w:rsid w:val="000C4BF9"/>
    <w:rsid w:val="000D33E7"/>
    <w:rsid w:val="000D41E0"/>
    <w:rsid w:val="000E3F19"/>
    <w:rsid w:val="000E599F"/>
    <w:rsid w:val="000F17AA"/>
    <w:rsid w:val="001105DF"/>
    <w:rsid w:val="00110F44"/>
    <w:rsid w:val="0011165E"/>
    <w:rsid w:val="0011245F"/>
    <w:rsid w:val="00115C4A"/>
    <w:rsid w:val="00117CB1"/>
    <w:rsid w:val="00132972"/>
    <w:rsid w:val="0014169B"/>
    <w:rsid w:val="00154333"/>
    <w:rsid w:val="00157903"/>
    <w:rsid w:val="00172DB2"/>
    <w:rsid w:val="001734A5"/>
    <w:rsid w:val="00174EB7"/>
    <w:rsid w:val="00177FC5"/>
    <w:rsid w:val="001A58E7"/>
    <w:rsid w:val="001B069E"/>
    <w:rsid w:val="001B2D68"/>
    <w:rsid w:val="001B2F38"/>
    <w:rsid w:val="001B6B33"/>
    <w:rsid w:val="001B7D51"/>
    <w:rsid w:val="001C0259"/>
    <w:rsid w:val="001C4E59"/>
    <w:rsid w:val="001D01CB"/>
    <w:rsid w:val="002014A4"/>
    <w:rsid w:val="00205289"/>
    <w:rsid w:val="00217415"/>
    <w:rsid w:val="0022005A"/>
    <w:rsid w:val="00240234"/>
    <w:rsid w:val="0025160E"/>
    <w:rsid w:val="0026687A"/>
    <w:rsid w:val="0027353A"/>
    <w:rsid w:val="002761DC"/>
    <w:rsid w:val="00283363"/>
    <w:rsid w:val="00286B0E"/>
    <w:rsid w:val="0029043D"/>
    <w:rsid w:val="0029099F"/>
    <w:rsid w:val="002A09BF"/>
    <w:rsid w:val="002A541A"/>
    <w:rsid w:val="002A67C7"/>
    <w:rsid w:val="002A79F9"/>
    <w:rsid w:val="002B30EE"/>
    <w:rsid w:val="002C1C8E"/>
    <w:rsid w:val="002C4150"/>
    <w:rsid w:val="002C66B3"/>
    <w:rsid w:val="002E140E"/>
    <w:rsid w:val="002F01CC"/>
    <w:rsid w:val="002F47A5"/>
    <w:rsid w:val="002F660D"/>
    <w:rsid w:val="00304E19"/>
    <w:rsid w:val="00310B94"/>
    <w:rsid w:val="00313CA1"/>
    <w:rsid w:val="00315BF2"/>
    <w:rsid w:val="00326EEB"/>
    <w:rsid w:val="00327648"/>
    <w:rsid w:val="0033357A"/>
    <w:rsid w:val="00337B3E"/>
    <w:rsid w:val="00346596"/>
    <w:rsid w:val="003608C0"/>
    <w:rsid w:val="00366B30"/>
    <w:rsid w:val="00371204"/>
    <w:rsid w:val="0037213E"/>
    <w:rsid w:val="00375401"/>
    <w:rsid w:val="003759A3"/>
    <w:rsid w:val="003762E9"/>
    <w:rsid w:val="00380292"/>
    <w:rsid w:val="0038091C"/>
    <w:rsid w:val="00385021"/>
    <w:rsid w:val="00387D0F"/>
    <w:rsid w:val="00390D50"/>
    <w:rsid w:val="003919CD"/>
    <w:rsid w:val="00393187"/>
    <w:rsid w:val="00395454"/>
    <w:rsid w:val="003A1569"/>
    <w:rsid w:val="003A56A2"/>
    <w:rsid w:val="003A584B"/>
    <w:rsid w:val="003B2BDB"/>
    <w:rsid w:val="003B56E7"/>
    <w:rsid w:val="003C088A"/>
    <w:rsid w:val="003C588C"/>
    <w:rsid w:val="003F1E31"/>
    <w:rsid w:val="003F1E8A"/>
    <w:rsid w:val="003F55FD"/>
    <w:rsid w:val="00406267"/>
    <w:rsid w:val="004124D6"/>
    <w:rsid w:val="004301A0"/>
    <w:rsid w:val="00435925"/>
    <w:rsid w:val="00436F76"/>
    <w:rsid w:val="004410E8"/>
    <w:rsid w:val="00445217"/>
    <w:rsid w:val="00450C25"/>
    <w:rsid w:val="00456E86"/>
    <w:rsid w:val="0045771B"/>
    <w:rsid w:val="00471831"/>
    <w:rsid w:val="00472E1E"/>
    <w:rsid w:val="004734E4"/>
    <w:rsid w:val="0047392D"/>
    <w:rsid w:val="004757FA"/>
    <w:rsid w:val="004858E5"/>
    <w:rsid w:val="004A68BD"/>
    <w:rsid w:val="004A7076"/>
    <w:rsid w:val="004B0401"/>
    <w:rsid w:val="004C3223"/>
    <w:rsid w:val="004D750B"/>
    <w:rsid w:val="004E26A0"/>
    <w:rsid w:val="004E5E80"/>
    <w:rsid w:val="004E6AA2"/>
    <w:rsid w:val="004F50F6"/>
    <w:rsid w:val="004F561B"/>
    <w:rsid w:val="004F779D"/>
    <w:rsid w:val="00502260"/>
    <w:rsid w:val="005058E5"/>
    <w:rsid w:val="00507395"/>
    <w:rsid w:val="005148B6"/>
    <w:rsid w:val="0052527C"/>
    <w:rsid w:val="005319DA"/>
    <w:rsid w:val="0054012B"/>
    <w:rsid w:val="005410F3"/>
    <w:rsid w:val="005421EE"/>
    <w:rsid w:val="00543D5C"/>
    <w:rsid w:val="00547D9C"/>
    <w:rsid w:val="00555BC3"/>
    <w:rsid w:val="00556439"/>
    <w:rsid w:val="0056342C"/>
    <w:rsid w:val="00570B60"/>
    <w:rsid w:val="00572348"/>
    <w:rsid w:val="00590AF5"/>
    <w:rsid w:val="00590E5C"/>
    <w:rsid w:val="005950A5"/>
    <w:rsid w:val="005A7737"/>
    <w:rsid w:val="005B0A75"/>
    <w:rsid w:val="005C0130"/>
    <w:rsid w:val="005C10F1"/>
    <w:rsid w:val="005C6BCF"/>
    <w:rsid w:val="005D30D0"/>
    <w:rsid w:val="005F2C33"/>
    <w:rsid w:val="005F3075"/>
    <w:rsid w:val="006042EB"/>
    <w:rsid w:val="00605FF2"/>
    <w:rsid w:val="006200D7"/>
    <w:rsid w:val="00622855"/>
    <w:rsid w:val="006234C4"/>
    <w:rsid w:val="006243F1"/>
    <w:rsid w:val="00634090"/>
    <w:rsid w:val="00637469"/>
    <w:rsid w:val="00640C74"/>
    <w:rsid w:val="00644566"/>
    <w:rsid w:val="0065037A"/>
    <w:rsid w:val="00655F7A"/>
    <w:rsid w:val="006564CB"/>
    <w:rsid w:val="00656D81"/>
    <w:rsid w:val="00660801"/>
    <w:rsid w:val="00665523"/>
    <w:rsid w:val="00665E02"/>
    <w:rsid w:val="00670C5A"/>
    <w:rsid w:val="00672643"/>
    <w:rsid w:val="0067496C"/>
    <w:rsid w:val="00676CA0"/>
    <w:rsid w:val="006809B1"/>
    <w:rsid w:val="00683ADF"/>
    <w:rsid w:val="006A38BB"/>
    <w:rsid w:val="006A4BCA"/>
    <w:rsid w:val="006A4E80"/>
    <w:rsid w:val="006B1BBD"/>
    <w:rsid w:val="006B3D31"/>
    <w:rsid w:val="006B55A7"/>
    <w:rsid w:val="006B7BF4"/>
    <w:rsid w:val="006D063B"/>
    <w:rsid w:val="006D0E46"/>
    <w:rsid w:val="006E2161"/>
    <w:rsid w:val="006F2856"/>
    <w:rsid w:val="006F637E"/>
    <w:rsid w:val="007017A9"/>
    <w:rsid w:val="00701A9F"/>
    <w:rsid w:val="00704F0D"/>
    <w:rsid w:val="00715A93"/>
    <w:rsid w:val="007172CA"/>
    <w:rsid w:val="00756107"/>
    <w:rsid w:val="00760254"/>
    <w:rsid w:val="007663CA"/>
    <w:rsid w:val="00770C38"/>
    <w:rsid w:val="00774948"/>
    <w:rsid w:val="007853A6"/>
    <w:rsid w:val="00790DE9"/>
    <w:rsid w:val="007A0303"/>
    <w:rsid w:val="007A66B3"/>
    <w:rsid w:val="007B1A36"/>
    <w:rsid w:val="007B1F07"/>
    <w:rsid w:val="007B31F2"/>
    <w:rsid w:val="007B7215"/>
    <w:rsid w:val="007B748C"/>
    <w:rsid w:val="007D31A6"/>
    <w:rsid w:val="007D3EDB"/>
    <w:rsid w:val="007D7D07"/>
    <w:rsid w:val="007F0273"/>
    <w:rsid w:val="007F42A7"/>
    <w:rsid w:val="007F4FCB"/>
    <w:rsid w:val="00800F2A"/>
    <w:rsid w:val="00810F94"/>
    <w:rsid w:val="00811224"/>
    <w:rsid w:val="0082743D"/>
    <w:rsid w:val="008331E7"/>
    <w:rsid w:val="00842FF0"/>
    <w:rsid w:val="00843AA3"/>
    <w:rsid w:val="00851788"/>
    <w:rsid w:val="0086082F"/>
    <w:rsid w:val="008651CD"/>
    <w:rsid w:val="0086712D"/>
    <w:rsid w:val="00870AFE"/>
    <w:rsid w:val="00874204"/>
    <w:rsid w:val="00877022"/>
    <w:rsid w:val="008816E9"/>
    <w:rsid w:val="008A0679"/>
    <w:rsid w:val="008A69BF"/>
    <w:rsid w:val="008A76DC"/>
    <w:rsid w:val="008A79AE"/>
    <w:rsid w:val="008B35A6"/>
    <w:rsid w:val="008B5DC9"/>
    <w:rsid w:val="008B6E85"/>
    <w:rsid w:val="008C56B9"/>
    <w:rsid w:val="008D28D5"/>
    <w:rsid w:val="008D2E7F"/>
    <w:rsid w:val="008D30CE"/>
    <w:rsid w:val="008E6A0D"/>
    <w:rsid w:val="00900889"/>
    <w:rsid w:val="00907874"/>
    <w:rsid w:val="00907E0E"/>
    <w:rsid w:val="009141E8"/>
    <w:rsid w:val="00914CF3"/>
    <w:rsid w:val="0091645A"/>
    <w:rsid w:val="009210FA"/>
    <w:rsid w:val="009345F8"/>
    <w:rsid w:val="00935257"/>
    <w:rsid w:val="009418C1"/>
    <w:rsid w:val="00942260"/>
    <w:rsid w:val="00951EF2"/>
    <w:rsid w:val="0096749C"/>
    <w:rsid w:val="00970B81"/>
    <w:rsid w:val="00975716"/>
    <w:rsid w:val="00977984"/>
    <w:rsid w:val="00984836"/>
    <w:rsid w:val="00985323"/>
    <w:rsid w:val="00985324"/>
    <w:rsid w:val="009875F2"/>
    <w:rsid w:val="00992D0B"/>
    <w:rsid w:val="00996755"/>
    <w:rsid w:val="009A0472"/>
    <w:rsid w:val="009A1A8F"/>
    <w:rsid w:val="009B1598"/>
    <w:rsid w:val="009B7C1C"/>
    <w:rsid w:val="009C7148"/>
    <w:rsid w:val="009F0496"/>
    <w:rsid w:val="009F40BD"/>
    <w:rsid w:val="009F6CD2"/>
    <w:rsid w:val="00A00632"/>
    <w:rsid w:val="00A043CB"/>
    <w:rsid w:val="00A0750D"/>
    <w:rsid w:val="00A10592"/>
    <w:rsid w:val="00A128AD"/>
    <w:rsid w:val="00A12F24"/>
    <w:rsid w:val="00A21028"/>
    <w:rsid w:val="00A2138C"/>
    <w:rsid w:val="00A238EB"/>
    <w:rsid w:val="00A26CEE"/>
    <w:rsid w:val="00A357B6"/>
    <w:rsid w:val="00A45A7B"/>
    <w:rsid w:val="00A475FA"/>
    <w:rsid w:val="00A50AA7"/>
    <w:rsid w:val="00A50E62"/>
    <w:rsid w:val="00A56EBC"/>
    <w:rsid w:val="00A60CD6"/>
    <w:rsid w:val="00A61344"/>
    <w:rsid w:val="00A72BB3"/>
    <w:rsid w:val="00A742B9"/>
    <w:rsid w:val="00A7574A"/>
    <w:rsid w:val="00A77704"/>
    <w:rsid w:val="00A80568"/>
    <w:rsid w:val="00A83084"/>
    <w:rsid w:val="00A95C06"/>
    <w:rsid w:val="00AA3C5B"/>
    <w:rsid w:val="00AA4C7B"/>
    <w:rsid w:val="00AA6CDF"/>
    <w:rsid w:val="00AB3DE9"/>
    <w:rsid w:val="00AB5227"/>
    <w:rsid w:val="00AC0EFC"/>
    <w:rsid w:val="00AE1DD1"/>
    <w:rsid w:val="00AE3C1A"/>
    <w:rsid w:val="00B01BA8"/>
    <w:rsid w:val="00B04517"/>
    <w:rsid w:val="00B07C6C"/>
    <w:rsid w:val="00B11D43"/>
    <w:rsid w:val="00B15D7D"/>
    <w:rsid w:val="00B16016"/>
    <w:rsid w:val="00B5104C"/>
    <w:rsid w:val="00B5750D"/>
    <w:rsid w:val="00B605DE"/>
    <w:rsid w:val="00B706E7"/>
    <w:rsid w:val="00B76E6C"/>
    <w:rsid w:val="00B8059D"/>
    <w:rsid w:val="00B87D76"/>
    <w:rsid w:val="00B9225E"/>
    <w:rsid w:val="00BA5C23"/>
    <w:rsid w:val="00BC0F34"/>
    <w:rsid w:val="00BC52CF"/>
    <w:rsid w:val="00BC683C"/>
    <w:rsid w:val="00BD0319"/>
    <w:rsid w:val="00BD0BBD"/>
    <w:rsid w:val="00BD196C"/>
    <w:rsid w:val="00BE3EFA"/>
    <w:rsid w:val="00BE5CA4"/>
    <w:rsid w:val="00C07DF6"/>
    <w:rsid w:val="00C14365"/>
    <w:rsid w:val="00C17160"/>
    <w:rsid w:val="00C17192"/>
    <w:rsid w:val="00C21CCA"/>
    <w:rsid w:val="00C26388"/>
    <w:rsid w:val="00C302FC"/>
    <w:rsid w:val="00C36B53"/>
    <w:rsid w:val="00C52224"/>
    <w:rsid w:val="00C52794"/>
    <w:rsid w:val="00C553BB"/>
    <w:rsid w:val="00C55CCA"/>
    <w:rsid w:val="00C61949"/>
    <w:rsid w:val="00C678DF"/>
    <w:rsid w:val="00C80D91"/>
    <w:rsid w:val="00C80DF4"/>
    <w:rsid w:val="00C842C1"/>
    <w:rsid w:val="00C84A27"/>
    <w:rsid w:val="00C86D6B"/>
    <w:rsid w:val="00C9185D"/>
    <w:rsid w:val="00C91B5A"/>
    <w:rsid w:val="00CA46BF"/>
    <w:rsid w:val="00CA5181"/>
    <w:rsid w:val="00CB0C47"/>
    <w:rsid w:val="00CB63B6"/>
    <w:rsid w:val="00CC3A24"/>
    <w:rsid w:val="00CC3E3A"/>
    <w:rsid w:val="00CC6B78"/>
    <w:rsid w:val="00CC6CA9"/>
    <w:rsid w:val="00CD4205"/>
    <w:rsid w:val="00CD45F6"/>
    <w:rsid w:val="00CD6A0E"/>
    <w:rsid w:val="00CD7D3C"/>
    <w:rsid w:val="00CE231A"/>
    <w:rsid w:val="00CE73D9"/>
    <w:rsid w:val="00CE76C0"/>
    <w:rsid w:val="00CF129E"/>
    <w:rsid w:val="00CF13AC"/>
    <w:rsid w:val="00D01325"/>
    <w:rsid w:val="00D0344F"/>
    <w:rsid w:val="00D05E2A"/>
    <w:rsid w:val="00D11947"/>
    <w:rsid w:val="00D13D33"/>
    <w:rsid w:val="00D165A4"/>
    <w:rsid w:val="00D20657"/>
    <w:rsid w:val="00D20916"/>
    <w:rsid w:val="00D2246C"/>
    <w:rsid w:val="00D23106"/>
    <w:rsid w:val="00D23588"/>
    <w:rsid w:val="00D2565F"/>
    <w:rsid w:val="00D32641"/>
    <w:rsid w:val="00D34128"/>
    <w:rsid w:val="00D36890"/>
    <w:rsid w:val="00D62469"/>
    <w:rsid w:val="00D670D4"/>
    <w:rsid w:val="00D76F1E"/>
    <w:rsid w:val="00D90229"/>
    <w:rsid w:val="00DA0A42"/>
    <w:rsid w:val="00DA3D25"/>
    <w:rsid w:val="00DB3B47"/>
    <w:rsid w:val="00DB4D3D"/>
    <w:rsid w:val="00DD1607"/>
    <w:rsid w:val="00DD39F3"/>
    <w:rsid w:val="00DD5029"/>
    <w:rsid w:val="00DF51D1"/>
    <w:rsid w:val="00E00441"/>
    <w:rsid w:val="00E02935"/>
    <w:rsid w:val="00E10680"/>
    <w:rsid w:val="00E107C4"/>
    <w:rsid w:val="00E10822"/>
    <w:rsid w:val="00E11381"/>
    <w:rsid w:val="00E14726"/>
    <w:rsid w:val="00E179A5"/>
    <w:rsid w:val="00E2281F"/>
    <w:rsid w:val="00E229AC"/>
    <w:rsid w:val="00E34421"/>
    <w:rsid w:val="00E4086F"/>
    <w:rsid w:val="00E44DF9"/>
    <w:rsid w:val="00E541EE"/>
    <w:rsid w:val="00E56956"/>
    <w:rsid w:val="00E60F03"/>
    <w:rsid w:val="00E6413C"/>
    <w:rsid w:val="00E6550A"/>
    <w:rsid w:val="00E73227"/>
    <w:rsid w:val="00E75FD5"/>
    <w:rsid w:val="00E7623A"/>
    <w:rsid w:val="00E811AA"/>
    <w:rsid w:val="00E90593"/>
    <w:rsid w:val="00E90BC3"/>
    <w:rsid w:val="00E95EB2"/>
    <w:rsid w:val="00EB035E"/>
    <w:rsid w:val="00EC01E7"/>
    <w:rsid w:val="00ED181A"/>
    <w:rsid w:val="00ED4003"/>
    <w:rsid w:val="00ED63A2"/>
    <w:rsid w:val="00ED7D84"/>
    <w:rsid w:val="00EE3758"/>
    <w:rsid w:val="00EE665C"/>
    <w:rsid w:val="00EF07CA"/>
    <w:rsid w:val="00EF6B5E"/>
    <w:rsid w:val="00F031E8"/>
    <w:rsid w:val="00F10A0C"/>
    <w:rsid w:val="00F13649"/>
    <w:rsid w:val="00F16822"/>
    <w:rsid w:val="00F16E30"/>
    <w:rsid w:val="00F202F4"/>
    <w:rsid w:val="00F23172"/>
    <w:rsid w:val="00F24920"/>
    <w:rsid w:val="00F26C08"/>
    <w:rsid w:val="00F26FC5"/>
    <w:rsid w:val="00F30BDE"/>
    <w:rsid w:val="00F313DD"/>
    <w:rsid w:val="00F41EEC"/>
    <w:rsid w:val="00F4564D"/>
    <w:rsid w:val="00F4685E"/>
    <w:rsid w:val="00F665B1"/>
    <w:rsid w:val="00F70F85"/>
    <w:rsid w:val="00F9300E"/>
    <w:rsid w:val="00F93E51"/>
    <w:rsid w:val="00F974C7"/>
    <w:rsid w:val="00FB24A3"/>
    <w:rsid w:val="00FC34A4"/>
    <w:rsid w:val="00FC65F2"/>
    <w:rsid w:val="00FE0829"/>
    <w:rsid w:val="00FE1BB1"/>
    <w:rsid w:val="00FE292E"/>
    <w:rsid w:val="00FE3EB2"/>
    <w:rsid w:val="00FE4087"/>
    <w:rsid w:val="00FE7D3E"/>
    <w:rsid w:val="00FF28F2"/>
    <w:rsid w:val="00FF46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7067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E44DF9"/>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E44DF9"/>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E44DF9"/>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E44DF9"/>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E44DF9"/>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E44DF9"/>
    <w:pPr>
      <w:numPr>
        <w:ilvl w:val="5"/>
        <w:numId w:val="53"/>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44DF9"/>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E44DF9"/>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E44DF9"/>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aliases w:val="MAPAS Car,Evidencias Car,notaria 30 Car,Bullets Car,Francesa Car,Título3 Car,Titulos Car"/>
    <w:link w:val="Sinespaciado"/>
    <w:uiPriority w:val="1"/>
    <w:locked/>
    <w:rsid w:val="00CC3E3A"/>
  </w:style>
  <w:style w:type="paragraph" w:styleId="Sinespaciado">
    <w:name w:val="No Spacing"/>
    <w:aliases w:val="MAPAS,Evidencias,notaria 30,Bullets,Francesa,Título3,Titulos"/>
    <w:link w:val="SinespaciadoCar"/>
    <w:uiPriority w:val="1"/>
    <w:qFormat/>
    <w:rsid w:val="00CC3E3A"/>
    <w:pPr>
      <w:spacing w:after="0" w:line="240" w:lineRule="auto"/>
    </w:pPr>
  </w:style>
  <w:style w:type="character" w:styleId="nfasis">
    <w:name w:val="Emphasis"/>
    <w:basedOn w:val="Fuentedeprrafopredeter"/>
    <w:uiPriority w:val="20"/>
    <w:qFormat/>
    <w:rsid w:val="00715A93"/>
    <w:rPr>
      <w:i/>
      <w:iCs/>
    </w:rPr>
  </w:style>
  <w:style w:type="character" w:styleId="Textoennegrita">
    <w:name w:val="Strong"/>
    <w:basedOn w:val="Fuentedeprrafopredeter"/>
    <w:uiPriority w:val="22"/>
    <w:qFormat/>
    <w:rsid w:val="00715A93"/>
    <w:rPr>
      <w:b/>
      <w:bCs/>
    </w:rPr>
  </w:style>
  <w:style w:type="table" w:styleId="Tablaconcuadrcula">
    <w:name w:val="Table Grid"/>
    <w:basedOn w:val="Tablanormal"/>
    <w:uiPriority w:val="39"/>
    <w:rsid w:val="00B92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32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304E19"/>
    <w:pPr>
      <w:ind w:left="720"/>
      <w:contextualSpacing/>
    </w:pPr>
  </w:style>
  <w:style w:type="table" w:customStyle="1" w:styleId="TableNormal1">
    <w:name w:val="Table Normal1"/>
    <w:uiPriority w:val="2"/>
    <w:semiHidden/>
    <w:unhideWhenUsed/>
    <w:qFormat/>
    <w:rsid w:val="00AA3C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extonotapie1">
    <w:name w:val="Texto nota pie1"/>
    <w:basedOn w:val="Normal"/>
    <w:next w:val="Textonotapie"/>
    <w:link w:val="TextonotapieCar"/>
    <w:uiPriority w:val="99"/>
    <w:unhideWhenUsed/>
    <w:rsid w:val="00A60CD6"/>
    <w:pPr>
      <w:spacing w:after="0" w:line="240" w:lineRule="auto"/>
    </w:pPr>
    <w:rPr>
      <w:sz w:val="20"/>
      <w:szCs w:val="20"/>
    </w:rPr>
  </w:style>
  <w:style w:type="character" w:customStyle="1" w:styleId="TextonotapieCar">
    <w:name w:val="Texto nota pie Car"/>
    <w:basedOn w:val="Fuentedeprrafopredeter"/>
    <w:link w:val="Textonotapie1"/>
    <w:uiPriority w:val="99"/>
    <w:rsid w:val="00A60CD6"/>
    <w:rPr>
      <w:kern w:val="0"/>
      <w:sz w:val="20"/>
      <w:szCs w:val="20"/>
      <w14:ligatures w14:val="none"/>
    </w:rPr>
  </w:style>
  <w:style w:type="character" w:styleId="Refdenotaalpie">
    <w:name w:val="footnote reference"/>
    <w:basedOn w:val="Fuentedeprrafopredeter"/>
    <w:uiPriority w:val="99"/>
    <w:unhideWhenUsed/>
    <w:rsid w:val="00A60CD6"/>
    <w:rPr>
      <w:vertAlign w:val="superscript"/>
    </w:rPr>
  </w:style>
  <w:style w:type="character" w:customStyle="1" w:styleId="Hipervnculo1">
    <w:name w:val="Hipervínculo1"/>
    <w:basedOn w:val="Fuentedeprrafopredeter"/>
    <w:uiPriority w:val="99"/>
    <w:unhideWhenUsed/>
    <w:rsid w:val="00A60CD6"/>
    <w:rPr>
      <w:color w:val="467886"/>
      <w:u w:val="single"/>
    </w:rPr>
  </w:style>
  <w:style w:type="table" w:customStyle="1" w:styleId="Tablaconcuadrcula1">
    <w:name w:val="Tabla con cuadrícula1"/>
    <w:basedOn w:val="Tablanormal"/>
    <w:next w:val="Tablaconcuadrcula"/>
    <w:uiPriority w:val="39"/>
    <w:rsid w:val="00A60CD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1"/>
    <w:uiPriority w:val="99"/>
    <w:semiHidden/>
    <w:unhideWhenUsed/>
    <w:rsid w:val="00A60CD6"/>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A60CD6"/>
    <w:rPr>
      <w:sz w:val="20"/>
      <w:szCs w:val="20"/>
    </w:rPr>
  </w:style>
  <w:style w:type="character" w:styleId="Hipervnculo">
    <w:name w:val="Hyperlink"/>
    <w:basedOn w:val="Fuentedeprrafopredeter"/>
    <w:uiPriority w:val="99"/>
    <w:semiHidden/>
    <w:unhideWhenUsed/>
    <w:rsid w:val="00A60CD6"/>
    <w:rPr>
      <w:color w:val="0563C1" w:themeColor="hyperlink"/>
      <w:u w:val="single"/>
    </w:rPr>
  </w:style>
  <w:style w:type="table" w:customStyle="1" w:styleId="Tablaconcuadrcula2">
    <w:name w:val="Tabla con cuadrícula2"/>
    <w:basedOn w:val="Tablanormal"/>
    <w:next w:val="Tablaconcuadrcula"/>
    <w:uiPriority w:val="39"/>
    <w:rsid w:val="001B6B3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286B0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4F5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C1436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E44DF9"/>
    <w:pPr>
      <w:keepNext/>
      <w:numPr>
        <w:numId w:val="53"/>
      </w:numPr>
      <w:tabs>
        <w:tab w:val="clear" w:pos="720"/>
      </w:tabs>
      <w:spacing w:before="240" w:after="60" w:line="240" w:lineRule="auto"/>
      <w:ind w:left="398" w:hanging="201"/>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E44DF9"/>
    <w:pPr>
      <w:keepNext/>
      <w:numPr>
        <w:ilvl w:val="1"/>
        <w:numId w:val="53"/>
      </w:numPr>
      <w:tabs>
        <w:tab w:val="clear" w:pos="1440"/>
      </w:tabs>
      <w:spacing w:before="240" w:after="60" w:line="240" w:lineRule="auto"/>
      <w:ind w:left="1332" w:hanging="201"/>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E44DF9"/>
    <w:pPr>
      <w:keepNext/>
      <w:numPr>
        <w:ilvl w:val="2"/>
        <w:numId w:val="53"/>
      </w:numPr>
      <w:tabs>
        <w:tab w:val="clear" w:pos="2160"/>
      </w:tabs>
      <w:spacing w:before="240" w:after="60" w:line="240" w:lineRule="auto"/>
      <w:ind w:left="2264" w:hanging="201"/>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E44DF9"/>
    <w:pPr>
      <w:keepNext/>
      <w:numPr>
        <w:ilvl w:val="3"/>
        <w:numId w:val="53"/>
      </w:numPr>
      <w:tabs>
        <w:tab w:val="clear" w:pos="2880"/>
      </w:tabs>
      <w:spacing w:before="240" w:after="60" w:line="240" w:lineRule="auto"/>
      <w:ind w:left="3196" w:hanging="201"/>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E44DF9"/>
    <w:pPr>
      <w:numPr>
        <w:ilvl w:val="4"/>
        <w:numId w:val="53"/>
      </w:numPr>
      <w:tabs>
        <w:tab w:val="clear" w:pos="3600"/>
      </w:tabs>
      <w:spacing w:before="240" w:after="60" w:line="240" w:lineRule="auto"/>
      <w:ind w:left="4128" w:hanging="201"/>
      <w:outlineLvl w:val="4"/>
    </w:pPr>
    <w:rPr>
      <w:rFonts w:eastAsia="Times New Roman"/>
      <w:b/>
      <w:bCs/>
      <w:i/>
      <w:iCs/>
      <w:sz w:val="26"/>
      <w:szCs w:val="26"/>
      <w:lang w:val="en-US"/>
    </w:rPr>
  </w:style>
  <w:style w:type="character" w:customStyle="1" w:styleId="Ttulo6Car">
    <w:name w:val="Título 6 Car"/>
    <w:basedOn w:val="Fuentedeprrafopredeter"/>
    <w:link w:val="Ttulo6"/>
    <w:rsid w:val="00E44DF9"/>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E44DF9"/>
    <w:pPr>
      <w:numPr>
        <w:ilvl w:val="6"/>
        <w:numId w:val="53"/>
      </w:numPr>
      <w:tabs>
        <w:tab w:val="clear" w:pos="5040"/>
      </w:tabs>
      <w:spacing w:before="240" w:after="60" w:line="240" w:lineRule="auto"/>
      <w:ind w:left="5992" w:hanging="201"/>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E44DF9"/>
    <w:pPr>
      <w:numPr>
        <w:ilvl w:val="7"/>
        <w:numId w:val="53"/>
      </w:numPr>
      <w:tabs>
        <w:tab w:val="clear" w:pos="5760"/>
      </w:tabs>
      <w:spacing w:before="240" w:after="60" w:line="240" w:lineRule="auto"/>
      <w:ind w:left="6924" w:hanging="201"/>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E44DF9"/>
    <w:pPr>
      <w:numPr>
        <w:ilvl w:val="8"/>
        <w:numId w:val="53"/>
      </w:numPr>
      <w:tabs>
        <w:tab w:val="clear" w:pos="6480"/>
      </w:tabs>
      <w:spacing w:before="240" w:after="60" w:line="240" w:lineRule="auto"/>
      <w:ind w:left="7856" w:hanging="201"/>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E44DF9"/>
  </w:style>
  <w:style w:type="character" w:customStyle="1" w:styleId="Ttulo1Car">
    <w:name w:val="Título 1 Car"/>
    <w:basedOn w:val="Fuentedeprrafopredeter"/>
    <w:link w:val="Ttulo1"/>
    <w:uiPriority w:val="9"/>
    <w:rsid w:val="00E44DF9"/>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E44DF9"/>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E44DF9"/>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E44DF9"/>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E44DF9"/>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E44DF9"/>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E44DF9"/>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E44DF9"/>
    <w:rPr>
      <w:rFonts w:ascii="Cambria" w:eastAsia="Times New Roman" w:hAnsi="Cambria" w:cs="Times New Roman"/>
      <w:sz w:val="22"/>
      <w:szCs w:val="22"/>
    </w:rPr>
  </w:style>
  <w:style w:type="character" w:customStyle="1" w:styleId="Ttulo1Car1">
    <w:name w:val="Título 1 Car1"/>
    <w:basedOn w:val="Fuentedeprrafopredeter"/>
    <w:link w:val="Ttulo1"/>
    <w:uiPriority w:val="9"/>
    <w:rsid w:val="00E44DF9"/>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link w:val="Ttulo2"/>
    <w:uiPriority w:val="9"/>
    <w:semiHidden/>
    <w:rsid w:val="00E44DF9"/>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link w:val="Ttulo3"/>
    <w:uiPriority w:val="9"/>
    <w:semiHidden/>
    <w:rsid w:val="00E44DF9"/>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link w:val="Ttulo4"/>
    <w:uiPriority w:val="9"/>
    <w:semiHidden/>
    <w:rsid w:val="00E44DF9"/>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link w:val="Ttulo5"/>
    <w:uiPriority w:val="9"/>
    <w:semiHidden/>
    <w:rsid w:val="00E44DF9"/>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link w:val="Ttulo7"/>
    <w:uiPriority w:val="9"/>
    <w:semiHidden/>
    <w:rsid w:val="00E44DF9"/>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link w:val="Ttulo8"/>
    <w:uiPriority w:val="9"/>
    <w:semiHidden/>
    <w:rsid w:val="00E44DF9"/>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E44DF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0636">
      <w:bodyDiv w:val="1"/>
      <w:marLeft w:val="0"/>
      <w:marRight w:val="0"/>
      <w:marTop w:val="0"/>
      <w:marBottom w:val="0"/>
      <w:divBdr>
        <w:top w:val="none" w:sz="0" w:space="0" w:color="auto"/>
        <w:left w:val="none" w:sz="0" w:space="0" w:color="auto"/>
        <w:bottom w:val="none" w:sz="0" w:space="0" w:color="auto"/>
        <w:right w:val="none" w:sz="0" w:space="0" w:color="auto"/>
      </w:divBdr>
    </w:div>
    <w:div w:id="104273125">
      <w:bodyDiv w:val="1"/>
      <w:marLeft w:val="0"/>
      <w:marRight w:val="0"/>
      <w:marTop w:val="0"/>
      <w:marBottom w:val="0"/>
      <w:divBdr>
        <w:top w:val="none" w:sz="0" w:space="0" w:color="auto"/>
        <w:left w:val="none" w:sz="0" w:space="0" w:color="auto"/>
        <w:bottom w:val="none" w:sz="0" w:space="0" w:color="auto"/>
        <w:right w:val="none" w:sz="0" w:space="0" w:color="auto"/>
      </w:divBdr>
    </w:div>
    <w:div w:id="134959560">
      <w:bodyDiv w:val="1"/>
      <w:marLeft w:val="0"/>
      <w:marRight w:val="0"/>
      <w:marTop w:val="0"/>
      <w:marBottom w:val="0"/>
      <w:divBdr>
        <w:top w:val="none" w:sz="0" w:space="0" w:color="auto"/>
        <w:left w:val="none" w:sz="0" w:space="0" w:color="auto"/>
        <w:bottom w:val="none" w:sz="0" w:space="0" w:color="auto"/>
        <w:right w:val="none" w:sz="0" w:space="0" w:color="auto"/>
      </w:divBdr>
    </w:div>
    <w:div w:id="184291621">
      <w:bodyDiv w:val="1"/>
      <w:marLeft w:val="0"/>
      <w:marRight w:val="0"/>
      <w:marTop w:val="0"/>
      <w:marBottom w:val="0"/>
      <w:divBdr>
        <w:top w:val="none" w:sz="0" w:space="0" w:color="auto"/>
        <w:left w:val="none" w:sz="0" w:space="0" w:color="auto"/>
        <w:bottom w:val="none" w:sz="0" w:space="0" w:color="auto"/>
        <w:right w:val="none" w:sz="0" w:space="0" w:color="auto"/>
      </w:divBdr>
    </w:div>
    <w:div w:id="224612241">
      <w:bodyDiv w:val="1"/>
      <w:marLeft w:val="0"/>
      <w:marRight w:val="0"/>
      <w:marTop w:val="0"/>
      <w:marBottom w:val="0"/>
      <w:divBdr>
        <w:top w:val="none" w:sz="0" w:space="0" w:color="auto"/>
        <w:left w:val="none" w:sz="0" w:space="0" w:color="auto"/>
        <w:bottom w:val="none" w:sz="0" w:space="0" w:color="auto"/>
        <w:right w:val="none" w:sz="0" w:space="0" w:color="auto"/>
      </w:divBdr>
    </w:div>
    <w:div w:id="28280905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4551301">
      <w:bodyDiv w:val="1"/>
      <w:marLeft w:val="0"/>
      <w:marRight w:val="0"/>
      <w:marTop w:val="0"/>
      <w:marBottom w:val="0"/>
      <w:divBdr>
        <w:top w:val="none" w:sz="0" w:space="0" w:color="auto"/>
        <w:left w:val="none" w:sz="0" w:space="0" w:color="auto"/>
        <w:bottom w:val="none" w:sz="0" w:space="0" w:color="auto"/>
        <w:right w:val="none" w:sz="0" w:space="0" w:color="auto"/>
      </w:divBdr>
    </w:div>
    <w:div w:id="345178435">
      <w:bodyDiv w:val="1"/>
      <w:marLeft w:val="0"/>
      <w:marRight w:val="0"/>
      <w:marTop w:val="0"/>
      <w:marBottom w:val="0"/>
      <w:divBdr>
        <w:top w:val="none" w:sz="0" w:space="0" w:color="auto"/>
        <w:left w:val="none" w:sz="0" w:space="0" w:color="auto"/>
        <w:bottom w:val="none" w:sz="0" w:space="0" w:color="auto"/>
        <w:right w:val="none" w:sz="0" w:space="0" w:color="auto"/>
      </w:divBdr>
    </w:div>
    <w:div w:id="361201314">
      <w:bodyDiv w:val="1"/>
      <w:marLeft w:val="0"/>
      <w:marRight w:val="0"/>
      <w:marTop w:val="0"/>
      <w:marBottom w:val="0"/>
      <w:divBdr>
        <w:top w:val="none" w:sz="0" w:space="0" w:color="auto"/>
        <w:left w:val="none" w:sz="0" w:space="0" w:color="auto"/>
        <w:bottom w:val="none" w:sz="0" w:space="0" w:color="auto"/>
        <w:right w:val="none" w:sz="0" w:space="0" w:color="auto"/>
      </w:divBdr>
    </w:div>
    <w:div w:id="381103727">
      <w:bodyDiv w:val="1"/>
      <w:marLeft w:val="0"/>
      <w:marRight w:val="0"/>
      <w:marTop w:val="0"/>
      <w:marBottom w:val="0"/>
      <w:divBdr>
        <w:top w:val="none" w:sz="0" w:space="0" w:color="auto"/>
        <w:left w:val="none" w:sz="0" w:space="0" w:color="auto"/>
        <w:bottom w:val="none" w:sz="0" w:space="0" w:color="auto"/>
        <w:right w:val="none" w:sz="0" w:space="0" w:color="auto"/>
      </w:divBdr>
    </w:div>
    <w:div w:id="418405180">
      <w:bodyDiv w:val="1"/>
      <w:marLeft w:val="0"/>
      <w:marRight w:val="0"/>
      <w:marTop w:val="0"/>
      <w:marBottom w:val="0"/>
      <w:divBdr>
        <w:top w:val="none" w:sz="0" w:space="0" w:color="auto"/>
        <w:left w:val="none" w:sz="0" w:space="0" w:color="auto"/>
        <w:bottom w:val="none" w:sz="0" w:space="0" w:color="auto"/>
        <w:right w:val="none" w:sz="0" w:space="0" w:color="auto"/>
      </w:divBdr>
    </w:div>
    <w:div w:id="510417661">
      <w:bodyDiv w:val="1"/>
      <w:marLeft w:val="0"/>
      <w:marRight w:val="0"/>
      <w:marTop w:val="0"/>
      <w:marBottom w:val="0"/>
      <w:divBdr>
        <w:top w:val="none" w:sz="0" w:space="0" w:color="auto"/>
        <w:left w:val="none" w:sz="0" w:space="0" w:color="auto"/>
        <w:bottom w:val="none" w:sz="0" w:space="0" w:color="auto"/>
        <w:right w:val="none" w:sz="0" w:space="0" w:color="auto"/>
      </w:divBdr>
    </w:div>
    <w:div w:id="538472383">
      <w:bodyDiv w:val="1"/>
      <w:marLeft w:val="0"/>
      <w:marRight w:val="0"/>
      <w:marTop w:val="0"/>
      <w:marBottom w:val="0"/>
      <w:divBdr>
        <w:top w:val="none" w:sz="0" w:space="0" w:color="auto"/>
        <w:left w:val="none" w:sz="0" w:space="0" w:color="auto"/>
        <w:bottom w:val="none" w:sz="0" w:space="0" w:color="auto"/>
        <w:right w:val="none" w:sz="0" w:space="0" w:color="auto"/>
      </w:divBdr>
    </w:div>
    <w:div w:id="591403449">
      <w:bodyDiv w:val="1"/>
      <w:marLeft w:val="0"/>
      <w:marRight w:val="0"/>
      <w:marTop w:val="0"/>
      <w:marBottom w:val="0"/>
      <w:divBdr>
        <w:top w:val="none" w:sz="0" w:space="0" w:color="auto"/>
        <w:left w:val="none" w:sz="0" w:space="0" w:color="auto"/>
        <w:bottom w:val="none" w:sz="0" w:space="0" w:color="auto"/>
        <w:right w:val="none" w:sz="0" w:space="0" w:color="auto"/>
      </w:divBdr>
    </w:div>
    <w:div w:id="626544042">
      <w:bodyDiv w:val="1"/>
      <w:marLeft w:val="0"/>
      <w:marRight w:val="0"/>
      <w:marTop w:val="0"/>
      <w:marBottom w:val="0"/>
      <w:divBdr>
        <w:top w:val="none" w:sz="0" w:space="0" w:color="auto"/>
        <w:left w:val="none" w:sz="0" w:space="0" w:color="auto"/>
        <w:bottom w:val="none" w:sz="0" w:space="0" w:color="auto"/>
        <w:right w:val="none" w:sz="0" w:space="0" w:color="auto"/>
      </w:divBdr>
    </w:div>
    <w:div w:id="645864382">
      <w:bodyDiv w:val="1"/>
      <w:marLeft w:val="0"/>
      <w:marRight w:val="0"/>
      <w:marTop w:val="0"/>
      <w:marBottom w:val="0"/>
      <w:divBdr>
        <w:top w:val="none" w:sz="0" w:space="0" w:color="auto"/>
        <w:left w:val="none" w:sz="0" w:space="0" w:color="auto"/>
        <w:bottom w:val="none" w:sz="0" w:space="0" w:color="auto"/>
        <w:right w:val="none" w:sz="0" w:space="0" w:color="auto"/>
      </w:divBdr>
    </w:div>
    <w:div w:id="664012233">
      <w:bodyDiv w:val="1"/>
      <w:marLeft w:val="0"/>
      <w:marRight w:val="0"/>
      <w:marTop w:val="0"/>
      <w:marBottom w:val="0"/>
      <w:divBdr>
        <w:top w:val="none" w:sz="0" w:space="0" w:color="auto"/>
        <w:left w:val="none" w:sz="0" w:space="0" w:color="auto"/>
        <w:bottom w:val="none" w:sz="0" w:space="0" w:color="auto"/>
        <w:right w:val="none" w:sz="0" w:space="0" w:color="auto"/>
      </w:divBdr>
    </w:div>
    <w:div w:id="675426778">
      <w:bodyDiv w:val="1"/>
      <w:marLeft w:val="0"/>
      <w:marRight w:val="0"/>
      <w:marTop w:val="0"/>
      <w:marBottom w:val="0"/>
      <w:divBdr>
        <w:top w:val="none" w:sz="0" w:space="0" w:color="auto"/>
        <w:left w:val="none" w:sz="0" w:space="0" w:color="auto"/>
        <w:bottom w:val="none" w:sz="0" w:space="0" w:color="auto"/>
        <w:right w:val="none" w:sz="0" w:space="0" w:color="auto"/>
      </w:divBdr>
    </w:div>
    <w:div w:id="683826075">
      <w:bodyDiv w:val="1"/>
      <w:marLeft w:val="0"/>
      <w:marRight w:val="0"/>
      <w:marTop w:val="0"/>
      <w:marBottom w:val="0"/>
      <w:divBdr>
        <w:top w:val="none" w:sz="0" w:space="0" w:color="auto"/>
        <w:left w:val="none" w:sz="0" w:space="0" w:color="auto"/>
        <w:bottom w:val="none" w:sz="0" w:space="0" w:color="auto"/>
        <w:right w:val="none" w:sz="0" w:space="0" w:color="auto"/>
      </w:divBdr>
    </w:div>
    <w:div w:id="774717099">
      <w:bodyDiv w:val="1"/>
      <w:marLeft w:val="0"/>
      <w:marRight w:val="0"/>
      <w:marTop w:val="0"/>
      <w:marBottom w:val="0"/>
      <w:divBdr>
        <w:top w:val="none" w:sz="0" w:space="0" w:color="auto"/>
        <w:left w:val="none" w:sz="0" w:space="0" w:color="auto"/>
        <w:bottom w:val="none" w:sz="0" w:space="0" w:color="auto"/>
        <w:right w:val="none" w:sz="0" w:space="0" w:color="auto"/>
      </w:divBdr>
    </w:div>
    <w:div w:id="843592786">
      <w:bodyDiv w:val="1"/>
      <w:marLeft w:val="0"/>
      <w:marRight w:val="0"/>
      <w:marTop w:val="0"/>
      <w:marBottom w:val="0"/>
      <w:divBdr>
        <w:top w:val="none" w:sz="0" w:space="0" w:color="auto"/>
        <w:left w:val="none" w:sz="0" w:space="0" w:color="auto"/>
        <w:bottom w:val="none" w:sz="0" w:space="0" w:color="auto"/>
        <w:right w:val="none" w:sz="0" w:space="0" w:color="auto"/>
      </w:divBdr>
    </w:div>
    <w:div w:id="867911003">
      <w:bodyDiv w:val="1"/>
      <w:marLeft w:val="0"/>
      <w:marRight w:val="0"/>
      <w:marTop w:val="0"/>
      <w:marBottom w:val="0"/>
      <w:divBdr>
        <w:top w:val="none" w:sz="0" w:space="0" w:color="auto"/>
        <w:left w:val="none" w:sz="0" w:space="0" w:color="auto"/>
        <w:bottom w:val="none" w:sz="0" w:space="0" w:color="auto"/>
        <w:right w:val="none" w:sz="0" w:space="0" w:color="auto"/>
      </w:divBdr>
    </w:div>
    <w:div w:id="908463991">
      <w:bodyDiv w:val="1"/>
      <w:marLeft w:val="0"/>
      <w:marRight w:val="0"/>
      <w:marTop w:val="0"/>
      <w:marBottom w:val="0"/>
      <w:divBdr>
        <w:top w:val="none" w:sz="0" w:space="0" w:color="auto"/>
        <w:left w:val="none" w:sz="0" w:space="0" w:color="auto"/>
        <w:bottom w:val="none" w:sz="0" w:space="0" w:color="auto"/>
        <w:right w:val="none" w:sz="0" w:space="0" w:color="auto"/>
      </w:divBdr>
    </w:div>
    <w:div w:id="908922996">
      <w:bodyDiv w:val="1"/>
      <w:marLeft w:val="0"/>
      <w:marRight w:val="0"/>
      <w:marTop w:val="0"/>
      <w:marBottom w:val="0"/>
      <w:divBdr>
        <w:top w:val="none" w:sz="0" w:space="0" w:color="auto"/>
        <w:left w:val="none" w:sz="0" w:space="0" w:color="auto"/>
        <w:bottom w:val="none" w:sz="0" w:space="0" w:color="auto"/>
        <w:right w:val="none" w:sz="0" w:space="0" w:color="auto"/>
      </w:divBdr>
    </w:div>
    <w:div w:id="916329966">
      <w:bodyDiv w:val="1"/>
      <w:marLeft w:val="0"/>
      <w:marRight w:val="0"/>
      <w:marTop w:val="0"/>
      <w:marBottom w:val="0"/>
      <w:divBdr>
        <w:top w:val="none" w:sz="0" w:space="0" w:color="auto"/>
        <w:left w:val="none" w:sz="0" w:space="0" w:color="auto"/>
        <w:bottom w:val="none" w:sz="0" w:space="0" w:color="auto"/>
        <w:right w:val="none" w:sz="0" w:space="0" w:color="auto"/>
      </w:divBdr>
    </w:div>
    <w:div w:id="919022135">
      <w:bodyDiv w:val="1"/>
      <w:marLeft w:val="0"/>
      <w:marRight w:val="0"/>
      <w:marTop w:val="0"/>
      <w:marBottom w:val="0"/>
      <w:divBdr>
        <w:top w:val="none" w:sz="0" w:space="0" w:color="auto"/>
        <w:left w:val="none" w:sz="0" w:space="0" w:color="auto"/>
        <w:bottom w:val="none" w:sz="0" w:space="0" w:color="auto"/>
        <w:right w:val="none" w:sz="0" w:space="0" w:color="auto"/>
      </w:divBdr>
    </w:div>
    <w:div w:id="1011298240">
      <w:bodyDiv w:val="1"/>
      <w:marLeft w:val="0"/>
      <w:marRight w:val="0"/>
      <w:marTop w:val="0"/>
      <w:marBottom w:val="0"/>
      <w:divBdr>
        <w:top w:val="none" w:sz="0" w:space="0" w:color="auto"/>
        <w:left w:val="none" w:sz="0" w:space="0" w:color="auto"/>
        <w:bottom w:val="none" w:sz="0" w:space="0" w:color="auto"/>
        <w:right w:val="none" w:sz="0" w:space="0" w:color="auto"/>
      </w:divBdr>
    </w:div>
    <w:div w:id="1023048227">
      <w:bodyDiv w:val="1"/>
      <w:marLeft w:val="0"/>
      <w:marRight w:val="0"/>
      <w:marTop w:val="0"/>
      <w:marBottom w:val="0"/>
      <w:divBdr>
        <w:top w:val="none" w:sz="0" w:space="0" w:color="auto"/>
        <w:left w:val="none" w:sz="0" w:space="0" w:color="auto"/>
        <w:bottom w:val="none" w:sz="0" w:space="0" w:color="auto"/>
        <w:right w:val="none" w:sz="0" w:space="0" w:color="auto"/>
      </w:divBdr>
    </w:div>
    <w:div w:id="1255821016">
      <w:bodyDiv w:val="1"/>
      <w:marLeft w:val="0"/>
      <w:marRight w:val="0"/>
      <w:marTop w:val="0"/>
      <w:marBottom w:val="0"/>
      <w:divBdr>
        <w:top w:val="none" w:sz="0" w:space="0" w:color="auto"/>
        <w:left w:val="none" w:sz="0" w:space="0" w:color="auto"/>
        <w:bottom w:val="none" w:sz="0" w:space="0" w:color="auto"/>
        <w:right w:val="none" w:sz="0" w:space="0" w:color="auto"/>
      </w:divBdr>
    </w:div>
    <w:div w:id="1282614147">
      <w:bodyDiv w:val="1"/>
      <w:marLeft w:val="0"/>
      <w:marRight w:val="0"/>
      <w:marTop w:val="0"/>
      <w:marBottom w:val="0"/>
      <w:divBdr>
        <w:top w:val="none" w:sz="0" w:space="0" w:color="auto"/>
        <w:left w:val="none" w:sz="0" w:space="0" w:color="auto"/>
        <w:bottom w:val="none" w:sz="0" w:space="0" w:color="auto"/>
        <w:right w:val="none" w:sz="0" w:space="0" w:color="auto"/>
      </w:divBdr>
    </w:div>
    <w:div w:id="1334338166">
      <w:bodyDiv w:val="1"/>
      <w:marLeft w:val="0"/>
      <w:marRight w:val="0"/>
      <w:marTop w:val="0"/>
      <w:marBottom w:val="0"/>
      <w:divBdr>
        <w:top w:val="none" w:sz="0" w:space="0" w:color="auto"/>
        <w:left w:val="none" w:sz="0" w:space="0" w:color="auto"/>
        <w:bottom w:val="none" w:sz="0" w:space="0" w:color="auto"/>
        <w:right w:val="none" w:sz="0" w:space="0" w:color="auto"/>
      </w:divBdr>
    </w:div>
    <w:div w:id="1371346710">
      <w:bodyDiv w:val="1"/>
      <w:marLeft w:val="0"/>
      <w:marRight w:val="0"/>
      <w:marTop w:val="0"/>
      <w:marBottom w:val="0"/>
      <w:divBdr>
        <w:top w:val="none" w:sz="0" w:space="0" w:color="auto"/>
        <w:left w:val="none" w:sz="0" w:space="0" w:color="auto"/>
        <w:bottom w:val="none" w:sz="0" w:space="0" w:color="auto"/>
        <w:right w:val="none" w:sz="0" w:space="0" w:color="auto"/>
      </w:divBdr>
    </w:div>
    <w:div w:id="1380130279">
      <w:bodyDiv w:val="1"/>
      <w:marLeft w:val="0"/>
      <w:marRight w:val="0"/>
      <w:marTop w:val="0"/>
      <w:marBottom w:val="0"/>
      <w:divBdr>
        <w:top w:val="none" w:sz="0" w:space="0" w:color="auto"/>
        <w:left w:val="none" w:sz="0" w:space="0" w:color="auto"/>
        <w:bottom w:val="none" w:sz="0" w:space="0" w:color="auto"/>
        <w:right w:val="none" w:sz="0" w:space="0" w:color="auto"/>
      </w:divBdr>
    </w:div>
    <w:div w:id="1391616579">
      <w:bodyDiv w:val="1"/>
      <w:marLeft w:val="0"/>
      <w:marRight w:val="0"/>
      <w:marTop w:val="0"/>
      <w:marBottom w:val="0"/>
      <w:divBdr>
        <w:top w:val="none" w:sz="0" w:space="0" w:color="auto"/>
        <w:left w:val="none" w:sz="0" w:space="0" w:color="auto"/>
        <w:bottom w:val="none" w:sz="0" w:space="0" w:color="auto"/>
        <w:right w:val="none" w:sz="0" w:space="0" w:color="auto"/>
      </w:divBdr>
    </w:div>
    <w:div w:id="1442535255">
      <w:bodyDiv w:val="1"/>
      <w:marLeft w:val="0"/>
      <w:marRight w:val="0"/>
      <w:marTop w:val="0"/>
      <w:marBottom w:val="0"/>
      <w:divBdr>
        <w:top w:val="none" w:sz="0" w:space="0" w:color="auto"/>
        <w:left w:val="none" w:sz="0" w:space="0" w:color="auto"/>
        <w:bottom w:val="none" w:sz="0" w:space="0" w:color="auto"/>
        <w:right w:val="none" w:sz="0" w:space="0" w:color="auto"/>
      </w:divBdr>
    </w:div>
    <w:div w:id="1467163288">
      <w:bodyDiv w:val="1"/>
      <w:marLeft w:val="0"/>
      <w:marRight w:val="0"/>
      <w:marTop w:val="0"/>
      <w:marBottom w:val="0"/>
      <w:divBdr>
        <w:top w:val="none" w:sz="0" w:space="0" w:color="auto"/>
        <w:left w:val="none" w:sz="0" w:space="0" w:color="auto"/>
        <w:bottom w:val="none" w:sz="0" w:space="0" w:color="auto"/>
        <w:right w:val="none" w:sz="0" w:space="0" w:color="auto"/>
      </w:divBdr>
    </w:div>
    <w:div w:id="1478374599">
      <w:bodyDiv w:val="1"/>
      <w:marLeft w:val="0"/>
      <w:marRight w:val="0"/>
      <w:marTop w:val="0"/>
      <w:marBottom w:val="0"/>
      <w:divBdr>
        <w:top w:val="none" w:sz="0" w:space="0" w:color="auto"/>
        <w:left w:val="none" w:sz="0" w:space="0" w:color="auto"/>
        <w:bottom w:val="none" w:sz="0" w:space="0" w:color="auto"/>
        <w:right w:val="none" w:sz="0" w:space="0" w:color="auto"/>
      </w:divBdr>
    </w:div>
    <w:div w:id="1491484297">
      <w:bodyDiv w:val="1"/>
      <w:marLeft w:val="0"/>
      <w:marRight w:val="0"/>
      <w:marTop w:val="0"/>
      <w:marBottom w:val="0"/>
      <w:divBdr>
        <w:top w:val="none" w:sz="0" w:space="0" w:color="auto"/>
        <w:left w:val="none" w:sz="0" w:space="0" w:color="auto"/>
        <w:bottom w:val="none" w:sz="0" w:space="0" w:color="auto"/>
        <w:right w:val="none" w:sz="0" w:space="0" w:color="auto"/>
      </w:divBdr>
    </w:div>
    <w:div w:id="1590503881">
      <w:bodyDiv w:val="1"/>
      <w:marLeft w:val="0"/>
      <w:marRight w:val="0"/>
      <w:marTop w:val="0"/>
      <w:marBottom w:val="0"/>
      <w:divBdr>
        <w:top w:val="none" w:sz="0" w:space="0" w:color="auto"/>
        <w:left w:val="none" w:sz="0" w:space="0" w:color="auto"/>
        <w:bottom w:val="none" w:sz="0" w:space="0" w:color="auto"/>
        <w:right w:val="none" w:sz="0" w:space="0" w:color="auto"/>
      </w:divBdr>
    </w:div>
    <w:div w:id="1603607918">
      <w:bodyDiv w:val="1"/>
      <w:marLeft w:val="0"/>
      <w:marRight w:val="0"/>
      <w:marTop w:val="0"/>
      <w:marBottom w:val="0"/>
      <w:divBdr>
        <w:top w:val="none" w:sz="0" w:space="0" w:color="auto"/>
        <w:left w:val="none" w:sz="0" w:space="0" w:color="auto"/>
        <w:bottom w:val="none" w:sz="0" w:space="0" w:color="auto"/>
        <w:right w:val="none" w:sz="0" w:space="0" w:color="auto"/>
      </w:divBdr>
    </w:div>
    <w:div w:id="1706906322">
      <w:bodyDiv w:val="1"/>
      <w:marLeft w:val="0"/>
      <w:marRight w:val="0"/>
      <w:marTop w:val="0"/>
      <w:marBottom w:val="0"/>
      <w:divBdr>
        <w:top w:val="none" w:sz="0" w:space="0" w:color="auto"/>
        <w:left w:val="none" w:sz="0" w:space="0" w:color="auto"/>
        <w:bottom w:val="none" w:sz="0" w:space="0" w:color="auto"/>
        <w:right w:val="none" w:sz="0" w:space="0" w:color="auto"/>
      </w:divBdr>
    </w:div>
    <w:div w:id="1708992859">
      <w:bodyDiv w:val="1"/>
      <w:marLeft w:val="0"/>
      <w:marRight w:val="0"/>
      <w:marTop w:val="0"/>
      <w:marBottom w:val="0"/>
      <w:divBdr>
        <w:top w:val="none" w:sz="0" w:space="0" w:color="auto"/>
        <w:left w:val="none" w:sz="0" w:space="0" w:color="auto"/>
        <w:bottom w:val="none" w:sz="0" w:space="0" w:color="auto"/>
        <w:right w:val="none" w:sz="0" w:space="0" w:color="auto"/>
      </w:divBdr>
    </w:div>
    <w:div w:id="1715618594">
      <w:bodyDiv w:val="1"/>
      <w:marLeft w:val="0"/>
      <w:marRight w:val="0"/>
      <w:marTop w:val="0"/>
      <w:marBottom w:val="0"/>
      <w:divBdr>
        <w:top w:val="none" w:sz="0" w:space="0" w:color="auto"/>
        <w:left w:val="none" w:sz="0" w:space="0" w:color="auto"/>
        <w:bottom w:val="none" w:sz="0" w:space="0" w:color="auto"/>
        <w:right w:val="none" w:sz="0" w:space="0" w:color="auto"/>
      </w:divBdr>
    </w:div>
    <w:div w:id="1723672671">
      <w:bodyDiv w:val="1"/>
      <w:marLeft w:val="0"/>
      <w:marRight w:val="0"/>
      <w:marTop w:val="0"/>
      <w:marBottom w:val="0"/>
      <w:divBdr>
        <w:top w:val="none" w:sz="0" w:space="0" w:color="auto"/>
        <w:left w:val="none" w:sz="0" w:space="0" w:color="auto"/>
        <w:bottom w:val="none" w:sz="0" w:space="0" w:color="auto"/>
        <w:right w:val="none" w:sz="0" w:space="0" w:color="auto"/>
      </w:divBdr>
    </w:div>
    <w:div w:id="1735815314">
      <w:bodyDiv w:val="1"/>
      <w:marLeft w:val="0"/>
      <w:marRight w:val="0"/>
      <w:marTop w:val="0"/>
      <w:marBottom w:val="0"/>
      <w:divBdr>
        <w:top w:val="none" w:sz="0" w:space="0" w:color="auto"/>
        <w:left w:val="none" w:sz="0" w:space="0" w:color="auto"/>
        <w:bottom w:val="none" w:sz="0" w:space="0" w:color="auto"/>
        <w:right w:val="none" w:sz="0" w:space="0" w:color="auto"/>
      </w:divBdr>
    </w:div>
    <w:div w:id="1737238182">
      <w:bodyDiv w:val="1"/>
      <w:marLeft w:val="0"/>
      <w:marRight w:val="0"/>
      <w:marTop w:val="0"/>
      <w:marBottom w:val="0"/>
      <w:divBdr>
        <w:top w:val="none" w:sz="0" w:space="0" w:color="auto"/>
        <w:left w:val="none" w:sz="0" w:space="0" w:color="auto"/>
        <w:bottom w:val="none" w:sz="0" w:space="0" w:color="auto"/>
        <w:right w:val="none" w:sz="0" w:space="0" w:color="auto"/>
      </w:divBdr>
    </w:div>
    <w:div w:id="1810592470">
      <w:bodyDiv w:val="1"/>
      <w:marLeft w:val="0"/>
      <w:marRight w:val="0"/>
      <w:marTop w:val="0"/>
      <w:marBottom w:val="0"/>
      <w:divBdr>
        <w:top w:val="none" w:sz="0" w:space="0" w:color="auto"/>
        <w:left w:val="none" w:sz="0" w:space="0" w:color="auto"/>
        <w:bottom w:val="none" w:sz="0" w:space="0" w:color="auto"/>
        <w:right w:val="none" w:sz="0" w:space="0" w:color="auto"/>
      </w:divBdr>
    </w:div>
    <w:div w:id="1904220816">
      <w:bodyDiv w:val="1"/>
      <w:marLeft w:val="0"/>
      <w:marRight w:val="0"/>
      <w:marTop w:val="0"/>
      <w:marBottom w:val="0"/>
      <w:divBdr>
        <w:top w:val="none" w:sz="0" w:space="0" w:color="auto"/>
        <w:left w:val="none" w:sz="0" w:space="0" w:color="auto"/>
        <w:bottom w:val="none" w:sz="0" w:space="0" w:color="auto"/>
        <w:right w:val="none" w:sz="0" w:space="0" w:color="auto"/>
      </w:divBdr>
    </w:div>
    <w:div w:id="1940066578">
      <w:bodyDiv w:val="1"/>
      <w:marLeft w:val="0"/>
      <w:marRight w:val="0"/>
      <w:marTop w:val="0"/>
      <w:marBottom w:val="0"/>
      <w:divBdr>
        <w:top w:val="none" w:sz="0" w:space="0" w:color="auto"/>
        <w:left w:val="none" w:sz="0" w:space="0" w:color="auto"/>
        <w:bottom w:val="none" w:sz="0" w:space="0" w:color="auto"/>
        <w:right w:val="none" w:sz="0" w:space="0" w:color="auto"/>
      </w:divBdr>
    </w:div>
    <w:div w:id="1944461140">
      <w:bodyDiv w:val="1"/>
      <w:marLeft w:val="0"/>
      <w:marRight w:val="0"/>
      <w:marTop w:val="0"/>
      <w:marBottom w:val="0"/>
      <w:divBdr>
        <w:top w:val="none" w:sz="0" w:space="0" w:color="auto"/>
        <w:left w:val="none" w:sz="0" w:space="0" w:color="auto"/>
        <w:bottom w:val="none" w:sz="0" w:space="0" w:color="auto"/>
        <w:right w:val="none" w:sz="0" w:space="0" w:color="auto"/>
      </w:divBdr>
    </w:div>
    <w:div w:id="1984579952">
      <w:bodyDiv w:val="1"/>
      <w:marLeft w:val="0"/>
      <w:marRight w:val="0"/>
      <w:marTop w:val="0"/>
      <w:marBottom w:val="0"/>
      <w:divBdr>
        <w:top w:val="none" w:sz="0" w:space="0" w:color="auto"/>
        <w:left w:val="none" w:sz="0" w:space="0" w:color="auto"/>
        <w:bottom w:val="none" w:sz="0" w:space="0" w:color="auto"/>
        <w:right w:val="none" w:sz="0" w:space="0" w:color="auto"/>
      </w:divBdr>
    </w:div>
    <w:div w:id="1998260772">
      <w:bodyDiv w:val="1"/>
      <w:marLeft w:val="0"/>
      <w:marRight w:val="0"/>
      <w:marTop w:val="0"/>
      <w:marBottom w:val="0"/>
      <w:divBdr>
        <w:top w:val="none" w:sz="0" w:space="0" w:color="auto"/>
        <w:left w:val="none" w:sz="0" w:space="0" w:color="auto"/>
        <w:bottom w:val="none" w:sz="0" w:space="0" w:color="auto"/>
        <w:right w:val="none" w:sz="0" w:space="0" w:color="auto"/>
      </w:divBdr>
    </w:div>
    <w:div w:id="2004701318">
      <w:bodyDiv w:val="1"/>
      <w:marLeft w:val="0"/>
      <w:marRight w:val="0"/>
      <w:marTop w:val="0"/>
      <w:marBottom w:val="0"/>
      <w:divBdr>
        <w:top w:val="none" w:sz="0" w:space="0" w:color="auto"/>
        <w:left w:val="none" w:sz="0" w:space="0" w:color="auto"/>
        <w:bottom w:val="none" w:sz="0" w:space="0" w:color="auto"/>
        <w:right w:val="none" w:sz="0" w:space="0" w:color="auto"/>
      </w:divBdr>
    </w:div>
    <w:div w:id="2067953840">
      <w:bodyDiv w:val="1"/>
      <w:marLeft w:val="0"/>
      <w:marRight w:val="0"/>
      <w:marTop w:val="0"/>
      <w:marBottom w:val="0"/>
      <w:divBdr>
        <w:top w:val="none" w:sz="0" w:space="0" w:color="auto"/>
        <w:left w:val="none" w:sz="0" w:space="0" w:color="auto"/>
        <w:bottom w:val="none" w:sz="0" w:space="0" w:color="auto"/>
        <w:right w:val="none" w:sz="0" w:space="0" w:color="auto"/>
      </w:divBdr>
    </w:div>
    <w:div w:id="2085838418">
      <w:bodyDiv w:val="1"/>
      <w:marLeft w:val="0"/>
      <w:marRight w:val="0"/>
      <w:marTop w:val="0"/>
      <w:marBottom w:val="0"/>
      <w:divBdr>
        <w:top w:val="none" w:sz="0" w:space="0" w:color="auto"/>
        <w:left w:val="none" w:sz="0" w:space="0" w:color="auto"/>
        <w:bottom w:val="none" w:sz="0" w:space="0" w:color="auto"/>
        <w:right w:val="none" w:sz="0" w:space="0" w:color="auto"/>
      </w:divBdr>
    </w:div>
    <w:div w:id="2092506302">
      <w:bodyDiv w:val="1"/>
      <w:marLeft w:val="0"/>
      <w:marRight w:val="0"/>
      <w:marTop w:val="0"/>
      <w:marBottom w:val="0"/>
      <w:divBdr>
        <w:top w:val="none" w:sz="0" w:space="0" w:color="auto"/>
        <w:left w:val="none" w:sz="0" w:space="0" w:color="auto"/>
        <w:bottom w:val="none" w:sz="0" w:space="0" w:color="auto"/>
        <w:right w:val="none" w:sz="0" w:space="0" w:color="auto"/>
      </w:divBdr>
    </w:div>
    <w:div w:id="213093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inegi.org.mx/contenidos/saladeprensa/aproposito/2025/EAP_PuebIndig_25.pdf" TargetMode="External"/><Relationship Id="rId26" Type="http://schemas.openxmlformats.org/officeDocument/2006/relationships/hyperlink" Target="http://www.inegi.org.mx/contenidos/saladeprensa/aproposito/2024/EAP_PCD24.pdf" TargetMode="External"/><Relationship Id="rId39" Type="http://schemas.openxmlformats.org/officeDocument/2006/relationships/hyperlink" Target="https://www.codhem.org.mx/recomendaciones/" TargetMode="External"/><Relationship Id="rId21" Type="http://schemas.openxmlformats.org/officeDocument/2006/relationships/hyperlink" Target="http://www.eluniversaledomex.com.mx/valle-de-toluca/viven-en-pobreza-57-por-ciento-de-los-pueblos-" TargetMode="External"/><Relationship Id="rId34" Type="http://schemas.openxmlformats.org/officeDocument/2006/relationships/hyperlink" Target="https://scm.oas.org/pdfs/2025/CP51481s.pdf" TargetMode="External"/><Relationship Id="rId42"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journals.plos.org/plosone/article?id=10.1371/journal.pone.0314569&amp;%3A~%3Atext=Las%20interpretaciones%20adicionales%20enfatizan%20que%20las%20pantallas%20requieren%20que%20los%20ni%C3%B1os%20se%20involucren%20pasivamente%20con%20su%20entorno%2C%20lo%20que%20no%20es%20propicio%20para%20la%20progresi%C3%B3n%20en%20el%20aprendizaje%20y%20el%20desarrollo&amp;%3A~%3Atext=requieren%20que%20los%20ni%C3%B1os%20se%20involucren%20pasivamente%20con%20su%20entorno%2C%20lo%20cual%20no%20favorece%20la%20progresi%C3%B3n%20en%20el%20aprendizaje%20y%20el%20desarrollo" TargetMode="External"/><Relationship Id="rId29" Type="http://schemas.openxmlformats.org/officeDocument/2006/relationships/hyperlink" Target="http://www.eluniversaledomex.com.mx/valle-de-toluca/viven-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ohchr.org/es/instruments-mechanisms/instruments/international-covenant-economic-social-and-" TargetMode="External"/><Relationship Id="rId32" Type="http://schemas.openxmlformats.org/officeDocument/2006/relationships/hyperlink" Target="https://www.diputados.gob.mx/LeyesBiblio/pdf/CPEUM.pdf" TargetMode="External"/><Relationship Id="rId37" Type="http://schemas.openxmlformats.org/officeDocument/2006/relationships/hyperlink" Target="https://www.laizquierdadiario.mx/Toluca-brutal-represion-policial-en-la-marcha-del-2-de-octubre-deja-al-menos-10-estudiantes-heridos" TargetMode="External"/><Relationship Id="rId40" Type="http://schemas.openxmlformats.org/officeDocument/2006/relationships/hyperlink" Target="https://www.google.com/search?client=safari&amp;rls=en&amp;q=Eruviel%2B%C3%81vila%2BVillegas&amp;ie=UTF-8&amp;oe=UTF-8&amp;mstk=AUtExfAsrCsNzRJJpAKrWsZ5TsPMZf35Zisjjnno1zZ4Op96ZRR8bhDl-U1ds62mvr8XSKdPhznOC_6EME0mK3mzUSj5bRLHiPS7iMWNwqlLia9-HfbosHHEo9p22oyZRUJoEUs&amp;csui=3&amp;ved=2ahUKEwi3kPS-jL6QAxUwDEQIHQJ5EK4QgK4QegQIARAB"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cielo.org.co/scielo.php?script=sci_arttext&amp;pid=S0121-03192022000300105&amp;%3A~%3Atext=Diversos%20estudios%20exponen%2Cmatem%C3%A1ticas%20y%20ciencias" TargetMode="External"/><Relationship Id="rId23" Type="http://schemas.openxmlformats.org/officeDocument/2006/relationships/hyperlink" Target="http://www.ohchr.org/EN/UDHR/Documents/UDHR_Translations/spn.pdf" TargetMode="External"/><Relationship Id="rId28" Type="http://schemas.openxmlformats.org/officeDocument/2006/relationships/hyperlink" Target="http://www.coneval.org.mx/InformesPublicaciones/Documents/Pobreza_Multidimensional_2022.pdf" TargetMode="External"/><Relationship Id="rId36" Type="http://schemas.openxmlformats.org/officeDocument/2006/relationships/hyperlink" Target="https://corteidh.or.cr/tablas/casosc.pdf" TargetMode="External"/><Relationship Id="rId10" Type="http://schemas.openxmlformats.org/officeDocument/2006/relationships/image" Target="media/image2.jpeg"/><Relationship Id="rId19" Type="http://schemas.openxmlformats.org/officeDocument/2006/relationships/hyperlink" Target="http://www.gob.mx/cms/uploads/attachment/file/1019468/Programa-Institucional-del-" TargetMode="External"/><Relationship Id="rId31" Type="http://schemas.openxmlformats.org/officeDocument/2006/relationships/hyperlink" Target="https://www.inegi.org.mx/contenidos/saladeprensa/aproposito/2025/EAP_Juventud.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b.mx/conanp/articulos/ciudades-verdes-y-sustentables" TargetMode="External"/><Relationship Id="rId14" Type="http://schemas.openxmlformats.org/officeDocument/2006/relationships/hyperlink" Target="http://www.unwomen.org/es/juegos-olimpicos-de-paris-2024-" TargetMode="External"/><Relationship Id="rId22" Type="http://schemas.openxmlformats.org/officeDocument/2006/relationships/hyperlink" Target="http://www.coneval.org.mx/coordinacion/IMPPS/Documents/Fichas_PND_2023/Especial_Indigenas_Afr" TargetMode="External"/><Relationship Id="rId27" Type="http://schemas.openxmlformats.org/officeDocument/2006/relationships/hyperlink" Target="http://www.inegi.org.mx/contenidos/saladeprensa/aproposito/2025/EAP_PersDiscap_25.pdf" TargetMode="External"/><Relationship Id="rId30" Type="http://schemas.openxmlformats.org/officeDocument/2006/relationships/hyperlink" Target="https://www.gob.mx/conapo" TargetMode="External"/><Relationship Id="rId35" Type="http://schemas.openxmlformats.org/officeDocument/2006/relationships/hyperlink" Target="https://www.oas.org/dil/esp/1969_Convenci%C3%B3n_Americana_sobre_Derechos_Humanos.pdf" TargetMode="External"/><Relationship Id="rId43" Type="http://schemas.openxmlformats.org/officeDocument/2006/relationships/footer" Target="footer1.xml"/><Relationship Id="rId8" Type="http://schemas.openxmlformats.org/officeDocument/2006/relationships/hyperlink" Target="http://www.gob.mx/conapo/articulos/se-expanden-las-ciudades-en-"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famvin.org/es/2022/02/01/historia-de-un-femur-roto/" TargetMode="External"/><Relationship Id="rId25" Type="http://schemas.openxmlformats.org/officeDocument/2006/relationships/hyperlink" Target="http://www.oas.org/juridico/spanish/Tratados/a-52.html" TargetMode="External"/><Relationship Id="rId33" Type="http://schemas.openxmlformats.org/officeDocument/2006/relationships/hyperlink" Target="https://secgob.cdmx.gob.mx/comunicacion/nota/BOL_29_2023" TargetMode="External"/><Relationship Id="rId38" Type="http://schemas.openxmlformats.org/officeDocument/2006/relationships/hyperlink" Target="https://www.laizquierdadiario.mx/Toluca-brutal-represion-policial-en-la-marcha-del-2-de-octubre-deja-al-menos-10-estudiantes-heridos" TargetMode="External"/><Relationship Id="rId20" Type="http://schemas.openxmlformats.org/officeDocument/2006/relationships/hyperlink" Target="http://www.frentealapobreza.mx/post/com-2512" TargetMode="External"/><Relationship Id="rId41" Type="http://schemas.openxmlformats.org/officeDocument/2006/relationships/hyperlink" Target="mailto:women@uclg.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content/dam/oecd/en/publications/reports/2025/07/health-at-a-glance-2023_39bcb58d/mexico_ca28b701/fe098241-en.pdf" TargetMode="External"/><Relationship Id="rId2" Type="http://schemas.openxmlformats.org/officeDocument/2006/relationships/hyperlink" Target="https://www.gob.mx/cms/uploads/attachment/file/1060729/15_Mexico_2026.pdf" TargetMode="External"/><Relationship Id="rId1" Type="http://schemas.openxmlformats.org/officeDocument/2006/relationships/hyperlink" Target="https://gaceta.diputados.gob.mx/PDF/66/2025/dic/DOF15ENE2025-VariosLeyGralSaludVapeador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229</Pages>
  <Words>106628</Words>
  <Characters>586459</Characters>
  <Application>Microsoft Office Word</Application>
  <DocSecurity>0</DocSecurity>
  <Lines>4887</Lines>
  <Paragraphs>1383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691704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88</cp:revision>
  <dcterms:created xsi:type="dcterms:W3CDTF">2026-03-12T18:03:00Z</dcterms:created>
  <dcterms:modified xsi:type="dcterms:W3CDTF">2026-03-20T19:02:00Z</dcterms:modified>
</cp:coreProperties>
</file>