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1C802" w14:textId="77777777" w:rsidR="007B30B3" w:rsidRPr="0012597A" w:rsidRDefault="007B30B3" w:rsidP="00EF1C7F">
      <w:pPr>
        <w:spacing w:after="0" w:line="240" w:lineRule="auto"/>
        <w:ind w:left="2832"/>
        <w:jc w:val="both"/>
        <w:rPr>
          <w:rFonts w:ascii="Times New Roman" w:hAnsi="Times New Roman" w:cs="Times New Roman"/>
          <w:sz w:val="24"/>
          <w:szCs w:val="24"/>
        </w:rPr>
      </w:pPr>
      <w:r w:rsidRPr="0012597A">
        <w:rPr>
          <w:rFonts w:ascii="Times New Roman" w:hAnsi="Times New Roman" w:cs="Times New Roman"/>
          <w:sz w:val="24"/>
          <w:szCs w:val="24"/>
        </w:rPr>
        <w:t>SESIÓN DELIBERANTE DE LA H. “LXII” LEGISLATURA DEL ESTADO DE MÉXICO.</w:t>
      </w:r>
    </w:p>
    <w:p w14:paraId="0FD2ACA0" w14:textId="77777777" w:rsidR="007B30B3" w:rsidRPr="0012597A" w:rsidRDefault="007B30B3" w:rsidP="00EF1C7F">
      <w:pPr>
        <w:spacing w:after="0" w:line="240" w:lineRule="auto"/>
        <w:ind w:left="2832"/>
        <w:jc w:val="both"/>
        <w:rPr>
          <w:rFonts w:ascii="Times New Roman" w:hAnsi="Times New Roman" w:cs="Times New Roman"/>
          <w:sz w:val="24"/>
          <w:szCs w:val="24"/>
        </w:rPr>
      </w:pPr>
    </w:p>
    <w:p w14:paraId="20353CEF" w14:textId="77777777" w:rsidR="007B30B3" w:rsidRPr="0012597A" w:rsidRDefault="007B30B3" w:rsidP="00EF1C7F">
      <w:pPr>
        <w:spacing w:after="0" w:line="240" w:lineRule="auto"/>
        <w:ind w:left="2832"/>
        <w:jc w:val="both"/>
        <w:rPr>
          <w:rFonts w:ascii="Times New Roman" w:hAnsi="Times New Roman" w:cs="Times New Roman"/>
          <w:sz w:val="24"/>
          <w:szCs w:val="24"/>
        </w:rPr>
      </w:pPr>
      <w:r w:rsidRPr="0012597A">
        <w:rPr>
          <w:rFonts w:ascii="Times New Roman" w:hAnsi="Times New Roman" w:cs="Times New Roman"/>
          <w:sz w:val="24"/>
          <w:szCs w:val="24"/>
        </w:rPr>
        <w:t>Celebrada el día 18 de marzo de 2026.</w:t>
      </w:r>
    </w:p>
    <w:p w14:paraId="356F6941" w14:textId="77777777" w:rsidR="007B30B3" w:rsidRPr="0012597A" w:rsidRDefault="007B30B3" w:rsidP="00EF1C7F">
      <w:pPr>
        <w:spacing w:after="0" w:line="240" w:lineRule="auto"/>
        <w:ind w:left="2832"/>
        <w:jc w:val="both"/>
        <w:rPr>
          <w:rFonts w:ascii="Times New Roman" w:hAnsi="Times New Roman" w:cs="Times New Roman"/>
          <w:sz w:val="24"/>
          <w:szCs w:val="24"/>
        </w:rPr>
      </w:pPr>
    </w:p>
    <w:p w14:paraId="0E25A095" w14:textId="77777777" w:rsidR="007B30B3" w:rsidRPr="0012597A" w:rsidRDefault="007B30B3" w:rsidP="00EF1C7F">
      <w:pPr>
        <w:spacing w:after="0" w:line="240" w:lineRule="auto"/>
        <w:jc w:val="center"/>
        <w:rPr>
          <w:rFonts w:ascii="Times New Roman" w:hAnsi="Times New Roman" w:cs="Times New Roman"/>
          <w:sz w:val="24"/>
          <w:szCs w:val="24"/>
        </w:rPr>
      </w:pPr>
      <w:r w:rsidRPr="0012597A">
        <w:rPr>
          <w:rFonts w:ascii="Times New Roman" w:hAnsi="Times New Roman" w:cs="Times New Roman"/>
          <w:sz w:val="24"/>
          <w:szCs w:val="24"/>
        </w:rPr>
        <w:t>Presidencia de la diputada Martha Azucena Camacho Reynoso</w:t>
      </w:r>
    </w:p>
    <w:p w14:paraId="548E2FEC" w14:textId="77777777" w:rsidR="007B30B3" w:rsidRPr="0012597A" w:rsidRDefault="007B30B3" w:rsidP="00EF1C7F">
      <w:pPr>
        <w:spacing w:after="0" w:line="240" w:lineRule="auto"/>
        <w:jc w:val="both"/>
        <w:rPr>
          <w:rFonts w:ascii="Times New Roman" w:hAnsi="Times New Roman" w:cs="Times New Roman"/>
          <w:sz w:val="24"/>
          <w:szCs w:val="24"/>
        </w:rPr>
      </w:pPr>
    </w:p>
    <w:p w14:paraId="6DD1489F" w14:textId="6128E402" w:rsidR="007B30B3" w:rsidRPr="0012597A" w:rsidRDefault="007B30B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w:t>
      </w:r>
      <w:r w:rsidR="00765B60" w:rsidRPr="0012597A">
        <w:rPr>
          <w:rFonts w:ascii="Times New Roman" w:hAnsi="Times New Roman" w:cs="Times New Roman"/>
          <w:sz w:val="24"/>
          <w:szCs w:val="24"/>
        </w:rPr>
        <w:t xml:space="preserve">Doy la bienvenida a e inicio de la Sesión Deliberante de la LXII Legislatura y </w:t>
      </w:r>
      <w:r w:rsidRPr="0012597A">
        <w:rPr>
          <w:rFonts w:ascii="Times New Roman" w:hAnsi="Times New Roman" w:cs="Times New Roman"/>
          <w:sz w:val="24"/>
          <w:szCs w:val="24"/>
        </w:rPr>
        <w:t>le reitero mi reconocimiento por su permanente disposición para cumplir oportunamente las tareas de este órgano colegiado.</w:t>
      </w:r>
    </w:p>
    <w:p w14:paraId="10DBFE71" w14:textId="2EEE0A01" w:rsidR="007B30B3" w:rsidRPr="0012597A" w:rsidRDefault="007B30B3" w:rsidP="00EF1C7F">
      <w:pPr>
        <w:spacing w:after="0" w:line="240" w:lineRule="aut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Agradezco la presencia de los representantes de los medios de comunicación y de quienes nos acompañan en el Recinto, en las redes sociales, bienvenidos a esta su casa, </w:t>
      </w:r>
      <w:r w:rsidR="00765B60" w:rsidRPr="0012597A">
        <w:rPr>
          <w:rFonts w:ascii="Times New Roman" w:hAnsi="Times New Roman" w:cs="Times New Roman"/>
          <w:sz w:val="24"/>
          <w:szCs w:val="24"/>
        </w:rPr>
        <w:t>“L</w:t>
      </w:r>
      <w:r w:rsidRPr="0012597A">
        <w:rPr>
          <w:rFonts w:ascii="Times New Roman" w:hAnsi="Times New Roman" w:cs="Times New Roman"/>
          <w:sz w:val="24"/>
          <w:szCs w:val="24"/>
        </w:rPr>
        <w:t>a Casa del Pueblo Mexiquense</w:t>
      </w:r>
      <w:r w:rsidR="00765B60" w:rsidRPr="0012597A">
        <w:rPr>
          <w:rFonts w:ascii="Times New Roman" w:hAnsi="Times New Roman" w:cs="Times New Roman"/>
          <w:sz w:val="24"/>
          <w:szCs w:val="24"/>
        </w:rPr>
        <w:t>”</w:t>
      </w:r>
      <w:r w:rsidRPr="0012597A">
        <w:rPr>
          <w:rFonts w:ascii="Times New Roman" w:hAnsi="Times New Roman" w:cs="Times New Roman"/>
          <w:sz w:val="24"/>
          <w:szCs w:val="24"/>
        </w:rPr>
        <w:t>.</w:t>
      </w:r>
    </w:p>
    <w:p w14:paraId="62BCE022" w14:textId="77777777" w:rsidR="007B30B3" w:rsidRPr="0012597A" w:rsidRDefault="007B30B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Para la validez de la sesión pido a la Secretaría verifique el quórum, abriendo el sistema electrónico de asistencia hasta por cinco minutos, una vez que se integre el quórum podrá abrirse la sesión.</w:t>
      </w:r>
    </w:p>
    <w:p w14:paraId="02EF6334" w14:textId="77777777" w:rsidR="007B30B3" w:rsidRPr="0012597A" w:rsidRDefault="007B30B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electrónico de asistencia hasta por cinco minutos.</w:t>
      </w:r>
    </w:p>
    <w:p w14:paraId="34BD761E" w14:textId="77777777" w:rsidR="007B30B3" w:rsidRPr="0012597A" w:rsidRDefault="007B30B3" w:rsidP="00EF1C7F">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(Registro de asistencia)</w:t>
      </w:r>
    </w:p>
    <w:p w14:paraId="63692787" w14:textId="77777777" w:rsidR="00397C1F" w:rsidRPr="0012597A" w:rsidRDefault="00397C1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Ha sido verificado el quórum, procede a abrir la sesión.</w:t>
      </w:r>
    </w:p>
    <w:p w14:paraId="541E5396" w14:textId="77777777" w:rsidR="00397C1F" w:rsidRPr="0012597A" w:rsidRDefault="00397C1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2A7990C3" w14:textId="77777777" w:rsidR="00397C1F" w:rsidRPr="0012597A" w:rsidRDefault="00397C1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Se declara la existencia del quórum y se abre la sesión siendo las doce horas con cuarenta y cuatro minutos del día miércoles dieciocho de marzo del año dos mil veintiséis.</w:t>
      </w:r>
    </w:p>
    <w:p w14:paraId="14B35891" w14:textId="77777777" w:rsidR="00397C1F" w:rsidRPr="0012597A" w:rsidRDefault="00397C1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r>
      <w:proofErr w:type="spellStart"/>
      <w:r w:rsidRPr="0012597A">
        <w:rPr>
          <w:rFonts w:ascii="Times New Roman" w:hAnsi="Times New Roman" w:cs="Times New Roman"/>
          <w:sz w:val="24"/>
          <w:szCs w:val="24"/>
        </w:rPr>
        <w:t>De</w:t>
      </w:r>
      <w:proofErr w:type="spellEnd"/>
      <w:r w:rsidRPr="0012597A">
        <w:rPr>
          <w:rFonts w:ascii="Times New Roman" w:hAnsi="Times New Roman" w:cs="Times New Roman"/>
          <w:sz w:val="24"/>
          <w:szCs w:val="24"/>
        </w:rPr>
        <w:t xml:space="preserve"> a conocer la Secretaria la propuesta de Orden del Día.</w:t>
      </w:r>
    </w:p>
    <w:p w14:paraId="3F597058" w14:textId="77777777" w:rsidR="00397C1F" w:rsidRPr="0012597A" w:rsidRDefault="00397C1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La propuesta de Orden del Día es la siguiente:</w:t>
      </w:r>
    </w:p>
    <w:p w14:paraId="6537A640" w14:textId="77777777" w:rsidR="00397C1F" w:rsidRPr="0012597A" w:rsidRDefault="00397C1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1. Acta de la sesión anterior.</w:t>
      </w:r>
    </w:p>
    <w:p w14:paraId="22F1CDA1" w14:textId="77777777" w:rsidR="00397C1F" w:rsidRPr="0012597A" w:rsidRDefault="00397C1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2. Discusión y resolución del Dictamen de la Iniciativa con Proyecto de Decreto que reforma el </w:t>
      </w:r>
      <w:r w:rsidR="00F35F71" w:rsidRPr="0012597A">
        <w:rPr>
          <w:rFonts w:ascii="Times New Roman" w:hAnsi="Times New Roman" w:cs="Times New Roman"/>
          <w:sz w:val="24"/>
          <w:szCs w:val="24"/>
        </w:rPr>
        <w:t>artículo</w:t>
      </w:r>
      <w:r w:rsidRPr="0012597A">
        <w:rPr>
          <w:rFonts w:ascii="Times New Roman" w:hAnsi="Times New Roman" w:cs="Times New Roman"/>
          <w:sz w:val="24"/>
          <w:szCs w:val="24"/>
        </w:rPr>
        <w:t xml:space="preserve"> 47 de la Ley Orgánica del Poder Judicial del Estado de México, relacionada con la integración de los Tribunales de Alzada, presentada por el Presidente del Tribunal Superior de Justicia del Estado de México formulada por la Comisión Legislativa de Procuración y Administración de Justicia.</w:t>
      </w:r>
    </w:p>
    <w:p w14:paraId="316A4DF0" w14:textId="77777777" w:rsidR="00397C1F" w:rsidRPr="0012597A" w:rsidRDefault="00397C1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3. Discusión y resolución del Dictamen de la Iniciativa con Proyecto de Decreto que adicionan los artículos 1.5 Bis al 1.5 Quater del Código Civil del Estado de México, para regular la nulidad de juicio concluido, presentada por el Presidente del Tribunal Superior de Justicia del Estado del México formulada por la Comisión Legislativa de Procuración y Administración de Justicia.</w:t>
      </w:r>
    </w:p>
    <w:p w14:paraId="563CCFB8" w14:textId="77777777" w:rsidR="00397C1F" w:rsidRPr="0012597A" w:rsidRDefault="00397C1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4. Discusión y resolución del Dictamen de la Iniciativa con Proyecto de Decreto por el que se reforman los artículos 3.38 Bis y 3.38 Ter del Código Civil del Estado de México, para agilizar la resolución del cambio de nombre ante la Dirección General del Registro Civil, presentada por la diputada Elena García Martínez, en nombre del Grupo Parlamentario del Partido morena, formulado por la Comisión Legislativa de Procuración y Administración de Justicia.</w:t>
      </w:r>
    </w:p>
    <w:p w14:paraId="75F9B662" w14:textId="77777777" w:rsidR="00397C1F" w:rsidRPr="0012597A" w:rsidRDefault="00397C1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5. Discusión y resolución del Dictamen de la Iniciativa al Congreso de la Unión con Proyecto de Decreto por el que se adiciona un párrafo cuarto al artículo 10 de la Ley de la Empresa </w:t>
      </w:r>
      <w:r w:rsidR="008232DF" w:rsidRPr="0012597A">
        <w:rPr>
          <w:rFonts w:ascii="Times New Roman" w:hAnsi="Times New Roman" w:cs="Times New Roman"/>
          <w:sz w:val="24"/>
          <w:szCs w:val="24"/>
        </w:rPr>
        <w:t>Pública</w:t>
      </w:r>
      <w:r w:rsidRPr="0012597A">
        <w:rPr>
          <w:rFonts w:ascii="Times New Roman" w:hAnsi="Times New Roman" w:cs="Times New Roman"/>
          <w:sz w:val="24"/>
          <w:szCs w:val="24"/>
        </w:rPr>
        <w:t xml:space="preserve"> del Estado, Comisión Federal de Electricidad, presentada por el diputado Valentín Martínez Castillo en nombre del Grupo Parlamentario del Partido morena, formulado por las Comisiones Unidas de Gobernación y Puntos Constitucionales y Desarrollo Económico, Industrial, Comercial y Minero.</w:t>
      </w:r>
    </w:p>
    <w:p w14:paraId="07D6C710" w14:textId="77777777" w:rsidR="00397C1F" w:rsidRPr="0012597A" w:rsidRDefault="00397C1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lastRenderedPageBreak/>
        <w:t>6. Lectura y acuerdo conducente de la Iniciativa de Decreto por el que se reforman y derogan diversas disposiciones de la Ley de Justicia Cívica del Estado de México y sus Municipios, en materia del Registro Municipal de Infracciones presentada por la Titular del Ejecutivo Estatal y presentada por el diputado Luis Valdeña Bastida.</w:t>
      </w:r>
    </w:p>
    <w:p w14:paraId="559F7539" w14:textId="77777777" w:rsidR="00397C1F" w:rsidRPr="0012597A" w:rsidRDefault="00397C1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7. Lectura y acuerdo conducente de la Iniciativa con Proyecto de Decreto por el que se reforman el artículo 4.143 del Código Civil del Estado de México en materia de fortalecimiento del aseguramiento de derecho de alimentos presentada por la diputada Itzel Daniela Ballesteros Lule, en nombre del Grupo Parlamentario del Partido morena.</w:t>
      </w:r>
    </w:p>
    <w:p w14:paraId="6160DF53" w14:textId="4DD0EC97" w:rsidR="00017D8C" w:rsidRPr="0012597A" w:rsidRDefault="00397C1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8. Lectura y acuerdo conducente de la Iniciativa con Proyecto de Decreto por el que se adiciona la fracción X, al artículo 12, corrigiéndose las subsecuente a la Ley de Cultura Física y Deporte del Estado de México, a fin de que crear un programa Estatal de estímulos y acciones afirmativas para el fortalecimiento de las agrupaciones, escuelas o programas populares</w:t>
      </w:r>
      <w:r w:rsidR="003F1220" w:rsidRPr="0012597A">
        <w:rPr>
          <w:rFonts w:ascii="Times New Roman" w:hAnsi="Times New Roman" w:cs="Times New Roman"/>
          <w:sz w:val="24"/>
          <w:szCs w:val="24"/>
        </w:rPr>
        <w:t xml:space="preserve"> </w:t>
      </w:r>
      <w:r w:rsidR="00B904E1" w:rsidRPr="0012597A">
        <w:rPr>
          <w:rFonts w:ascii="Times New Roman" w:hAnsi="Times New Roman" w:cs="Times New Roman"/>
          <w:sz w:val="24"/>
          <w:szCs w:val="24"/>
        </w:rPr>
        <w:t xml:space="preserve">de </w:t>
      </w:r>
      <w:r w:rsidR="00017D8C" w:rsidRPr="0012597A">
        <w:rPr>
          <w:rFonts w:ascii="Times New Roman" w:hAnsi="Times New Roman" w:cs="Times New Roman"/>
          <w:sz w:val="24"/>
          <w:szCs w:val="24"/>
        </w:rPr>
        <w:t>iniciación deportiva en pueblos, comunidades y barrios y colonias por los municipios del Estado de México, presentada por la diputada Brenda Colette Miranda Vargas, en nombre del Grupo Parlamentario del Partido morena.</w:t>
      </w:r>
    </w:p>
    <w:p w14:paraId="5C646844" w14:textId="77777777" w:rsidR="00017D8C"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9. Lectura y acuerdo conducente de la Iniciativa con Proyecto de Decreto por el que se adicionan diversas disposiciones al Código Civil del Estado de México, en materia de expedición del Registro Estatal de </w:t>
      </w:r>
      <w:proofErr w:type="spellStart"/>
      <w:r w:rsidRPr="0012597A">
        <w:rPr>
          <w:rFonts w:ascii="Times New Roman" w:hAnsi="Times New Roman" w:cs="Times New Roman"/>
          <w:sz w:val="24"/>
          <w:szCs w:val="24"/>
        </w:rPr>
        <w:t>Violentadores</w:t>
      </w:r>
      <w:proofErr w:type="spellEnd"/>
      <w:r w:rsidRPr="0012597A">
        <w:rPr>
          <w:rFonts w:ascii="Times New Roman" w:hAnsi="Times New Roman" w:cs="Times New Roman"/>
          <w:sz w:val="24"/>
          <w:szCs w:val="24"/>
        </w:rPr>
        <w:t xml:space="preserve"> Vicarios, presentada por la Diputada Paola Jiménez Hernández, en nombre del Grupo Parlamentario del Partido morena. </w:t>
      </w:r>
    </w:p>
    <w:p w14:paraId="1300CEE0" w14:textId="491EEFD4" w:rsidR="00017D8C"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10. Lectura y acuerdo conducente de Iniciativa con Proyecto de </w:t>
      </w:r>
      <w:r w:rsidR="00581E67"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 xml:space="preserve">por el que se adiciona un segundo párrafo al artículo 12; se deroga el artículo 13 Bis de la Ley que </w:t>
      </w:r>
      <w:r w:rsidR="00581E67" w:rsidRPr="0012597A">
        <w:rPr>
          <w:rFonts w:ascii="Times New Roman" w:hAnsi="Times New Roman" w:cs="Times New Roman"/>
          <w:sz w:val="24"/>
          <w:szCs w:val="24"/>
        </w:rPr>
        <w:t xml:space="preserve">crea </w:t>
      </w:r>
      <w:r w:rsidRPr="0012597A">
        <w:rPr>
          <w:rFonts w:ascii="Times New Roman" w:hAnsi="Times New Roman" w:cs="Times New Roman"/>
          <w:sz w:val="24"/>
          <w:szCs w:val="24"/>
        </w:rPr>
        <w:t xml:space="preserve">los Organismos Públicos Descentralizados de Asistencia Social, de Carácter Municipal, denominados "Sistemas Municipales para el Desarrollo Integral de la Familia"; y, se reforma el segundo párrafo del artículo 21 de la Ley de Asistencia Social del Estado de México y Municipios, con el objeto de combatir el nepotismo, presentada por el Diputado José Miguel Gutiérrez Morales, en nombre del Grupo Parlamentario del Partido morena. </w:t>
      </w:r>
    </w:p>
    <w:p w14:paraId="210D1682" w14:textId="77777777" w:rsidR="00017D8C"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11. Lectura y acuerdo conducente de Iniciativa con Proyecto de Decreto por el que se abroga la Ley de Indulto del Estado de México publicada en el Periódico Oficial “Gaceta del Gobierno” el día 18 de abril de 2016 y se expide la Ley de Indulto y Justicia Humanitaria del Estado de México, presentada por el Diputado Octavio Martínez Vargas, en nombre del Grupo Parlamentario del Partido morena.</w:t>
      </w:r>
    </w:p>
    <w:p w14:paraId="0E25365F" w14:textId="77777777" w:rsidR="00017D8C"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12. Lectura y acuerdo conducente de la Iniciativa con Proyecto de Decreto por la que se reforman diversas disposiciones de la Ley de Igualdad de Trato y Oportunidades entre Mujeres y Hombres del Estado de México y la Ley del Trabajo de los Servidores Públicos del Estado y Municipios, para eliminar la brecha salarial de género, presentada por la Diputada Zaira Cedillo Silva, en nombre del Grupo Parlamentario del Partido morena. </w:t>
      </w:r>
    </w:p>
    <w:p w14:paraId="2A12560D" w14:textId="77777777" w:rsidR="00581E67"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13. Lectura y acuerdo conducente de Iniciativa con Proyecto de Decreto por el que se reforman y adicionan diversas disposiciones de la Ley Orgánica Municipal del Estado de México, en materia de modernización, validez jurídica y difusión electrónica de la Gaceta Municipal, presentada por el Diputado Valentín Martínez Castillo, en nombre del Grupo Parlamentario del Partido morena. </w:t>
      </w:r>
    </w:p>
    <w:p w14:paraId="44A39661" w14:textId="5CA873C0" w:rsidR="00017D8C"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14. Lectura y acuerdo conducente de la Iniciativa con Proyecto de Decreto por la que se reforma la fracción VIII del </w:t>
      </w:r>
      <w:r w:rsidR="00581E67" w:rsidRPr="0012597A">
        <w:rPr>
          <w:rFonts w:ascii="Times New Roman" w:hAnsi="Times New Roman" w:cs="Times New Roman"/>
          <w:sz w:val="24"/>
          <w:szCs w:val="24"/>
        </w:rPr>
        <w:t>a</w:t>
      </w:r>
      <w:r w:rsidRPr="0012597A">
        <w:rPr>
          <w:rFonts w:ascii="Times New Roman" w:hAnsi="Times New Roman" w:cs="Times New Roman"/>
          <w:sz w:val="24"/>
          <w:szCs w:val="24"/>
        </w:rPr>
        <w:t>rtículo 12 y se adiciona un segundo párrafo al artículo 54 de la Ley de Educación del Estado de México, en materia de educación bilingüe, presentada por el Diputado Isaías Peláez Soria, en nombre del Grupo Parlamentario del Partido Verde Ecologista de México.</w:t>
      </w:r>
    </w:p>
    <w:p w14:paraId="52CCE619" w14:textId="77777777" w:rsidR="00017D8C"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15. Lectura y acuerdo conducente de la Iniciativa con Proyecto de Decreto por la que se reforma el segundo párrafo de la fracción XV del artículo 3 de la Ley de Acceso de las Mujeres a una Vida Libre de Violencia del Estado de México; se adicionan las fracciones XXVII al artículo 4 y la fracción VII al artículo 118 de la Ley de Cultura Física y Deporte del Estado de México y se </w:t>
      </w:r>
      <w:r w:rsidRPr="0012597A">
        <w:rPr>
          <w:rFonts w:ascii="Times New Roman" w:hAnsi="Times New Roman" w:cs="Times New Roman"/>
          <w:sz w:val="24"/>
          <w:szCs w:val="24"/>
        </w:rPr>
        <w:lastRenderedPageBreak/>
        <w:t xml:space="preserve">adiciona al Capítulo IV Ter y el artículo 280 Ter del Código Penal del Estado de México, en materia de violencia en el deporte, presentada por la Diputada Alejandra Figueroa Adame, en nombre del Grupo Parlamentario del Partido Verde Ecologista de México. </w:t>
      </w:r>
    </w:p>
    <w:p w14:paraId="19A42546" w14:textId="77777777" w:rsidR="00017D8C" w:rsidRPr="0012597A" w:rsidRDefault="00017D8C"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16. Lectura y acuerdo conducente de la Iniciativa con Proyecto de Decreto por el que se reforman y adicionan diversas disposiciones del Código Financiero del Estado de México y Municipios, para que la Ciudad de México pague por la basura que envía a nuestro Estado, y esos recursos se queden en los municipios afectados, presentada por el Diputado Elías Rescala Jiménez, en nombre del Grupo Parlamentario del Partido Revolucionario Institucional. </w:t>
      </w:r>
    </w:p>
    <w:p w14:paraId="4936C040" w14:textId="77777777" w:rsidR="00720659" w:rsidRPr="0012597A" w:rsidRDefault="00720659" w:rsidP="00EF1C7F">
      <w:pPr>
        <w:pStyle w:val="Sinespaciado"/>
        <w:ind w:firstLine="70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17.- Lectura y acuerdo conducente de la Iniciativa con Proyecto de Decreto por el que se reforman y adicionan diversas disposiciones de la Ley de Educación del Estado de México, para garantizar escuelas de tiempo completo para las niñas y niños mexiquenses, presentada por el Diputado Alejandro Castro Hernández, en nombre del Grupo Parlamentario del Partido Revolucionario Institucional.</w:t>
      </w:r>
    </w:p>
    <w:p w14:paraId="547A3E93" w14:textId="77777777" w:rsidR="00720659" w:rsidRPr="0012597A" w:rsidRDefault="00720659" w:rsidP="00EF1C7F">
      <w:pPr>
        <w:pStyle w:val="Sinespaciado"/>
        <w:ind w:firstLine="70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18.- Lectura y acuerdo conducente de la Iniciativa con Proyecto de Decreto por el que se reforman y adicionan diversos artículos de la Ley del Agua del Estado de México y Municipios, y del Código Financiero del Estado de México y Municipios, con el objeto de garantizar el acceso al agua para uso personal y doméstico, especialmente a las personas en situación de vulnerabilidad, así como un reembolso por falta de suministro de agua potable a los contribuyentes, presentada por la Diputada Joanna Alejandra Felipe Torres y el Diputado Pablo Fernández de Cevallos González, en nombre del Grupo Parlamentario del Partido Acción Nacional.</w:t>
      </w:r>
    </w:p>
    <w:p w14:paraId="70BF79BF" w14:textId="2361C974" w:rsidR="00720659" w:rsidRPr="0012597A" w:rsidRDefault="00720659" w:rsidP="00EF1C7F">
      <w:pPr>
        <w:pStyle w:val="Sinespaciado"/>
        <w:ind w:firstLine="70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19.- Lectura y acuerdo conducente de la Iniciativa con Proyecto de Decreto por el que se reforman y adicionan diversas disposiciones de la Ley de Seguridad Social para los Servidores Públicos del Estado de México y Municipios, en materia de reembolso en favor de los derechohabientes por falta de medicamentos y tratamientos, presentada por las y los integrantes del Grupo Parlamentario del Partido Movimiento Ciudadano.</w:t>
      </w:r>
    </w:p>
    <w:p w14:paraId="7CAE8740" w14:textId="77777777" w:rsidR="00720659" w:rsidRPr="0012597A" w:rsidRDefault="00720659" w:rsidP="00EF1C7F">
      <w:pPr>
        <w:pStyle w:val="Sinespaciado"/>
        <w:ind w:firstLine="70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20.- Lectura y acuerdo conducente de la Iniciativa con Proyecto de Decreto que reforma y adiciona diversas disposiciones de la Ley de Movilidad y Seguridad Vial del Estado de México y del Código Administrativo del Estado de México, en materia de garantías de seguridad para los operadores y usuarios de los servicios electrónicos de transporte privado de personas, presentada por las y los integrantes del Grupo Parlamentario del Partido Movimiento Ciudadano.</w:t>
      </w:r>
    </w:p>
    <w:p w14:paraId="4E878D9F" w14:textId="77777777" w:rsidR="00720659" w:rsidRPr="0012597A" w:rsidRDefault="00720659" w:rsidP="00EF1C7F">
      <w:pPr>
        <w:pStyle w:val="Sinespaciado"/>
        <w:ind w:firstLine="70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21.- Lectura y acuerdo conducente de Iniciativa con Proyecto de Decreto por el que se reforman y adicionan diversas disposiciones de la Ley para Prevenir, Combatir y Eliminar Actos de Discriminación en el Estado de México, en materia de personas neurodivergentes, presentado por el Diputado Omar Ortega Álvarez y la Diputada Araceli Casasola Salazar, en nombre del Grupo Parlamentario del Partido de la Revolución Democrática.</w:t>
      </w:r>
    </w:p>
    <w:p w14:paraId="4150F1D7" w14:textId="65565320" w:rsidR="00720659" w:rsidRPr="0012597A" w:rsidRDefault="00720659" w:rsidP="00EF1C7F">
      <w:pPr>
        <w:pStyle w:val="Sinespaciado"/>
        <w:ind w:firstLine="70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22.- Lectura y acuerdo conducente del Punto de Acuerdo por el que la H</w:t>
      </w:r>
      <w:r w:rsidR="00581E67" w:rsidRPr="0012597A">
        <w:rPr>
          <w:rFonts w:ascii="Times New Roman" w:eastAsia="Arial" w:hAnsi="Times New Roman" w:cs="Times New Roman"/>
          <w:sz w:val="24"/>
          <w:szCs w:val="24"/>
        </w:rPr>
        <w:t>onorable</w:t>
      </w:r>
      <w:r w:rsidRPr="0012597A">
        <w:rPr>
          <w:rFonts w:ascii="Times New Roman" w:eastAsia="Arial" w:hAnsi="Times New Roman" w:cs="Times New Roman"/>
          <w:sz w:val="24"/>
          <w:szCs w:val="24"/>
        </w:rPr>
        <w:t xml:space="preserve"> LXII Legislatura del Estado de México emite un reconocimiento y felicitación con motivo del aniversario del Día de la Mujer Periodista y Fotoperiodista del Estado de México, presentada por el Diputado Israel Espíndola López, en nombre del Grupo Parlamentario del Partido morena.</w:t>
      </w:r>
    </w:p>
    <w:p w14:paraId="595AA038" w14:textId="36EEC10A" w:rsidR="00720659" w:rsidRPr="0012597A" w:rsidRDefault="00720659" w:rsidP="00EF1C7F">
      <w:pPr>
        <w:pStyle w:val="Sinespaciado"/>
        <w:ind w:firstLine="70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23.- Lectura y acuerdo conducente del Punto de Acuerdo, por el que se exhorta respetuosamente a la Secretaría del Agua del Estado de México, así como a la Comisión del Agua del Estado de México, para que en el ámbito de sus respectivas atribuciones, implementen de manera coordinada acciones inmediatas de diagnóstico, saneamiento y restauración del Río Grande Acatitlán, también conocido como Río de Temascaltepec, con el objetivo de preservar su equilibrio ecológico y proteger la salud de la población, presentada por la Diputada Gloria Vanessa Linares Zetina, en nombre del Grupo Parlamentario del Partido Verde Ecologista de México.</w:t>
      </w:r>
    </w:p>
    <w:p w14:paraId="04C15964" w14:textId="77777777" w:rsidR="00720659" w:rsidRPr="0012597A" w:rsidRDefault="00720659"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24.- Lectura y acuerdo conducente del Punto de Acuerdo por el que se formula un respetuoso exhorto a los 125 Ayuntamientos del Estado de México, para que en el ámbito de sus atribuciones y con pleno respeto a su autonomía municipal prevista en el artículo 115 de la </w:t>
      </w:r>
      <w:r w:rsidRPr="0012597A">
        <w:rPr>
          <w:rFonts w:ascii="Times New Roman" w:hAnsi="Times New Roman" w:cs="Times New Roman"/>
          <w:sz w:val="24"/>
          <w:szCs w:val="24"/>
        </w:rPr>
        <w:lastRenderedPageBreak/>
        <w:t>Constitución Política de los Estados Unidos Mexicanos, analicen la viabilidad de crear áreas o unidades administrativas en materia de asuntos internacionales, presentada por el Diputado Isaac Josué Hernández Méndez, en nombre del Grupo Parlamentario del Partido del Trabajo.</w:t>
      </w:r>
    </w:p>
    <w:p w14:paraId="088F0B07" w14:textId="77777777" w:rsidR="00EE01CF" w:rsidRPr="0012597A" w:rsidRDefault="00720659"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25.- Lectura y acuerdo conducente del Punto de Acuerdo, mediante el que se exhorta respetuosamente</w:t>
      </w:r>
      <w:r w:rsidR="00342202" w:rsidRPr="0012597A">
        <w:rPr>
          <w:rFonts w:ascii="Times New Roman" w:hAnsi="Times New Roman" w:cs="Times New Roman"/>
          <w:sz w:val="24"/>
          <w:szCs w:val="24"/>
        </w:rPr>
        <w:t xml:space="preserve"> al </w:t>
      </w:r>
      <w:r w:rsidR="00EE01CF" w:rsidRPr="0012597A">
        <w:rPr>
          <w:rFonts w:ascii="Times New Roman" w:hAnsi="Times New Roman" w:cs="Times New Roman"/>
          <w:sz w:val="24"/>
          <w:szCs w:val="24"/>
        </w:rPr>
        <w:t xml:space="preserve">Gobierno del Estado de México para que, a través de la Comisión de Búsqueda de Personas el Estado de México, fortalezca los mecanismos de coordinación institucional para la búsqueda inmediata de personas desaparecidas; a la Fiscalía General de Justicia del Estado de México para fortalecer la coordinación con las autoridades municipales en la activación inmediata de protocolos de búsqueda; a la Secretaría de Seguridad del Estado de México para fortalecer la coordinación con las policías municipales en acciones de búsqueda inmediata; a los 125 Ayuntamientos del Estado de México para fortalecer o, en su caso, conformar Células Municipales de Búsqueda que permitan participar de manera inmediata en las acciones de localización de personas desaparecidas; a las autoridades estatales y municipales para analizar la implementación de un Sistema Estatal de Búsqueda Inmediata Municipal que permita la activación inmediata de acciones de búsqueda ante cualquier reporte de desaparición, presentado por la Diputada Emma Laura </w:t>
      </w:r>
      <w:r w:rsidR="00E944E3" w:rsidRPr="0012597A">
        <w:rPr>
          <w:rFonts w:ascii="Times New Roman" w:hAnsi="Times New Roman" w:cs="Times New Roman"/>
          <w:sz w:val="24"/>
          <w:szCs w:val="24"/>
        </w:rPr>
        <w:t>A</w:t>
      </w:r>
      <w:r w:rsidR="00EE01CF" w:rsidRPr="0012597A">
        <w:rPr>
          <w:rFonts w:ascii="Times New Roman" w:hAnsi="Times New Roman" w:cs="Times New Roman"/>
          <w:sz w:val="24"/>
          <w:szCs w:val="24"/>
        </w:rPr>
        <w:t xml:space="preserve">lvarez Villavicencio y el Diputado Pablo Fernández de Cevallos González, en nombre del Grupo Parlamentario del Partido Acción Nacional. </w:t>
      </w:r>
    </w:p>
    <w:p w14:paraId="72A6B9C5" w14:textId="77777777" w:rsidR="00EE01CF" w:rsidRPr="0012597A" w:rsidRDefault="00EE01C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26. Posicionamiento por el que se expresa la solidaridad con el pueblo de Cuba ante la crisis energética y rechaza toda amenaza de intervención extranjera, presentada por la diputada Selina Trujillo Arismendi, en nombre del Grupo Parlamentario del Partido morena. </w:t>
      </w:r>
    </w:p>
    <w:p w14:paraId="0131BD8C" w14:textId="77777777" w:rsidR="00EE01CF" w:rsidRPr="0012597A" w:rsidRDefault="00EE01C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27. Comunicado en relación con turnos de comisiones.</w:t>
      </w:r>
    </w:p>
    <w:p w14:paraId="6C414473" w14:textId="77777777" w:rsidR="00EE01CF" w:rsidRPr="0012597A" w:rsidRDefault="00EE01CF"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28.- Clausura de la sesión.</w:t>
      </w:r>
    </w:p>
    <w:p w14:paraId="1EEBF082" w14:textId="6EA47701" w:rsidR="00EE01CF" w:rsidRPr="0012597A" w:rsidRDefault="00EE01C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Pide a quienes estén de acuerdo en que la propuesta que ha dado a conocer la Secretaría sea aprobada como orden del día, se sirva levantar la mano ¿En contra? ¿En abstención?</w:t>
      </w:r>
    </w:p>
    <w:p w14:paraId="5C766C7D" w14:textId="77777777" w:rsidR="00EE01CF" w:rsidRPr="0012597A" w:rsidRDefault="00EE01C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La propuesta del día ha sido aprobada por unanimidad de votos. </w:t>
      </w:r>
    </w:p>
    <w:p w14:paraId="462CD944" w14:textId="77777777" w:rsidR="00EE01CF" w:rsidRPr="0012597A" w:rsidRDefault="00EE01C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4197E816" w14:textId="5ED6DBE3" w:rsidR="00EE01CF" w:rsidRPr="0012597A" w:rsidRDefault="00EE01C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En cuanto al punto número 1, comunico a la Legislatura que el acta de la sesión anterior fue publicada</w:t>
      </w:r>
      <w:r w:rsidR="00BD2B8B" w:rsidRPr="0012597A">
        <w:rPr>
          <w:rFonts w:ascii="Times New Roman" w:hAnsi="Times New Roman" w:cs="Times New Roman"/>
          <w:sz w:val="24"/>
          <w:szCs w:val="24"/>
        </w:rPr>
        <w:t>…</w:t>
      </w:r>
    </w:p>
    <w:p w14:paraId="7BAF5A6C" w14:textId="77777777" w:rsidR="00EE01CF" w:rsidRPr="0012597A" w:rsidRDefault="00EE01C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¿Con qué objeto? Adelante, diputada Leticia Mejía. </w:t>
      </w:r>
    </w:p>
    <w:p w14:paraId="112CD78D" w14:textId="6F1759A8" w:rsidR="00AC2B9C" w:rsidRPr="0012597A" w:rsidRDefault="00EE01C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LETICIA MEJÍA GARCÍA. Compañeras y compañeros diputados, el día de hoy me veo en la necesidad de volver a hablar de un tema muy importante para quienes vivimos en el norte del Estado de México, la autopista Toluca-Atlacomulco, esta vialidad que es tan importante para poder trasladarnos hacia la ciudad de Toluca, hacia la Ciudad de México, entre otros lugares y que cada día se complica su situación en lugar de solucionarse el problema que anteriormente fue expuesto en un exhorto que presentó su servidora el día 19 de noviembre del año pasado, en lugar de solucionarse, se convierte en un problema más grave</w:t>
      </w:r>
      <w:r w:rsidR="00BD2B8B" w:rsidRPr="0012597A">
        <w:rPr>
          <w:rFonts w:ascii="Times New Roman" w:hAnsi="Times New Roman" w:cs="Times New Roman"/>
          <w:sz w:val="24"/>
          <w:szCs w:val="24"/>
        </w:rPr>
        <w:t>, a</w:t>
      </w:r>
      <w:r w:rsidRPr="0012597A">
        <w:rPr>
          <w:rFonts w:ascii="Times New Roman" w:hAnsi="Times New Roman" w:cs="Times New Roman"/>
          <w:sz w:val="24"/>
          <w:szCs w:val="24"/>
        </w:rPr>
        <w:t>ccidentes diarios, pérdidas de vida constante, tráfico permanente, más de tres horas para moverse de un punto a otro y una carretera libre que no es opción por las pésimas condiciones en las que se encuentra y así podemos seguir enlistando un sinfín de problemas que presenta esta vialidad; sin embargo, es indignante, completamente indignante que ante estos problemas que son del conocimiento de los que transitamos esta vialidad, por supuesto de las autoridades y de la concesionaria ideal este fin de semana, sin importar la calidad del servicio que están ofreciendo, aumentan los precios de la caseta Motocicletas 29 pesos, automóviles de 56 a 58 pesos, camiones de dos ejes, 84 pesos, camiones de tres ejes, 145 pesos, camiones de cuatro ejes, 198 pesos ¡Basta ya! La empresa concesionaria de la caseta sigue explotando a los usuarios con un aumento injustificado del cobro, mientras que la inseguridad, la ineficiencia en el sistema del cobro, las malas condiciones del asfalto, la mala señalización y el retraso en los trabajos de reparación</w:t>
      </w:r>
      <w:r w:rsidR="008F06D5" w:rsidRPr="0012597A">
        <w:rPr>
          <w:rFonts w:ascii="Times New Roman" w:hAnsi="Times New Roman" w:cs="Times New Roman"/>
          <w:sz w:val="24"/>
          <w:szCs w:val="24"/>
        </w:rPr>
        <w:t xml:space="preserve"> </w:t>
      </w:r>
      <w:r w:rsidR="00DA3665" w:rsidRPr="0012597A">
        <w:rPr>
          <w:rFonts w:ascii="Times New Roman" w:hAnsi="Times New Roman" w:cs="Times New Roman"/>
          <w:sz w:val="24"/>
          <w:szCs w:val="24"/>
        </w:rPr>
        <w:t>s</w:t>
      </w:r>
      <w:r w:rsidR="00AC2B9C" w:rsidRPr="0012597A">
        <w:rPr>
          <w:rFonts w:ascii="Times New Roman" w:hAnsi="Times New Roman" w:cs="Times New Roman"/>
          <w:sz w:val="24"/>
          <w:szCs w:val="24"/>
        </w:rPr>
        <w:t xml:space="preserve">iguen siendo una constante en el día a día. </w:t>
      </w:r>
      <w:r w:rsidR="00AC2B9C" w:rsidRPr="0012597A">
        <w:rPr>
          <w:rFonts w:ascii="Times New Roman" w:hAnsi="Times New Roman" w:cs="Times New Roman"/>
          <w:sz w:val="24"/>
          <w:szCs w:val="24"/>
        </w:rPr>
        <w:lastRenderedPageBreak/>
        <w:t xml:space="preserve">¿Por qué no trabajan por la noche para acelerar estos trabajos? ¿Por qué no colocan la señalización para poder prevenir accidentes? Por qué nos hacen pagar más por un servicio que no mejora, sino por el contrario, ¿cada vez es más deficiente? Nunca antes como hoy, las condiciones de esas autopistas habían sido tan malas, tan ineficientes, tan inseguras tristemente pareciera que haya oídos sordos porque nada mejora a pesar de que el pueblo lo exige día a día. </w:t>
      </w:r>
    </w:p>
    <w:p w14:paraId="3DB3B997" w14:textId="77777777" w:rsidR="00BD2B8B"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Por eso hoy nuevamente traigo este tema al Congreso la realidad que diariamente en esta la realidad es que diariamente en esta autopista se registran accidentes y pérdidas de vida, dejando a familias no solo con un golpe en su economía, sino también con un vacío irreparable y cuando se necesita atención médica, el seguro de la autopista es tan engorroso que nunca se hace cargo de los gastos médicos</w:t>
      </w:r>
      <w:r w:rsidR="00BD2B8B" w:rsidRPr="0012597A">
        <w:rPr>
          <w:rFonts w:ascii="Times New Roman" w:hAnsi="Times New Roman" w:cs="Times New Roman"/>
          <w:sz w:val="24"/>
          <w:szCs w:val="24"/>
        </w:rPr>
        <w:t>,</w:t>
      </w:r>
      <w:r w:rsidRPr="0012597A">
        <w:rPr>
          <w:rFonts w:ascii="Times New Roman" w:hAnsi="Times New Roman" w:cs="Times New Roman"/>
          <w:sz w:val="24"/>
          <w:szCs w:val="24"/>
        </w:rPr>
        <w:t xml:space="preserve"> el tráfico constante provoca retrasos que tienen consecuencias graves pérdidas de citas médicas, trabajos perdidos y en casos de emergencia de la salud el tránsito se convierte en una carrera contrarreloj por llegar a tiempo para salvar una vida. Es hora de que la empresa ideal concesionaria asuma su responsabilidad y muestre un compromiso real con los usuarios</w:t>
      </w:r>
      <w:r w:rsidR="00BD2B8B" w:rsidRPr="0012597A">
        <w:rPr>
          <w:rFonts w:ascii="Times New Roman" w:hAnsi="Times New Roman" w:cs="Times New Roman"/>
          <w:sz w:val="24"/>
          <w:szCs w:val="24"/>
        </w:rPr>
        <w:t>, s</w:t>
      </w:r>
      <w:r w:rsidRPr="0012597A">
        <w:rPr>
          <w:rFonts w:ascii="Times New Roman" w:hAnsi="Times New Roman" w:cs="Times New Roman"/>
          <w:sz w:val="24"/>
          <w:szCs w:val="24"/>
        </w:rPr>
        <w:t>i no prestan un servicio eficiente, no hay necesidad de pagar por él y mucho menos tienen derecho a subir el precio de esta caseta, no queremos más abusos</w:t>
      </w:r>
      <w:r w:rsidR="00BD2B8B" w:rsidRPr="0012597A">
        <w:rPr>
          <w:rFonts w:ascii="Times New Roman" w:hAnsi="Times New Roman" w:cs="Times New Roman"/>
          <w:sz w:val="24"/>
          <w:szCs w:val="24"/>
        </w:rPr>
        <w:t>, l</w:t>
      </w:r>
      <w:r w:rsidRPr="0012597A">
        <w:rPr>
          <w:rFonts w:ascii="Times New Roman" w:hAnsi="Times New Roman" w:cs="Times New Roman"/>
          <w:sz w:val="24"/>
          <w:szCs w:val="24"/>
        </w:rPr>
        <w:t>o digo claro</w:t>
      </w:r>
      <w:r w:rsidR="00BD2B8B" w:rsidRPr="0012597A">
        <w:rPr>
          <w:rFonts w:ascii="Times New Roman" w:hAnsi="Times New Roman" w:cs="Times New Roman"/>
          <w:sz w:val="24"/>
          <w:szCs w:val="24"/>
        </w:rPr>
        <w:t>, n</w:t>
      </w:r>
      <w:r w:rsidRPr="0012597A">
        <w:rPr>
          <w:rFonts w:ascii="Times New Roman" w:hAnsi="Times New Roman" w:cs="Times New Roman"/>
          <w:sz w:val="24"/>
          <w:szCs w:val="24"/>
        </w:rPr>
        <w:t xml:space="preserve">o queremos más abusos quienes transitamos por esta vialidad queremos un servicio eficiente y seguro exigimos una explicación de </w:t>
      </w:r>
      <w:r w:rsidR="00BD2B8B" w:rsidRPr="0012597A">
        <w:rPr>
          <w:rFonts w:ascii="Times New Roman" w:hAnsi="Times New Roman" w:cs="Times New Roman"/>
          <w:sz w:val="24"/>
          <w:szCs w:val="24"/>
        </w:rPr>
        <w:t>¿P</w:t>
      </w:r>
      <w:r w:rsidRPr="0012597A">
        <w:rPr>
          <w:rFonts w:ascii="Times New Roman" w:hAnsi="Times New Roman" w:cs="Times New Roman"/>
          <w:sz w:val="24"/>
          <w:szCs w:val="24"/>
        </w:rPr>
        <w:t>or qué se llevan a cabo estos aumentos</w:t>
      </w:r>
      <w:r w:rsidR="00BD2B8B" w:rsidRPr="0012597A">
        <w:rPr>
          <w:rFonts w:ascii="Times New Roman" w:hAnsi="Times New Roman" w:cs="Times New Roman"/>
          <w:sz w:val="24"/>
          <w:szCs w:val="24"/>
        </w:rPr>
        <w:t>?</w:t>
      </w:r>
      <w:r w:rsidRPr="0012597A">
        <w:rPr>
          <w:rFonts w:ascii="Times New Roman" w:hAnsi="Times New Roman" w:cs="Times New Roman"/>
          <w:sz w:val="24"/>
          <w:szCs w:val="24"/>
        </w:rPr>
        <w:t xml:space="preserve">, de </w:t>
      </w:r>
      <w:r w:rsidR="00BD2B8B" w:rsidRPr="0012597A">
        <w:rPr>
          <w:rFonts w:ascii="Times New Roman" w:hAnsi="Times New Roman" w:cs="Times New Roman"/>
          <w:sz w:val="24"/>
          <w:szCs w:val="24"/>
        </w:rPr>
        <w:t>¿P</w:t>
      </w:r>
      <w:r w:rsidRPr="0012597A">
        <w:rPr>
          <w:rFonts w:ascii="Times New Roman" w:hAnsi="Times New Roman" w:cs="Times New Roman"/>
          <w:sz w:val="24"/>
          <w:szCs w:val="24"/>
        </w:rPr>
        <w:t>or qué los trabajos no se aceleran y de por qué las condiciones de esta autopista no mejoran</w:t>
      </w:r>
      <w:r w:rsidR="00BD2B8B" w:rsidRPr="0012597A">
        <w:rPr>
          <w:rFonts w:ascii="Times New Roman" w:hAnsi="Times New Roman" w:cs="Times New Roman"/>
          <w:sz w:val="24"/>
          <w:szCs w:val="24"/>
        </w:rPr>
        <w:t>?</w:t>
      </w:r>
    </w:p>
    <w:p w14:paraId="0055E882" w14:textId="15D85031" w:rsidR="00AC2B9C" w:rsidRPr="0012597A" w:rsidRDefault="00AC2B9C"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Exigimos una solución inmediata la economía de nuestras familias es afectada diariamente y la seguridad de ellas también no podemos seguir siendo un juego para la concesionaria y desde este congreso exigimos a dicha concesionaria que preste un trabajo eficiente en esa autopista</w:t>
      </w:r>
      <w:r w:rsidR="00F320DD" w:rsidRPr="0012597A">
        <w:rPr>
          <w:rFonts w:ascii="Times New Roman" w:hAnsi="Times New Roman" w:cs="Times New Roman"/>
          <w:sz w:val="24"/>
          <w:szCs w:val="24"/>
        </w:rPr>
        <w:t xml:space="preserve"> y</w:t>
      </w:r>
      <w:r w:rsidRPr="0012597A">
        <w:rPr>
          <w:rFonts w:ascii="Times New Roman" w:hAnsi="Times New Roman" w:cs="Times New Roman"/>
          <w:sz w:val="24"/>
          <w:szCs w:val="24"/>
        </w:rPr>
        <w:t xml:space="preserve"> también, si no fuera así, el pueblo lo demandara.</w:t>
      </w:r>
    </w:p>
    <w:p w14:paraId="7AC5841C" w14:textId="77777777" w:rsidR="00AC2B9C"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 Es </w:t>
      </w:r>
      <w:proofErr w:type="spellStart"/>
      <w:r w:rsidRPr="0012597A">
        <w:rPr>
          <w:rFonts w:ascii="Times New Roman" w:hAnsi="Times New Roman" w:cs="Times New Roman"/>
          <w:sz w:val="24"/>
          <w:szCs w:val="24"/>
        </w:rPr>
        <w:t>cuanto</w:t>
      </w:r>
      <w:proofErr w:type="spellEnd"/>
      <w:r w:rsidRPr="0012597A">
        <w:rPr>
          <w:rFonts w:ascii="Times New Roman" w:hAnsi="Times New Roman" w:cs="Times New Roman"/>
          <w:sz w:val="24"/>
          <w:szCs w:val="24"/>
        </w:rPr>
        <w:t>. Gracias.</w:t>
      </w:r>
    </w:p>
    <w:p w14:paraId="066A31EB" w14:textId="40B558D3" w:rsidR="00AC2B9C"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Gracias, </w:t>
      </w:r>
      <w:r w:rsidR="00BD2B8B" w:rsidRPr="0012597A">
        <w:rPr>
          <w:rFonts w:ascii="Times New Roman" w:hAnsi="Times New Roman" w:cs="Times New Roman"/>
          <w:sz w:val="24"/>
          <w:szCs w:val="24"/>
        </w:rPr>
        <w:t xml:space="preserve">diputada </w:t>
      </w:r>
      <w:r w:rsidRPr="0012597A">
        <w:rPr>
          <w:rFonts w:ascii="Times New Roman" w:hAnsi="Times New Roman" w:cs="Times New Roman"/>
          <w:sz w:val="24"/>
          <w:szCs w:val="24"/>
        </w:rPr>
        <w:t xml:space="preserve">Leticia Mejía García. </w:t>
      </w:r>
    </w:p>
    <w:p w14:paraId="764414D0" w14:textId="77777777" w:rsidR="00F320DD"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En cuanto al punto número 1, comunico a la Legislatura que el acta de la sesión anterior fue publicada en la Gaceta Parlamentaria. </w:t>
      </w:r>
    </w:p>
    <w:p w14:paraId="3309BD18" w14:textId="793CC78A" w:rsidR="00AC2B9C" w:rsidRPr="0012597A" w:rsidRDefault="00AC2B9C"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En tal sentido, les pregunto si existen observaciones y o comentarios</w:t>
      </w:r>
      <w:r w:rsidR="00F320DD" w:rsidRPr="0012597A">
        <w:rPr>
          <w:rFonts w:ascii="Times New Roman" w:hAnsi="Times New Roman" w:cs="Times New Roman"/>
          <w:sz w:val="24"/>
          <w:szCs w:val="24"/>
        </w:rPr>
        <w:t xml:space="preserve">, de </w:t>
      </w:r>
      <w:r w:rsidRPr="0012597A">
        <w:rPr>
          <w:rFonts w:ascii="Times New Roman" w:hAnsi="Times New Roman" w:cs="Times New Roman"/>
          <w:sz w:val="24"/>
          <w:szCs w:val="24"/>
        </w:rPr>
        <w:t>s</w:t>
      </w:r>
      <w:r w:rsidR="00F320DD" w:rsidRPr="0012597A">
        <w:rPr>
          <w:rFonts w:ascii="Times New Roman" w:hAnsi="Times New Roman" w:cs="Times New Roman"/>
          <w:sz w:val="24"/>
          <w:szCs w:val="24"/>
        </w:rPr>
        <w:t>er</w:t>
      </w:r>
      <w:r w:rsidRPr="0012597A">
        <w:rPr>
          <w:rFonts w:ascii="Times New Roman" w:hAnsi="Times New Roman" w:cs="Times New Roman"/>
          <w:sz w:val="24"/>
          <w:szCs w:val="24"/>
        </w:rPr>
        <w:t xml:space="preserve"> así...</w:t>
      </w:r>
    </w:p>
    <w:p w14:paraId="17A80874" w14:textId="3D571047" w:rsidR="00AC2B9C"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Diputado Octavio Martínez Vargas ¿Con qué objeto?</w:t>
      </w:r>
    </w:p>
    <w:p w14:paraId="24590F9A" w14:textId="763BDD01" w:rsidR="00AC2B9C"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kern w:val="2"/>
          <w:sz w:val="24"/>
          <w:szCs w:val="24"/>
          <w:lang w:eastAsia="es-MX"/>
        </w:rPr>
        <w:t>DIP. OCTAVIO MARTÍNEZ VARGAS</w:t>
      </w:r>
      <w:r w:rsidR="00D909F2" w:rsidRPr="0012597A">
        <w:rPr>
          <w:rFonts w:ascii="Times New Roman" w:hAnsi="Times New Roman" w:cs="Times New Roman"/>
          <w:kern w:val="2"/>
          <w:sz w:val="24"/>
          <w:szCs w:val="24"/>
          <w:lang w:eastAsia="es-MX"/>
        </w:rPr>
        <w:t xml:space="preserve"> (Desde su curul)</w:t>
      </w:r>
      <w:r w:rsidR="00877A10" w:rsidRPr="0012597A">
        <w:rPr>
          <w:rFonts w:ascii="Times New Roman" w:hAnsi="Times New Roman" w:cs="Times New Roman"/>
          <w:kern w:val="2"/>
          <w:sz w:val="24"/>
          <w:szCs w:val="24"/>
          <w:lang w:eastAsia="es-MX"/>
        </w:rPr>
        <w:t>.</w:t>
      </w:r>
      <w:r w:rsidRPr="0012597A">
        <w:rPr>
          <w:rFonts w:ascii="Times New Roman" w:hAnsi="Times New Roman" w:cs="Times New Roman"/>
          <w:kern w:val="2"/>
          <w:sz w:val="24"/>
          <w:szCs w:val="24"/>
          <w:lang w:eastAsia="es-MX"/>
        </w:rPr>
        <w:t xml:space="preserve"> </w:t>
      </w:r>
      <w:r w:rsidRPr="0012597A">
        <w:rPr>
          <w:rFonts w:ascii="Times New Roman" w:hAnsi="Times New Roman" w:cs="Times New Roman"/>
          <w:sz w:val="24"/>
          <w:szCs w:val="24"/>
        </w:rPr>
        <w:t>Para hechos.</w:t>
      </w:r>
    </w:p>
    <w:p w14:paraId="07B84909" w14:textId="719A5916" w:rsidR="00AC2B9C"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Gracias, Presidenta. Para hechos, si me permite.</w:t>
      </w:r>
    </w:p>
    <w:p w14:paraId="43D699B0" w14:textId="1ED9905A" w:rsidR="00871E0D" w:rsidRPr="0012597A" w:rsidRDefault="00AC2B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Bueno, solo subrayar que en lo que va de esta administración que encabeza la Maestra Delfina, que está por cumplir dos años, siete meses, no ha habido modificaciones a contratos de concesión ni concesiones a empresas, las que operan en el Estado de México, todas fueron concesionadas por los anteriores gobiernos en el marco de las concesiones, que son del orden de 40 a 50 años, se establece el incremento de cuotas</w:t>
      </w:r>
      <w:r w:rsidR="00F320DD" w:rsidRPr="0012597A">
        <w:rPr>
          <w:rFonts w:ascii="Times New Roman" w:hAnsi="Times New Roman" w:cs="Times New Roman"/>
          <w:sz w:val="24"/>
          <w:szCs w:val="24"/>
        </w:rPr>
        <w:t>; e</w:t>
      </w:r>
      <w:r w:rsidRPr="0012597A">
        <w:rPr>
          <w:rFonts w:ascii="Times New Roman" w:hAnsi="Times New Roman" w:cs="Times New Roman"/>
          <w:sz w:val="24"/>
          <w:szCs w:val="24"/>
        </w:rPr>
        <w:t xml:space="preserve">s el gobierno de la Maestra Delfina quien ha instruido a través de la Secretaría de Movilidad y </w:t>
      </w:r>
      <w:r w:rsidRPr="0012597A">
        <w:rPr>
          <w:rFonts w:ascii="Times New Roman" w:hAnsi="Times New Roman" w:cs="Times New Roman"/>
          <w:sz w:val="24"/>
          <w:szCs w:val="24"/>
          <w:shd w:val="clear" w:color="auto" w:fill="FFFFFF"/>
        </w:rPr>
        <w:t>SAASCAEM</w:t>
      </w:r>
      <w:r w:rsidRPr="0012597A">
        <w:rPr>
          <w:rFonts w:ascii="Times New Roman" w:hAnsi="Times New Roman" w:cs="Times New Roman"/>
          <w:sz w:val="24"/>
          <w:szCs w:val="24"/>
        </w:rPr>
        <w:t xml:space="preserve">, que se mantenga el buen cuidado, que se dé cumplimiento puntual y de no ser así, pues explorar algunas sanciones a los concesionarios. </w:t>
      </w:r>
    </w:p>
    <w:p w14:paraId="1AD2D05A" w14:textId="4C1B4679" w:rsidR="007108B6" w:rsidRPr="0012597A" w:rsidRDefault="00AC2B9C"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Había una empresa en el marco de la concesión que dieron en pasados gobiernos que hacía el aforo vehicular y por cada vehículo que cruzaba la caseta se cobraba un peso adicional para la empresa que aflorara</w:t>
      </w:r>
      <w:r w:rsidR="00F320DD" w:rsidRPr="0012597A">
        <w:rPr>
          <w:rFonts w:ascii="Times New Roman" w:hAnsi="Times New Roman" w:cs="Times New Roman"/>
          <w:sz w:val="24"/>
          <w:szCs w:val="24"/>
        </w:rPr>
        <w:t>, e</w:t>
      </w:r>
      <w:r w:rsidRPr="0012597A">
        <w:rPr>
          <w:rFonts w:ascii="Times New Roman" w:hAnsi="Times New Roman" w:cs="Times New Roman"/>
          <w:sz w:val="24"/>
          <w:szCs w:val="24"/>
        </w:rPr>
        <w:t>sto desapareció</w:t>
      </w:r>
      <w:r w:rsidR="00F320DD" w:rsidRPr="0012597A">
        <w:rPr>
          <w:rFonts w:ascii="Times New Roman" w:hAnsi="Times New Roman" w:cs="Times New Roman"/>
          <w:sz w:val="24"/>
          <w:szCs w:val="24"/>
        </w:rPr>
        <w:t>; e</w:t>
      </w:r>
      <w:r w:rsidRPr="0012597A">
        <w:rPr>
          <w:rFonts w:ascii="Times New Roman" w:hAnsi="Times New Roman" w:cs="Times New Roman"/>
          <w:sz w:val="24"/>
          <w:szCs w:val="24"/>
        </w:rPr>
        <w:t xml:space="preserve">ntonces, en resumen, el punto de acuerdo tan sentido que expone nuestra compañera </w:t>
      </w:r>
      <w:proofErr w:type="spellStart"/>
      <w:r w:rsidRPr="0012597A">
        <w:rPr>
          <w:rFonts w:ascii="Times New Roman" w:hAnsi="Times New Roman" w:cs="Times New Roman"/>
          <w:sz w:val="24"/>
          <w:szCs w:val="24"/>
        </w:rPr>
        <w:t>Lety</w:t>
      </w:r>
      <w:proofErr w:type="spellEnd"/>
      <w:r w:rsidRPr="0012597A">
        <w:rPr>
          <w:rFonts w:ascii="Times New Roman" w:hAnsi="Times New Roman" w:cs="Times New Roman"/>
          <w:sz w:val="24"/>
          <w:szCs w:val="24"/>
        </w:rPr>
        <w:t>, el cual compartimos porque está en esas condiciones, fue concesionado por el gobierno al que ella perteneció</w:t>
      </w:r>
      <w:r w:rsidR="00871E0D" w:rsidRPr="0012597A">
        <w:rPr>
          <w:rFonts w:ascii="Times New Roman" w:hAnsi="Times New Roman" w:cs="Times New Roman"/>
          <w:sz w:val="24"/>
          <w:szCs w:val="24"/>
        </w:rPr>
        <w:t>, entonces</w:t>
      </w:r>
      <w:r w:rsidR="007108B6" w:rsidRPr="0012597A">
        <w:rPr>
          <w:rFonts w:ascii="Times New Roman" w:hAnsi="Times New Roman" w:cs="Times New Roman"/>
          <w:sz w:val="24"/>
          <w:szCs w:val="24"/>
        </w:rPr>
        <w:t xml:space="preserve"> habría que puntualizar, evidentemente que no es un tema del actual gobierno, hay que dar cumplimiento, vigilar, pero el incremento de cuotas, la temporalidad del contrato, está establecido en un contrato autorizado y suscrito por pasadas administraciones.</w:t>
      </w:r>
    </w:p>
    <w:p w14:paraId="248FD740"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Muchas gracias, Presidenta.</w:t>
      </w:r>
    </w:p>
    <w:p w14:paraId="3D4181D3" w14:textId="4D6B799B" w:rsidR="007108B6" w:rsidRPr="0012597A" w:rsidRDefault="007108B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PRESIDENTA DIP. MARTHA AZUCENA CAMACHO REYNOSO. Gracias, diputado Octavio Martínez Vargas.</w:t>
      </w:r>
    </w:p>
    <w:p w14:paraId="151E51BF"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En cuanto al punto número 1, comunicó a la Legislatura que el acta de la sesión anterior fue publicada en la Gaceta Parlamentaria; en tal sentido, les pregunto si existen observaciones y/o comentarios y de ser así la Secretaría les atenderá al concluir la sesión.</w:t>
      </w:r>
    </w:p>
    <w:p w14:paraId="5059D523" w14:textId="77777777" w:rsidR="00105B64" w:rsidRPr="0012597A" w:rsidRDefault="00105B64" w:rsidP="00EF1C7F">
      <w:pPr>
        <w:pStyle w:val="Sinespaciado"/>
        <w:jc w:val="both"/>
        <w:rPr>
          <w:rFonts w:ascii="Times New Roman" w:hAnsi="Times New Roman" w:cs="Times New Roman"/>
          <w:sz w:val="24"/>
          <w:szCs w:val="24"/>
        </w:rPr>
      </w:pPr>
    </w:p>
    <w:p w14:paraId="21528578" w14:textId="77777777" w:rsidR="00105B64" w:rsidRPr="0012597A" w:rsidRDefault="00105B64" w:rsidP="00EF1C7F">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(Se inserta documento)</w:t>
      </w:r>
    </w:p>
    <w:p w14:paraId="75D719B1" w14:textId="77777777" w:rsidR="00105B64" w:rsidRPr="0012597A" w:rsidRDefault="00105B64" w:rsidP="00EF1C7F">
      <w:pPr>
        <w:spacing w:after="0" w:line="240" w:lineRule="auto"/>
        <w:jc w:val="center"/>
        <w:rPr>
          <w:rFonts w:ascii="Times New Roman" w:hAnsi="Times New Roman" w:cs="Times New Roman"/>
          <w:sz w:val="24"/>
          <w:szCs w:val="24"/>
        </w:rPr>
      </w:pPr>
    </w:p>
    <w:p w14:paraId="261F7F8A" w14:textId="77777777" w:rsidR="00985E10" w:rsidRPr="0012597A" w:rsidRDefault="00985E10" w:rsidP="00EF1C7F">
      <w:pPr>
        <w:spacing w:after="0" w:line="240" w:lineRule="auto"/>
        <w:jc w:val="both"/>
        <w:rPr>
          <w:rFonts w:ascii="Times New Roman" w:eastAsia="Calibri" w:hAnsi="Times New Roman" w:cs="Times New Roman"/>
          <w:b/>
          <w:sz w:val="24"/>
          <w:szCs w:val="24"/>
        </w:rPr>
      </w:pPr>
      <w:r w:rsidRPr="0012597A">
        <w:rPr>
          <w:rFonts w:ascii="Times New Roman" w:eastAsia="Calibri" w:hAnsi="Times New Roman" w:cs="Times New Roman"/>
          <w:b/>
          <w:sz w:val="24"/>
          <w:szCs w:val="24"/>
        </w:rPr>
        <w:t>ACTA DE LA SESIÓN DELIBERANTE DE LA “LXII” LEGISLATURA DEL  ESTADO DE MÉXICO, CELEBRADA EL DÍA ONCE DE MARZO DE DOS MIL VEINTISÉIS.</w:t>
      </w:r>
    </w:p>
    <w:p w14:paraId="216C9552" w14:textId="77777777" w:rsidR="00985E10" w:rsidRPr="0012597A" w:rsidRDefault="00985E10" w:rsidP="00EF1C7F">
      <w:pPr>
        <w:spacing w:after="0" w:line="240" w:lineRule="auto"/>
        <w:jc w:val="center"/>
        <w:rPr>
          <w:rFonts w:ascii="Times New Roman" w:hAnsi="Times New Roman" w:cs="Times New Roman"/>
          <w:sz w:val="24"/>
          <w:szCs w:val="24"/>
        </w:rPr>
      </w:pPr>
    </w:p>
    <w:p w14:paraId="5DA92981" w14:textId="77777777" w:rsidR="00985E10" w:rsidRPr="0012597A" w:rsidRDefault="00985E10" w:rsidP="00EF1C7F">
      <w:pPr>
        <w:spacing w:after="0" w:line="240" w:lineRule="auto"/>
        <w:jc w:val="center"/>
        <w:rPr>
          <w:rFonts w:ascii="Times New Roman" w:hAnsi="Times New Roman" w:cs="Times New Roman"/>
          <w:b/>
          <w:sz w:val="24"/>
          <w:szCs w:val="24"/>
        </w:rPr>
      </w:pPr>
      <w:r w:rsidRPr="0012597A">
        <w:rPr>
          <w:rFonts w:ascii="Times New Roman" w:eastAsia="Calibri" w:hAnsi="Times New Roman" w:cs="Times New Roman"/>
          <w:b/>
          <w:sz w:val="24"/>
          <w:szCs w:val="24"/>
        </w:rPr>
        <w:t>Presidenta Diputada Martha Azucena Camacho Reynoso.</w:t>
      </w:r>
    </w:p>
    <w:p w14:paraId="3DAA14FA" w14:textId="77777777" w:rsidR="00985E10" w:rsidRPr="0012597A" w:rsidRDefault="00985E10" w:rsidP="00EF1C7F">
      <w:pPr>
        <w:spacing w:after="0" w:line="240" w:lineRule="auto"/>
        <w:jc w:val="both"/>
        <w:rPr>
          <w:rFonts w:ascii="Times New Roman" w:hAnsi="Times New Roman" w:cs="Times New Roman"/>
          <w:sz w:val="24"/>
          <w:szCs w:val="24"/>
        </w:rPr>
      </w:pPr>
    </w:p>
    <w:p w14:paraId="40F38FDD" w14:textId="77777777" w:rsidR="00985E10" w:rsidRPr="0012597A" w:rsidRDefault="00985E10" w:rsidP="00EF1C7F">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cuarenta y dos minutos del día once de marzo de dos mil veintiséis, una vez que la Secretaría verificó la existencia del quórum, mediante el sistema electrónico.  </w:t>
      </w:r>
    </w:p>
    <w:p w14:paraId="5AE2F158" w14:textId="77777777" w:rsidR="00985E10" w:rsidRPr="0012597A" w:rsidRDefault="00985E10" w:rsidP="00EF1C7F">
      <w:pPr>
        <w:spacing w:after="0" w:line="240" w:lineRule="auto"/>
        <w:jc w:val="both"/>
        <w:rPr>
          <w:rFonts w:ascii="Times New Roman" w:hAnsi="Times New Roman" w:cs="Times New Roman"/>
          <w:sz w:val="24"/>
          <w:szCs w:val="24"/>
        </w:rPr>
      </w:pPr>
    </w:p>
    <w:p w14:paraId="4F519190" w14:textId="77777777" w:rsidR="00985E10" w:rsidRPr="0012597A" w:rsidRDefault="00985E10" w:rsidP="00EF1C7F">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14:paraId="074A1DED" w14:textId="77777777" w:rsidR="00985E10" w:rsidRPr="0012597A" w:rsidRDefault="00985E10" w:rsidP="00EF1C7F">
      <w:pPr>
        <w:spacing w:after="0" w:line="240" w:lineRule="auto"/>
        <w:jc w:val="both"/>
        <w:rPr>
          <w:rFonts w:ascii="Times New Roman" w:eastAsia="Calibri" w:hAnsi="Times New Roman" w:cs="Times New Roman"/>
          <w:sz w:val="24"/>
          <w:szCs w:val="24"/>
        </w:rPr>
      </w:pPr>
    </w:p>
    <w:p w14:paraId="416AD40E" w14:textId="77777777" w:rsidR="00985E10" w:rsidRPr="0012597A" w:rsidRDefault="00985E10" w:rsidP="00EF1C7F">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14:paraId="3A55F773" w14:textId="77777777" w:rsidR="00985E10" w:rsidRPr="0012597A" w:rsidRDefault="00985E10" w:rsidP="00EF1C7F">
      <w:pPr>
        <w:spacing w:after="0" w:line="240" w:lineRule="auto"/>
        <w:jc w:val="both"/>
        <w:rPr>
          <w:rFonts w:ascii="Times New Roman" w:hAnsi="Times New Roman" w:cs="Times New Roman"/>
          <w:sz w:val="24"/>
          <w:szCs w:val="24"/>
          <w:lang w:eastAsia="es-MX"/>
        </w:rPr>
      </w:pPr>
    </w:p>
    <w:p w14:paraId="0F02D2DE"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2.- La diputada María del Carmen de la Rosa Mendoza hace uso de la palabra, para dar lectura al Dictamen de la Iniciativa con Proyecto de Decreto por el que se reforman y adicionan diversas disposiciones al Código Civil del Estado de México y la Ley de Igualdad de Trato y Oportunidades entre Mujeres y Hombres del Estado de México, presentada por la propia diputada, en nombre del Grupo Parlamentario del Partido morena; y de la Iniciativa con Proyecto de Decreto por el que se agrega la fracción X, recorriéndose las subsecuentes, del artículo 96 </w:t>
      </w:r>
      <w:proofErr w:type="spellStart"/>
      <w:r w:rsidRPr="0012597A">
        <w:rPr>
          <w:rFonts w:ascii="Times New Roman" w:hAnsi="Times New Roman" w:cs="Times New Roman"/>
          <w:sz w:val="24"/>
          <w:szCs w:val="24"/>
        </w:rPr>
        <w:t>Quaterdecie</w:t>
      </w:r>
      <w:proofErr w:type="spellEnd"/>
      <w:r w:rsidRPr="0012597A">
        <w:rPr>
          <w:rFonts w:ascii="Times New Roman" w:hAnsi="Times New Roman" w:cs="Times New Roman"/>
          <w:sz w:val="24"/>
          <w:szCs w:val="24"/>
        </w:rPr>
        <w:t xml:space="preserve"> de la Ley Orgánica Municipal del Estado de México y se adiciona la fracción VIII, recorriéndose la subsecuente, del artículo 10 de la Ley de Igualdad de Trato y Oportunidades entre Mujeres y Hombres del Estado de México, presentada por el Grupo Parlamentario del Partido de la Revolución Democrática, ambas en materia de corresponsabilidad familiar, formulado por las Comisiones Legislativas Unidas de Procuración y Administración de Justicia y Para la Igualdad de Género. </w:t>
      </w:r>
    </w:p>
    <w:p w14:paraId="7A604B30" w14:textId="77777777" w:rsidR="00985E10" w:rsidRPr="0012597A" w:rsidRDefault="00985E10" w:rsidP="00EF1C7F">
      <w:pPr>
        <w:spacing w:after="0" w:line="240" w:lineRule="auto"/>
        <w:jc w:val="both"/>
        <w:rPr>
          <w:rFonts w:ascii="Times New Roman" w:hAnsi="Times New Roman" w:cs="Times New Roman"/>
          <w:sz w:val="24"/>
          <w:szCs w:val="24"/>
        </w:rPr>
      </w:pPr>
    </w:p>
    <w:p w14:paraId="5B3167A6"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Para hablar sobre el dictamen, hace uso de la palabra la diputada Selina Trujillo Arizmendi.</w:t>
      </w:r>
    </w:p>
    <w:p w14:paraId="116224D9" w14:textId="77777777" w:rsidR="00985E10" w:rsidRPr="0012597A" w:rsidRDefault="00985E10" w:rsidP="00EF1C7F">
      <w:pPr>
        <w:spacing w:after="0" w:line="240" w:lineRule="auto"/>
        <w:jc w:val="both"/>
        <w:rPr>
          <w:rFonts w:ascii="Times New Roman" w:hAnsi="Times New Roman" w:cs="Times New Roman"/>
          <w:sz w:val="24"/>
          <w:szCs w:val="24"/>
        </w:rPr>
      </w:pPr>
    </w:p>
    <w:p w14:paraId="7D2C4EA1"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27D1605D"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p>
    <w:p w14:paraId="266A9C97"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3.- La diputada Sandra Patricia Santos Rodríguez hace uso de la palabra, para dar lectura al Dictamen de la Iniciativa con Proyecto de Decreto por el que se reforma el artículo 1 y se adiciona una fracción VIII recorriéndose de manera subsecuente las demás, al artículo 7 ambos de la Ley de Acceso de las Mujeres a una Vida Libre de Violencia del Estado de México, presentada por la propia diputada, en nombre del Grupo Parlamentario del Partido morena; y de la Iniciativa con Proyecto de Decreto por el que se adicionan y reforman diversas disposiciones de la Ley de Acceso de las Mujeres a una Vida Libre de Violencia del Estado de México, presentada por el Grupo Parlamentario del Partido Verde Ecologista de México; todas relativas a la violencia digital, formulado por la Comisión Legislativa de Procuración y Administración de Justicia. </w:t>
      </w:r>
    </w:p>
    <w:p w14:paraId="6306074C" w14:textId="77777777" w:rsidR="00985E10" w:rsidRPr="0012597A" w:rsidRDefault="00985E10" w:rsidP="00EF1C7F">
      <w:pPr>
        <w:spacing w:after="0" w:line="240" w:lineRule="auto"/>
        <w:jc w:val="both"/>
        <w:rPr>
          <w:rFonts w:ascii="Times New Roman" w:hAnsi="Times New Roman" w:cs="Times New Roman"/>
          <w:sz w:val="24"/>
          <w:szCs w:val="24"/>
        </w:rPr>
      </w:pPr>
    </w:p>
    <w:p w14:paraId="7952E285"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Para hablar sobre el dictamen, hace uso de la palabra la diputada Alejandra Figueroa Adame.</w:t>
      </w:r>
    </w:p>
    <w:p w14:paraId="7BC90871" w14:textId="77777777" w:rsidR="00985E10" w:rsidRPr="0012597A" w:rsidRDefault="00985E10" w:rsidP="00EF1C7F">
      <w:pPr>
        <w:spacing w:after="0" w:line="240" w:lineRule="auto"/>
        <w:jc w:val="both"/>
        <w:rPr>
          <w:rFonts w:ascii="Times New Roman" w:hAnsi="Times New Roman" w:cs="Times New Roman"/>
          <w:sz w:val="24"/>
          <w:szCs w:val="24"/>
        </w:rPr>
      </w:pPr>
    </w:p>
    <w:p w14:paraId="6A55C844"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77F0C439"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p>
    <w:p w14:paraId="6AA4B1A5"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4.- El diputado Edgar Samuel Ríos Moreno hace uso de la palabra, para dar lectura al Dictamen de la Iniciativa con Proyecto de Decreto por la que se reforman y adicionan diversas disposiciones de la Ley de Gobierno Digital del Estado de México y Municipios y Ley para la Mejora Regulatoria del Estado de México y sus Municipios, en materia de inteligencia artificial en ámbito estatal, presentada por el propio diputado, en nombre del Grupo Parlamentario del Partido morena, formulado por la Comisión Legislativa de Desarrollo Económico, Industrial, Comercial y Minero. </w:t>
      </w:r>
    </w:p>
    <w:p w14:paraId="4B3FF95B"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p>
    <w:p w14:paraId="704DFFE8"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7B5F5E0A" w14:textId="77777777" w:rsidR="00985E10" w:rsidRPr="0012597A" w:rsidRDefault="00985E10" w:rsidP="00EF1C7F">
      <w:pPr>
        <w:spacing w:after="0" w:line="240" w:lineRule="auto"/>
        <w:jc w:val="both"/>
        <w:rPr>
          <w:rFonts w:ascii="Times New Roman" w:hAnsi="Times New Roman" w:cs="Times New Roman"/>
          <w:sz w:val="24"/>
          <w:szCs w:val="24"/>
        </w:rPr>
      </w:pPr>
    </w:p>
    <w:p w14:paraId="14A7A217"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5.- La diputada María José Pérez Domínguez hace uso de la palabra, para dar lectura a la Iniciativa de Decreto por el que se autoriza al H. Ayuntamiento de Texcoco,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presentado por la Titular del Ejecutivo Estatal. (De urgente y obvia resolución). Solicita la dispensa del trámite de dictamen.</w:t>
      </w:r>
    </w:p>
    <w:p w14:paraId="7E021AF4" w14:textId="77777777" w:rsidR="00985E10" w:rsidRPr="0012597A" w:rsidRDefault="00985E10" w:rsidP="00EF1C7F">
      <w:pPr>
        <w:spacing w:after="0" w:line="240" w:lineRule="auto"/>
        <w:jc w:val="both"/>
        <w:rPr>
          <w:rFonts w:ascii="Times New Roman" w:hAnsi="Times New Roman" w:cs="Times New Roman"/>
          <w:sz w:val="24"/>
          <w:szCs w:val="24"/>
        </w:rPr>
      </w:pPr>
    </w:p>
    <w:p w14:paraId="31D0F13C"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Para hablar sobre la Iniciativa, hace uso de la palabra la diputada María José Pérez Domínguez.</w:t>
      </w:r>
    </w:p>
    <w:p w14:paraId="37C36888" w14:textId="77777777" w:rsidR="00985E10" w:rsidRPr="0012597A" w:rsidRDefault="00985E10" w:rsidP="00EF1C7F">
      <w:pPr>
        <w:spacing w:after="0" w:line="240" w:lineRule="auto"/>
        <w:jc w:val="both"/>
        <w:rPr>
          <w:rFonts w:ascii="Times New Roman" w:hAnsi="Times New Roman" w:cs="Times New Roman"/>
          <w:sz w:val="24"/>
          <w:szCs w:val="24"/>
        </w:rPr>
      </w:pPr>
    </w:p>
    <w:p w14:paraId="5E8E0C29"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Es aprobada la dispensa del trámite de dictamen, por unanimidad de votos. </w:t>
      </w:r>
    </w:p>
    <w:p w14:paraId="0A756A2C" w14:textId="77777777" w:rsidR="00985E10" w:rsidRPr="0012597A" w:rsidRDefault="00985E10" w:rsidP="00EF1C7F">
      <w:pPr>
        <w:spacing w:after="0" w:line="240" w:lineRule="auto"/>
        <w:jc w:val="both"/>
        <w:rPr>
          <w:rFonts w:ascii="Times New Roman" w:hAnsi="Times New Roman" w:cs="Times New Roman"/>
          <w:sz w:val="24"/>
          <w:szCs w:val="24"/>
        </w:rPr>
      </w:pPr>
    </w:p>
    <w:p w14:paraId="5576D554"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lastRenderedPageBreak/>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4AE2CBF6" w14:textId="77777777" w:rsidR="00985E10" w:rsidRPr="0012597A" w:rsidRDefault="00985E10" w:rsidP="00EF1C7F">
      <w:pPr>
        <w:spacing w:after="0" w:line="240" w:lineRule="auto"/>
        <w:jc w:val="both"/>
        <w:rPr>
          <w:rFonts w:ascii="Times New Roman" w:hAnsi="Times New Roman" w:cs="Times New Roman"/>
          <w:sz w:val="24"/>
          <w:szCs w:val="24"/>
        </w:rPr>
      </w:pPr>
    </w:p>
    <w:p w14:paraId="79B76B0A"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6.- La diputada Arleth Stephanie Grimaldo Osorio hace uso de la palabra, para dar lectura a la Iniciativa con Proyecto de Decreto por el que se adicionan las fracciones VIII y VIII Bis del artículo 27 de la Ley de Movilidad y Seguridad Vial del Estado de México y sus Municipios, y se adicionan las fracciones XVII Bis, XVII Ter, XVII </w:t>
      </w:r>
      <w:proofErr w:type="spellStart"/>
      <w:r w:rsidRPr="0012597A">
        <w:rPr>
          <w:rFonts w:ascii="Times New Roman" w:hAnsi="Times New Roman" w:cs="Times New Roman"/>
          <w:sz w:val="24"/>
          <w:szCs w:val="24"/>
        </w:rPr>
        <w:t>Quarter</w:t>
      </w:r>
      <w:proofErr w:type="spellEnd"/>
      <w:r w:rsidRPr="0012597A">
        <w:rPr>
          <w:rFonts w:ascii="Times New Roman" w:hAnsi="Times New Roman" w:cs="Times New Roman"/>
          <w:sz w:val="24"/>
          <w:szCs w:val="24"/>
        </w:rPr>
        <w:t xml:space="preserve"> del artículo 2.8 del Código para la Biodiversidad del Estado de México, para la instalación de máquinas recicladoras en estaciones del transporte público, presentada por la propia diputada, en nombre del Grupo Parlamentario del Partido morena. </w:t>
      </w:r>
    </w:p>
    <w:p w14:paraId="0C925433" w14:textId="77777777" w:rsidR="00985E10" w:rsidRPr="0012597A" w:rsidRDefault="00985E10" w:rsidP="00EF1C7F">
      <w:pPr>
        <w:spacing w:after="0" w:line="240" w:lineRule="auto"/>
        <w:jc w:val="both"/>
        <w:rPr>
          <w:rFonts w:ascii="Times New Roman" w:hAnsi="Times New Roman" w:cs="Times New Roman"/>
          <w:sz w:val="24"/>
          <w:szCs w:val="24"/>
        </w:rPr>
      </w:pPr>
    </w:p>
    <w:p w14:paraId="64B4DBDA"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La Presidencia la </w:t>
      </w:r>
      <w:r w:rsidRPr="0012597A">
        <w:rPr>
          <w:rFonts w:ascii="Times New Roman" w:eastAsia="Times New Roman" w:hAnsi="Times New Roman" w:cs="Times New Roman"/>
          <w:sz w:val="24"/>
          <w:szCs w:val="24"/>
          <w:lang w:eastAsia="es-MX"/>
        </w:rPr>
        <w:t xml:space="preserve">remite a las Comisiones Legislativas de Comunicaciones y Transporte y de Protección Ambiental y Cambio Climático, para su estudio y dictamen. </w:t>
      </w:r>
    </w:p>
    <w:p w14:paraId="0963244C" w14:textId="77777777" w:rsidR="00985E10" w:rsidRPr="0012597A" w:rsidRDefault="00985E10" w:rsidP="00EF1C7F">
      <w:pPr>
        <w:spacing w:after="0" w:line="240" w:lineRule="auto"/>
        <w:jc w:val="both"/>
        <w:rPr>
          <w:rFonts w:ascii="Times New Roman" w:hAnsi="Times New Roman" w:cs="Times New Roman"/>
          <w:sz w:val="24"/>
          <w:szCs w:val="24"/>
        </w:rPr>
      </w:pPr>
    </w:p>
    <w:p w14:paraId="3B7432E1"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7.- El diputado Israel Espíndola López hace uso de la palabra, para dar lectura a la Iniciativa de Decreto por la que se declara al mezcal producido en Almoloya de Alquisiras, Amatepec, Coatepec Harinas, Ixtapan de la Sal, Luvianos, Malinalco, Ocuilan, Sultepec, Tejupilco, Tenancingo, Tlatlaya, Tonatico, Villa Guerrero, Zacualpan y Zumpahuacán, como Patrimonio Cultural Inmaterial del Estado de México, presentada por el propio diputado, en nombre del Grupo Parlamentario del Partido morena.</w:t>
      </w:r>
    </w:p>
    <w:p w14:paraId="73D0AF36" w14:textId="77777777" w:rsidR="00985E10" w:rsidRPr="0012597A" w:rsidRDefault="00985E10" w:rsidP="00EF1C7F">
      <w:pPr>
        <w:spacing w:after="0" w:line="240" w:lineRule="auto"/>
        <w:jc w:val="both"/>
        <w:rPr>
          <w:rFonts w:ascii="Times New Roman" w:hAnsi="Times New Roman" w:cs="Times New Roman"/>
          <w:sz w:val="24"/>
          <w:szCs w:val="24"/>
        </w:rPr>
      </w:pPr>
    </w:p>
    <w:p w14:paraId="27DEA3C7"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las Comisiones Legislativas de Gobernación y Puntos Constitucionales y de Desarrollo Agropecuario y Forestal, para su estudio y dictamen.</w:t>
      </w:r>
    </w:p>
    <w:p w14:paraId="233DD832" w14:textId="77777777" w:rsidR="00985E10" w:rsidRPr="0012597A" w:rsidRDefault="00985E10" w:rsidP="00EF1C7F">
      <w:pPr>
        <w:spacing w:after="0" w:line="240" w:lineRule="auto"/>
        <w:jc w:val="both"/>
        <w:rPr>
          <w:rFonts w:ascii="Times New Roman" w:hAnsi="Times New Roman" w:cs="Times New Roman"/>
          <w:sz w:val="24"/>
          <w:szCs w:val="24"/>
        </w:rPr>
      </w:pPr>
    </w:p>
    <w:p w14:paraId="169BB3E8"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8.- El diputado Edmundo Luis Valdeña Bastida hace uso de la palabra, para dar lectura a la Iniciativa de Decreto por el que se adiciona una fracción al artículo 5 de la Ley del Adulto Mayor del Estado de México, en materia de atención preferente de Adultos Mayores, presentada por el propio diputado, en nombre del Grupo Parlamentario del Partido morena. </w:t>
      </w:r>
    </w:p>
    <w:p w14:paraId="6E519888" w14:textId="77777777" w:rsidR="00985E10" w:rsidRPr="0012597A" w:rsidRDefault="00985E10" w:rsidP="00EF1C7F">
      <w:pPr>
        <w:spacing w:after="0" w:line="240" w:lineRule="auto"/>
        <w:jc w:val="both"/>
        <w:rPr>
          <w:rFonts w:ascii="Times New Roman" w:hAnsi="Times New Roman" w:cs="Times New Roman"/>
          <w:sz w:val="24"/>
          <w:szCs w:val="24"/>
        </w:rPr>
      </w:pPr>
    </w:p>
    <w:p w14:paraId="4B557DA9" w14:textId="77777777" w:rsidR="00985E10" w:rsidRPr="0012597A" w:rsidRDefault="00985E10" w:rsidP="00EF1C7F">
      <w:pPr>
        <w:spacing w:after="0" w:line="240" w:lineRule="auto"/>
        <w:jc w:val="both"/>
        <w:rPr>
          <w:rFonts w:ascii="Times New Roman" w:eastAsia="Arial" w:hAnsi="Times New Roman" w:cs="Times New Roman"/>
          <w:sz w:val="24"/>
          <w:szCs w:val="24"/>
        </w:rPr>
      </w:pPr>
      <w:r w:rsidRPr="0012597A">
        <w:rPr>
          <w:rFonts w:ascii="Times New Roman" w:hAnsi="Times New Roman" w:cs="Times New Roman"/>
          <w:sz w:val="24"/>
          <w:szCs w:val="24"/>
        </w:rPr>
        <w:t xml:space="preserve">La Presidencia la </w:t>
      </w:r>
      <w:r w:rsidRPr="0012597A">
        <w:rPr>
          <w:rFonts w:ascii="Times New Roman" w:eastAsia="Arial" w:hAnsi="Times New Roman" w:cs="Times New Roman"/>
          <w:sz w:val="24"/>
          <w:szCs w:val="24"/>
        </w:rPr>
        <w:t>remite a las Comisiones Legislativas Para la Atención de Grupos Vulnerables y de Desarrollo y Bienestar Social, para su estudio y dictamen.</w:t>
      </w:r>
    </w:p>
    <w:p w14:paraId="29C297BC" w14:textId="77777777" w:rsidR="00985E10" w:rsidRPr="0012597A" w:rsidRDefault="00985E10" w:rsidP="00EF1C7F">
      <w:pPr>
        <w:spacing w:after="0" w:line="240" w:lineRule="auto"/>
        <w:jc w:val="both"/>
        <w:rPr>
          <w:rFonts w:ascii="Times New Roman" w:hAnsi="Times New Roman" w:cs="Times New Roman"/>
          <w:sz w:val="24"/>
          <w:szCs w:val="24"/>
        </w:rPr>
      </w:pPr>
    </w:p>
    <w:p w14:paraId="2943CAE2"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9.- El diputado Edgar Samuel Ríos Moreno hace uso de la palabra, para dar lectura a la Iniciativa con Proyecto de Decreto por el que se declara el 10 de marzo de cada año como el "Día de la Comparsa Mexiquense” como Patrimonio Cultural Inmaterial del Estado de México, presentada por el propio diputado, en nombre del Grupo Parlamentario del Partido morena. </w:t>
      </w:r>
    </w:p>
    <w:p w14:paraId="28CB13CC" w14:textId="77777777" w:rsidR="00985E10" w:rsidRPr="0012597A" w:rsidRDefault="00985E10" w:rsidP="00EF1C7F">
      <w:pPr>
        <w:spacing w:after="0" w:line="240" w:lineRule="auto"/>
        <w:jc w:val="both"/>
        <w:rPr>
          <w:rFonts w:ascii="Times New Roman" w:hAnsi="Times New Roman" w:cs="Times New Roman"/>
          <w:sz w:val="24"/>
          <w:szCs w:val="24"/>
        </w:rPr>
      </w:pPr>
    </w:p>
    <w:p w14:paraId="11C34ED5"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La Presidencia la remite a la Comisión Legislativa de Gobernación y Puntos Constitucionales, para su estudio y dictamen. </w:t>
      </w:r>
    </w:p>
    <w:p w14:paraId="0CB3ED11" w14:textId="77777777" w:rsidR="00985E10" w:rsidRPr="0012597A" w:rsidRDefault="00985E10" w:rsidP="00EF1C7F">
      <w:pPr>
        <w:spacing w:after="0" w:line="240" w:lineRule="auto"/>
        <w:jc w:val="both"/>
        <w:rPr>
          <w:rFonts w:ascii="Times New Roman" w:hAnsi="Times New Roman" w:cs="Times New Roman"/>
          <w:sz w:val="24"/>
          <w:szCs w:val="24"/>
        </w:rPr>
      </w:pPr>
    </w:p>
    <w:p w14:paraId="6D9A54AE"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Para hablar sobre la Iniciativa, hace uso de la palabra el diputado Vladimir Hernández Villegas. </w:t>
      </w:r>
    </w:p>
    <w:p w14:paraId="54AF7731" w14:textId="77777777" w:rsidR="00985E10" w:rsidRPr="0012597A" w:rsidRDefault="00985E10" w:rsidP="00EF1C7F">
      <w:pPr>
        <w:spacing w:after="0" w:line="240" w:lineRule="auto"/>
        <w:jc w:val="both"/>
        <w:rPr>
          <w:rFonts w:ascii="Times New Roman" w:hAnsi="Times New Roman" w:cs="Times New Roman"/>
          <w:sz w:val="24"/>
          <w:szCs w:val="24"/>
        </w:rPr>
      </w:pPr>
    </w:p>
    <w:p w14:paraId="6A7C86DD"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10.- La diputada María José Pérez Domínguez hace uso de la palabra, para dar lectura a la Iniciativa con Proyecto de Decreto, por el que se reforma el artículo 117, de la Constitución Política del </w:t>
      </w:r>
      <w:r w:rsidRPr="0012597A">
        <w:rPr>
          <w:rFonts w:ascii="Times New Roman" w:hAnsi="Times New Roman" w:cs="Times New Roman"/>
          <w:sz w:val="24"/>
          <w:szCs w:val="24"/>
        </w:rPr>
        <w:lastRenderedPageBreak/>
        <w:t xml:space="preserve">Estado Libre y Soberano de México; en materia de paridad de género, presentada por la propia diputada, en nombre del Grupo Parlamentario del Partido morena. </w:t>
      </w:r>
    </w:p>
    <w:p w14:paraId="464EB3FC" w14:textId="77777777" w:rsidR="00985E10" w:rsidRPr="0012597A" w:rsidRDefault="00985E10" w:rsidP="00EF1C7F">
      <w:pPr>
        <w:spacing w:after="0" w:line="240" w:lineRule="auto"/>
        <w:jc w:val="both"/>
        <w:rPr>
          <w:rFonts w:ascii="Times New Roman" w:hAnsi="Times New Roman" w:cs="Times New Roman"/>
          <w:sz w:val="24"/>
          <w:szCs w:val="24"/>
        </w:rPr>
      </w:pPr>
    </w:p>
    <w:p w14:paraId="545BB35F"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hAnsi="Times New Roman" w:cs="Times New Roman"/>
          <w:sz w:val="24"/>
          <w:szCs w:val="24"/>
        </w:rPr>
        <w:t xml:space="preserve">La Presidencia la </w:t>
      </w:r>
      <w:r w:rsidRPr="0012597A">
        <w:rPr>
          <w:rFonts w:ascii="Times New Roman" w:eastAsia="Times New Roman" w:hAnsi="Times New Roman" w:cs="Times New Roman"/>
          <w:sz w:val="24"/>
          <w:szCs w:val="24"/>
          <w:lang w:eastAsia="es-MX"/>
        </w:rPr>
        <w:t>remite a las Comisiones Legislativas de Gobernación y Puntos Constitucionales y Para la Igualdad de Género, para su estudio y dictamen.</w:t>
      </w:r>
    </w:p>
    <w:p w14:paraId="5CFD21C5" w14:textId="77777777" w:rsidR="00985E10" w:rsidRPr="0012597A" w:rsidRDefault="00985E10" w:rsidP="00EF1C7F">
      <w:pPr>
        <w:spacing w:after="0" w:line="240" w:lineRule="auto"/>
        <w:jc w:val="both"/>
        <w:rPr>
          <w:rFonts w:ascii="Times New Roman" w:hAnsi="Times New Roman" w:cs="Times New Roman"/>
          <w:sz w:val="24"/>
          <w:szCs w:val="24"/>
        </w:rPr>
      </w:pPr>
    </w:p>
    <w:p w14:paraId="76056FBC"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11.- El diputado Gerardo Pliego Santana hace uso de la palabra, para dar lectura a la Iniciativa con Proyecto de Decreto por el cual se expide la Ley de Integridad Pública del Estado de México y Municipios, presentada por el propio diputado, en nombre del Grupo Parlamentario del Partido morena.</w:t>
      </w:r>
    </w:p>
    <w:p w14:paraId="499C7216" w14:textId="77777777" w:rsidR="00985E10" w:rsidRPr="0012597A" w:rsidRDefault="00985E10" w:rsidP="00EF1C7F">
      <w:pPr>
        <w:spacing w:after="0" w:line="240" w:lineRule="auto"/>
        <w:jc w:val="both"/>
        <w:rPr>
          <w:rFonts w:ascii="Times New Roman" w:hAnsi="Times New Roman" w:cs="Times New Roman"/>
          <w:sz w:val="24"/>
          <w:szCs w:val="24"/>
        </w:rPr>
      </w:pPr>
    </w:p>
    <w:p w14:paraId="11D19A53"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las Comisiones Legislativas de Gobernación y Puntos Constitucionales y Para el Combate a la Corrupción, para su estudio y dictamen.</w:t>
      </w:r>
    </w:p>
    <w:p w14:paraId="311A1DF2" w14:textId="77777777" w:rsidR="00985E10" w:rsidRPr="0012597A" w:rsidRDefault="00985E10" w:rsidP="00EF1C7F">
      <w:pPr>
        <w:spacing w:after="0" w:line="240" w:lineRule="auto"/>
        <w:jc w:val="both"/>
        <w:rPr>
          <w:rFonts w:ascii="Times New Roman" w:hAnsi="Times New Roman" w:cs="Times New Roman"/>
          <w:sz w:val="24"/>
          <w:szCs w:val="24"/>
        </w:rPr>
      </w:pPr>
    </w:p>
    <w:p w14:paraId="51FBA4CE"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12.- El diputado Octavio Martínez Vargas hace uso de la palabra, para dar lectura a la Iniciativa con Proyecto de Decreto por el que se reforma la fracción XV del artículo 2.8; fracciones IV, XVI y XX del artículo 2.9; artículo 2.140; 2.141; 2.143; fracción III y primer párrafo del artículo 2.144; artículo 2.150; 2.194; se adiciona una fracción XIII recorriéndose las subsecuentes del artículo 2.5; una fracción III al artículo 2.142; una fracción IV al artículo 2.145 y fracciones XVI y XVII recorriéndose las subsecuentes del artículo 2.149 y se modifica la denominación de Capítulo X del Título Quinto del Libro Segundo del Código para la Biodiversidad del Estado de México, en materia de contaminación odorífera, presentada por el propio diputado, en nombre del Grupo Parlamentario del Partido morena.</w:t>
      </w:r>
    </w:p>
    <w:p w14:paraId="3DEE4F26" w14:textId="77777777" w:rsidR="00985E10" w:rsidRPr="0012597A" w:rsidRDefault="00985E10" w:rsidP="00EF1C7F">
      <w:pPr>
        <w:spacing w:after="0" w:line="240" w:lineRule="auto"/>
        <w:jc w:val="both"/>
        <w:rPr>
          <w:rFonts w:ascii="Times New Roman" w:hAnsi="Times New Roman" w:cs="Times New Roman"/>
          <w:sz w:val="24"/>
          <w:szCs w:val="24"/>
        </w:rPr>
      </w:pPr>
    </w:p>
    <w:p w14:paraId="7A5F3640"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 Comisión Legislativa de Protección Ambiental y Cambio Climático, para su estudio y dictamen.</w:t>
      </w:r>
    </w:p>
    <w:p w14:paraId="31B12019" w14:textId="77777777" w:rsidR="00985E10" w:rsidRPr="0012597A" w:rsidRDefault="00985E10" w:rsidP="00EF1C7F">
      <w:pPr>
        <w:spacing w:after="0" w:line="240" w:lineRule="auto"/>
        <w:jc w:val="both"/>
        <w:rPr>
          <w:rFonts w:ascii="Times New Roman" w:hAnsi="Times New Roman" w:cs="Times New Roman"/>
          <w:sz w:val="24"/>
          <w:szCs w:val="24"/>
        </w:rPr>
      </w:pPr>
    </w:p>
    <w:p w14:paraId="732939D1"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hAnsi="Times New Roman" w:cs="Times New Roman"/>
          <w:sz w:val="24"/>
          <w:szCs w:val="24"/>
        </w:rPr>
        <w:t>13.- La diputada Itzel Guadalupe Pérez Correa hace uso de la palabra, para dar lectura y acuerdo conducente de la Iniciativa con Proyecto de Decreto por la que se reforman diversas disposiciones del Código Administrativo del Estado de México, en materia de Áreas Verdes Urbanas, presentada por la propia diputada, en nombre del Grupo Parlamentario del Partido Verde Ecologista de México.</w:t>
      </w:r>
    </w:p>
    <w:p w14:paraId="0F9C05DC"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p>
    <w:p w14:paraId="6F997102"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La Presidencia la </w:t>
      </w:r>
      <w:r w:rsidRPr="0012597A">
        <w:rPr>
          <w:rFonts w:ascii="Times New Roman" w:hAnsi="Times New Roman" w:cs="Times New Roman"/>
          <w:sz w:val="24"/>
          <w:szCs w:val="24"/>
        </w:rPr>
        <w:t>remite a la Comisión Legislativa de Protección Ambiental y Cambio Climático, para su estudio y dictamen.</w:t>
      </w:r>
    </w:p>
    <w:p w14:paraId="6C913A62"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p>
    <w:p w14:paraId="1A79A7BB"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14.- El diputado Carlos Alberto López </w:t>
      </w:r>
      <w:proofErr w:type="spellStart"/>
      <w:r w:rsidRPr="0012597A">
        <w:rPr>
          <w:rFonts w:ascii="Times New Roman" w:hAnsi="Times New Roman" w:cs="Times New Roman"/>
          <w:sz w:val="24"/>
          <w:szCs w:val="24"/>
        </w:rPr>
        <w:t>Imm</w:t>
      </w:r>
      <w:proofErr w:type="spellEnd"/>
      <w:r w:rsidRPr="0012597A">
        <w:rPr>
          <w:rFonts w:ascii="Times New Roman" w:hAnsi="Times New Roman" w:cs="Times New Roman"/>
          <w:sz w:val="24"/>
          <w:szCs w:val="24"/>
        </w:rPr>
        <w:t xml:space="preserve"> hace uso de la palabra, para dar lectura a la Iniciativa con Proyecto de Decreto por el que se expide la Ley de Economía Circular del Estado de México y Municipios, y se reforman diversas disposiciones al Código para la Biodiversidad del Estado de México, en materia de Economía Circular, presentada por el propio diputado, en nombre del Grupo Parlamentario del Partido Verde Ecologista de México. </w:t>
      </w:r>
    </w:p>
    <w:p w14:paraId="48247A97" w14:textId="77777777" w:rsidR="00985E10" w:rsidRPr="0012597A" w:rsidRDefault="00985E10" w:rsidP="00EF1C7F">
      <w:pPr>
        <w:spacing w:after="0" w:line="240" w:lineRule="auto"/>
        <w:jc w:val="both"/>
        <w:rPr>
          <w:rFonts w:ascii="Times New Roman" w:hAnsi="Times New Roman" w:cs="Times New Roman"/>
          <w:sz w:val="24"/>
          <w:szCs w:val="24"/>
        </w:rPr>
      </w:pPr>
    </w:p>
    <w:p w14:paraId="3A7FBB89"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hAnsi="Times New Roman" w:cs="Times New Roman"/>
          <w:sz w:val="24"/>
          <w:szCs w:val="24"/>
        </w:rPr>
        <w:t xml:space="preserve">La Presidencia la </w:t>
      </w:r>
      <w:bookmarkStart w:id="0" w:name="_Hlk224293979"/>
      <w:r w:rsidRPr="0012597A">
        <w:rPr>
          <w:rFonts w:ascii="Times New Roman" w:eastAsia="Times New Roman" w:hAnsi="Times New Roman" w:cs="Times New Roman"/>
          <w:sz w:val="24"/>
          <w:szCs w:val="24"/>
          <w:lang w:eastAsia="es-MX"/>
        </w:rPr>
        <w:t>remite a las Comisiones Legislativas de Desarrollo Económico, Industrial, Comercial y Minero y de Protección Ambiental y Cambio Climático, para su estudio y dictamen.</w:t>
      </w:r>
      <w:bookmarkEnd w:id="0"/>
    </w:p>
    <w:p w14:paraId="514A57F3" w14:textId="77777777" w:rsidR="00985E10" w:rsidRPr="0012597A" w:rsidRDefault="00985E10" w:rsidP="00EF1C7F">
      <w:pPr>
        <w:spacing w:after="0" w:line="240" w:lineRule="auto"/>
        <w:jc w:val="both"/>
        <w:rPr>
          <w:rFonts w:ascii="Times New Roman" w:hAnsi="Times New Roman" w:cs="Times New Roman"/>
          <w:sz w:val="24"/>
          <w:szCs w:val="24"/>
        </w:rPr>
      </w:pPr>
    </w:p>
    <w:p w14:paraId="2C1CF5AC"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15.- La diputada Alejandra Figueroa Adame hace uso de la palabra, para dar lectura a la Iniciativa con Proyecto de Decreto por el que se instituye al Mérito Deportivo del Poder Legislativo del Estado de México como un reconocimiento honorífico que otorgará la H. Legislatura, presentada </w:t>
      </w:r>
      <w:r w:rsidRPr="0012597A">
        <w:rPr>
          <w:rFonts w:ascii="Times New Roman" w:hAnsi="Times New Roman" w:cs="Times New Roman"/>
          <w:sz w:val="24"/>
          <w:szCs w:val="24"/>
        </w:rPr>
        <w:lastRenderedPageBreak/>
        <w:t>por la propia diputada, en nombre del Grupo Parlamentario del Partido Verde Ecologista de México.</w:t>
      </w:r>
    </w:p>
    <w:p w14:paraId="6E098CA4" w14:textId="77777777" w:rsidR="00985E10" w:rsidRPr="0012597A" w:rsidRDefault="00985E10" w:rsidP="00EF1C7F">
      <w:pPr>
        <w:spacing w:after="0" w:line="240" w:lineRule="auto"/>
        <w:jc w:val="both"/>
        <w:rPr>
          <w:rFonts w:ascii="Times New Roman" w:hAnsi="Times New Roman" w:cs="Times New Roman"/>
          <w:sz w:val="24"/>
          <w:szCs w:val="24"/>
        </w:rPr>
      </w:pPr>
    </w:p>
    <w:p w14:paraId="7F656284"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La Presidencia la remite a las Comisiones Legislativas de Gobernación y Puntos Constitucionales y de la Juventud y el Deporte, para su estudio y dictamen. </w:t>
      </w:r>
    </w:p>
    <w:p w14:paraId="6F81545E" w14:textId="77777777" w:rsidR="00985E10" w:rsidRPr="0012597A" w:rsidRDefault="00985E10" w:rsidP="00EF1C7F">
      <w:pPr>
        <w:spacing w:after="0" w:line="240" w:lineRule="auto"/>
        <w:jc w:val="both"/>
        <w:rPr>
          <w:rFonts w:ascii="Times New Roman" w:hAnsi="Times New Roman" w:cs="Times New Roman"/>
          <w:sz w:val="24"/>
          <w:szCs w:val="24"/>
        </w:rPr>
      </w:pPr>
    </w:p>
    <w:p w14:paraId="4F8E8213"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16.- La diputada Yareli Anai Esparza Acevedo hace uso de la palabra, para dar lectura a la Iniciativa con Proyecto de Decreto mediante la cual se reforma la fracción XI Artículo 4.200 del Código Civil del Estado de México, en Materia de Bienestar Digital de Niñas y Niños en su Primera Infancia desde la crianza responsable, presentada por la propia diputada, en nombre del Grupo Parlamentario del Partido del Trabajo. </w:t>
      </w:r>
    </w:p>
    <w:p w14:paraId="2920EA58" w14:textId="77777777" w:rsidR="00985E10" w:rsidRPr="0012597A" w:rsidRDefault="00985E10" w:rsidP="00EF1C7F">
      <w:pPr>
        <w:spacing w:after="0" w:line="240" w:lineRule="auto"/>
        <w:jc w:val="both"/>
        <w:rPr>
          <w:rFonts w:ascii="Times New Roman" w:hAnsi="Times New Roman" w:cs="Times New Roman"/>
          <w:sz w:val="24"/>
          <w:szCs w:val="24"/>
        </w:rPr>
      </w:pPr>
    </w:p>
    <w:p w14:paraId="6ECB0AD5"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La Presidencia la remite a las Comisiones Legislativas de Procuración y Administración de Justicia y de Protección de los Derechos de las Niñas, Niños, Adolescentes y la Primera Infancia, para su estudio y dictamen. </w:t>
      </w:r>
    </w:p>
    <w:p w14:paraId="7E6B778C" w14:textId="77777777" w:rsidR="00985E10" w:rsidRPr="0012597A" w:rsidRDefault="00985E10" w:rsidP="00EF1C7F">
      <w:pPr>
        <w:spacing w:after="0" w:line="240" w:lineRule="auto"/>
        <w:jc w:val="both"/>
        <w:rPr>
          <w:rFonts w:ascii="Times New Roman" w:hAnsi="Times New Roman" w:cs="Times New Roman"/>
          <w:sz w:val="24"/>
          <w:szCs w:val="24"/>
        </w:rPr>
      </w:pPr>
    </w:p>
    <w:p w14:paraId="7BD644E5"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17.- El diputado Eduardo Zarzosa Sánchez hace uso de la palabra, para dar lectura a la Iniciativa con Proyecto de Decreto por el que se reforman y adicionan diversas disposiciones de la Ley de Vivienda del Estado de México, para que los pueblos y comunidades indígenas y </w:t>
      </w:r>
      <w:proofErr w:type="spellStart"/>
      <w:r w:rsidRPr="0012597A">
        <w:rPr>
          <w:rFonts w:ascii="Times New Roman" w:hAnsi="Times New Roman" w:cs="Times New Roman"/>
          <w:sz w:val="24"/>
          <w:szCs w:val="24"/>
        </w:rPr>
        <w:t>afromexicanas</w:t>
      </w:r>
      <w:proofErr w:type="spellEnd"/>
      <w:r w:rsidRPr="0012597A">
        <w:rPr>
          <w:rFonts w:ascii="Times New Roman" w:hAnsi="Times New Roman" w:cs="Times New Roman"/>
          <w:sz w:val="24"/>
          <w:szCs w:val="24"/>
        </w:rPr>
        <w:t xml:space="preserve"> tengan acceso equitativo a la vivienda, presentada por el propio diputado, en nombre del Grupo Parlamentario del Partido Revolucionario Institucional. </w:t>
      </w:r>
    </w:p>
    <w:p w14:paraId="661DFBF3" w14:textId="77777777" w:rsidR="00985E10" w:rsidRPr="0012597A" w:rsidRDefault="00985E10" w:rsidP="00EF1C7F">
      <w:pPr>
        <w:spacing w:after="0" w:line="240" w:lineRule="auto"/>
        <w:jc w:val="both"/>
        <w:rPr>
          <w:rFonts w:ascii="Times New Roman" w:hAnsi="Times New Roman" w:cs="Times New Roman"/>
          <w:sz w:val="24"/>
          <w:szCs w:val="24"/>
        </w:rPr>
      </w:pPr>
    </w:p>
    <w:p w14:paraId="275795BC"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las Comisiones Legislativas de Desarrollo Urbano y de Asuntos Indígenas, para su estudio y dictamen.</w:t>
      </w:r>
    </w:p>
    <w:p w14:paraId="66181BD2" w14:textId="77777777" w:rsidR="00985E10" w:rsidRPr="0012597A" w:rsidRDefault="00985E10" w:rsidP="00EF1C7F">
      <w:pPr>
        <w:spacing w:after="0" w:line="240" w:lineRule="auto"/>
        <w:jc w:val="both"/>
        <w:rPr>
          <w:rFonts w:ascii="Times New Roman" w:hAnsi="Times New Roman" w:cs="Times New Roman"/>
          <w:sz w:val="24"/>
          <w:szCs w:val="24"/>
        </w:rPr>
      </w:pPr>
    </w:p>
    <w:p w14:paraId="45F02EEA"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18.- La diputada Krishna Karina Romero Velázquez hace uso de la palabra, para dar lectura a la Iniciativa con Proyecto de Decreto por el que se adicionan diversas disposiciones del Código Administrativo del Estado de México, en materia salud digital, presentada por la propia diputada y el diputado Pablo Fernández de Cevallos González, en nombre del Grupo Parlamentario del Partido Acción Nacional.</w:t>
      </w:r>
    </w:p>
    <w:p w14:paraId="2A44A8DE" w14:textId="77777777" w:rsidR="00985E10" w:rsidRPr="0012597A" w:rsidRDefault="00985E10" w:rsidP="00EF1C7F">
      <w:pPr>
        <w:spacing w:after="0" w:line="240" w:lineRule="auto"/>
        <w:jc w:val="both"/>
        <w:rPr>
          <w:rFonts w:ascii="Times New Roman" w:hAnsi="Times New Roman" w:cs="Times New Roman"/>
          <w:sz w:val="24"/>
          <w:szCs w:val="24"/>
        </w:rPr>
      </w:pPr>
    </w:p>
    <w:p w14:paraId="270F08AB"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La Presidencia la remite a la Comisión Legislativa de Salud, Asistencia y Bienestar Social y a la Comisión Especial de Innovación, Gobierno Digital e Inteligencia Artificial, para su estudio y dictamen. </w:t>
      </w:r>
    </w:p>
    <w:p w14:paraId="06CC4E8F" w14:textId="77777777" w:rsidR="00985E10" w:rsidRPr="0012597A" w:rsidRDefault="00985E10" w:rsidP="00EF1C7F">
      <w:pPr>
        <w:spacing w:after="0" w:line="240" w:lineRule="auto"/>
        <w:jc w:val="both"/>
        <w:rPr>
          <w:rFonts w:ascii="Times New Roman" w:hAnsi="Times New Roman" w:cs="Times New Roman"/>
          <w:sz w:val="24"/>
          <w:szCs w:val="24"/>
        </w:rPr>
      </w:pPr>
    </w:p>
    <w:p w14:paraId="66EE6D88"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19.- El diputado Anuar Roberto Azar Figueroa hace uso de la palabra, para dar lectura a la Iniciativa con Proyecto de Decreto por el que se reforma el artículo 59 Bis del Código Financiero del Estado de México y Municipios y se adiciona el numeral 3 al inciso B) de la fracción I del artículo 11 de la Ley de Ingresos del Estado de México, para el Ejercicio Fiscal 2026, en materia de estímulos fiscales a empresas que contraten a personas con discapacidad, presentada por el propio diputado y el diputado Pablo Fernández de Cevallos González, en nombre del Grupo Parlamentario del Partido Acción Nacional. </w:t>
      </w:r>
    </w:p>
    <w:p w14:paraId="63ECF357" w14:textId="77777777" w:rsidR="00985E10" w:rsidRPr="0012597A" w:rsidRDefault="00985E10" w:rsidP="00EF1C7F">
      <w:pPr>
        <w:spacing w:after="0" w:line="240" w:lineRule="auto"/>
        <w:jc w:val="both"/>
        <w:rPr>
          <w:rFonts w:ascii="Times New Roman" w:hAnsi="Times New Roman" w:cs="Times New Roman"/>
          <w:sz w:val="24"/>
          <w:szCs w:val="24"/>
        </w:rPr>
      </w:pPr>
    </w:p>
    <w:p w14:paraId="144030E4"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las Comisiones Legislativas de Planeación y Gasto Público y de Finanzas Públicas, para su estudio y dictamen.</w:t>
      </w:r>
    </w:p>
    <w:p w14:paraId="7DA05DF6" w14:textId="77777777" w:rsidR="00985E10" w:rsidRPr="0012597A" w:rsidRDefault="00985E10" w:rsidP="00EF1C7F">
      <w:pPr>
        <w:spacing w:after="0" w:line="240" w:lineRule="auto"/>
        <w:jc w:val="both"/>
        <w:rPr>
          <w:rFonts w:ascii="Times New Roman" w:hAnsi="Times New Roman" w:cs="Times New Roman"/>
          <w:sz w:val="24"/>
          <w:szCs w:val="24"/>
        </w:rPr>
      </w:pPr>
    </w:p>
    <w:p w14:paraId="0C419CFB"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20.- La diputada Maricela Beltrán Sánchez hace uso de la palabra, para dar lectura a la Iniciativa con Proyecto de Decreto que adiciona diversas disposiciones de la Ley de la Juventud del Estado </w:t>
      </w:r>
      <w:r w:rsidRPr="0012597A">
        <w:rPr>
          <w:rFonts w:ascii="Times New Roman" w:hAnsi="Times New Roman" w:cs="Times New Roman"/>
          <w:sz w:val="24"/>
          <w:szCs w:val="24"/>
        </w:rPr>
        <w:lastRenderedPageBreak/>
        <w:t xml:space="preserve">de México, en materia de creación de Espacios Juveniles en los municipios, presentada por las y los integrantes del Grupo Parlamentario del Partido Movimiento Ciudadano. </w:t>
      </w:r>
    </w:p>
    <w:p w14:paraId="4C301157" w14:textId="77777777" w:rsidR="00985E10" w:rsidRPr="0012597A" w:rsidRDefault="00985E10" w:rsidP="00EF1C7F">
      <w:pPr>
        <w:spacing w:after="0" w:line="240" w:lineRule="auto"/>
        <w:jc w:val="both"/>
        <w:rPr>
          <w:rFonts w:ascii="Times New Roman" w:hAnsi="Times New Roman" w:cs="Times New Roman"/>
          <w:sz w:val="24"/>
          <w:szCs w:val="24"/>
        </w:rPr>
      </w:pPr>
    </w:p>
    <w:p w14:paraId="6B160D5F"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las Comisiones Legislativas de la Juventud y el Deporte y de Legislación y Administración Municipal, para su estudio y dictamen.</w:t>
      </w:r>
    </w:p>
    <w:p w14:paraId="480BDC63" w14:textId="77777777" w:rsidR="00985E10" w:rsidRPr="0012597A" w:rsidRDefault="00985E10" w:rsidP="00EF1C7F">
      <w:pPr>
        <w:spacing w:after="0" w:line="240" w:lineRule="auto"/>
        <w:jc w:val="both"/>
        <w:rPr>
          <w:rFonts w:ascii="Times New Roman" w:hAnsi="Times New Roman" w:cs="Times New Roman"/>
          <w:sz w:val="24"/>
          <w:szCs w:val="24"/>
        </w:rPr>
      </w:pPr>
    </w:p>
    <w:p w14:paraId="0A12AAF1"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21.- La diputada Ruth Salinas Reyes hace uso de la palabra, para dar lectura a la Iniciativa con Proyecto de Decreto que reforma diversas disposiciones de la Ley de Seguridad del Estado de México, la Ley Orgánica Municipal del Estado de México y la Ley de la Comisión de Derechos Humanos del Estado de México, en materia de protocolos de actuación de servidores públicos y de las fuerzas de seguridad municipales, ante operativos municipales, marchas y protestas ciudadanas, para garantizar la libertad de expresión y el respeto a los derechos humanos, presentada por las y los integrantes del Grupo Parlamentario del Partido Movimiento Ciudadano. </w:t>
      </w:r>
    </w:p>
    <w:p w14:paraId="0934A563" w14:textId="77777777" w:rsidR="00985E10" w:rsidRPr="0012597A" w:rsidRDefault="00985E10" w:rsidP="00EF1C7F">
      <w:pPr>
        <w:spacing w:after="0" w:line="240" w:lineRule="auto"/>
        <w:jc w:val="both"/>
        <w:rPr>
          <w:rFonts w:ascii="Times New Roman" w:hAnsi="Times New Roman" w:cs="Times New Roman"/>
          <w:sz w:val="24"/>
          <w:szCs w:val="24"/>
        </w:rPr>
      </w:pPr>
    </w:p>
    <w:p w14:paraId="43B98588"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las Comisiones Legislativas de Seguridad Pública y Tránsito y de Derechos Humanos, para su estudio y dictamen.</w:t>
      </w:r>
    </w:p>
    <w:p w14:paraId="3F447F95" w14:textId="77777777" w:rsidR="00985E10" w:rsidRPr="0012597A" w:rsidRDefault="00985E10" w:rsidP="00EF1C7F">
      <w:pPr>
        <w:spacing w:after="0" w:line="240" w:lineRule="auto"/>
        <w:jc w:val="both"/>
        <w:rPr>
          <w:rFonts w:ascii="Times New Roman" w:hAnsi="Times New Roman" w:cs="Times New Roman"/>
          <w:sz w:val="24"/>
          <w:szCs w:val="24"/>
        </w:rPr>
      </w:pPr>
    </w:p>
    <w:p w14:paraId="41DF546A"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22.- El diputado Omar Ortega Álvarez hace uso de la palabra, para dar lectura a la Iniciativa con proyecto de Decreto por el que se adicionan y reforman diversos artículos del Código Electoral del Estado de México, en materia de fortalecimiento del Instituto Electoral del Estado de México, presentado por el propio diputado y la diputada Araceli Casasola Salazar, en nombre del Grupo Parlamentario del Partido de la Revolución Democrática. </w:t>
      </w:r>
    </w:p>
    <w:p w14:paraId="2FB645D1" w14:textId="77777777" w:rsidR="00985E10" w:rsidRPr="0012597A" w:rsidRDefault="00985E10" w:rsidP="00EF1C7F">
      <w:pPr>
        <w:spacing w:after="0" w:line="240" w:lineRule="auto"/>
        <w:jc w:val="both"/>
        <w:rPr>
          <w:rFonts w:ascii="Times New Roman" w:hAnsi="Times New Roman" w:cs="Times New Roman"/>
          <w:sz w:val="24"/>
          <w:szCs w:val="24"/>
        </w:rPr>
      </w:pPr>
    </w:p>
    <w:p w14:paraId="7EA13E8F"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la remite a la Comisión Legislativa Electoral y de Desarrollo Democrático, para su estudio y dictamen.</w:t>
      </w:r>
    </w:p>
    <w:p w14:paraId="0AE9F9C6" w14:textId="77777777" w:rsidR="00985E10" w:rsidRPr="0012597A" w:rsidRDefault="00985E10" w:rsidP="00EF1C7F">
      <w:pPr>
        <w:spacing w:after="0" w:line="240" w:lineRule="auto"/>
        <w:jc w:val="both"/>
        <w:rPr>
          <w:rFonts w:ascii="Times New Roman" w:hAnsi="Times New Roman" w:cs="Times New Roman"/>
          <w:sz w:val="24"/>
          <w:szCs w:val="24"/>
        </w:rPr>
      </w:pPr>
    </w:p>
    <w:p w14:paraId="4D1FE44A"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23.- El diputado Samuel Hernández Cruz hace uso de la palabra, para dar lectura al Punto de Acuerdo de urgente y obvia resolución, por el que se exhorta respetuosamente a la Secretaría de Educación, Ciencia, Tecnología e Innovación del Estado de México, a informar sobre el estado actual del Auditorio Metropolitano de Tecámac, a la Secretaría de Cultura y Turismo, así como a la Secretaría de Finanzas a considerar su donación y designación de recursos para un fin educativo, presentado por el propio diputado, en nombre del Grupo Parlamentario del Partido morena. Solicita la dispensa del trámite de dictamen. </w:t>
      </w:r>
    </w:p>
    <w:p w14:paraId="5B85D009" w14:textId="77777777" w:rsidR="00985E10" w:rsidRPr="0012597A" w:rsidRDefault="00985E10" w:rsidP="00EF1C7F">
      <w:pPr>
        <w:spacing w:after="0" w:line="240" w:lineRule="auto"/>
        <w:jc w:val="both"/>
        <w:rPr>
          <w:rFonts w:ascii="Times New Roman" w:hAnsi="Times New Roman" w:cs="Times New Roman"/>
          <w:sz w:val="24"/>
          <w:szCs w:val="24"/>
        </w:rPr>
      </w:pPr>
    </w:p>
    <w:p w14:paraId="378ACB5A"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Es aprobada la dispensa del trámite de dictamen, por unanimidad de votos. </w:t>
      </w:r>
    </w:p>
    <w:p w14:paraId="62A80C9E" w14:textId="77777777" w:rsidR="00985E10" w:rsidRPr="0012597A" w:rsidRDefault="00985E10" w:rsidP="00EF1C7F">
      <w:pPr>
        <w:spacing w:after="0" w:line="240" w:lineRule="auto"/>
        <w:jc w:val="both"/>
        <w:rPr>
          <w:rFonts w:ascii="Times New Roman" w:hAnsi="Times New Roman" w:cs="Times New Roman"/>
          <w:sz w:val="24"/>
          <w:szCs w:val="24"/>
        </w:rPr>
      </w:pPr>
    </w:p>
    <w:p w14:paraId="63F8E9D4"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5F2F6173" w14:textId="77777777" w:rsidR="00985E10" w:rsidRPr="0012597A" w:rsidRDefault="00985E10" w:rsidP="00EF1C7F">
      <w:pPr>
        <w:spacing w:after="0" w:line="240" w:lineRule="auto"/>
        <w:jc w:val="both"/>
        <w:rPr>
          <w:rFonts w:ascii="Times New Roman" w:hAnsi="Times New Roman" w:cs="Times New Roman"/>
          <w:sz w:val="24"/>
          <w:szCs w:val="24"/>
        </w:rPr>
      </w:pPr>
    </w:p>
    <w:p w14:paraId="37BA6726"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24.- La diputada Leticia Mejía García hace uso de la palabra, para dar lectura al Punto de Acuerdo de urgente y obvia resolución, por el que se exhorta a la Encargada del Despacho de la Vocalía Ejecutiva del Consejo Estatal para el Desarrollo Integral de los Pueblos Indígenas del Estado de México y al Director General del Instituto Nacional de los Pueblos Indígenas a realizar las acciones </w:t>
      </w:r>
      <w:r w:rsidRPr="0012597A">
        <w:rPr>
          <w:rFonts w:ascii="Times New Roman" w:hAnsi="Times New Roman" w:cs="Times New Roman"/>
          <w:sz w:val="24"/>
          <w:szCs w:val="24"/>
        </w:rPr>
        <w:lastRenderedPageBreak/>
        <w:t xml:space="preserve">necesarias con el propósito de homologar el Listado de Localidades Indígenas del Estado de México con el Catálogo Nacional de Localidades Indígenas, presentado por la propia diputada, en nombre del Grupo Parlamentario del Partido Revolucionario Institucional. Solicita la dispensa del trámite de dictamen. </w:t>
      </w:r>
    </w:p>
    <w:p w14:paraId="0513E5A4" w14:textId="77777777" w:rsidR="00985E10" w:rsidRPr="0012597A" w:rsidRDefault="00985E10" w:rsidP="00EF1C7F">
      <w:pPr>
        <w:spacing w:after="0" w:line="240" w:lineRule="auto"/>
        <w:jc w:val="both"/>
        <w:rPr>
          <w:rFonts w:ascii="Times New Roman" w:hAnsi="Times New Roman" w:cs="Times New Roman"/>
          <w:sz w:val="24"/>
          <w:szCs w:val="24"/>
        </w:rPr>
      </w:pPr>
    </w:p>
    <w:p w14:paraId="675D66F8"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Para hechos hacen uso de la palabra el diputado Israel Espíndola López y la diputada Leticia Mejía García.</w:t>
      </w:r>
    </w:p>
    <w:p w14:paraId="0544203F" w14:textId="77777777" w:rsidR="00985E10" w:rsidRPr="0012597A" w:rsidRDefault="00985E10" w:rsidP="00EF1C7F">
      <w:pPr>
        <w:spacing w:after="0" w:line="240" w:lineRule="auto"/>
        <w:jc w:val="both"/>
        <w:rPr>
          <w:rFonts w:ascii="Times New Roman" w:hAnsi="Times New Roman" w:cs="Times New Roman"/>
          <w:sz w:val="24"/>
          <w:szCs w:val="24"/>
        </w:rPr>
      </w:pPr>
    </w:p>
    <w:p w14:paraId="2195D6CC"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Es aprobada la dispensa del trámite de dictamen, por unanimidad de votos. </w:t>
      </w:r>
    </w:p>
    <w:p w14:paraId="0C5E15A5" w14:textId="77777777" w:rsidR="00985E10" w:rsidRPr="0012597A" w:rsidRDefault="00985E10" w:rsidP="00EF1C7F">
      <w:pPr>
        <w:spacing w:after="0" w:line="240" w:lineRule="auto"/>
        <w:jc w:val="both"/>
        <w:rPr>
          <w:rFonts w:ascii="Times New Roman" w:hAnsi="Times New Roman" w:cs="Times New Roman"/>
          <w:sz w:val="24"/>
          <w:szCs w:val="24"/>
        </w:rPr>
      </w:pPr>
    </w:p>
    <w:p w14:paraId="10712400"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5F7ECB4C" w14:textId="77777777" w:rsidR="00985E10" w:rsidRPr="0012597A" w:rsidRDefault="00985E10" w:rsidP="00EF1C7F">
      <w:pPr>
        <w:spacing w:after="0" w:line="240" w:lineRule="auto"/>
        <w:jc w:val="both"/>
        <w:rPr>
          <w:rFonts w:ascii="Times New Roman" w:hAnsi="Times New Roman" w:cs="Times New Roman"/>
          <w:sz w:val="24"/>
          <w:szCs w:val="24"/>
        </w:rPr>
      </w:pPr>
    </w:p>
    <w:p w14:paraId="1E49FE66"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25.- La Vicepresidencia, por instrucciones de la Presidencia, da lectura al Comunicado de la Presidenta Municipal Constitucional de Amecameca, en relación con salida de trabajo al extranjero. (Nueva York, Estados Unidos, del 07 al 11 de marzo de 2026). </w:t>
      </w:r>
    </w:p>
    <w:p w14:paraId="17B15617" w14:textId="77777777" w:rsidR="00985E10" w:rsidRPr="0012597A" w:rsidRDefault="00985E10" w:rsidP="00EF1C7F">
      <w:pPr>
        <w:spacing w:after="0" w:line="240" w:lineRule="auto"/>
        <w:jc w:val="both"/>
        <w:rPr>
          <w:rFonts w:ascii="Times New Roman" w:hAnsi="Times New Roman" w:cs="Times New Roman"/>
          <w:sz w:val="24"/>
          <w:szCs w:val="24"/>
        </w:rPr>
      </w:pPr>
    </w:p>
    <w:p w14:paraId="09406B54"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señala que la Legislatura se da por enterada.</w:t>
      </w:r>
    </w:p>
    <w:p w14:paraId="0762271F" w14:textId="77777777" w:rsidR="00985E10" w:rsidRPr="0012597A" w:rsidRDefault="00985E10" w:rsidP="00EF1C7F">
      <w:pPr>
        <w:spacing w:after="0" w:line="240" w:lineRule="auto"/>
        <w:jc w:val="both"/>
        <w:rPr>
          <w:rFonts w:ascii="Times New Roman" w:hAnsi="Times New Roman" w:cs="Times New Roman"/>
          <w:sz w:val="24"/>
          <w:szCs w:val="24"/>
        </w:rPr>
      </w:pPr>
    </w:p>
    <w:p w14:paraId="5B838D2D"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Para hechos, hace uso de la palabra la diputada Ana Yurixi Leyva Piñón.</w:t>
      </w:r>
    </w:p>
    <w:p w14:paraId="60CBEB09" w14:textId="77777777" w:rsidR="00985E10" w:rsidRPr="0012597A" w:rsidRDefault="00985E10" w:rsidP="00EF1C7F">
      <w:pPr>
        <w:spacing w:after="0" w:line="240" w:lineRule="auto"/>
        <w:jc w:val="both"/>
        <w:rPr>
          <w:rFonts w:ascii="Times New Roman" w:hAnsi="Times New Roman" w:cs="Times New Roman"/>
          <w:sz w:val="24"/>
          <w:szCs w:val="24"/>
        </w:rPr>
      </w:pPr>
    </w:p>
    <w:p w14:paraId="0A04A37F"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26.- La Vicepresidencia, por instrucciones de la Presidencia, da lectura al Comunicado de la Presidenta Municipal Constitucional de San Mateo Atenco, en relación con salida de trabajo al extranjero. (Nueva York, Estados Unidos, del 10 al 15 de marzo de 2026).</w:t>
      </w:r>
    </w:p>
    <w:p w14:paraId="6F00EFD6"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p>
    <w:p w14:paraId="11FDE77F"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Presidencia señala que la Legislatura se da por enterada.</w:t>
      </w:r>
    </w:p>
    <w:p w14:paraId="54A6A543" w14:textId="77777777" w:rsidR="00985E10" w:rsidRPr="0012597A" w:rsidRDefault="00985E10" w:rsidP="00EF1C7F">
      <w:pPr>
        <w:spacing w:after="0" w:line="240" w:lineRule="auto"/>
        <w:jc w:val="both"/>
        <w:rPr>
          <w:rFonts w:ascii="Times New Roman" w:eastAsia="Times New Roman" w:hAnsi="Times New Roman" w:cs="Times New Roman"/>
          <w:sz w:val="24"/>
          <w:szCs w:val="24"/>
          <w:lang w:eastAsia="es-MX"/>
        </w:rPr>
      </w:pPr>
    </w:p>
    <w:p w14:paraId="181EE90A"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La Vicepresidencia, por instrucciones de la Presidencia, da lectura a los comunicados siguientes: </w:t>
      </w:r>
    </w:p>
    <w:p w14:paraId="74DED51C"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Diputada Elena García Martínez, Iniciativa con Proyecto de Decreto por el que se reforman los artículos 3.38 Bis y 3.38 Ter del Código Civil del Estado de México, jueves 12 de marzo, 11:00 horas, Salón Narciso Bassols, modalidad mixta, Comisión Legislativa de Procuración y Administración de Justicia, reunión de trabajo y, en su caso, dictaminación.</w:t>
      </w:r>
    </w:p>
    <w:p w14:paraId="23A28105" w14:textId="77777777" w:rsidR="00985E10" w:rsidRPr="0012597A" w:rsidRDefault="00985E10" w:rsidP="00EF1C7F">
      <w:pPr>
        <w:spacing w:after="0" w:line="240" w:lineRule="auto"/>
        <w:jc w:val="both"/>
        <w:rPr>
          <w:rFonts w:ascii="Times New Roman" w:hAnsi="Times New Roman" w:cs="Times New Roman"/>
          <w:sz w:val="24"/>
          <w:szCs w:val="24"/>
        </w:rPr>
      </w:pPr>
    </w:p>
    <w:p w14:paraId="2C3C5B62"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Presidente del Tribunal Superior de Justicia, Iniciativa con Proyecto de Decreto que reforma el artículo 47 de la Ley Orgánica del Poder Judicial del Estado de México, jueves 12 de marzo, 11:30 horas, Salón Narciso Bassols, modalidad mixta, Comisión Legislativa de Procuración y Administración de Justicia, reunión de trabajo.</w:t>
      </w:r>
    </w:p>
    <w:p w14:paraId="228A8BC8" w14:textId="77777777" w:rsidR="00985E10" w:rsidRPr="0012597A" w:rsidRDefault="00985E10" w:rsidP="00EF1C7F">
      <w:pPr>
        <w:spacing w:after="0" w:line="240" w:lineRule="auto"/>
        <w:jc w:val="both"/>
        <w:rPr>
          <w:rFonts w:ascii="Times New Roman" w:hAnsi="Times New Roman" w:cs="Times New Roman"/>
          <w:sz w:val="24"/>
          <w:szCs w:val="24"/>
        </w:rPr>
      </w:pPr>
    </w:p>
    <w:p w14:paraId="38212E94"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Presidente del Tribunal Superior de Justicia, Iniciativa con Proyecto de Decreto que adiciona los artículos 1.5 Bis al 1.5 Quater del Código Civil del Estado de México, jueves 12 de marzo, 12:00 horas, Salón Narciso Bassols, modalidad mixta, Comisión Legislativa de Procuración y Administración de Justicia, reunión de trabajo.</w:t>
      </w:r>
    </w:p>
    <w:p w14:paraId="6C04C312" w14:textId="77777777" w:rsidR="00985E10" w:rsidRPr="0012597A" w:rsidRDefault="00985E10" w:rsidP="00EF1C7F">
      <w:pPr>
        <w:spacing w:after="0" w:line="240" w:lineRule="auto"/>
        <w:jc w:val="both"/>
        <w:rPr>
          <w:rFonts w:ascii="Times New Roman" w:hAnsi="Times New Roman" w:cs="Times New Roman"/>
          <w:sz w:val="24"/>
          <w:szCs w:val="24"/>
        </w:rPr>
      </w:pPr>
    </w:p>
    <w:p w14:paraId="0DBC8B8B"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lastRenderedPageBreak/>
        <w:t>La Legislatura queda enterada de las reuniones de trabajo de las comisiones y por lo tanto, de la posible presentación de dictámenes para su discusión y resolución en próxima Sesión Plenaria.  </w:t>
      </w:r>
    </w:p>
    <w:p w14:paraId="15420CAB" w14:textId="77777777" w:rsidR="00985E10" w:rsidRPr="0012597A" w:rsidRDefault="00985E10" w:rsidP="00EF1C7F">
      <w:pPr>
        <w:spacing w:after="0" w:line="240" w:lineRule="auto"/>
        <w:jc w:val="both"/>
        <w:rPr>
          <w:rFonts w:ascii="Times New Roman" w:hAnsi="Times New Roman" w:cs="Times New Roman"/>
          <w:sz w:val="24"/>
          <w:szCs w:val="24"/>
        </w:rPr>
      </w:pPr>
    </w:p>
    <w:p w14:paraId="21ECC64D" w14:textId="77777777" w:rsidR="00985E10" w:rsidRPr="0012597A" w:rsidRDefault="00985E1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14:paraId="13804B12" w14:textId="77777777" w:rsidR="00985E10" w:rsidRPr="0012597A" w:rsidRDefault="00985E10" w:rsidP="00EF1C7F">
      <w:pPr>
        <w:spacing w:after="0" w:line="240" w:lineRule="auto"/>
        <w:jc w:val="both"/>
        <w:rPr>
          <w:rFonts w:ascii="Times New Roman" w:hAnsi="Times New Roman" w:cs="Times New Roman"/>
          <w:sz w:val="24"/>
          <w:szCs w:val="24"/>
        </w:rPr>
      </w:pPr>
    </w:p>
    <w:p w14:paraId="3BCCB5E0" w14:textId="77777777" w:rsidR="00985E10" w:rsidRPr="0012597A" w:rsidRDefault="00985E10" w:rsidP="00EF1C7F">
      <w:pPr>
        <w:spacing w:after="0" w:line="240" w:lineRule="auto"/>
        <w:jc w:val="both"/>
        <w:rPr>
          <w:rFonts w:ascii="Times New Roman" w:hAnsi="Times New Roman" w:cs="Times New Roman"/>
          <w:noProof/>
          <w:sz w:val="24"/>
          <w:szCs w:val="24"/>
        </w:rPr>
      </w:pPr>
      <w:r w:rsidRPr="0012597A">
        <w:rPr>
          <w:rFonts w:ascii="Times New Roman" w:hAnsi="Times New Roman" w:cs="Times New Roman"/>
          <w:noProof/>
          <w:sz w:val="24"/>
          <w:szCs w:val="24"/>
        </w:rPr>
        <w:t>27.- Agotados los asuntos en cartera, la Presidencia levanta la Sesión siendo las diecisiete horas con veinte minutos del día de la fecha y cita para el día dieciocho del mes y año en curso a las doce horas.</w:t>
      </w:r>
    </w:p>
    <w:p w14:paraId="376A1F07" w14:textId="77777777" w:rsidR="00985E10" w:rsidRPr="0012597A" w:rsidRDefault="00985E10" w:rsidP="00EF1C7F">
      <w:pPr>
        <w:spacing w:after="0" w:line="240" w:lineRule="auto"/>
        <w:jc w:val="both"/>
        <w:rPr>
          <w:rFonts w:ascii="Times New Roman" w:hAnsi="Times New Roman" w:cs="Times New Roman"/>
          <w:noProof/>
          <w:sz w:val="24"/>
          <w:szCs w:val="24"/>
        </w:rPr>
      </w:pPr>
    </w:p>
    <w:p w14:paraId="7D352269" w14:textId="77777777" w:rsidR="00985E10" w:rsidRPr="0012597A" w:rsidRDefault="00985E10" w:rsidP="00EF1C7F">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SECRETARIO</w:t>
      </w:r>
    </w:p>
    <w:p w14:paraId="1EA8ED11" w14:textId="77777777" w:rsidR="00985E10" w:rsidRPr="0012597A" w:rsidRDefault="00985E10" w:rsidP="00EF1C7F">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DIP. EDMUNDO LUIS VALDEÑA BASTIDA</w:t>
      </w:r>
    </w:p>
    <w:p w14:paraId="519B579A" w14:textId="77777777" w:rsidR="00985E10" w:rsidRPr="0012597A" w:rsidRDefault="00985E10" w:rsidP="00EF1C7F">
      <w:pPr>
        <w:spacing w:after="0" w:line="240" w:lineRule="auto"/>
        <w:jc w:val="both"/>
        <w:rPr>
          <w:rFonts w:ascii="Times New Roman" w:hAnsi="Times New Roman" w:cs="Times New Roman"/>
          <w:noProof/>
          <w:sz w:val="24"/>
          <w:szCs w:val="24"/>
        </w:rPr>
      </w:pPr>
    </w:p>
    <w:p w14:paraId="4F7C9226" w14:textId="77777777" w:rsidR="00985E10" w:rsidRPr="0012597A" w:rsidRDefault="00985E10" w:rsidP="00EF1C7F">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B169A" w:rsidRPr="0012597A" w14:paraId="6FCC1D90" w14:textId="77777777" w:rsidTr="00EB169A">
        <w:trPr>
          <w:jc w:val="center"/>
        </w:trPr>
        <w:tc>
          <w:tcPr>
            <w:tcW w:w="4697" w:type="dxa"/>
          </w:tcPr>
          <w:p w14:paraId="3760147B" w14:textId="27D435B7" w:rsidR="00EB169A" w:rsidRPr="0012597A" w:rsidRDefault="00EB169A" w:rsidP="00EF1C7F">
            <w:pPr>
              <w:spacing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DIP. KRISHNA KARINA ROMERO VELÁZQUEZ</w:t>
            </w:r>
          </w:p>
        </w:tc>
        <w:tc>
          <w:tcPr>
            <w:tcW w:w="4698" w:type="dxa"/>
          </w:tcPr>
          <w:p w14:paraId="7BFE8F4B" w14:textId="6486101B" w:rsidR="00EB169A" w:rsidRPr="0012597A" w:rsidRDefault="00EB169A" w:rsidP="00EF1C7F">
            <w:pPr>
              <w:spacing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DIP. MARICELA BELTRÁN SÁNCHEZ</w:t>
            </w:r>
          </w:p>
        </w:tc>
      </w:tr>
    </w:tbl>
    <w:p w14:paraId="2E3DA5D8" w14:textId="0E1020EB" w:rsidR="00EB169A" w:rsidRPr="0012597A" w:rsidRDefault="00EB169A" w:rsidP="00EF1C7F">
      <w:pPr>
        <w:spacing w:after="0" w:line="240" w:lineRule="auto"/>
        <w:jc w:val="center"/>
        <w:rPr>
          <w:rFonts w:ascii="Times New Roman" w:hAnsi="Times New Roman" w:cs="Times New Roman"/>
          <w:b/>
          <w:sz w:val="24"/>
          <w:szCs w:val="24"/>
        </w:rPr>
      </w:pPr>
    </w:p>
    <w:p w14:paraId="50305B9D" w14:textId="77777777" w:rsidR="00105B64" w:rsidRPr="0012597A" w:rsidRDefault="00105B64" w:rsidP="00EF1C7F">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(Fin del documento)</w:t>
      </w:r>
    </w:p>
    <w:p w14:paraId="6A37714C" w14:textId="77777777" w:rsidR="00105B64" w:rsidRPr="0012597A" w:rsidRDefault="00105B64" w:rsidP="00EF1C7F">
      <w:pPr>
        <w:spacing w:after="0" w:line="240" w:lineRule="auto"/>
        <w:jc w:val="center"/>
        <w:rPr>
          <w:rFonts w:ascii="Times New Roman" w:hAnsi="Times New Roman"/>
          <w:sz w:val="24"/>
          <w:szCs w:val="24"/>
        </w:rPr>
      </w:pPr>
    </w:p>
    <w:p w14:paraId="4732DAE9" w14:textId="4C6FDC1F" w:rsidR="007108B6" w:rsidRPr="0012597A" w:rsidRDefault="00105B64"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w:t>
      </w:r>
      <w:r w:rsidR="007108B6" w:rsidRPr="0012597A">
        <w:rPr>
          <w:rFonts w:ascii="Times New Roman" w:hAnsi="Times New Roman" w:cs="Times New Roman"/>
          <w:sz w:val="24"/>
          <w:szCs w:val="24"/>
        </w:rPr>
        <w:t>Quienes estén por la aprobación del acta se sigue levantar la mano ¿En contra? ¿En abstención?</w:t>
      </w:r>
    </w:p>
    <w:p w14:paraId="05050446" w14:textId="77777777" w:rsidR="007108B6" w:rsidRPr="0012597A" w:rsidRDefault="007108B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El acta ha sido aprobada por unanimidad de votos.</w:t>
      </w:r>
    </w:p>
    <w:p w14:paraId="2C81ACED" w14:textId="77777777" w:rsidR="007108B6" w:rsidRPr="0012597A" w:rsidRDefault="007108B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05D3BC1E"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Considerando el punto número 2, la diputada Emma Laura Alvarez Villavicencio leerá el dictamen de la Iniciativa con Proyecto de Decreto por el que se reforma el artículo 47 de la Ley Orgánica del Poder Judicial del Estado de México, relacionada con la integración de los Tribunales de Alzada, presentada por el Presidente del Tribunal Superior de Justicia del Estado de México, formulado por la Comisión Legislativa de Procuración y Administración de Justicia.</w:t>
      </w:r>
    </w:p>
    <w:p w14:paraId="26E49155" w14:textId="27AB762F" w:rsidR="007108B6" w:rsidRPr="0012597A" w:rsidRDefault="007108B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EMMA LAURA ALVAREZ VILLAVICENCIO. Con su venia, mesa directiva, compañeras y compañeros diputados.</w:t>
      </w:r>
    </w:p>
    <w:p w14:paraId="29A839D4" w14:textId="5515C552"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Dictamen formulado a la </w:t>
      </w:r>
      <w:r w:rsidR="00F320DD" w:rsidRPr="0012597A">
        <w:rPr>
          <w:rFonts w:ascii="Times New Roman" w:hAnsi="Times New Roman" w:cs="Times New Roman"/>
          <w:sz w:val="24"/>
          <w:szCs w:val="24"/>
        </w:rPr>
        <w:t xml:space="preserve">Iniciativa </w:t>
      </w:r>
      <w:r w:rsidRPr="0012597A">
        <w:rPr>
          <w:rFonts w:ascii="Times New Roman" w:hAnsi="Times New Roman" w:cs="Times New Roman"/>
          <w:sz w:val="24"/>
          <w:szCs w:val="24"/>
        </w:rPr>
        <w:t xml:space="preserve">con </w:t>
      </w:r>
      <w:r w:rsidR="00F320DD" w:rsidRPr="0012597A">
        <w:rPr>
          <w:rFonts w:ascii="Times New Roman" w:hAnsi="Times New Roman" w:cs="Times New Roman"/>
          <w:sz w:val="24"/>
          <w:szCs w:val="24"/>
        </w:rPr>
        <w:t xml:space="preserve">Proyecto de Decreto </w:t>
      </w:r>
      <w:r w:rsidRPr="0012597A">
        <w:rPr>
          <w:rFonts w:ascii="Times New Roman" w:hAnsi="Times New Roman" w:cs="Times New Roman"/>
          <w:sz w:val="24"/>
          <w:szCs w:val="24"/>
        </w:rPr>
        <w:t xml:space="preserve">que reforma al artículo 47 de la Ley Orgánica del Poder Judicial del Estado de México, presentada por el Presidente del Tribunal Superior de Justicia del Estado de México. </w:t>
      </w:r>
    </w:p>
    <w:p w14:paraId="35BF4C96"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HONORABLE ASAMBLEA.</w:t>
      </w:r>
    </w:p>
    <w:p w14:paraId="06E9F6C7"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Remitió a la Comisión Legislativa de Procuración y Administración de Justicia para su estudio y dictamen, la Iniciativa con Proyecto de Decreto que reforma el artículo 47 de la Ley Orgánica del Poder Judicial del Estado de México, presentada por el Presidente del Tribunal Superior de Justicia del Estado de México. </w:t>
      </w:r>
    </w:p>
    <w:p w14:paraId="58ACF36D" w14:textId="77777777" w:rsidR="007108B6" w:rsidRPr="0012597A" w:rsidRDefault="007108B6" w:rsidP="00E26DD2">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Desarrollado el estudio de la iniciativa y discutido suficientemente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14:paraId="7E039335" w14:textId="77777777" w:rsidR="007108B6" w:rsidRPr="0012597A" w:rsidRDefault="007108B6" w:rsidP="00EF1C7F">
      <w:pPr>
        <w:pStyle w:val="Sinespaciado"/>
        <w:jc w:val="center"/>
        <w:rPr>
          <w:rFonts w:ascii="Times New Roman" w:hAnsi="Times New Roman" w:cs="Times New Roman"/>
          <w:sz w:val="24"/>
          <w:szCs w:val="24"/>
        </w:rPr>
      </w:pPr>
      <w:r w:rsidRPr="0012597A">
        <w:rPr>
          <w:rFonts w:ascii="Times New Roman" w:hAnsi="Times New Roman" w:cs="Times New Roman"/>
          <w:sz w:val="24"/>
          <w:szCs w:val="24"/>
        </w:rPr>
        <w:t>DICTAMEN</w:t>
      </w:r>
    </w:p>
    <w:p w14:paraId="6A3346B2" w14:textId="77777777" w:rsidR="007108B6" w:rsidRPr="0012597A" w:rsidRDefault="007108B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ANTECEDENTES.</w:t>
      </w:r>
    </w:p>
    <w:p w14:paraId="4C2C10FA"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1.- En sesión de la “LXII” Legislatura celebrada el día once de febrero de dos mil veintiséis, el Presidente del Tribunal Superior de Justicia del Estado de México, en atención a lo dispuesto en los artículos 51 fracción III, 56 y 61 fracción I de la Constitución Política del Estado Libre y </w:t>
      </w:r>
      <w:r w:rsidRPr="0012597A">
        <w:rPr>
          <w:rFonts w:ascii="Times New Roman" w:hAnsi="Times New Roman" w:cs="Times New Roman"/>
          <w:sz w:val="24"/>
          <w:szCs w:val="24"/>
        </w:rPr>
        <w:lastRenderedPageBreak/>
        <w:t>Soberano de México, y 28 fracción I, 79 y 81 de la Ley Orgánica del Poder Legislativo del Estado Libre y Soberano de México, sometió a la consideración de la Soberanía Popular la Iniciativa con Proyecto de Decreto que reforma el artículo 47 de la Ley Orgánica del Poder Judicial del Estado de México.</w:t>
      </w:r>
    </w:p>
    <w:p w14:paraId="51941964"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Con apego al estudio realizado, apreciamos que la iniciativa propone adecuaciones en relación con la integración de los Tribunales de Alzada. Proyecto que fuera aprobado por el Pleno del Tribunal Superior de Justicia del Estado de México.</w:t>
      </w:r>
    </w:p>
    <w:p w14:paraId="399EF19D"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2.- En observancia del procedimiento legislativo ordinario, el doce de marzo de dos mil veintiséis, la Comisión Legislativa de Procuración y Administración de Justicia, llevó a cabo reunión de estudio y en un marco de respeto al Principio de la División de Poderes, asistieron dos Magistradas y un Magistrado del Poder Judicial del Estado de México, quienes, complementaron la información y expusieron importantes argumentos sobre los motivos, contenido y efecto de la propuesta legislativa.</w:t>
      </w:r>
    </w:p>
    <w:p w14:paraId="21A7D72C"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3.- En fecha diecisiete de marzo de dos mil veintiséis, la Comisión Legislativa de Procuración y Administración de Justicia dictaminó la Iniciativa con Proyecto de Decreto.</w:t>
      </w:r>
    </w:p>
    <w:p w14:paraId="3EF6833C" w14:textId="77777777" w:rsidR="007108B6"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4.- Con sujeción al estudio realizado, reconocemos la oportunidad y conveniencia de la propuesta legislativa.  Inferimos que busca armonizar la Ley Orgánica del Poder Judicial del Estado de México, con el Código Nacional de Procedimientos Penales, y con la Constitución Política del Estado Libre y Soberano de México, en cuanto a la estructura y funcionamiento del Poder Judicial del Estado de México.</w:t>
      </w:r>
    </w:p>
    <w:p w14:paraId="12155CE2" w14:textId="77777777" w:rsidR="00BB0253" w:rsidRPr="0012597A" w:rsidRDefault="007108B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5.- En consecuencia, en atención al Proyecto de Decreto, resulta procedente, adicionar el inciso A primer párrafo y el inciso B al artículo 47 de la Ley Orgánica</w:t>
      </w:r>
      <w:r w:rsidR="00D909F2" w:rsidRPr="0012597A">
        <w:rPr>
          <w:rFonts w:ascii="Times New Roman" w:hAnsi="Times New Roman" w:cs="Times New Roman"/>
          <w:sz w:val="24"/>
          <w:szCs w:val="24"/>
        </w:rPr>
        <w:t xml:space="preserve"> </w:t>
      </w:r>
      <w:r w:rsidR="002F6E17" w:rsidRPr="0012597A">
        <w:rPr>
          <w:rFonts w:ascii="Times New Roman" w:hAnsi="Times New Roman" w:cs="Times New Roman"/>
          <w:sz w:val="24"/>
          <w:szCs w:val="24"/>
        </w:rPr>
        <w:t xml:space="preserve">del Poder Judicial </w:t>
      </w:r>
      <w:r w:rsidR="00BB0253" w:rsidRPr="0012597A">
        <w:rPr>
          <w:rFonts w:ascii="Times New Roman" w:hAnsi="Times New Roman" w:cs="Times New Roman"/>
          <w:sz w:val="24"/>
          <w:szCs w:val="24"/>
        </w:rPr>
        <w:t>del Estado de México, para precisar con claridad la estructura propia y la integración de las salas colegiadas y los tribunales de alzada, disponiendo que se incorporan 2 incisos, el inciso a) correspondiente a las salas colegiadas, preservando la integración actual correspondiente a las fracciones I a la VI vigentes y el inciso b) relativo a los tribunales de alzada determinándose que contarán con una estructura propia que se integrará por las fracciones:</w:t>
      </w:r>
    </w:p>
    <w:p w14:paraId="5898F389" w14:textId="3B8181A8" w:rsidR="00BB0253" w:rsidRPr="0012597A" w:rsidRDefault="00BB0253" w:rsidP="00EF1C7F">
      <w:pPr>
        <w:spacing w:after="0" w:line="240" w:lineRule="aut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I. 1 </w:t>
      </w:r>
      <w:r w:rsidR="009F0F26" w:rsidRPr="0012597A">
        <w:rPr>
          <w:rFonts w:ascii="Times New Roman" w:hAnsi="Times New Roman" w:cs="Times New Roman"/>
          <w:sz w:val="24"/>
          <w:szCs w:val="24"/>
        </w:rPr>
        <w:t>o</w:t>
      </w:r>
      <w:r w:rsidRPr="0012597A">
        <w:rPr>
          <w:rFonts w:ascii="Times New Roman" w:hAnsi="Times New Roman" w:cs="Times New Roman"/>
          <w:sz w:val="24"/>
          <w:szCs w:val="24"/>
        </w:rPr>
        <w:t xml:space="preserve"> 3 magistrados o magistradas.</w:t>
      </w:r>
    </w:p>
    <w:p w14:paraId="7EC3B9C3"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II. Una secretaria o secretario de acuerdos.</w:t>
      </w:r>
    </w:p>
    <w:p w14:paraId="35BA7CBB"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III. Las secretarias o secretarios proyectistas que sean necesarias por cada magistrada o magistrado, de conformidad con lo determine el órgano administrativo judicial.</w:t>
      </w:r>
    </w:p>
    <w:p w14:paraId="4E4FD465"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IV. Una secretaria o secretario proyectista para el trámite de los juicios de amparo.</w:t>
      </w:r>
    </w:p>
    <w:p w14:paraId="679404F3"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V. Una o un oficial mayor, y</w:t>
      </w:r>
    </w:p>
    <w:p w14:paraId="348ECB73"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VI. Las demás servidoras públicas o servidores públicas que determine el órgano de administración judicial.</w:t>
      </w:r>
    </w:p>
    <w:p w14:paraId="651FC734" w14:textId="77777777" w:rsidR="00BB0253" w:rsidRPr="0012597A" w:rsidRDefault="00BB0253" w:rsidP="00EF1C7F">
      <w:pPr>
        <w:spacing w:after="0" w:line="240" w:lineRule="auto"/>
        <w:jc w:val="center"/>
        <w:rPr>
          <w:rFonts w:ascii="Times New Roman" w:hAnsi="Times New Roman" w:cs="Times New Roman"/>
          <w:sz w:val="24"/>
          <w:szCs w:val="24"/>
        </w:rPr>
      </w:pPr>
      <w:r w:rsidRPr="0012597A">
        <w:rPr>
          <w:rFonts w:ascii="Times New Roman" w:hAnsi="Times New Roman" w:cs="Times New Roman"/>
          <w:sz w:val="24"/>
          <w:szCs w:val="24"/>
        </w:rPr>
        <w:t>RESOLUTIVOS</w:t>
      </w:r>
    </w:p>
    <w:p w14:paraId="0F29FA39"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PRIMERO. Es de aprobarse en lo conducente conforme al Proyecto de Decreto, la iniciativa presentada por el Presidente del Tribunal Superior de Justicia del Estado de México y en consecuencia, se adiciona el inciso a) primer párrafo y el inciso b) al artículo 47 de la Ley Orgánica del Poder Judicial del Estado de México.</w:t>
      </w:r>
    </w:p>
    <w:p w14:paraId="58711880"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SEGUNDO. Se adjunta el Proyecto de Decreto, para los efectos procedentes.</w:t>
      </w:r>
    </w:p>
    <w:p w14:paraId="05C5BE65"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TERCERO. Previa discusión y aprobación por la Legislatura en Pleno.</w:t>
      </w:r>
    </w:p>
    <w:p w14:paraId="0E25DEA5"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Remítase a la Titular del Poder Ejecutivo, para los efectos correspondientes.</w:t>
      </w:r>
    </w:p>
    <w:p w14:paraId="5DDB0B06"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Dado en el Palacio del Poder Legislativo, en la ciudad de Toluca de Lerdo, capital del Estado de México, a los diecisiete días del mes de marzo del año dos mil veintiséis.</w:t>
      </w:r>
    </w:p>
    <w:p w14:paraId="3742D007" w14:textId="77777777" w:rsidR="00BB0253" w:rsidRPr="0012597A" w:rsidRDefault="00BB0253" w:rsidP="00EF1C7F">
      <w:pPr>
        <w:spacing w:after="0" w:line="240" w:lineRule="auto"/>
        <w:jc w:val="center"/>
        <w:rPr>
          <w:rFonts w:ascii="Times New Roman" w:hAnsi="Times New Roman" w:cs="Times New Roman"/>
          <w:sz w:val="24"/>
          <w:szCs w:val="24"/>
        </w:rPr>
      </w:pPr>
      <w:r w:rsidRPr="0012597A">
        <w:rPr>
          <w:rFonts w:ascii="Times New Roman" w:hAnsi="Times New Roman" w:cs="Times New Roman"/>
          <w:sz w:val="24"/>
          <w:szCs w:val="24"/>
        </w:rPr>
        <w:t>Comisión Legislativa de Procuración y Administración de Justicia</w:t>
      </w:r>
    </w:p>
    <w:p w14:paraId="19337722"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Es cuanto Presidenta.</w:t>
      </w:r>
    </w:p>
    <w:p w14:paraId="0F3B4B4D" w14:textId="77777777" w:rsidR="00BD5B98" w:rsidRPr="0012597A" w:rsidRDefault="00BD5B98" w:rsidP="00EF1C7F">
      <w:pPr>
        <w:pStyle w:val="Sinespaciado"/>
        <w:jc w:val="both"/>
        <w:rPr>
          <w:rFonts w:ascii="Times New Roman" w:hAnsi="Times New Roman" w:cs="Times New Roman"/>
          <w:sz w:val="24"/>
          <w:szCs w:val="24"/>
        </w:rPr>
      </w:pPr>
    </w:p>
    <w:p w14:paraId="70C47481" w14:textId="77777777" w:rsidR="00BD5B98" w:rsidRPr="0012597A" w:rsidRDefault="00BD5B98" w:rsidP="00EF1C7F">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(Se inserta documento)</w:t>
      </w:r>
    </w:p>
    <w:p w14:paraId="3BB66729" w14:textId="77777777" w:rsidR="00BD5B98" w:rsidRPr="0012597A" w:rsidRDefault="00BD5B98" w:rsidP="00EF1C7F">
      <w:pPr>
        <w:spacing w:after="0" w:line="240" w:lineRule="auto"/>
        <w:jc w:val="center"/>
        <w:rPr>
          <w:rFonts w:ascii="Times New Roman" w:hAnsi="Times New Roman" w:cs="Times New Roman"/>
          <w:sz w:val="24"/>
          <w:szCs w:val="24"/>
        </w:rPr>
      </w:pPr>
    </w:p>
    <w:p w14:paraId="0653367C" w14:textId="77777777" w:rsidR="00E26DD2" w:rsidRPr="00E26DD2" w:rsidRDefault="00E26DD2" w:rsidP="00E26DD2">
      <w:pPr>
        <w:spacing w:after="0" w:line="240" w:lineRule="auto"/>
        <w:contextualSpacing/>
        <w:jc w:val="both"/>
        <w:rPr>
          <w:rFonts w:ascii="Times New Roman" w:eastAsia="Calibri" w:hAnsi="Times New Roman" w:cs="Times New Roman"/>
          <w:b/>
          <w:sz w:val="24"/>
          <w:szCs w:val="24"/>
          <w:lang w:val="es-ES"/>
        </w:rPr>
      </w:pPr>
      <w:r w:rsidRPr="00E26DD2">
        <w:rPr>
          <w:rFonts w:ascii="Times New Roman" w:eastAsia="Calibri" w:hAnsi="Times New Roman" w:cs="Times New Roman"/>
          <w:b/>
          <w:sz w:val="24"/>
          <w:szCs w:val="24"/>
        </w:rPr>
        <w:t>DICTAMEN FORMULADO A LA INICIATIVA CON PROYECTO DE DECRETO QUE REFORMA EL ARTÍCULO 47 DE LA LEY ORGÁNICA DEL PODER JUDICIAL DEL ESTADO DE MÉXICO, PRESENTADA POR EL PRESIDENTE DEL TRIBUNAL SUPERIOR DE JUSTICIA DEL ESTADO DE MÉXICO.</w:t>
      </w:r>
    </w:p>
    <w:p w14:paraId="415DD909"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485C0BA1" w14:textId="77777777" w:rsidR="00E26DD2" w:rsidRPr="00E26DD2" w:rsidRDefault="00E26DD2" w:rsidP="00E26DD2">
      <w:pPr>
        <w:spacing w:after="0" w:line="240" w:lineRule="auto"/>
        <w:contextualSpacing/>
        <w:jc w:val="both"/>
        <w:rPr>
          <w:rFonts w:ascii="Times New Roman" w:eastAsia="Calibri" w:hAnsi="Times New Roman" w:cs="Times New Roman"/>
          <w:b/>
          <w:sz w:val="24"/>
          <w:szCs w:val="24"/>
          <w:lang w:val="es-ES"/>
        </w:rPr>
      </w:pPr>
      <w:r w:rsidRPr="00E26DD2">
        <w:rPr>
          <w:rFonts w:ascii="Times New Roman" w:eastAsia="Calibri" w:hAnsi="Times New Roman" w:cs="Times New Roman"/>
          <w:b/>
          <w:sz w:val="24"/>
          <w:szCs w:val="24"/>
          <w:lang w:val="es-ES"/>
        </w:rPr>
        <w:t>HONORABLE ASAMBLEA:</w:t>
      </w:r>
    </w:p>
    <w:p w14:paraId="0E3705C5"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6FE507B7"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r w:rsidRPr="00E26DD2">
        <w:rPr>
          <w:rFonts w:ascii="Times New Roman" w:eastAsia="Calibri" w:hAnsi="Times New Roman" w:cs="Times New Roman"/>
          <w:sz w:val="24"/>
          <w:szCs w:val="24"/>
        </w:rPr>
        <w:t>La Presidencia de la "LXII" Legislatura remitió a la Comisión Legislativa de Procuración y Administración de Justicia</w:t>
      </w:r>
      <w:r w:rsidRPr="00E26DD2">
        <w:rPr>
          <w:rFonts w:ascii="Times New Roman" w:eastAsia="Calibri" w:hAnsi="Times New Roman" w:cs="Times New Roman"/>
          <w:sz w:val="24"/>
          <w:szCs w:val="24"/>
          <w:lang w:val="es-ES"/>
        </w:rPr>
        <w:t>, para su estudio</w:t>
      </w:r>
      <w:r w:rsidRPr="00E26DD2">
        <w:rPr>
          <w:rFonts w:ascii="Times New Roman" w:eastAsia="Calibri" w:hAnsi="Times New Roman" w:cs="Times New Roman"/>
          <w:sz w:val="24"/>
          <w:szCs w:val="24"/>
        </w:rPr>
        <w:t xml:space="preserve"> y dictamen, la</w:t>
      </w:r>
      <w:r w:rsidRPr="00E26DD2">
        <w:rPr>
          <w:rFonts w:ascii="Times New Roman" w:eastAsia="Calibri" w:hAnsi="Times New Roman" w:cs="Times New Roman"/>
          <w:sz w:val="24"/>
          <w:szCs w:val="24"/>
          <w:lang w:val="es-ES"/>
        </w:rPr>
        <w:t xml:space="preserve"> </w:t>
      </w:r>
      <w:r w:rsidRPr="00E26DD2">
        <w:rPr>
          <w:rFonts w:ascii="Times New Roman" w:eastAsia="Calibri" w:hAnsi="Times New Roman" w:cs="Times New Roman"/>
          <w:sz w:val="24"/>
          <w:szCs w:val="24"/>
        </w:rPr>
        <w:t>Iniciativa con Proyecto de Decreto que reforma el artículo 47 de la Ley Orgánica del Poder Judicial del Estado de México, presentada por el Presidente del Tribunal Superior de Justicia del Estado de México.</w:t>
      </w:r>
    </w:p>
    <w:p w14:paraId="4065FDAD" w14:textId="77777777" w:rsidR="00E26DD2" w:rsidRPr="00E26DD2" w:rsidRDefault="00E26DD2" w:rsidP="00E26DD2">
      <w:pPr>
        <w:spacing w:after="0" w:line="240" w:lineRule="auto"/>
        <w:contextualSpacing/>
        <w:jc w:val="both"/>
        <w:rPr>
          <w:rFonts w:ascii="Times New Roman" w:eastAsia="Calibri" w:hAnsi="Times New Roman" w:cs="Times New Roman"/>
          <w:bCs/>
          <w:sz w:val="24"/>
          <w:szCs w:val="24"/>
        </w:rPr>
      </w:pPr>
    </w:p>
    <w:p w14:paraId="23C1BBFA"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Desarrollado el estudio de la iniciativa y discutido suficientemente en la comisión legislativa, nos permitimos, con sustento en lo establecido en los artículos 68, 70 y 82 de la Ley Orgánica del Poder Legislativo del Estado Libre y Soberano de México, en relación con lo previsto en los artículos 13 A, 70, 73, 78, 79 y 80 del Reglamento del Poder Legislativo del Estado Libre y Soberano de México, emitir el siguiente:</w:t>
      </w:r>
    </w:p>
    <w:p w14:paraId="5A552F66"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11084422" w14:textId="77777777" w:rsidR="00E26DD2" w:rsidRPr="00E26DD2" w:rsidRDefault="00E26DD2" w:rsidP="00E26DD2">
      <w:pPr>
        <w:spacing w:after="0" w:line="240" w:lineRule="auto"/>
        <w:contextualSpacing/>
        <w:jc w:val="center"/>
        <w:rPr>
          <w:rFonts w:ascii="Times New Roman" w:eastAsia="Calibri" w:hAnsi="Times New Roman" w:cs="Times New Roman"/>
          <w:b/>
          <w:bCs/>
          <w:sz w:val="24"/>
          <w:szCs w:val="24"/>
        </w:rPr>
      </w:pPr>
      <w:r w:rsidRPr="00E26DD2">
        <w:rPr>
          <w:rFonts w:ascii="Times New Roman" w:eastAsia="Calibri" w:hAnsi="Times New Roman" w:cs="Times New Roman"/>
          <w:b/>
          <w:bCs/>
          <w:sz w:val="24"/>
          <w:szCs w:val="24"/>
        </w:rPr>
        <w:t>DICTAMEN</w:t>
      </w:r>
    </w:p>
    <w:p w14:paraId="052A8B4C" w14:textId="77777777" w:rsidR="00E26DD2" w:rsidRPr="00E26DD2" w:rsidRDefault="00E26DD2" w:rsidP="00E26DD2">
      <w:pPr>
        <w:spacing w:after="0" w:line="240" w:lineRule="auto"/>
        <w:contextualSpacing/>
        <w:jc w:val="both"/>
        <w:rPr>
          <w:rFonts w:ascii="Times New Roman" w:eastAsia="Calibri" w:hAnsi="Times New Roman" w:cs="Times New Roman"/>
          <w:bCs/>
          <w:sz w:val="24"/>
          <w:szCs w:val="24"/>
        </w:rPr>
      </w:pPr>
    </w:p>
    <w:p w14:paraId="4C2E85E6" w14:textId="77777777" w:rsidR="00E26DD2" w:rsidRPr="00E26DD2" w:rsidRDefault="00E26DD2" w:rsidP="00E26DD2">
      <w:pPr>
        <w:spacing w:after="0" w:line="240" w:lineRule="auto"/>
        <w:contextualSpacing/>
        <w:jc w:val="both"/>
        <w:rPr>
          <w:rFonts w:ascii="Times New Roman" w:eastAsia="Calibri" w:hAnsi="Times New Roman" w:cs="Times New Roman"/>
          <w:b/>
          <w:bCs/>
          <w:sz w:val="24"/>
          <w:szCs w:val="24"/>
        </w:rPr>
      </w:pPr>
      <w:r w:rsidRPr="00E26DD2">
        <w:rPr>
          <w:rFonts w:ascii="Times New Roman" w:eastAsia="Calibri" w:hAnsi="Times New Roman" w:cs="Times New Roman"/>
          <w:b/>
          <w:bCs/>
          <w:sz w:val="24"/>
          <w:szCs w:val="24"/>
        </w:rPr>
        <w:t>ANTECEDENTES.</w:t>
      </w:r>
    </w:p>
    <w:p w14:paraId="2FD3B79A" w14:textId="77777777" w:rsidR="00E26DD2" w:rsidRPr="00E26DD2" w:rsidRDefault="00E26DD2" w:rsidP="00E26DD2">
      <w:pPr>
        <w:spacing w:after="0" w:line="240" w:lineRule="auto"/>
        <w:contextualSpacing/>
        <w:jc w:val="both"/>
        <w:rPr>
          <w:rFonts w:ascii="Times New Roman" w:eastAsia="Calibri" w:hAnsi="Times New Roman" w:cs="Times New Roman"/>
          <w:bCs/>
          <w:sz w:val="24"/>
          <w:szCs w:val="24"/>
        </w:rPr>
      </w:pPr>
    </w:p>
    <w:p w14:paraId="683749C3"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r w:rsidRPr="00E26DD2">
        <w:rPr>
          <w:rFonts w:ascii="Times New Roman" w:eastAsia="Calibri" w:hAnsi="Times New Roman" w:cs="Times New Roman"/>
          <w:b/>
          <w:sz w:val="24"/>
          <w:szCs w:val="24"/>
          <w:lang w:val="es-ES"/>
        </w:rPr>
        <w:t>1.-</w:t>
      </w:r>
      <w:r w:rsidRPr="00E26DD2">
        <w:rPr>
          <w:rFonts w:ascii="Times New Roman" w:eastAsia="Calibri" w:hAnsi="Times New Roman" w:cs="Times New Roman"/>
          <w:sz w:val="24"/>
          <w:szCs w:val="24"/>
          <w:lang w:val="es-ES"/>
        </w:rPr>
        <w:t xml:space="preserve"> En sesión de la “LXII” Legislatura celebrada el día once de febrero de dos mil veintiséis, el Presidente del Tribunal Superior de Justicia del Estado de México, en atención a lo dispuesto en </w:t>
      </w:r>
      <w:r w:rsidRPr="00E26DD2">
        <w:rPr>
          <w:rFonts w:ascii="Times New Roman" w:eastAsia="Calibri" w:hAnsi="Times New Roman" w:cs="Times New Roman"/>
          <w:sz w:val="24"/>
          <w:szCs w:val="24"/>
        </w:rPr>
        <w:t>los artículos 51 fracción III, 56 y 95 fracción I de la Constitución Política del Estado Libre y Soberano de México, y 79 y 81 de la Ley Orgánica del Poder Legislativo del Estado Libre y Soberano de México</w:t>
      </w:r>
      <w:r w:rsidRPr="00E26DD2">
        <w:rPr>
          <w:rFonts w:ascii="Times New Roman" w:eastAsia="Calibri" w:hAnsi="Times New Roman" w:cs="Times New Roman"/>
          <w:sz w:val="24"/>
          <w:szCs w:val="24"/>
          <w:lang w:val="es-ES"/>
        </w:rPr>
        <w:t>, sometió a la consideración de la Soberanía Popular la Iniciativa con Proyecto de Decreto que reforma el artículo 47 de la Ley Orgánica del Poder Judicial del Estado de México.</w:t>
      </w:r>
    </w:p>
    <w:p w14:paraId="2C15AE3C"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56C9F8F4"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r w:rsidRPr="00E26DD2">
        <w:rPr>
          <w:rFonts w:ascii="Times New Roman" w:eastAsia="Calibri" w:hAnsi="Times New Roman" w:cs="Times New Roman"/>
          <w:sz w:val="24"/>
          <w:szCs w:val="24"/>
          <w:lang w:val="es-ES"/>
        </w:rPr>
        <w:t>Con apego al estudio realizado, apreciamos que la iniciativa propone adecuaciones en relación con la integración de los Tribunales de Alzada. Proyecto que fuera aprobado por el Pleno del Tribunal Superior de Justicia del Estado de México.</w:t>
      </w:r>
    </w:p>
    <w:p w14:paraId="1D609B95"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1E3D6F09"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b/>
          <w:sz w:val="24"/>
          <w:szCs w:val="24"/>
        </w:rPr>
        <w:t>2.-</w:t>
      </w:r>
      <w:r w:rsidRPr="00E26DD2">
        <w:rPr>
          <w:rFonts w:ascii="Times New Roman" w:eastAsia="Calibri" w:hAnsi="Times New Roman" w:cs="Times New Roman"/>
          <w:sz w:val="24"/>
          <w:szCs w:val="24"/>
        </w:rPr>
        <w:t xml:space="preserve"> En observancia del procedimiento legislativo ordinario, el doce de marzo de dos mil veintiséis, la Comisión Legislativa de Procuración y Administración de Justicia, llevó a cabo reunión de estudio y en un marco de respeto al Principio de la División de Poderes, asistieron dos Magistradas y un Magistrado del Poder Judicial del Estado de México, quienes, complementaron la información y expusieron importantes argumentos sobre los motivos, contenido y efecto de la propuesta legislativa.</w:t>
      </w:r>
    </w:p>
    <w:p w14:paraId="35D95FD2"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6F3DD3ED"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b/>
          <w:sz w:val="24"/>
          <w:szCs w:val="24"/>
        </w:rPr>
        <w:t>3.-</w:t>
      </w:r>
      <w:r w:rsidRPr="00E26DD2">
        <w:rPr>
          <w:rFonts w:ascii="Times New Roman" w:eastAsia="Calibri" w:hAnsi="Times New Roman" w:cs="Times New Roman"/>
          <w:sz w:val="24"/>
          <w:szCs w:val="24"/>
        </w:rPr>
        <w:t xml:space="preserve"> En fecha diecisiete de marzo de dos mil veintiséis, la Comisión Legislativa de Procuración y Administración de Justicia dictaminó la Iniciativa con Proyecto de Decreto.</w:t>
      </w:r>
    </w:p>
    <w:p w14:paraId="31F826BB"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17F2A2B0"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b/>
          <w:sz w:val="24"/>
          <w:szCs w:val="24"/>
        </w:rPr>
        <w:t>4.-</w:t>
      </w:r>
      <w:r w:rsidRPr="00E26DD2">
        <w:rPr>
          <w:rFonts w:ascii="Times New Roman" w:eastAsia="Calibri" w:hAnsi="Times New Roman" w:cs="Times New Roman"/>
          <w:sz w:val="24"/>
          <w:szCs w:val="24"/>
        </w:rPr>
        <w:t xml:space="preserve"> Con sujeción al estudio realizado, reconocemos la oportunidad y conveniencia de la propuesta legislativa.  Inferimos que busca armonizar la Ley Orgánica del Poder Judicial del Estado de México, con el Código Nacional de Procedimientos Penales, y con la Constitución Política del Estado Libre y Soberano de México, en cuanto a la estructura y funcionamiento del Poder Judicial del Estado de México.</w:t>
      </w:r>
    </w:p>
    <w:p w14:paraId="5257E9BE"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11AEF385"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b/>
          <w:sz w:val="24"/>
          <w:szCs w:val="24"/>
        </w:rPr>
        <w:t xml:space="preserve">5.- </w:t>
      </w:r>
      <w:r w:rsidRPr="00E26DD2">
        <w:rPr>
          <w:rFonts w:ascii="Times New Roman" w:eastAsia="Calibri" w:hAnsi="Times New Roman" w:cs="Times New Roman"/>
          <w:sz w:val="24"/>
          <w:szCs w:val="24"/>
        </w:rPr>
        <w:t>En consecuencia, en atención al Proyecto de Decreto, resulta procedente, adicionar el inciso A primer párrafo y el inciso B al artículo 47 de la Ley Orgánica del Poder Judicial del Estado de México, para precisar con claridad, la estructura propia y la integración de las Salas Colegiadas y de los Tribunales de Alzada, disponiendo que se incorporan dos incisos, el inciso A correspondiente a las Salas Colegiadas, preservando la integración actual correspondiente a las fracciones I a VI vigentes y el inciso B relativo a los Tribunales de Alzada, determinándose que contarán con una estructura propia que se integrará por las fracciones: I. Uno o tres magistradas o magistrados; II. Una secretaria o secretario de acuerdos; III. Las secretarias o secretarios proyectistas que sean necesarios por cada magistrada o magistrado, de conformidad con lo que determine el Órgano de Administración Judicial; IV. Una secretaria o secretario proyectista para el trámite de los juicios de amparo; V. Una o un oficial mayor; y VI. Las demás servidoras y servidores públicos que determine el Órgano de Administración Judicial.</w:t>
      </w:r>
    </w:p>
    <w:p w14:paraId="7FC0F274"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282254BD" w14:textId="77777777" w:rsidR="00E26DD2" w:rsidRPr="00E26DD2" w:rsidRDefault="00E26DD2" w:rsidP="00E26DD2">
      <w:pPr>
        <w:spacing w:after="0" w:line="240" w:lineRule="auto"/>
        <w:contextualSpacing/>
        <w:jc w:val="both"/>
        <w:rPr>
          <w:rFonts w:ascii="Times New Roman" w:eastAsia="Calibri" w:hAnsi="Times New Roman" w:cs="Times New Roman"/>
          <w:b/>
          <w:sz w:val="24"/>
          <w:szCs w:val="24"/>
          <w:lang w:val="es-ES"/>
        </w:rPr>
      </w:pPr>
      <w:r w:rsidRPr="00E26DD2">
        <w:rPr>
          <w:rFonts w:ascii="Times New Roman" w:eastAsia="Calibri" w:hAnsi="Times New Roman" w:cs="Times New Roman"/>
          <w:b/>
          <w:sz w:val="24"/>
          <w:szCs w:val="24"/>
          <w:lang w:val="es-ES"/>
        </w:rPr>
        <w:t>CONSIDERACIONES.</w:t>
      </w:r>
    </w:p>
    <w:p w14:paraId="48198F3B"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1798A998" w14:textId="77777777" w:rsidR="00E26DD2" w:rsidRPr="00E26DD2" w:rsidRDefault="00E26DD2" w:rsidP="00E26DD2">
      <w:pPr>
        <w:spacing w:after="0" w:line="240" w:lineRule="auto"/>
        <w:contextualSpacing/>
        <w:jc w:val="both"/>
        <w:rPr>
          <w:rFonts w:ascii="Times New Roman" w:eastAsia="Calibri" w:hAnsi="Times New Roman" w:cs="Times New Roman"/>
          <w:bCs/>
          <w:sz w:val="24"/>
          <w:szCs w:val="24"/>
        </w:rPr>
      </w:pPr>
      <w:r w:rsidRPr="00E26DD2">
        <w:rPr>
          <w:rFonts w:ascii="Times New Roman" w:eastAsia="Calibri" w:hAnsi="Times New Roman" w:cs="Times New Roman"/>
          <w:bCs/>
          <w:sz w:val="24"/>
          <w:szCs w:val="24"/>
        </w:rPr>
        <w:t>La “LXII” Legislatura es competente para conocer y resolver la Iniciativa de Decreto, de conformidad con lo señalado en el artículo 61 fracción I de la Constitución Política del Estado Libre y Soberano de México, que la faculta a</w:t>
      </w:r>
      <w:r w:rsidRPr="00E26DD2">
        <w:rPr>
          <w:rFonts w:ascii="Times New Roman" w:eastAsia="Calibri" w:hAnsi="Times New Roman" w:cs="Times New Roman"/>
          <w:bCs/>
          <w:sz w:val="24"/>
          <w:szCs w:val="24"/>
          <w:lang w:val="es-ES"/>
        </w:rPr>
        <w:t xml:space="preserve"> </w:t>
      </w:r>
      <w:r w:rsidRPr="00E26DD2">
        <w:rPr>
          <w:rFonts w:ascii="Times New Roman" w:eastAsia="Calibri" w:hAnsi="Times New Roman" w:cs="Times New Roman"/>
          <w:bCs/>
          <w:sz w:val="24"/>
          <w:szCs w:val="24"/>
        </w:rPr>
        <w:t>expedir leyes, decretos o acuerdos para el régimen interior del Estado, en todos los ramos de la administración del gobierno.</w:t>
      </w:r>
    </w:p>
    <w:p w14:paraId="56AEF9EB"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11B69413" w14:textId="77777777" w:rsidR="00E26DD2" w:rsidRPr="00E26DD2" w:rsidRDefault="00E26DD2" w:rsidP="00E26DD2">
      <w:pPr>
        <w:spacing w:after="0" w:line="240" w:lineRule="auto"/>
        <w:contextualSpacing/>
        <w:jc w:val="both"/>
        <w:rPr>
          <w:rFonts w:ascii="Times New Roman" w:eastAsia="Calibri" w:hAnsi="Times New Roman" w:cs="Times New Roman"/>
          <w:b/>
          <w:sz w:val="24"/>
          <w:szCs w:val="24"/>
        </w:rPr>
      </w:pPr>
      <w:r w:rsidRPr="00E26DD2">
        <w:rPr>
          <w:rFonts w:ascii="Times New Roman" w:eastAsia="Calibri" w:hAnsi="Times New Roman" w:cs="Times New Roman"/>
          <w:b/>
          <w:sz w:val="24"/>
          <w:szCs w:val="24"/>
        </w:rPr>
        <w:t>ANÁLISIS Y VALORACIÓN DE LOS ARGUMENTOS.</w:t>
      </w:r>
    </w:p>
    <w:p w14:paraId="245B5F5E"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6066510B"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Compartimos lo expuesto, en cuanto a que, el Estado de México como entidad soberana y parte integrante de la Federación de los Estados Unidos Mexicanos, está obligado a contar con un marco jurídico de carácter secundario, que se armonice con la reciente reforma a la Constitución Política del Estado Libre y Soberano de México, publicada en el Periódico Oficial “Gaceta del Gobierno” del Estado Libre y Soberano de México, a través del Decreto número 63, el día seis de enero de dos mil veinticinco, con respecto al Poder Judicial del Estado de México, en cumplimiento al segundo párrafo del Transitorio Octavo del Decreto de reforma a la Constitución Política de los Estados Unidos Mexicanos, publicada en el Diario Oficial de la Federación el día 15 de septiembre de 2024, el cual estableció que las entidades federativas tendrían un plazo de ciento ochenta días naturales a partir de la entrada en</w:t>
      </w:r>
      <w:r w:rsidRPr="00E26DD2">
        <w:rPr>
          <w:rFonts w:ascii="Times New Roman" w:eastAsia="Calibri" w:hAnsi="Times New Roman" w:cs="Times New Roman"/>
          <w:sz w:val="24"/>
          <w:szCs w:val="24"/>
          <w:lang w:eastAsia="es-MX"/>
        </w:rPr>
        <w:t xml:space="preserve"> </w:t>
      </w:r>
      <w:r w:rsidRPr="00E26DD2">
        <w:rPr>
          <w:rFonts w:ascii="Times New Roman" w:eastAsia="Calibri" w:hAnsi="Times New Roman" w:cs="Times New Roman"/>
          <w:sz w:val="24"/>
          <w:szCs w:val="24"/>
        </w:rPr>
        <w:t>vigor del Decreto para realizar las adecuaciones a sus constituciones locales.</w:t>
      </w:r>
    </w:p>
    <w:p w14:paraId="5040002A"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42533E0C"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Advertimos, en este contexto que, el Pleno del Tribunal Superior de Justicia, con fundamento en lo previsto en el artículo 15 fracción I de la Ley Orgánica del Poder Judicial del Estado de México, en ejercicio de su derecho a iniciar leyes o decretos ante la Legislatura del Estado de México, y a fin de fortalecer el Estado de Derecho, a través del Poder Judicial, quien tiene a su cargo la administración e impartición de justicia, es que somete a la consideración de la H. Legislatura, la presente Iniciativa con Proyecto de Decreto por el que se reforma la Ley Orgánica del Poder Judicial del Estado de México.</w:t>
      </w:r>
    </w:p>
    <w:p w14:paraId="0E8036B1"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67BEE017"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Reconocemos que la presentación de la iniciativa resulta necesaria e imprescindible para armonizar el Código Nacional de Procedimientos penales, con las reformas llevadas a cabo a la Constitución Política del Estado Libre y Soberano de México, con respecto a la estructura y funcionamiento del Poder Judicial, particularmente, en cuanto a las autoridades encargadas de impartir justicia del Poder Judicial del Estado de México, la implementación del Sistema Acusatorio permite que los Tribunales de Alzada se integren por una o tres personas magistradas o magistrados; sin embargo </w:t>
      </w:r>
      <w:r w:rsidRPr="00E26DD2">
        <w:rPr>
          <w:rFonts w:ascii="Times New Roman" w:eastAsia="Calibri" w:hAnsi="Times New Roman" w:cs="Times New Roman"/>
          <w:sz w:val="24"/>
          <w:szCs w:val="24"/>
        </w:rPr>
        <w:lastRenderedPageBreak/>
        <w:t>la Ley Orgánica del Poder Judicial del Estado de México es inconsistente con el Código Nacional de Procedimientos Penales al señalar indistintamente, como es el caso de las Salas Colegiadas que se integran por tres magistradas o magistrados.</w:t>
      </w:r>
    </w:p>
    <w:p w14:paraId="20A7D09D"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60FACCFB"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Entendemos que, el entonces Consejo de la Judicatura del Poder Judicial del Estado de México, para un mejor funcionamiento del Sistema de Justicia Penal en materia recursiva estimó la creación de un Tribunal de Alzada en cada región judicial para conocer del recurso de apelación en contra de las resoluciones emitidas por los Jueces de Control, con excepción de las sentencias emitidas en procedimientos abreviados y los recursos en contra de las negativas de cateos emitidas por los jueces especializados en Cateos, Órdenes de Aprehensión y Medidas de Protección en Línea.  Lo que no solo responde a criterios de especialización y eficiencia, sino que también encuentra respaldo por el artículo 94 de la Constitución Política del Estado Libre y Soberano de México, así como lo preceptuado en el artículo 3 fracción XVII del Código Nacional de Procedimientos Penales vigente.</w:t>
      </w:r>
    </w:p>
    <w:p w14:paraId="1096B0FF"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0010EB20"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Por otra parte, como lo refiere la iniciativa, el artículo 47 de la Ley Orgánica del Poder Judicial del Estado de México que no está armonizado con el Código Nacional de Procedimientos Penales en el artículo y fracción ya precisados, respecto del número de integrantes de un Tribunal de Alzada.</w:t>
      </w:r>
    </w:p>
    <w:p w14:paraId="2418DEDA"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692A1BD3"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En tal sentido, encuentra justificación la propuesta legislativa, pues, a la luz de los preceptos normativos previamente invocados, resulta jurídicamente indispensable que la competencia para conocer del recurso de apelación interpuesto en contra de resoluciones que emita el Juez de Control tal y como lo establece el artículo 467 de la Ley Procesal Penal de la materia, debe recaer en un Tribunal de Alzada, que puede estar conformado por una Magistrada o un Magistrado.</w:t>
      </w:r>
    </w:p>
    <w:p w14:paraId="0F7A51D6"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62A22C99"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Es correcta la iniciativa, toda vez que, por una parte, a la existencia de una norma procesal que expresamente habilita su intervención; y por la otra, a los acuerdos emitidos por el entonces Consejo de la Judicatura del Poder Judicial del Estado de México, a través de las circulares 75/2024 y 78/2024, los días trece y veintitrés de septiembre de dos mil veinticuatro, respectivamente, donde también se contienen los acuerdos que regulan la distribución de los asuntos en esta materia.  Tales acuerdos fueron adoptados en sesiones ordinarias del nueve y veinte de septiembre del mismo año, tanto por el Pleno del Consejo como por el Pleno del Tribunal Superior de Justicia del Estado de México, mediante los cuales no solo se dispuso su creación, sino también su integración en forma unitaria, para hacerlo acorde a lo que señala el Código Nacional de Procedimientos Penales.</w:t>
      </w:r>
    </w:p>
    <w:p w14:paraId="0295C9B8"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47684D0B"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Así, estimamos que, la Ley Orgánica del Poder Judicial del Estado de México, requiere de una reforma, que favorezca su armonización con lo señalado en la Constitución Local y en el Código Nacional de Procedimientos Penales, a fin de reconocer la competencia de los Tribunales de Alzada integrados por un solo magistrado.</w:t>
      </w:r>
    </w:p>
    <w:p w14:paraId="0760777E"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1AD4D4BF" w14:textId="77777777" w:rsidR="00E26DD2" w:rsidRPr="00E26DD2" w:rsidRDefault="00E26DD2" w:rsidP="00E26DD2">
      <w:pPr>
        <w:spacing w:after="0" w:line="240" w:lineRule="auto"/>
        <w:contextualSpacing/>
        <w:jc w:val="both"/>
        <w:rPr>
          <w:rFonts w:ascii="Times New Roman" w:eastAsia="Calibri" w:hAnsi="Times New Roman" w:cs="Times New Roman"/>
          <w:b/>
          <w:sz w:val="24"/>
          <w:szCs w:val="24"/>
        </w:rPr>
      </w:pPr>
      <w:r w:rsidRPr="00E26DD2">
        <w:rPr>
          <w:rFonts w:ascii="Times New Roman" w:eastAsia="Calibri" w:hAnsi="Times New Roman" w:cs="Times New Roman"/>
          <w:b/>
          <w:sz w:val="24"/>
          <w:szCs w:val="24"/>
        </w:rPr>
        <w:t>ANÁLISIS Y ESTUDIO TÉCNICO DEL TEXTO NORMATIVO.</w:t>
      </w:r>
    </w:p>
    <w:p w14:paraId="71F27129"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7CEC208F"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Por lo tanto, con base en el Proyecto de Decreto, es procedente las adiciones al artículo 47 de la Ley Orgánica del Poder Judicial el Estado de México, para precisar con claridad, la estructura propia y la integración de las Salas Colegiadas y de los Tribunales de Alzada, </w:t>
      </w:r>
      <w:bookmarkStart w:id="1" w:name="_Hlk224585422"/>
      <w:r w:rsidRPr="00E26DD2">
        <w:rPr>
          <w:rFonts w:ascii="Times New Roman" w:eastAsia="Calibri" w:hAnsi="Times New Roman" w:cs="Times New Roman"/>
          <w:sz w:val="24"/>
          <w:szCs w:val="24"/>
        </w:rPr>
        <w:t xml:space="preserve">disponiendo que se incorporan dos incisos, el inciso A correspondiente a las Salas Colegiadas, preservando la integración actual correspondiente a las fracciones I a VI vigentes </w:t>
      </w:r>
      <w:bookmarkEnd w:id="1"/>
      <w:r w:rsidRPr="00E26DD2">
        <w:rPr>
          <w:rFonts w:ascii="Times New Roman" w:eastAsia="Calibri" w:hAnsi="Times New Roman" w:cs="Times New Roman"/>
          <w:sz w:val="24"/>
          <w:szCs w:val="24"/>
        </w:rPr>
        <w:t xml:space="preserve">y el inciso B relativo a los Tribunales de Alzada, determinándose que contarán con una estructura propia que se integrará por las fracciones: I. Uno o tres magistradas o magistrados; II. Una secretaria o secretario de acuerdos; </w:t>
      </w:r>
      <w:r w:rsidRPr="00E26DD2">
        <w:rPr>
          <w:rFonts w:ascii="Times New Roman" w:eastAsia="Calibri" w:hAnsi="Times New Roman" w:cs="Times New Roman"/>
          <w:sz w:val="24"/>
          <w:szCs w:val="24"/>
        </w:rPr>
        <w:lastRenderedPageBreak/>
        <w:t>III. Las secretarias o secretarios proyectistas que sean necesarios por cada magistrada o magistrado, de conformidad con lo que determine el Órgano de Administración Judicial; IV. Una secretaria o secretario proyectista para el trámite de los juicios de amparo; V. Una o un oficial mayor; y VI. Las demás servidoras y servidores públicos que determine el Órgano de Administración Judicial.</w:t>
      </w:r>
    </w:p>
    <w:p w14:paraId="09AA1918"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5D916D08"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Por las razones expuestas; </w:t>
      </w:r>
      <w:r w:rsidRPr="00E26DD2">
        <w:rPr>
          <w:rFonts w:ascii="Times New Roman" w:eastAsia="Arial" w:hAnsi="Times New Roman" w:cs="Times New Roman"/>
          <w:iCs/>
          <w:sz w:val="24"/>
          <w:szCs w:val="24"/>
        </w:rPr>
        <w:t xml:space="preserve">valorados los argumentos; agotado el estudio técnico; acreditado el beneficio social de la Iniciativa; y cumplimentados los </w:t>
      </w:r>
      <w:r w:rsidRPr="00E26DD2">
        <w:rPr>
          <w:rFonts w:ascii="Times New Roman" w:eastAsia="Calibri" w:hAnsi="Times New Roman" w:cs="Times New Roman"/>
          <w:sz w:val="24"/>
          <w:szCs w:val="24"/>
        </w:rPr>
        <w:t xml:space="preserve">requisitos de fondo y forma, nos permitimos concluir con los siguientes: </w:t>
      </w:r>
    </w:p>
    <w:p w14:paraId="2F10B867"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2F7F21DC"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lang w:val="es-ES"/>
        </w:rPr>
      </w:pPr>
      <w:r w:rsidRPr="00E26DD2">
        <w:rPr>
          <w:rFonts w:ascii="Times New Roman" w:eastAsia="Calibri" w:hAnsi="Times New Roman" w:cs="Times New Roman"/>
          <w:b/>
          <w:sz w:val="24"/>
          <w:szCs w:val="24"/>
          <w:lang w:val="es-ES"/>
        </w:rPr>
        <w:t>RESOLUTIVOS</w:t>
      </w:r>
    </w:p>
    <w:p w14:paraId="3B42B19D"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08A4B2D3" w14:textId="77777777" w:rsidR="00E26DD2" w:rsidRPr="00E26DD2" w:rsidRDefault="00E26DD2" w:rsidP="00E26DD2">
      <w:pPr>
        <w:spacing w:after="0" w:line="240" w:lineRule="auto"/>
        <w:contextualSpacing/>
        <w:jc w:val="both"/>
        <w:rPr>
          <w:rFonts w:ascii="Times New Roman" w:eastAsia="Calibri" w:hAnsi="Times New Roman" w:cs="Times New Roman"/>
          <w:b/>
          <w:sz w:val="24"/>
          <w:szCs w:val="24"/>
          <w:lang w:val="es-ES"/>
        </w:rPr>
      </w:pPr>
      <w:r w:rsidRPr="00E26DD2">
        <w:rPr>
          <w:rFonts w:ascii="Times New Roman" w:eastAsia="Calibri" w:hAnsi="Times New Roman" w:cs="Times New Roman"/>
          <w:b/>
          <w:sz w:val="24"/>
          <w:szCs w:val="24"/>
        </w:rPr>
        <w:t>PRIMERO.-</w:t>
      </w:r>
      <w:r w:rsidRPr="00E26DD2">
        <w:rPr>
          <w:rFonts w:ascii="Times New Roman" w:eastAsia="Calibri" w:hAnsi="Times New Roman" w:cs="Times New Roman"/>
          <w:sz w:val="24"/>
          <w:szCs w:val="24"/>
        </w:rPr>
        <w:t xml:space="preserve"> Es de aprobarse, en lo conducente, conforme el Proyecto de Decreto, la iniciativa presentada por el Presidente del Tribunal Superior de Justicia del Estado de México, y, en consecuencia, se adiciona el inciso A primer párrafo y el inciso B al artículo 47 de la Ley Orgánica del Poder Judicial del Estado de México.</w:t>
      </w:r>
    </w:p>
    <w:p w14:paraId="316CF383"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lang w:val="es-ES"/>
        </w:rPr>
      </w:pPr>
    </w:p>
    <w:p w14:paraId="3BC6BE88"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b/>
          <w:sz w:val="24"/>
          <w:szCs w:val="24"/>
        </w:rPr>
        <w:t xml:space="preserve">SEGUNDO.- </w:t>
      </w:r>
      <w:r w:rsidRPr="00E26DD2">
        <w:rPr>
          <w:rFonts w:ascii="Times New Roman" w:eastAsia="Calibri" w:hAnsi="Times New Roman" w:cs="Times New Roman"/>
          <w:sz w:val="24"/>
          <w:szCs w:val="24"/>
        </w:rPr>
        <w:t>Se adjunta el Proyecto de Decreto para los efectos procedentes.</w:t>
      </w:r>
    </w:p>
    <w:p w14:paraId="52884E5B" w14:textId="77777777" w:rsidR="00E26DD2" w:rsidRPr="00E26DD2" w:rsidRDefault="00E26DD2" w:rsidP="00E26DD2">
      <w:pPr>
        <w:tabs>
          <w:tab w:val="left" w:pos="6480"/>
        </w:tabs>
        <w:spacing w:after="0" w:line="240" w:lineRule="auto"/>
        <w:contextualSpacing/>
        <w:jc w:val="both"/>
        <w:rPr>
          <w:rFonts w:ascii="Times New Roman" w:eastAsia="Calibri" w:hAnsi="Times New Roman" w:cs="Times New Roman"/>
          <w:sz w:val="24"/>
          <w:szCs w:val="24"/>
          <w:lang w:val="es-ES"/>
        </w:rPr>
      </w:pPr>
    </w:p>
    <w:p w14:paraId="5232E8ED" w14:textId="77777777" w:rsidR="00E26DD2" w:rsidRPr="00E26DD2" w:rsidRDefault="00E26DD2" w:rsidP="00E26DD2">
      <w:pPr>
        <w:spacing w:after="0" w:line="240" w:lineRule="auto"/>
        <w:contextualSpacing/>
        <w:jc w:val="both"/>
        <w:rPr>
          <w:rFonts w:ascii="Times New Roman" w:eastAsia="Calibri" w:hAnsi="Times New Roman" w:cs="Times New Roman"/>
          <w:b/>
          <w:sz w:val="24"/>
          <w:szCs w:val="24"/>
          <w:lang w:val="es-ES"/>
        </w:rPr>
      </w:pPr>
      <w:r w:rsidRPr="00E26DD2">
        <w:rPr>
          <w:rFonts w:ascii="Times New Roman" w:eastAsia="Calibri" w:hAnsi="Times New Roman" w:cs="Times New Roman"/>
          <w:b/>
          <w:sz w:val="24"/>
          <w:szCs w:val="24"/>
          <w:lang w:val="es-ES"/>
        </w:rPr>
        <w:t xml:space="preserve">TERCERO.- </w:t>
      </w:r>
      <w:r w:rsidRPr="00E26DD2">
        <w:rPr>
          <w:rFonts w:ascii="Times New Roman" w:eastAsia="Calibri" w:hAnsi="Times New Roman" w:cs="Times New Roman"/>
          <w:sz w:val="24"/>
          <w:szCs w:val="24"/>
          <w:lang w:val="es-ES"/>
        </w:rPr>
        <w:t>Previa discusión y aprobación por la Legislatura en Pleno, remítase a la Titular del Poder Ejecutivo, para los efectos correspondientes.</w:t>
      </w:r>
    </w:p>
    <w:p w14:paraId="061EAD35"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p>
    <w:p w14:paraId="61E78D50" w14:textId="77777777" w:rsidR="00E26DD2" w:rsidRPr="00E26DD2" w:rsidRDefault="00E26DD2" w:rsidP="00E26DD2">
      <w:pPr>
        <w:spacing w:after="0" w:line="240" w:lineRule="auto"/>
        <w:contextualSpacing/>
        <w:jc w:val="both"/>
        <w:rPr>
          <w:rFonts w:ascii="Times New Roman" w:eastAsia="Calibri" w:hAnsi="Times New Roman" w:cs="Times New Roman"/>
          <w:sz w:val="24"/>
          <w:szCs w:val="24"/>
        </w:rPr>
      </w:pPr>
      <w:r w:rsidRPr="00E26DD2">
        <w:rPr>
          <w:rFonts w:ascii="Times New Roman" w:eastAsia="Calibri" w:hAnsi="Times New Roman" w:cs="Times New Roman"/>
          <w:sz w:val="24"/>
          <w:szCs w:val="24"/>
        </w:rPr>
        <w:t>Dado en el Palacio del Poder Legislativo, en la ciudad de Toluca de Lerdo, capital del Estado de México, a los diecisiete días del mes de marzo de dos mil veintiséis.</w:t>
      </w:r>
    </w:p>
    <w:p w14:paraId="0F72B610" w14:textId="77777777" w:rsidR="00434807" w:rsidRPr="0012597A" w:rsidRDefault="00434807" w:rsidP="00E26DD2">
      <w:pPr>
        <w:spacing w:after="0" w:line="240" w:lineRule="auto"/>
        <w:contextualSpacing/>
        <w:jc w:val="center"/>
        <w:rPr>
          <w:rFonts w:ascii="Times New Roman" w:eastAsia="Calibri" w:hAnsi="Times New Roman" w:cs="Times New Roman"/>
          <w:b/>
          <w:sz w:val="24"/>
          <w:szCs w:val="24"/>
        </w:rPr>
      </w:pPr>
    </w:p>
    <w:p w14:paraId="0B2525B6" w14:textId="48D0DB1D"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LISTA DE VOTACIÓN</w:t>
      </w:r>
    </w:p>
    <w:p w14:paraId="2B245CF5" w14:textId="77777777" w:rsidR="00E26DD2" w:rsidRPr="00E26DD2" w:rsidRDefault="00E26DD2" w:rsidP="00E26DD2">
      <w:pPr>
        <w:spacing w:after="0" w:line="240" w:lineRule="auto"/>
        <w:contextualSpacing/>
        <w:rPr>
          <w:rFonts w:ascii="Times New Roman" w:eastAsia="Calibri" w:hAnsi="Times New Roman" w:cs="Times New Roman"/>
          <w:b/>
          <w:sz w:val="24"/>
          <w:szCs w:val="24"/>
        </w:rPr>
      </w:pPr>
    </w:p>
    <w:p w14:paraId="2D0EF26E" w14:textId="77777777" w:rsidR="00E26DD2" w:rsidRPr="00E26DD2" w:rsidRDefault="00E26DD2" w:rsidP="00E26DD2">
      <w:pPr>
        <w:spacing w:after="0" w:line="240" w:lineRule="auto"/>
        <w:contextualSpacing/>
        <w:rPr>
          <w:rFonts w:ascii="Times New Roman" w:eastAsia="Calibri" w:hAnsi="Times New Roman" w:cs="Times New Roman"/>
          <w:b/>
          <w:sz w:val="24"/>
          <w:szCs w:val="24"/>
        </w:rPr>
      </w:pPr>
      <w:r w:rsidRPr="00E26DD2">
        <w:rPr>
          <w:rFonts w:ascii="Times New Roman" w:eastAsia="Calibri" w:hAnsi="Times New Roman" w:cs="Times New Roman"/>
          <w:b/>
          <w:sz w:val="24"/>
          <w:szCs w:val="24"/>
        </w:rPr>
        <w:t xml:space="preserve">FECHA: </w:t>
      </w:r>
      <w:r w:rsidRPr="00E26DD2">
        <w:rPr>
          <w:rFonts w:ascii="Times New Roman" w:eastAsia="Calibri" w:hAnsi="Times New Roman" w:cs="Times New Roman"/>
          <w:sz w:val="24"/>
          <w:szCs w:val="24"/>
        </w:rPr>
        <w:t>17/MARZO/2026.</w:t>
      </w:r>
    </w:p>
    <w:p w14:paraId="31772E1E" w14:textId="77777777" w:rsidR="00E26DD2" w:rsidRPr="00E26DD2" w:rsidRDefault="00E26DD2" w:rsidP="00E26DD2">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E26DD2">
        <w:rPr>
          <w:rFonts w:ascii="Times New Roman" w:eastAsia="Arial" w:hAnsi="Times New Roman" w:cs="Times New Roman"/>
          <w:b/>
          <w:bCs/>
          <w:sz w:val="24"/>
          <w:szCs w:val="24"/>
          <w:lang w:val="es-ES"/>
        </w:rPr>
        <w:t xml:space="preserve">ASUNTO: </w:t>
      </w:r>
      <w:r w:rsidRPr="00E26DD2">
        <w:rPr>
          <w:rFonts w:ascii="Times New Roman" w:eastAsia="Arial" w:hAnsi="Times New Roman" w:cs="Times New Roman"/>
          <w:bCs/>
          <w:sz w:val="24"/>
          <w:szCs w:val="24"/>
          <w:lang w:val="es-ES"/>
        </w:rPr>
        <w:t>DICTAMEN FORMULADO A LA INICIATIVA CON PROYECTO DE DECRETO QUE REFORMA EL ARTÍCULO 47 DE LA LEY ORGÁNICA DEL PODER JUDICIAL DEL ESTADO DE MÉXICO, PRESENTADA POR EL PRESIDENTE DEL TRIBUNAL SUPERIOR DE JUSTICIA DEL ESTADO DE MÉXICO.</w:t>
      </w:r>
    </w:p>
    <w:p w14:paraId="44310BAA"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p w14:paraId="28995FA3"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COMISIÓN LEGISLATIVA DE</w:t>
      </w:r>
    </w:p>
    <w:p w14:paraId="1EF6B2C1"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 xml:space="preserve">PROCURACIÓN Y ADMINISTRACIÓN DE JUSTICIA </w:t>
      </w:r>
    </w:p>
    <w:p w14:paraId="793454FA"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7"/>
        <w:gridCol w:w="2492"/>
        <w:gridCol w:w="2077"/>
        <w:gridCol w:w="2354"/>
      </w:tblGrid>
      <w:tr w:rsidR="00E26DD2" w:rsidRPr="00E26DD2" w14:paraId="3E7B021D" w14:textId="77777777" w:rsidTr="00434807">
        <w:trPr>
          <w:trHeight w:val="20"/>
          <w:tblHeader/>
          <w:jc w:val="center"/>
        </w:trPr>
        <w:tc>
          <w:tcPr>
            <w:tcW w:w="259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7ACE3DE"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DIPUTADA(O)</w:t>
            </w:r>
          </w:p>
        </w:tc>
        <w:tc>
          <w:tcPr>
            <w:tcW w:w="692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EAEAEF6"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FIRMA</w:t>
            </w:r>
          </w:p>
        </w:tc>
      </w:tr>
      <w:tr w:rsidR="00E26DD2" w:rsidRPr="00E26DD2" w14:paraId="1F1714B5" w14:textId="77777777" w:rsidTr="00434807">
        <w:trPr>
          <w:trHeight w:val="20"/>
          <w:tblHeader/>
          <w:jc w:val="center"/>
        </w:trPr>
        <w:tc>
          <w:tcPr>
            <w:tcW w:w="2597" w:type="dxa"/>
            <w:vMerge/>
            <w:tcBorders>
              <w:top w:val="single" w:sz="4" w:space="0" w:color="auto"/>
              <w:left w:val="single" w:sz="4" w:space="0" w:color="auto"/>
              <w:bottom w:val="single" w:sz="4" w:space="0" w:color="auto"/>
              <w:right w:val="single" w:sz="4" w:space="0" w:color="auto"/>
            </w:tcBorders>
            <w:vAlign w:val="center"/>
            <w:hideMark/>
          </w:tcPr>
          <w:p w14:paraId="100CD7FF" w14:textId="77777777" w:rsidR="00E26DD2" w:rsidRPr="00E26DD2" w:rsidRDefault="00E26DD2" w:rsidP="00E26DD2">
            <w:pPr>
              <w:spacing w:after="0" w:line="240" w:lineRule="auto"/>
              <w:rPr>
                <w:rFonts w:ascii="Times New Roman" w:eastAsia="Calibri" w:hAnsi="Times New Roman" w:cs="Times New Roman"/>
                <w:b/>
                <w:sz w:val="24"/>
                <w:szCs w:val="24"/>
              </w:rPr>
            </w:pPr>
          </w:p>
        </w:tc>
        <w:tc>
          <w:tcPr>
            <w:tcW w:w="2492" w:type="dxa"/>
            <w:tcBorders>
              <w:top w:val="single" w:sz="4" w:space="0" w:color="auto"/>
              <w:left w:val="single" w:sz="4" w:space="0" w:color="auto"/>
              <w:bottom w:val="single" w:sz="4" w:space="0" w:color="auto"/>
              <w:right w:val="single" w:sz="4" w:space="0" w:color="auto"/>
            </w:tcBorders>
            <w:shd w:val="clear" w:color="auto" w:fill="D9D9D9"/>
            <w:hideMark/>
          </w:tcPr>
          <w:p w14:paraId="57C713B9"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A FAVOR</w:t>
            </w:r>
          </w:p>
        </w:tc>
        <w:tc>
          <w:tcPr>
            <w:tcW w:w="2077" w:type="dxa"/>
            <w:tcBorders>
              <w:top w:val="single" w:sz="4" w:space="0" w:color="auto"/>
              <w:left w:val="single" w:sz="4" w:space="0" w:color="auto"/>
              <w:bottom w:val="single" w:sz="4" w:space="0" w:color="auto"/>
              <w:right w:val="single" w:sz="4" w:space="0" w:color="auto"/>
            </w:tcBorders>
            <w:shd w:val="clear" w:color="auto" w:fill="D9D9D9"/>
            <w:hideMark/>
          </w:tcPr>
          <w:p w14:paraId="0B4C81FE"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EN CONTRA</w:t>
            </w:r>
          </w:p>
        </w:tc>
        <w:tc>
          <w:tcPr>
            <w:tcW w:w="2353" w:type="dxa"/>
            <w:tcBorders>
              <w:top w:val="single" w:sz="4" w:space="0" w:color="auto"/>
              <w:left w:val="single" w:sz="4" w:space="0" w:color="auto"/>
              <w:bottom w:val="single" w:sz="4" w:space="0" w:color="auto"/>
              <w:right w:val="single" w:sz="4" w:space="0" w:color="auto"/>
            </w:tcBorders>
            <w:shd w:val="clear" w:color="auto" w:fill="D9D9D9"/>
            <w:hideMark/>
          </w:tcPr>
          <w:p w14:paraId="1123A253"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ABSTENCIÓN</w:t>
            </w:r>
          </w:p>
        </w:tc>
      </w:tr>
      <w:tr w:rsidR="00E26DD2" w:rsidRPr="00E26DD2" w14:paraId="08C3AC6A"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53823354"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b/>
                <w:sz w:val="24"/>
                <w:szCs w:val="24"/>
              </w:rPr>
              <w:t>Presidenta</w:t>
            </w:r>
          </w:p>
          <w:p w14:paraId="44F7F39C"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sz w:val="24"/>
                <w:szCs w:val="24"/>
              </w:rPr>
              <w:t>Dip. Emma Laura Alvarez Villavicencio</w:t>
            </w:r>
          </w:p>
        </w:tc>
        <w:tc>
          <w:tcPr>
            <w:tcW w:w="2492" w:type="dxa"/>
            <w:tcBorders>
              <w:top w:val="single" w:sz="4" w:space="0" w:color="auto"/>
              <w:left w:val="single" w:sz="4" w:space="0" w:color="auto"/>
              <w:bottom w:val="single" w:sz="4" w:space="0" w:color="auto"/>
              <w:right w:val="single" w:sz="4" w:space="0" w:color="auto"/>
            </w:tcBorders>
            <w:vAlign w:val="center"/>
          </w:tcPr>
          <w:p w14:paraId="77497632"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584843CA"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675D7E50"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13942871"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55BA20D1"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b/>
                <w:sz w:val="24"/>
                <w:szCs w:val="24"/>
              </w:rPr>
              <w:t>Secretario</w:t>
            </w:r>
          </w:p>
          <w:p w14:paraId="6089E89C"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Dip. Omar </w:t>
            </w:r>
          </w:p>
          <w:p w14:paraId="25AD9E16"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sz w:val="24"/>
                <w:szCs w:val="24"/>
              </w:rPr>
              <w:t>Ortega Álvarez</w:t>
            </w:r>
          </w:p>
        </w:tc>
        <w:tc>
          <w:tcPr>
            <w:tcW w:w="2492" w:type="dxa"/>
            <w:tcBorders>
              <w:top w:val="single" w:sz="4" w:space="0" w:color="auto"/>
              <w:left w:val="single" w:sz="4" w:space="0" w:color="auto"/>
              <w:bottom w:val="single" w:sz="4" w:space="0" w:color="auto"/>
              <w:right w:val="single" w:sz="4" w:space="0" w:color="auto"/>
            </w:tcBorders>
            <w:vAlign w:val="center"/>
          </w:tcPr>
          <w:p w14:paraId="10967DAC"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785FF47D"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14336AC8"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69AD1E09"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35E029DA"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lang w:eastAsia="es-MX"/>
              </w:rPr>
            </w:pPr>
            <w:r w:rsidRPr="00E26DD2">
              <w:rPr>
                <w:rFonts w:ascii="Times New Roman" w:eastAsia="Calibri" w:hAnsi="Times New Roman" w:cs="Times New Roman"/>
                <w:b/>
                <w:sz w:val="24"/>
                <w:szCs w:val="24"/>
              </w:rPr>
              <w:t>Prosecretario</w:t>
            </w:r>
          </w:p>
          <w:p w14:paraId="73B26FE0"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Dip. Octavio </w:t>
            </w:r>
          </w:p>
          <w:p w14:paraId="1F7AE2DB"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sz w:val="24"/>
                <w:szCs w:val="24"/>
              </w:rPr>
              <w:t>Martínez Vargas</w:t>
            </w:r>
          </w:p>
        </w:tc>
        <w:tc>
          <w:tcPr>
            <w:tcW w:w="2492" w:type="dxa"/>
            <w:tcBorders>
              <w:top w:val="single" w:sz="4" w:space="0" w:color="auto"/>
              <w:left w:val="single" w:sz="4" w:space="0" w:color="auto"/>
              <w:bottom w:val="single" w:sz="4" w:space="0" w:color="auto"/>
              <w:right w:val="single" w:sz="4" w:space="0" w:color="auto"/>
            </w:tcBorders>
            <w:vAlign w:val="center"/>
          </w:tcPr>
          <w:p w14:paraId="485DB669"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4E2BC597"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00481DD5"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7AB098EF"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31663F2D"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sz w:val="24"/>
                <w:szCs w:val="24"/>
              </w:rPr>
              <w:t>Dip. Carlos Antonio Martínez Zurita Trejo</w:t>
            </w:r>
          </w:p>
        </w:tc>
        <w:tc>
          <w:tcPr>
            <w:tcW w:w="2492" w:type="dxa"/>
            <w:tcBorders>
              <w:top w:val="single" w:sz="4" w:space="0" w:color="auto"/>
              <w:left w:val="single" w:sz="4" w:space="0" w:color="auto"/>
              <w:bottom w:val="single" w:sz="4" w:space="0" w:color="auto"/>
              <w:right w:val="single" w:sz="4" w:space="0" w:color="auto"/>
            </w:tcBorders>
            <w:vAlign w:val="center"/>
          </w:tcPr>
          <w:p w14:paraId="3A926588"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1D4DF77D"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531C2B29"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0583F273"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63E80F3E"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lang w:val="es-ES_tradnl"/>
              </w:rPr>
            </w:pPr>
            <w:r w:rsidRPr="00E26DD2">
              <w:rPr>
                <w:rFonts w:ascii="Times New Roman" w:eastAsia="Calibri" w:hAnsi="Times New Roman" w:cs="Times New Roman"/>
                <w:sz w:val="24"/>
                <w:szCs w:val="24"/>
              </w:rPr>
              <w:lastRenderedPageBreak/>
              <w:t>Dip. Vladimir Hernández Villegas</w:t>
            </w:r>
          </w:p>
        </w:tc>
        <w:tc>
          <w:tcPr>
            <w:tcW w:w="2492" w:type="dxa"/>
            <w:tcBorders>
              <w:top w:val="single" w:sz="4" w:space="0" w:color="auto"/>
              <w:left w:val="single" w:sz="4" w:space="0" w:color="auto"/>
              <w:bottom w:val="single" w:sz="4" w:space="0" w:color="auto"/>
              <w:right w:val="single" w:sz="4" w:space="0" w:color="auto"/>
            </w:tcBorders>
            <w:vAlign w:val="center"/>
          </w:tcPr>
          <w:p w14:paraId="589DB8A1"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35C0E30A"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43D2B559"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4450FC26"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31F8D475"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lang w:val="es-ES_tradnl"/>
              </w:rPr>
            </w:pPr>
            <w:r w:rsidRPr="00E26DD2">
              <w:rPr>
                <w:rFonts w:ascii="Times New Roman" w:eastAsia="Calibri" w:hAnsi="Times New Roman" w:cs="Times New Roman"/>
                <w:sz w:val="24"/>
                <w:szCs w:val="24"/>
              </w:rPr>
              <w:t>Dip. Nelly Brígida Rivera Sánchez</w:t>
            </w:r>
          </w:p>
        </w:tc>
        <w:tc>
          <w:tcPr>
            <w:tcW w:w="2492" w:type="dxa"/>
            <w:tcBorders>
              <w:top w:val="single" w:sz="4" w:space="0" w:color="auto"/>
              <w:left w:val="single" w:sz="4" w:space="0" w:color="auto"/>
              <w:bottom w:val="single" w:sz="4" w:space="0" w:color="auto"/>
              <w:right w:val="single" w:sz="4" w:space="0" w:color="auto"/>
            </w:tcBorders>
            <w:vAlign w:val="center"/>
          </w:tcPr>
          <w:p w14:paraId="31FB6C90"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1580A4E9"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034334E6"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12BB113D"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71E6182B"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lang w:val="es-ES_tradnl"/>
              </w:rPr>
            </w:pPr>
            <w:r w:rsidRPr="00E26DD2">
              <w:rPr>
                <w:rFonts w:ascii="Times New Roman" w:eastAsia="Calibri" w:hAnsi="Times New Roman" w:cs="Times New Roman"/>
                <w:sz w:val="24"/>
                <w:szCs w:val="24"/>
              </w:rPr>
              <w:t>Dip. Yesica Yanet Rojas Hernández</w:t>
            </w:r>
          </w:p>
        </w:tc>
        <w:tc>
          <w:tcPr>
            <w:tcW w:w="2492" w:type="dxa"/>
            <w:tcBorders>
              <w:top w:val="single" w:sz="4" w:space="0" w:color="auto"/>
              <w:left w:val="single" w:sz="4" w:space="0" w:color="auto"/>
              <w:bottom w:val="single" w:sz="4" w:space="0" w:color="auto"/>
              <w:right w:val="single" w:sz="4" w:space="0" w:color="auto"/>
            </w:tcBorders>
            <w:vAlign w:val="center"/>
          </w:tcPr>
          <w:p w14:paraId="233A1CB7"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076C4BF6"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60AAC7AD"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18C30382"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2D911F63"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lang w:val="es-ES_tradnl"/>
              </w:rPr>
            </w:pPr>
            <w:r w:rsidRPr="00E26DD2">
              <w:rPr>
                <w:rFonts w:ascii="Times New Roman" w:eastAsia="Calibri" w:hAnsi="Times New Roman" w:cs="Times New Roman"/>
                <w:sz w:val="24"/>
                <w:szCs w:val="24"/>
              </w:rPr>
              <w:t>Dip. Héctor Karim Carvallo Delfín</w:t>
            </w:r>
          </w:p>
        </w:tc>
        <w:tc>
          <w:tcPr>
            <w:tcW w:w="2492" w:type="dxa"/>
            <w:tcBorders>
              <w:top w:val="single" w:sz="4" w:space="0" w:color="auto"/>
              <w:left w:val="single" w:sz="4" w:space="0" w:color="auto"/>
              <w:bottom w:val="single" w:sz="4" w:space="0" w:color="auto"/>
              <w:right w:val="single" w:sz="4" w:space="0" w:color="auto"/>
            </w:tcBorders>
            <w:vAlign w:val="center"/>
          </w:tcPr>
          <w:p w14:paraId="336DE4B8"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19EC32D3"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1566832D"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24E809E3"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0C6A4183"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Dip. Selina </w:t>
            </w:r>
          </w:p>
          <w:p w14:paraId="635FE34E"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Trujillo Arizmendi</w:t>
            </w:r>
          </w:p>
        </w:tc>
        <w:tc>
          <w:tcPr>
            <w:tcW w:w="2492" w:type="dxa"/>
            <w:tcBorders>
              <w:top w:val="single" w:sz="4" w:space="0" w:color="auto"/>
              <w:left w:val="single" w:sz="4" w:space="0" w:color="auto"/>
              <w:bottom w:val="single" w:sz="4" w:space="0" w:color="auto"/>
              <w:right w:val="single" w:sz="4" w:space="0" w:color="auto"/>
            </w:tcBorders>
            <w:vAlign w:val="center"/>
          </w:tcPr>
          <w:p w14:paraId="70A00152"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455FACC3"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027385FE"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4CCD38F9"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74D00E2C"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Dip. Miriam </w:t>
            </w:r>
          </w:p>
          <w:p w14:paraId="6CBCB47A"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Silva Mata</w:t>
            </w:r>
          </w:p>
        </w:tc>
        <w:tc>
          <w:tcPr>
            <w:tcW w:w="2492" w:type="dxa"/>
            <w:tcBorders>
              <w:top w:val="single" w:sz="4" w:space="0" w:color="auto"/>
              <w:left w:val="single" w:sz="4" w:space="0" w:color="auto"/>
              <w:bottom w:val="single" w:sz="4" w:space="0" w:color="auto"/>
              <w:right w:val="single" w:sz="4" w:space="0" w:color="auto"/>
            </w:tcBorders>
            <w:vAlign w:val="center"/>
          </w:tcPr>
          <w:p w14:paraId="1E64AE53"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17805F53"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32D5BD55"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683C8384"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780F9327"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Dip. Ana Yurixi </w:t>
            </w:r>
          </w:p>
          <w:p w14:paraId="088D3230"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Leyva Piñón</w:t>
            </w:r>
          </w:p>
        </w:tc>
        <w:tc>
          <w:tcPr>
            <w:tcW w:w="2492" w:type="dxa"/>
            <w:tcBorders>
              <w:top w:val="single" w:sz="4" w:space="0" w:color="auto"/>
              <w:left w:val="single" w:sz="4" w:space="0" w:color="auto"/>
              <w:bottom w:val="single" w:sz="4" w:space="0" w:color="auto"/>
              <w:right w:val="single" w:sz="4" w:space="0" w:color="auto"/>
            </w:tcBorders>
            <w:vAlign w:val="center"/>
          </w:tcPr>
          <w:p w14:paraId="2BCB0805"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26FF8494"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338DF6A9"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6DD8D41E"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748E3BC9"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Dip. María Mercedes Colín Guadarrama</w:t>
            </w:r>
          </w:p>
        </w:tc>
        <w:tc>
          <w:tcPr>
            <w:tcW w:w="2492" w:type="dxa"/>
            <w:tcBorders>
              <w:top w:val="single" w:sz="4" w:space="0" w:color="auto"/>
              <w:left w:val="single" w:sz="4" w:space="0" w:color="auto"/>
              <w:bottom w:val="single" w:sz="4" w:space="0" w:color="auto"/>
              <w:right w:val="single" w:sz="4" w:space="0" w:color="auto"/>
            </w:tcBorders>
            <w:vAlign w:val="center"/>
          </w:tcPr>
          <w:p w14:paraId="0F989040"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c>
          <w:tcPr>
            <w:tcW w:w="2077" w:type="dxa"/>
            <w:tcBorders>
              <w:top w:val="single" w:sz="4" w:space="0" w:color="auto"/>
              <w:left w:val="single" w:sz="4" w:space="0" w:color="auto"/>
              <w:bottom w:val="single" w:sz="4" w:space="0" w:color="auto"/>
              <w:right w:val="single" w:sz="4" w:space="0" w:color="auto"/>
            </w:tcBorders>
            <w:vAlign w:val="center"/>
          </w:tcPr>
          <w:p w14:paraId="6AE28F09"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1096376C"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r>
      <w:tr w:rsidR="00E26DD2" w:rsidRPr="00E26DD2" w14:paraId="549429FC" w14:textId="77777777" w:rsidTr="00434807">
        <w:trPr>
          <w:trHeight w:val="20"/>
          <w:jc w:val="center"/>
        </w:trPr>
        <w:tc>
          <w:tcPr>
            <w:tcW w:w="2597" w:type="dxa"/>
            <w:tcBorders>
              <w:top w:val="single" w:sz="4" w:space="0" w:color="auto"/>
              <w:left w:val="single" w:sz="4" w:space="0" w:color="auto"/>
              <w:bottom w:val="single" w:sz="4" w:space="0" w:color="auto"/>
              <w:right w:val="single" w:sz="4" w:space="0" w:color="auto"/>
            </w:tcBorders>
            <w:vAlign w:val="center"/>
            <w:hideMark/>
          </w:tcPr>
          <w:p w14:paraId="324E7158"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 xml:space="preserve">Dip. Ruth </w:t>
            </w:r>
          </w:p>
          <w:p w14:paraId="065F0CEC" w14:textId="77777777" w:rsidR="00E26DD2" w:rsidRPr="00E26DD2" w:rsidRDefault="00E26DD2" w:rsidP="00E26DD2">
            <w:pPr>
              <w:spacing w:after="0" w:line="240" w:lineRule="auto"/>
              <w:contextualSpacing/>
              <w:jc w:val="center"/>
              <w:rPr>
                <w:rFonts w:ascii="Times New Roman" w:eastAsia="Calibri" w:hAnsi="Times New Roman" w:cs="Times New Roman"/>
                <w:sz w:val="24"/>
                <w:szCs w:val="24"/>
              </w:rPr>
            </w:pPr>
            <w:r w:rsidRPr="00E26DD2">
              <w:rPr>
                <w:rFonts w:ascii="Times New Roman" w:eastAsia="Calibri" w:hAnsi="Times New Roman" w:cs="Times New Roman"/>
                <w:sz w:val="24"/>
                <w:szCs w:val="24"/>
              </w:rPr>
              <w:t>Salinas Reyes</w:t>
            </w:r>
          </w:p>
        </w:tc>
        <w:tc>
          <w:tcPr>
            <w:tcW w:w="2492" w:type="dxa"/>
            <w:tcBorders>
              <w:top w:val="single" w:sz="4" w:space="0" w:color="auto"/>
              <w:left w:val="single" w:sz="4" w:space="0" w:color="auto"/>
              <w:bottom w:val="single" w:sz="4" w:space="0" w:color="auto"/>
              <w:right w:val="single" w:sz="4" w:space="0" w:color="auto"/>
            </w:tcBorders>
            <w:vAlign w:val="center"/>
          </w:tcPr>
          <w:p w14:paraId="077F65F2"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077" w:type="dxa"/>
            <w:tcBorders>
              <w:top w:val="single" w:sz="4" w:space="0" w:color="auto"/>
              <w:left w:val="single" w:sz="4" w:space="0" w:color="auto"/>
              <w:bottom w:val="single" w:sz="4" w:space="0" w:color="auto"/>
              <w:right w:val="single" w:sz="4" w:space="0" w:color="auto"/>
            </w:tcBorders>
            <w:vAlign w:val="center"/>
          </w:tcPr>
          <w:p w14:paraId="3D76AED6"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0D1E0AE2" w14:textId="77777777" w:rsidR="00E26DD2" w:rsidRPr="00E26DD2" w:rsidRDefault="00E26DD2" w:rsidP="00E26DD2">
            <w:pPr>
              <w:spacing w:after="0" w:line="240" w:lineRule="auto"/>
              <w:contextualSpacing/>
              <w:jc w:val="center"/>
              <w:rPr>
                <w:rFonts w:ascii="Times New Roman" w:eastAsia="Calibri" w:hAnsi="Times New Roman" w:cs="Times New Roman"/>
                <w:b/>
                <w:sz w:val="24"/>
                <w:szCs w:val="24"/>
              </w:rPr>
            </w:pPr>
            <w:r w:rsidRPr="00E26DD2">
              <w:rPr>
                <w:rFonts w:ascii="Times New Roman" w:eastAsia="Calibri" w:hAnsi="Times New Roman" w:cs="Times New Roman"/>
                <w:b/>
                <w:sz w:val="24"/>
                <w:szCs w:val="24"/>
              </w:rPr>
              <w:t>√</w:t>
            </w:r>
          </w:p>
        </w:tc>
      </w:tr>
    </w:tbl>
    <w:p w14:paraId="468E07FA" w14:textId="51D4CB79" w:rsidR="00E26DD2" w:rsidRPr="0012597A" w:rsidRDefault="00E26DD2" w:rsidP="00EF1C7F">
      <w:pPr>
        <w:spacing w:after="0" w:line="240" w:lineRule="auto"/>
        <w:jc w:val="center"/>
        <w:rPr>
          <w:rFonts w:ascii="Times New Roman" w:hAnsi="Times New Roman" w:cs="Times New Roman"/>
          <w:sz w:val="24"/>
          <w:szCs w:val="24"/>
        </w:rPr>
      </w:pPr>
    </w:p>
    <w:p w14:paraId="6B8ED000" w14:textId="625A4C88" w:rsidR="00E26DD2" w:rsidRPr="0012597A" w:rsidRDefault="00E26DD2" w:rsidP="00EF1C7F">
      <w:pPr>
        <w:spacing w:after="0" w:line="240" w:lineRule="auto"/>
        <w:jc w:val="center"/>
        <w:rPr>
          <w:rFonts w:ascii="Times New Roman" w:hAnsi="Times New Roman" w:cs="Times New Roman"/>
          <w:sz w:val="24"/>
          <w:szCs w:val="24"/>
        </w:rPr>
      </w:pPr>
    </w:p>
    <w:p w14:paraId="731432E3" w14:textId="77777777" w:rsidR="004A0CC4" w:rsidRPr="004A0CC4" w:rsidRDefault="004A0CC4" w:rsidP="004A0CC4">
      <w:pPr>
        <w:spacing w:after="0" w:line="240" w:lineRule="auto"/>
        <w:contextualSpacing/>
        <w:rPr>
          <w:rFonts w:ascii="Times New Roman" w:eastAsia="Calibri" w:hAnsi="Times New Roman" w:cs="Times New Roman"/>
          <w:b/>
          <w:sz w:val="24"/>
          <w:szCs w:val="24"/>
        </w:rPr>
      </w:pPr>
      <w:r w:rsidRPr="004A0CC4">
        <w:rPr>
          <w:rFonts w:ascii="Times New Roman" w:eastAsia="Calibri" w:hAnsi="Times New Roman" w:cs="Times New Roman"/>
          <w:b/>
          <w:sz w:val="24"/>
          <w:szCs w:val="24"/>
        </w:rPr>
        <w:t>DECRETO NÚMERO</w:t>
      </w:r>
    </w:p>
    <w:p w14:paraId="68F13496" w14:textId="77777777" w:rsidR="004A0CC4" w:rsidRPr="004A0CC4" w:rsidRDefault="004A0CC4" w:rsidP="004A0CC4">
      <w:pPr>
        <w:spacing w:after="0" w:line="240" w:lineRule="auto"/>
        <w:contextualSpacing/>
        <w:rPr>
          <w:rFonts w:ascii="Times New Roman" w:eastAsia="Calibri" w:hAnsi="Times New Roman" w:cs="Times New Roman"/>
          <w:b/>
          <w:sz w:val="24"/>
          <w:szCs w:val="24"/>
        </w:rPr>
      </w:pPr>
      <w:r w:rsidRPr="004A0CC4">
        <w:rPr>
          <w:rFonts w:ascii="Times New Roman" w:eastAsia="Calibri" w:hAnsi="Times New Roman" w:cs="Times New Roman"/>
          <w:b/>
          <w:sz w:val="24"/>
          <w:szCs w:val="24"/>
        </w:rPr>
        <w:t xml:space="preserve">LA H. “LXII” LEGISLATURA </w:t>
      </w:r>
    </w:p>
    <w:p w14:paraId="087B3DBB" w14:textId="77777777" w:rsidR="004A0CC4" w:rsidRPr="004A0CC4" w:rsidRDefault="004A0CC4" w:rsidP="004A0CC4">
      <w:pPr>
        <w:spacing w:after="0" w:line="240" w:lineRule="auto"/>
        <w:contextualSpacing/>
        <w:rPr>
          <w:rFonts w:ascii="Times New Roman" w:eastAsia="Calibri" w:hAnsi="Times New Roman" w:cs="Times New Roman"/>
          <w:b/>
          <w:sz w:val="24"/>
          <w:szCs w:val="24"/>
        </w:rPr>
      </w:pPr>
      <w:r w:rsidRPr="004A0CC4">
        <w:rPr>
          <w:rFonts w:ascii="Times New Roman" w:eastAsia="Calibri" w:hAnsi="Times New Roman" w:cs="Times New Roman"/>
          <w:b/>
          <w:sz w:val="24"/>
          <w:szCs w:val="24"/>
        </w:rPr>
        <w:t xml:space="preserve">DEL ESTADO DE MÉXICO </w:t>
      </w:r>
    </w:p>
    <w:p w14:paraId="7AFBDD3C" w14:textId="77777777" w:rsidR="004A0CC4" w:rsidRPr="004A0CC4" w:rsidRDefault="004A0CC4" w:rsidP="004A0CC4">
      <w:pPr>
        <w:spacing w:after="0" w:line="240" w:lineRule="auto"/>
        <w:contextualSpacing/>
        <w:rPr>
          <w:rFonts w:ascii="Times New Roman" w:eastAsia="Calibri" w:hAnsi="Times New Roman" w:cs="Times New Roman"/>
          <w:b/>
          <w:sz w:val="24"/>
          <w:szCs w:val="24"/>
        </w:rPr>
      </w:pPr>
      <w:r w:rsidRPr="004A0CC4">
        <w:rPr>
          <w:rFonts w:ascii="Times New Roman" w:eastAsia="Calibri" w:hAnsi="Times New Roman" w:cs="Times New Roman"/>
          <w:b/>
          <w:sz w:val="24"/>
          <w:szCs w:val="24"/>
        </w:rPr>
        <w:t>DECRETA:</w:t>
      </w:r>
    </w:p>
    <w:p w14:paraId="2B6350BE" w14:textId="77777777" w:rsidR="004A0CC4" w:rsidRPr="004A0CC4" w:rsidRDefault="004A0CC4" w:rsidP="004A0CC4">
      <w:pPr>
        <w:spacing w:after="0" w:line="240" w:lineRule="auto"/>
        <w:contextualSpacing/>
        <w:rPr>
          <w:rFonts w:ascii="Times New Roman" w:eastAsia="Calibri" w:hAnsi="Times New Roman" w:cs="Times New Roman"/>
          <w:sz w:val="24"/>
          <w:szCs w:val="24"/>
        </w:rPr>
      </w:pPr>
    </w:p>
    <w:p w14:paraId="1C1D4BF0"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ARTÍCULO ÚNICO.</w:t>
      </w:r>
      <w:r w:rsidRPr="004A0CC4">
        <w:rPr>
          <w:rFonts w:ascii="Times New Roman" w:eastAsia="Calibri" w:hAnsi="Times New Roman" w:cs="Times New Roman"/>
          <w:sz w:val="24"/>
          <w:szCs w:val="24"/>
        </w:rPr>
        <w:t xml:space="preserve"> Se adiciona el inciso A primer párrafo y el inciso B al artículo 47 de la Ley Orgánica del Poder Judicial del Estado de México, para quedar como sigue:</w:t>
      </w:r>
    </w:p>
    <w:p w14:paraId="2AF6F188"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5E9CC2D9" w14:textId="77777777" w:rsidR="004A0CC4" w:rsidRPr="004A0CC4" w:rsidRDefault="004A0CC4" w:rsidP="004A0CC4">
      <w:pPr>
        <w:spacing w:after="0" w:line="240" w:lineRule="auto"/>
        <w:contextualSpacing/>
        <w:jc w:val="both"/>
        <w:rPr>
          <w:rFonts w:ascii="Times New Roman" w:eastAsia="Calibri" w:hAnsi="Times New Roman" w:cs="Times New Roman"/>
          <w:b/>
          <w:sz w:val="24"/>
          <w:szCs w:val="24"/>
        </w:rPr>
      </w:pPr>
      <w:r w:rsidRPr="004A0CC4">
        <w:rPr>
          <w:rFonts w:ascii="Times New Roman" w:eastAsia="Calibri" w:hAnsi="Times New Roman" w:cs="Times New Roman"/>
          <w:b/>
          <w:sz w:val="24"/>
          <w:szCs w:val="24"/>
        </w:rPr>
        <w:t>Estructura de las salas colegiadas y tribunales de alzada</w:t>
      </w:r>
    </w:p>
    <w:p w14:paraId="3EEBF3DF"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7CF78135"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Artículo 47.</w:t>
      </w:r>
      <w:r w:rsidRPr="004A0CC4">
        <w:rPr>
          <w:rFonts w:ascii="Times New Roman" w:eastAsia="Calibri" w:hAnsi="Times New Roman" w:cs="Times New Roman"/>
          <w:sz w:val="24"/>
          <w:szCs w:val="24"/>
        </w:rPr>
        <w:t xml:space="preserve"> …</w:t>
      </w:r>
    </w:p>
    <w:p w14:paraId="3E24CE3B"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25089091" w14:textId="77777777" w:rsidR="004A0CC4" w:rsidRPr="004A0CC4" w:rsidRDefault="004A0CC4" w:rsidP="004A0CC4">
      <w:pPr>
        <w:spacing w:after="0" w:line="240" w:lineRule="auto"/>
        <w:contextualSpacing/>
        <w:jc w:val="both"/>
        <w:rPr>
          <w:rFonts w:ascii="Times New Roman" w:eastAsia="Calibri" w:hAnsi="Times New Roman" w:cs="Times New Roman"/>
          <w:b/>
          <w:sz w:val="24"/>
          <w:szCs w:val="24"/>
        </w:rPr>
      </w:pPr>
      <w:r w:rsidRPr="004A0CC4">
        <w:rPr>
          <w:rFonts w:ascii="Times New Roman" w:eastAsia="Calibri" w:hAnsi="Times New Roman" w:cs="Times New Roman"/>
          <w:b/>
          <w:sz w:val="24"/>
          <w:szCs w:val="24"/>
        </w:rPr>
        <w:t>A. Salas Colegiadas:</w:t>
      </w:r>
    </w:p>
    <w:p w14:paraId="549ECA10"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6ABABB46"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I.</w:t>
      </w:r>
      <w:r w:rsidRPr="004A0CC4">
        <w:rPr>
          <w:rFonts w:ascii="Times New Roman" w:eastAsia="Calibri" w:hAnsi="Times New Roman" w:cs="Times New Roman"/>
          <w:sz w:val="24"/>
          <w:szCs w:val="24"/>
        </w:rPr>
        <w:t xml:space="preserve"> a </w:t>
      </w:r>
      <w:r w:rsidRPr="004A0CC4">
        <w:rPr>
          <w:rFonts w:ascii="Times New Roman" w:eastAsia="Calibri" w:hAnsi="Times New Roman" w:cs="Times New Roman"/>
          <w:b/>
          <w:sz w:val="24"/>
          <w:szCs w:val="24"/>
        </w:rPr>
        <w:t>VI.</w:t>
      </w:r>
      <w:r w:rsidRPr="004A0CC4">
        <w:rPr>
          <w:rFonts w:ascii="Times New Roman" w:eastAsia="Calibri" w:hAnsi="Times New Roman" w:cs="Times New Roman"/>
          <w:sz w:val="24"/>
          <w:szCs w:val="24"/>
        </w:rPr>
        <w:t xml:space="preserve"> …</w:t>
      </w:r>
    </w:p>
    <w:p w14:paraId="18AF691D"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1C603A9B" w14:textId="77777777" w:rsidR="004A0CC4" w:rsidRPr="004A0CC4" w:rsidRDefault="004A0CC4" w:rsidP="004A0CC4">
      <w:pPr>
        <w:spacing w:after="0" w:line="240" w:lineRule="auto"/>
        <w:contextualSpacing/>
        <w:jc w:val="both"/>
        <w:rPr>
          <w:rFonts w:ascii="Times New Roman" w:eastAsia="Calibri" w:hAnsi="Times New Roman" w:cs="Times New Roman"/>
          <w:b/>
          <w:sz w:val="24"/>
          <w:szCs w:val="24"/>
        </w:rPr>
      </w:pPr>
      <w:r w:rsidRPr="004A0CC4">
        <w:rPr>
          <w:rFonts w:ascii="Times New Roman" w:eastAsia="Calibri" w:hAnsi="Times New Roman" w:cs="Times New Roman"/>
          <w:b/>
          <w:sz w:val="24"/>
          <w:szCs w:val="24"/>
        </w:rPr>
        <w:t>B. Tribunales de Alzada:</w:t>
      </w:r>
    </w:p>
    <w:p w14:paraId="32B50136"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64FC313B"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I.</w:t>
      </w:r>
      <w:r w:rsidRPr="004A0CC4">
        <w:rPr>
          <w:rFonts w:ascii="Times New Roman" w:eastAsia="Calibri" w:hAnsi="Times New Roman" w:cs="Times New Roman"/>
          <w:sz w:val="24"/>
          <w:szCs w:val="24"/>
        </w:rPr>
        <w:t xml:space="preserve"> Uno o tres magistradas o magistrados;</w:t>
      </w:r>
    </w:p>
    <w:p w14:paraId="39F9A29D"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38E03661"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II.</w:t>
      </w:r>
      <w:r w:rsidRPr="004A0CC4">
        <w:rPr>
          <w:rFonts w:ascii="Times New Roman" w:eastAsia="Calibri" w:hAnsi="Times New Roman" w:cs="Times New Roman"/>
          <w:sz w:val="24"/>
          <w:szCs w:val="24"/>
        </w:rPr>
        <w:t xml:space="preserve"> Una secretaria o secretario de acuerdos;</w:t>
      </w:r>
    </w:p>
    <w:p w14:paraId="0C92FCCF"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7DF9554E"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III.</w:t>
      </w:r>
      <w:r w:rsidRPr="004A0CC4">
        <w:rPr>
          <w:rFonts w:ascii="Times New Roman" w:eastAsia="Calibri" w:hAnsi="Times New Roman" w:cs="Times New Roman"/>
          <w:sz w:val="24"/>
          <w:szCs w:val="24"/>
        </w:rPr>
        <w:t xml:space="preserve"> Las secretarias o secretarios proyectistas que sean necesarios por cada magistrada o magistrado, de conformidad con lo que determine el Órgano de Administración Judicial;</w:t>
      </w:r>
    </w:p>
    <w:p w14:paraId="614A95CF"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05620570"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IV.</w:t>
      </w:r>
      <w:r w:rsidRPr="004A0CC4">
        <w:rPr>
          <w:rFonts w:ascii="Times New Roman" w:eastAsia="Calibri" w:hAnsi="Times New Roman" w:cs="Times New Roman"/>
          <w:sz w:val="24"/>
          <w:szCs w:val="24"/>
        </w:rPr>
        <w:t xml:space="preserve"> Una secretaria o secretario proyectista para el trámite de los juicios de amparo;</w:t>
      </w:r>
    </w:p>
    <w:p w14:paraId="1C7747FF"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2711BEDB"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V.</w:t>
      </w:r>
      <w:r w:rsidRPr="004A0CC4">
        <w:rPr>
          <w:rFonts w:ascii="Times New Roman" w:eastAsia="Calibri" w:hAnsi="Times New Roman" w:cs="Times New Roman"/>
          <w:sz w:val="24"/>
          <w:szCs w:val="24"/>
        </w:rPr>
        <w:t xml:space="preserve"> Una o un oficial mayor; y</w:t>
      </w:r>
    </w:p>
    <w:p w14:paraId="6ED39A64"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46D6EF6E"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VI.</w:t>
      </w:r>
      <w:r w:rsidRPr="004A0CC4">
        <w:rPr>
          <w:rFonts w:ascii="Times New Roman" w:eastAsia="Calibri" w:hAnsi="Times New Roman" w:cs="Times New Roman"/>
          <w:sz w:val="24"/>
          <w:szCs w:val="24"/>
        </w:rPr>
        <w:t xml:space="preserve"> Las demás servidoras y servidores Públicos que determine el Órgano de Administración Judicial.</w:t>
      </w:r>
    </w:p>
    <w:p w14:paraId="3EAC279A" w14:textId="77777777" w:rsidR="004A0CC4" w:rsidRPr="004A0CC4" w:rsidRDefault="004A0CC4" w:rsidP="004A0CC4">
      <w:pPr>
        <w:spacing w:after="0" w:line="240" w:lineRule="auto"/>
        <w:contextualSpacing/>
        <w:rPr>
          <w:rFonts w:ascii="Times New Roman" w:eastAsia="Calibri" w:hAnsi="Times New Roman" w:cs="Times New Roman"/>
          <w:sz w:val="24"/>
          <w:szCs w:val="24"/>
        </w:rPr>
      </w:pPr>
    </w:p>
    <w:p w14:paraId="6D781436" w14:textId="77777777" w:rsidR="004A0CC4" w:rsidRPr="004A0CC4" w:rsidRDefault="004A0CC4" w:rsidP="004A0CC4">
      <w:pPr>
        <w:spacing w:after="0" w:line="240" w:lineRule="auto"/>
        <w:contextualSpacing/>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T R A N S I T O R I O S</w:t>
      </w:r>
    </w:p>
    <w:p w14:paraId="32AC5095" w14:textId="77777777" w:rsidR="004A0CC4" w:rsidRPr="004A0CC4" w:rsidRDefault="004A0CC4" w:rsidP="004A0CC4">
      <w:pPr>
        <w:spacing w:after="0" w:line="240" w:lineRule="auto"/>
        <w:contextualSpacing/>
        <w:rPr>
          <w:rFonts w:ascii="Times New Roman" w:eastAsia="Calibri" w:hAnsi="Times New Roman" w:cs="Times New Roman"/>
          <w:sz w:val="24"/>
          <w:szCs w:val="24"/>
        </w:rPr>
      </w:pPr>
    </w:p>
    <w:p w14:paraId="179C2C70"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PRIMERO.</w:t>
      </w:r>
      <w:r w:rsidRPr="004A0CC4">
        <w:rPr>
          <w:rFonts w:ascii="Times New Roman" w:eastAsia="Calibri" w:hAnsi="Times New Roman" w:cs="Times New Roman"/>
          <w:sz w:val="24"/>
          <w:szCs w:val="24"/>
        </w:rPr>
        <w:t xml:space="preserve"> Publíquese el presente Decreto en el Periódico Oficial “Gaceta del Gobierno”.</w:t>
      </w:r>
    </w:p>
    <w:p w14:paraId="5D618307"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00EC822E"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b/>
          <w:sz w:val="24"/>
          <w:szCs w:val="24"/>
        </w:rPr>
        <w:t>SEGUNDO.</w:t>
      </w:r>
      <w:r w:rsidRPr="004A0CC4">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0C4AE200"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2FCCD1D3"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sz w:val="24"/>
          <w:szCs w:val="24"/>
        </w:rPr>
        <w:t>Lo tendrá entendido la Gobernadora del Estado, haciendo que se publique y se cumpla.</w:t>
      </w:r>
    </w:p>
    <w:p w14:paraId="5F9A56FE"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p>
    <w:p w14:paraId="3F082D78" w14:textId="77777777" w:rsidR="004A0CC4" w:rsidRPr="004A0CC4" w:rsidRDefault="004A0CC4" w:rsidP="004A0CC4">
      <w:pPr>
        <w:spacing w:after="0" w:line="240" w:lineRule="auto"/>
        <w:contextualSpacing/>
        <w:jc w:val="both"/>
        <w:rPr>
          <w:rFonts w:ascii="Times New Roman" w:eastAsia="Calibri" w:hAnsi="Times New Roman" w:cs="Times New Roman"/>
          <w:sz w:val="24"/>
          <w:szCs w:val="24"/>
        </w:rPr>
      </w:pPr>
      <w:r w:rsidRPr="004A0CC4">
        <w:rPr>
          <w:rFonts w:ascii="Times New Roman" w:eastAsia="Calibri" w:hAnsi="Times New Roman" w:cs="Times New Roman"/>
          <w:sz w:val="24"/>
          <w:szCs w:val="24"/>
        </w:rPr>
        <w:t>Dado en el Palacio del Poder Legislativo, en la ciudad de Toluca de Lerdo, Capital del Estado de México, a los dieciocho días del mes de marzo del dos mil veintiséis.</w:t>
      </w:r>
    </w:p>
    <w:p w14:paraId="242877C3" w14:textId="77777777" w:rsidR="004A0CC4" w:rsidRPr="004A0CC4" w:rsidRDefault="004A0CC4" w:rsidP="004A0CC4">
      <w:pPr>
        <w:spacing w:after="0" w:line="240" w:lineRule="auto"/>
        <w:jc w:val="center"/>
        <w:rPr>
          <w:rFonts w:ascii="Times New Roman" w:eastAsia="Calibri" w:hAnsi="Times New Roman" w:cs="Times New Roman"/>
          <w:b/>
          <w:sz w:val="24"/>
          <w:szCs w:val="24"/>
        </w:rPr>
      </w:pPr>
    </w:p>
    <w:p w14:paraId="3F87479C"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PRESIDENTA</w:t>
      </w:r>
    </w:p>
    <w:p w14:paraId="1C937BD2"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DIP. MARTHA AZUCENA CAMACHO REYNOSO</w:t>
      </w:r>
    </w:p>
    <w:p w14:paraId="22995BB1" w14:textId="77777777" w:rsidR="004A0CC4" w:rsidRPr="004A0CC4" w:rsidRDefault="004A0CC4" w:rsidP="004A0CC4">
      <w:pPr>
        <w:spacing w:after="0" w:line="240" w:lineRule="auto"/>
        <w:jc w:val="center"/>
        <w:rPr>
          <w:rFonts w:ascii="Times New Roman" w:eastAsia="Calibri" w:hAnsi="Times New Roman" w:cs="Times New Roman"/>
          <w:b/>
          <w:sz w:val="24"/>
          <w:szCs w:val="24"/>
        </w:rPr>
      </w:pPr>
    </w:p>
    <w:p w14:paraId="705F59A2"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SECRETARIO</w:t>
      </w:r>
    </w:p>
    <w:p w14:paraId="02739764"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DIP. EDMUNDO LUIS VALDEÑA BASTIDA</w:t>
      </w:r>
    </w:p>
    <w:p w14:paraId="7CE3CD55" w14:textId="77777777" w:rsidR="004A0CC4" w:rsidRPr="004A0CC4" w:rsidRDefault="004A0CC4" w:rsidP="004A0CC4">
      <w:pPr>
        <w:spacing w:after="0" w:line="240" w:lineRule="auto"/>
        <w:jc w:val="center"/>
        <w:rPr>
          <w:rFonts w:ascii="Times New Roman" w:eastAsia="Calibri" w:hAnsi="Times New Roman" w:cs="Times New Roman"/>
          <w:b/>
          <w:sz w:val="24"/>
          <w:szCs w:val="24"/>
        </w:rPr>
      </w:pPr>
    </w:p>
    <w:p w14:paraId="4A49413F"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5"/>
        <w:gridCol w:w="4700"/>
      </w:tblGrid>
      <w:tr w:rsidR="004A0CC4" w:rsidRPr="004A0CC4" w14:paraId="3A873A98" w14:textId="77777777" w:rsidTr="004A0CC4">
        <w:trPr>
          <w:jc w:val="center"/>
        </w:trPr>
        <w:tc>
          <w:tcPr>
            <w:tcW w:w="4705" w:type="dxa"/>
            <w:hideMark/>
          </w:tcPr>
          <w:p w14:paraId="7E32376F"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DIP. KRISHNA KARINA</w:t>
            </w:r>
          </w:p>
          <w:p w14:paraId="67859775"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 xml:space="preserve"> ROMERO VELÁZQUEZ </w:t>
            </w:r>
          </w:p>
        </w:tc>
        <w:tc>
          <w:tcPr>
            <w:tcW w:w="4700" w:type="dxa"/>
            <w:hideMark/>
          </w:tcPr>
          <w:p w14:paraId="0B104058"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 xml:space="preserve">DIP. MARICELA </w:t>
            </w:r>
          </w:p>
          <w:p w14:paraId="09812579" w14:textId="77777777" w:rsidR="004A0CC4" w:rsidRPr="004A0CC4" w:rsidRDefault="004A0CC4" w:rsidP="004A0CC4">
            <w:pPr>
              <w:spacing w:after="0" w:line="240" w:lineRule="auto"/>
              <w:jc w:val="center"/>
              <w:rPr>
                <w:rFonts w:ascii="Times New Roman" w:eastAsia="Calibri" w:hAnsi="Times New Roman" w:cs="Times New Roman"/>
                <w:b/>
                <w:sz w:val="24"/>
                <w:szCs w:val="24"/>
              </w:rPr>
            </w:pPr>
            <w:r w:rsidRPr="004A0CC4">
              <w:rPr>
                <w:rFonts w:ascii="Times New Roman" w:eastAsia="Calibri" w:hAnsi="Times New Roman" w:cs="Times New Roman"/>
                <w:b/>
                <w:sz w:val="24"/>
                <w:szCs w:val="24"/>
              </w:rPr>
              <w:t xml:space="preserve">BELTRÁN SÁNCHEZ </w:t>
            </w:r>
          </w:p>
        </w:tc>
      </w:tr>
    </w:tbl>
    <w:p w14:paraId="6AD8E22D" w14:textId="77777777" w:rsidR="00E26DD2" w:rsidRPr="0012597A" w:rsidRDefault="00E26DD2" w:rsidP="00EF1C7F">
      <w:pPr>
        <w:spacing w:after="0" w:line="240" w:lineRule="auto"/>
        <w:jc w:val="center"/>
        <w:rPr>
          <w:rFonts w:ascii="Times New Roman" w:hAnsi="Times New Roman" w:cs="Times New Roman"/>
          <w:sz w:val="24"/>
          <w:szCs w:val="24"/>
        </w:rPr>
      </w:pPr>
    </w:p>
    <w:p w14:paraId="246D4C5B" w14:textId="77777777" w:rsidR="00BD5B98" w:rsidRPr="0012597A" w:rsidRDefault="00BD5B98" w:rsidP="00EF1C7F">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(Fin del documento)</w:t>
      </w:r>
    </w:p>
    <w:p w14:paraId="10170079" w14:textId="77777777" w:rsidR="00BD5B98" w:rsidRPr="0012597A" w:rsidRDefault="00BD5B98" w:rsidP="00EF1C7F">
      <w:pPr>
        <w:spacing w:after="0" w:line="240" w:lineRule="auto"/>
        <w:jc w:val="center"/>
        <w:rPr>
          <w:rFonts w:ascii="Times New Roman" w:hAnsi="Times New Roman"/>
          <w:sz w:val="24"/>
          <w:szCs w:val="24"/>
        </w:rPr>
      </w:pPr>
    </w:p>
    <w:p w14:paraId="666E1DFA" w14:textId="786B8030"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Emma Laura Alvarez Villavicencio.</w:t>
      </w:r>
    </w:p>
    <w:p w14:paraId="2980FCBA"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Leído el dictamen con sus antecedentes pido a quienes estén por su turno a discusión se sirvan levantar la mano.</w:t>
      </w:r>
    </w:p>
    <w:p w14:paraId="42C6528B" w14:textId="77777777" w:rsidR="00F320DD"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El acta</w:t>
      </w:r>
      <w:r w:rsidR="00F320DD" w:rsidRPr="0012597A">
        <w:rPr>
          <w:rFonts w:ascii="Times New Roman" w:hAnsi="Times New Roman" w:cs="Times New Roman"/>
          <w:sz w:val="24"/>
          <w:szCs w:val="24"/>
        </w:rPr>
        <w:t>…</w:t>
      </w:r>
    </w:p>
    <w:p w14:paraId="546C3D8A" w14:textId="0CFD81B8" w:rsidR="00BB0253" w:rsidRPr="0012597A" w:rsidRDefault="00F320DD"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L</w:t>
      </w:r>
      <w:r w:rsidR="00BB0253" w:rsidRPr="0012597A">
        <w:rPr>
          <w:rFonts w:ascii="Times New Roman" w:hAnsi="Times New Roman" w:cs="Times New Roman"/>
          <w:sz w:val="24"/>
          <w:szCs w:val="24"/>
        </w:rPr>
        <w:t>a propuesta ha sido aprobada por unanimidad de votos.</w:t>
      </w:r>
    </w:p>
    <w:p w14:paraId="5781CC65"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298B22CC"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Abro la discusión en lo general y consulto a las diputadas, los diputados y le diputade sí desean hacer uso de la palabra.</w:t>
      </w:r>
    </w:p>
    <w:p w14:paraId="59C2B95C"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Adelante diputada Ruth Salinas Reyes.</w:t>
      </w:r>
    </w:p>
    <w:p w14:paraId="1E4DE2AE"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DIP. RUTH SALINAS REYES. Con su permiso Presidenta, el de mis compañeras, compañeros, compañere y quienes nos siguen a través de los canales oficiales de este Congreso del Estado de México.</w:t>
      </w:r>
    </w:p>
    <w:p w14:paraId="2CFDE209" w14:textId="77777777" w:rsidR="00BB0253" w:rsidRPr="0012597A" w:rsidRDefault="00BB025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Lo que se nos presenta con esta iniciativa nos deja más dudas que certezas, lo que se pretende en el fondo es designar jueces con funciones de magistrados, lo cual manifestamos en esta tribuna y desde ayer en comisiones, es una total contradicción a la reciente reforma judicial, puesto que la única forma en que una persona funja como magistrada o magistrado es mediante la elección popular, esto es lo que dice la última reforma judicial, que sí, que ustedes, la mayoría propuso y que en este momento estamos sujetos porque ustedes así lo decidieron.</w:t>
      </w:r>
    </w:p>
    <w:p w14:paraId="22D54F49" w14:textId="77777777" w:rsidR="007F6E25" w:rsidRPr="0012597A" w:rsidRDefault="00BB0253" w:rsidP="00EF1C7F">
      <w:pPr>
        <w:spacing w:after="0" w:line="240" w:lineRule="auto"/>
        <w:ind w:firstLine="708"/>
        <w:jc w:val="both"/>
        <w:rPr>
          <w:rFonts w:ascii="Times New Roman" w:hAnsi="Times New Roman" w:cs="Times New Roman"/>
          <w:sz w:val="24"/>
          <w:szCs w:val="24"/>
        </w:rPr>
      </w:pPr>
      <w:r w:rsidRPr="0012597A">
        <w:rPr>
          <w:rFonts w:ascii="Times New Roman" w:hAnsi="Times New Roman" w:cs="Times New Roman"/>
          <w:sz w:val="24"/>
          <w:szCs w:val="24"/>
        </w:rPr>
        <w:lastRenderedPageBreak/>
        <w:t xml:space="preserve">A menos de 6 meses, hablamos de menos de medio año, ustedes mismos se están enderezando la plana, porque ayer en comisiones de acuerdo a quienes acudieron del Poder Judicial nos enteramos que se ha estado violando nuestra </w:t>
      </w:r>
      <w:r w:rsidR="006B674B" w:rsidRPr="0012597A">
        <w:rPr>
          <w:rFonts w:ascii="Times New Roman" w:hAnsi="Times New Roman" w:cs="Times New Roman"/>
          <w:sz w:val="24"/>
          <w:szCs w:val="24"/>
        </w:rPr>
        <w:t>C</w:t>
      </w:r>
      <w:r w:rsidRPr="0012597A">
        <w:rPr>
          <w:rFonts w:ascii="Times New Roman" w:hAnsi="Times New Roman" w:cs="Times New Roman"/>
          <w:sz w:val="24"/>
          <w:szCs w:val="24"/>
        </w:rPr>
        <w:t xml:space="preserve">onstitución y la </w:t>
      </w:r>
      <w:r w:rsidR="006B674B" w:rsidRPr="0012597A">
        <w:rPr>
          <w:rFonts w:ascii="Times New Roman" w:hAnsi="Times New Roman" w:cs="Times New Roman"/>
          <w:sz w:val="24"/>
          <w:szCs w:val="24"/>
        </w:rPr>
        <w:t>L</w:t>
      </w:r>
      <w:r w:rsidRPr="0012597A">
        <w:rPr>
          <w:rFonts w:ascii="Times New Roman" w:hAnsi="Times New Roman" w:cs="Times New Roman"/>
          <w:sz w:val="24"/>
          <w:szCs w:val="24"/>
        </w:rPr>
        <w:t>ey, al establecer mediante acuerdos que los tribunales de alzada pueden emitir fallos con un solo magistrado o magistrada, cuando la norma hasta este momento, porque aún no se ha votado esta iniciativa, establece que se requieren de 3</w:t>
      </w:r>
      <w:r w:rsidR="006B674B" w:rsidRPr="0012597A">
        <w:rPr>
          <w:rFonts w:ascii="Times New Roman" w:hAnsi="Times New Roman" w:cs="Times New Roman"/>
          <w:sz w:val="24"/>
          <w:szCs w:val="24"/>
        </w:rPr>
        <w:t xml:space="preserve"> magistrados. </w:t>
      </w:r>
      <w:r w:rsidR="007F6E25" w:rsidRPr="0012597A">
        <w:rPr>
          <w:rFonts w:ascii="Times New Roman" w:hAnsi="Times New Roman" w:cs="Times New Roman"/>
          <w:sz w:val="24"/>
          <w:szCs w:val="24"/>
        </w:rPr>
        <w:t>En razón de ello, es que el Poder Judicial del Estado de México, ha recibido múltiples demandas de amparo por esta violación, la solución que plantean es la de reformar la Ley Orgánica del Poder Judicial, para no limitar la conformación de los Tribunales de Alzada a 3 Magistrados, abriendo la posibilidad de que sea uno.</w:t>
      </w:r>
    </w:p>
    <w:p w14:paraId="6C4F5917" w14:textId="77777777" w:rsidR="007F6E25" w:rsidRPr="0012597A" w:rsidRDefault="007F6E25"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Lo que no se menciona en ninguna parte de esta Reforma es que quieren jueces desempeñen funciones de magistrados para aligerar la carga de trabajo, por cierto, ayer los mismos integrantes del Poder Judicial, dijeron que si, se les van a dar las funciones a estos jueces, se les van a dar las responsabilidades pero no, se les va a pagar como magistrados, imaginen díganle hoy a la presidenta de la Republica que su emblemática Reforma Judicial donde las y los magistrados son elegidos por el pueblo aquí en el Estado de México, no.</w:t>
      </w:r>
    </w:p>
    <w:p w14:paraId="3B19C2B0" w14:textId="4FC51819" w:rsidR="007F6E25" w:rsidRPr="0012597A" w:rsidRDefault="007F6E25"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Aquí va a hacer en una oficina desde un escritorio, desde el Órgano de Administración donde se den esa funciones, y es que lo expusimos muy bien, ni este Congreso, ni ningún Órgano Publico pueden regalar magistraturas, es como si a nosotros diputadas y diputados, se nos dieran funciones de presidentes municipales por que no hay quien este como presidente en el municipio 125, imposible, es violar la Ley aun que se nos diga que no se nos va a pagar como presidentes municipales, o que en un hospital por el exceso de trabajo que lo hay, a una enfermera o enfermero se le d</w:t>
      </w:r>
      <w:r w:rsidR="00A57B9D" w:rsidRPr="0012597A">
        <w:rPr>
          <w:rFonts w:ascii="Times New Roman" w:hAnsi="Times New Roman" w:cs="Times New Roman"/>
          <w:sz w:val="24"/>
          <w:szCs w:val="24"/>
        </w:rPr>
        <w:t>é</w:t>
      </w:r>
      <w:r w:rsidRPr="0012597A">
        <w:rPr>
          <w:rFonts w:ascii="Times New Roman" w:hAnsi="Times New Roman" w:cs="Times New Roman"/>
          <w:sz w:val="24"/>
          <w:szCs w:val="24"/>
        </w:rPr>
        <w:t xml:space="preserve"> la responsabilidad de fungir en una cirugía donde la vida es la que </w:t>
      </w:r>
      <w:r w:rsidR="00877A10" w:rsidRPr="0012597A">
        <w:rPr>
          <w:rFonts w:ascii="Times New Roman" w:hAnsi="Times New Roman" w:cs="Times New Roman"/>
          <w:sz w:val="24"/>
          <w:szCs w:val="24"/>
        </w:rPr>
        <w:t>está</w:t>
      </w:r>
      <w:r w:rsidRPr="0012597A">
        <w:rPr>
          <w:rFonts w:ascii="Times New Roman" w:hAnsi="Times New Roman" w:cs="Times New Roman"/>
          <w:sz w:val="24"/>
          <w:szCs w:val="24"/>
        </w:rPr>
        <w:t xml:space="preserve"> en juego, </w:t>
      </w:r>
      <w:r w:rsidR="00877A10" w:rsidRPr="0012597A">
        <w:rPr>
          <w:rFonts w:ascii="Times New Roman" w:hAnsi="Times New Roman" w:cs="Times New Roman"/>
          <w:sz w:val="24"/>
          <w:szCs w:val="24"/>
        </w:rPr>
        <w:t>porque</w:t>
      </w:r>
      <w:r w:rsidRPr="0012597A">
        <w:rPr>
          <w:rFonts w:ascii="Times New Roman" w:hAnsi="Times New Roman" w:cs="Times New Roman"/>
          <w:sz w:val="24"/>
          <w:szCs w:val="24"/>
        </w:rPr>
        <w:t xml:space="preserve"> no hay doctores, es lo que en este momento se pretende hacer, simplemente por el razonamiento de que hay que sacar el trabajo.</w:t>
      </w:r>
    </w:p>
    <w:p w14:paraId="664EB32D" w14:textId="54277CC4" w:rsidR="007F6E25" w:rsidRPr="0012597A" w:rsidRDefault="007F6E25"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Y es por esta razón Presidenta que vamos a solicitar la reserva del artículo 47 del Dictamen en comento, para adicionar un segundo párrafo y establecer que de manera excepcional y justificada el Órgano de Administración Judicial podrá designar personas juzgadoras para que se desempeñen con funciones de magistrados y magistradas, para la conformación de los Tribunales de Alzada de manera temporal, las cosas como son, con la letra precisa</w:t>
      </w:r>
      <w:r w:rsidR="00AA7227" w:rsidRPr="0012597A">
        <w:rPr>
          <w:rFonts w:ascii="Times New Roman" w:hAnsi="Times New Roman" w:cs="Times New Roman"/>
          <w:sz w:val="24"/>
          <w:szCs w:val="24"/>
        </w:rPr>
        <w:t>.</w:t>
      </w:r>
      <w:r w:rsidRPr="0012597A">
        <w:rPr>
          <w:rFonts w:ascii="Times New Roman" w:hAnsi="Times New Roman" w:cs="Times New Roman"/>
          <w:sz w:val="24"/>
          <w:szCs w:val="24"/>
        </w:rPr>
        <w:t xml:space="preserve"> </w:t>
      </w:r>
      <w:r w:rsidR="00AA7227" w:rsidRPr="0012597A">
        <w:rPr>
          <w:rFonts w:ascii="Times New Roman" w:hAnsi="Times New Roman" w:cs="Times New Roman"/>
          <w:sz w:val="24"/>
          <w:szCs w:val="24"/>
        </w:rPr>
        <w:t>E</w:t>
      </w:r>
      <w:r w:rsidRPr="0012597A">
        <w:rPr>
          <w:rFonts w:ascii="Times New Roman" w:hAnsi="Times New Roman" w:cs="Times New Roman"/>
          <w:sz w:val="24"/>
          <w:szCs w:val="24"/>
        </w:rPr>
        <w:t>n Movimiento Ciudadano no estamos para obstaculizar el trabajo del Poder Judicial, pero si es nuestra responsabilidad que quede plasmada en la Ley que van a hacer responsabilidades con una temporalidad, precisarles excepción justificada para integra</w:t>
      </w:r>
      <w:r w:rsidR="00AA7227" w:rsidRPr="0012597A">
        <w:rPr>
          <w:rFonts w:ascii="Times New Roman" w:hAnsi="Times New Roman" w:cs="Times New Roman"/>
          <w:sz w:val="24"/>
          <w:szCs w:val="24"/>
        </w:rPr>
        <w:t>r</w:t>
      </w:r>
      <w:r w:rsidRPr="0012597A">
        <w:rPr>
          <w:rFonts w:ascii="Times New Roman" w:hAnsi="Times New Roman" w:cs="Times New Roman"/>
          <w:sz w:val="24"/>
          <w:szCs w:val="24"/>
        </w:rPr>
        <w:t xml:space="preserve"> estos Tribunales de Alzada, como personas juzgadoras y de esta forma quede en la Ley y no cuando cualquier persona desde un escritorio decida dar nombramientos que además no van a tener una fecha de caducidad, por el momento es cuanto Presidenta gracias.</w:t>
      </w:r>
    </w:p>
    <w:p w14:paraId="743CABFF" w14:textId="77777777" w:rsidR="007F6E25" w:rsidRPr="0012597A" w:rsidRDefault="007F6E2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Ruth Salinas Reyes.</w:t>
      </w:r>
    </w:p>
    <w:p w14:paraId="569F4FFE" w14:textId="77777777" w:rsidR="007F6E25" w:rsidRPr="0012597A" w:rsidRDefault="007F6E2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Abro la discusión en lo general y consulto a las y los diputados si desean hacer uso de la palabra.</w:t>
      </w:r>
    </w:p>
    <w:p w14:paraId="38CCB4F1" w14:textId="19B9F6C6" w:rsidR="007F6E25" w:rsidRPr="0012597A" w:rsidRDefault="007F6E25"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Para recabar la votación en lo general pido a la Secretar</w:t>
      </w:r>
      <w:r w:rsidR="002570A5" w:rsidRPr="0012597A">
        <w:rPr>
          <w:rFonts w:ascii="Times New Roman" w:hAnsi="Times New Roman" w:cs="Times New Roman"/>
          <w:sz w:val="24"/>
          <w:szCs w:val="24"/>
        </w:rPr>
        <w:t>í</w:t>
      </w:r>
      <w:r w:rsidRPr="0012597A">
        <w:rPr>
          <w:rFonts w:ascii="Times New Roman" w:hAnsi="Times New Roman" w:cs="Times New Roman"/>
          <w:sz w:val="24"/>
          <w:szCs w:val="24"/>
        </w:rPr>
        <w:t>a</w:t>
      </w:r>
      <w:r w:rsidR="00AA7227" w:rsidRPr="0012597A">
        <w:rPr>
          <w:rFonts w:ascii="Times New Roman" w:hAnsi="Times New Roman" w:cs="Times New Roman"/>
          <w:sz w:val="24"/>
          <w:szCs w:val="24"/>
        </w:rPr>
        <w:t>…</w:t>
      </w:r>
    </w:p>
    <w:p w14:paraId="20464A15" w14:textId="0E3CC6ED" w:rsidR="007F6E25" w:rsidRPr="0012597A" w:rsidRDefault="007F6E25"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Diputado Octavio Martínez Vargas</w:t>
      </w:r>
      <w:r w:rsidR="002570A5" w:rsidRPr="0012597A">
        <w:rPr>
          <w:rFonts w:ascii="Times New Roman" w:hAnsi="Times New Roman" w:cs="Times New Roman"/>
          <w:sz w:val="24"/>
          <w:szCs w:val="24"/>
        </w:rPr>
        <w:t>.</w:t>
      </w:r>
    </w:p>
    <w:p w14:paraId="4394DAE0" w14:textId="77777777" w:rsidR="007F6E25" w:rsidRPr="0012597A" w:rsidRDefault="007F6E2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DIP. OCTAVIO MARTÍNEZ VARGAS. </w:t>
      </w:r>
      <w:r w:rsidR="00CD39F5" w:rsidRPr="0012597A">
        <w:rPr>
          <w:rFonts w:ascii="Times New Roman" w:hAnsi="Times New Roman" w:cs="Times New Roman"/>
          <w:sz w:val="24"/>
          <w:szCs w:val="24"/>
        </w:rPr>
        <w:t xml:space="preserve">(Desde su curul) </w:t>
      </w:r>
      <w:r w:rsidRPr="0012597A">
        <w:rPr>
          <w:rFonts w:ascii="Times New Roman" w:hAnsi="Times New Roman" w:cs="Times New Roman"/>
          <w:sz w:val="24"/>
          <w:szCs w:val="24"/>
        </w:rPr>
        <w:t>Muchas gracias.</w:t>
      </w:r>
    </w:p>
    <w:p w14:paraId="409D95A6" w14:textId="77777777" w:rsidR="006907F3" w:rsidRPr="0012597A" w:rsidRDefault="007F6E2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Para efecto de</w:t>
      </w:r>
      <w:r w:rsidR="00CD39F5" w:rsidRPr="0012597A">
        <w:rPr>
          <w:rFonts w:ascii="Times New Roman" w:hAnsi="Times New Roman" w:cs="Times New Roman"/>
          <w:sz w:val="24"/>
          <w:szCs w:val="24"/>
        </w:rPr>
        <w:t xml:space="preserve"> defender </w:t>
      </w:r>
      <w:r w:rsidR="006907F3" w:rsidRPr="0012597A">
        <w:rPr>
          <w:rFonts w:ascii="Times New Roman" w:hAnsi="Times New Roman" w:cs="Times New Roman"/>
          <w:sz w:val="24"/>
          <w:szCs w:val="24"/>
        </w:rPr>
        <w:t>el dictamen en términos de que la Constitución establece puntualmente requisitos y procedimiento para designación de magistradas y magistrados.</w:t>
      </w:r>
    </w:p>
    <w:p w14:paraId="7882C5B6" w14:textId="21C073A9" w:rsidR="006907F3" w:rsidRPr="0012597A" w:rsidRDefault="006907F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El próximo junio del 27, se habrán de renovar la mitad de magistrados del Poder Judicial del Estado, esta iniciativa viene del Pleno del Poder Judicial, hay 4 regiones, cuando se refiera a Tribunales de </w:t>
      </w:r>
      <w:r w:rsidR="00AA7227" w:rsidRPr="0012597A">
        <w:rPr>
          <w:rFonts w:ascii="Times New Roman" w:hAnsi="Times New Roman" w:cs="Times New Roman"/>
          <w:sz w:val="24"/>
          <w:szCs w:val="24"/>
        </w:rPr>
        <w:t xml:space="preserve">Alzada </w:t>
      </w:r>
      <w:r w:rsidRPr="0012597A">
        <w:rPr>
          <w:rFonts w:ascii="Times New Roman" w:hAnsi="Times New Roman" w:cs="Times New Roman"/>
          <w:sz w:val="24"/>
          <w:szCs w:val="24"/>
        </w:rPr>
        <w:t xml:space="preserve">estamos hablando en materia penal, son intraprocesales; es decir, no van a resolver sobre sentencias, van a resolver sobre recursos que se interponen durante el proceso y obedece a un conjunto de ordenamientos del Poder Judicial Federal, no van a ver magistrados designados por la sala de manera permanente, son provisionales y obedecen a atender a los </w:t>
      </w:r>
      <w:r w:rsidRPr="0012597A">
        <w:rPr>
          <w:rFonts w:ascii="Times New Roman" w:hAnsi="Times New Roman" w:cs="Times New Roman"/>
          <w:sz w:val="24"/>
          <w:szCs w:val="24"/>
        </w:rPr>
        <w:lastRenderedPageBreak/>
        <w:t>justiciables, a las personas que están bajo un proceso judicial penal, atender ese principio al debido proceso.</w:t>
      </w:r>
    </w:p>
    <w:p w14:paraId="4BE7D11A" w14:textId="77777777" w:rsidR="006907F3" w:rsidRPr="0012597A" w:rsidRDefault="006907F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Por eso, en morena, vamos a respaldar la propuesta que ha formulado el Poder Judicial.</w:t>
      </w:r>
    </w:p>
    <w:p w14:paraId="174DA133" w14:textId="77777777" w:rsidR="006907F3" w:rsidRPr="0012597A" w:rsidRDefault="006907F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Muchas gracias.</w:t>
      </w:r>
    </w:p>
    <w:p w14:paraId="0108BCFD" w14:textId="77777777" w:rsidR="00AA7227" w:rsidRPr="0012597A" w:rsidRDefault="006907F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Gracias diputado Octavio Martínez Vargas. </w:t>
      </w:r>
    </w:p>
    <w:p w14:paraId="28B95800" w14:textId="77777777" w:rsidR="00AA7227" w:rsidRPr="0012597A" w:rsidRDefault="00AA7227"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D</w:t>
      </w:r>
      <w:r w:rsidR="006907F3" w:rsidRPr="0012597A">
        <w:rPr>
          <w:rFonts w:ascii="Times New Roman" w:hAnsi="Times New Roman" w:cs="Times New Roman"/>
          <w:sz w:val="24"/>
          <w:szCs w:val="24"/>
        </w:rPr>
        <w:t xml:space="preserve">iputada Ruth Salinas Reyes. </w:t>
      </w:r>
    </w:p>
    <w:p w14:paraId="182DD156" w14:textId="68693F96" w:rsidR="006907F3" w:rsidRPr="0012597A" w:rsidRDefault="006907F3"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Adelante, sonido a la curul de la diputada Ruth Salinas Reyes.</w:t>
      </w:r>
    </w:p>
    <w:p w14:paraId="30C47F60" w14:textId="3BDC7AFA" w:rsidR="006907F3" w:rsidRPr="0012597A" w:rsidRDefault="006907F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DIP. RUTH SALINAS REYES (Desde su curul). Gracias Presidenta, con las palabras del diputado Octavio, esperaría que nos acompañe en la reserva que estamos haciendo, porque la reserva que nosotros proponemos es precisar la excepción justificada y temporal para integrar </w:t>
      </w:r>
      <w:r w:rsidR="00AA7227" w:rsidRPr="0012597A">
        <w:rPr>
          <w:rFonts w:ascii="Times New Roman" w:hAnsi="Times New Roman" w:cs="Times New Roman"/>
          <w:sz w:val="24"/>
          <w:szCs w:val="24"/>
        </w:rPr>
        <w:t xml:space="preserve">Tribunales </w:t>
      </w:r>
      <w:r w:rsidRPr="0012597A">
        <w:rPr>
          <w:rFonts w:ascii="Times New Roman" w:hAnsi="Times New Roman" w:cs="Times New Roman"/>
          <w:sz w:val="24"/>
          <w:szCs w:val="24"/>
        </w:rPr>
        <w:t xml:space="preserve">de </w:t>
      </w:r>
      <w:r w:rsidR="00AA7227" w:rsidRPr="0012597A">
        <w:rPr>
          <w:rFonts w:ascii="Times New Roman" w:hAnsi="Times New Roman" w:cs="Times New Roman"/>
          <w:sz w:val="24"/>
          <w:szCs w:val="24"/>
        </w:rPr>
        <w:t xml:space="preserve">Alzada </w:t>
      </w:r>
      <w:r w:rsidRPr="0012597A">
        <w:rPr>
          <w:rFonts w:ascii="Times New Roman" w:hAnsi="Times New Roman" w:cs="Times New Roman"/>
          <w:sz w:val="24"/>
          <w:szCs w:val="24"/>
        </w:rPr>
        <w:t>con personas juzgadoras, para quedar que, de manera excepcional y justificada, el Órgano de Administración Judicial, podrá designar a personas juzgadoras para integrar los tribunales de alzada de manera temporal.</w:t>
      </w:r>
    </w:p>
    <w:p w14:paraId="7D574303" w14:textId="77777777" w:rsidR="006907F3" w:rsidRPr="0012597A" w:rsidRDefault="006907F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Él lo acaba de decir, 2027, va a haber renovación de magistraturas y se podrá elegir a cuanto magistrado y magistrada así se disponga; pero nosotros como congreso, no podemos dejar tan abierta una redacción que no mencione ni la temporalidad, es más, se aceptaría que se dijera hasta 2027 y eso, eso no es lo que se nos presenta, porque recordemos que siguen debate, solamente ha sido en medios de comunicación, donde se menciona si la elección va a ser en 2027, si la elección va a ser en 2028, nuestra responsabilidad es clara, que una ley que estemos reformando, no deje abierta ninguna ambigüedad; así que de acuerdo a lo que acaba de decir, su voto, será a favor de esta propuesta.</w:t>
      </w:r>
    </w:p>
    <w:p w14:paraId="17B2D2B0" w14:textId="77777777" w:rsidR="006907F3" w:rsidRPr="0012597A" w:rsidRDefault="006907F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 xml:space="preserve">Es </w:t>
      </w:r>
      <w:proofErr w:type="spellStart"/>
      <w:r w:rsidRPr="0012597A">
        <w:rPr>
          <w:rFonts w:ascii="Times New Roman" w:hAnsi="Times New Roman" w:cs="Times New Roman"/>
          <w:sz w:val="24"/>
          <w:szCs w:val="24"/>
        </w:rPr>
        <w:t>cuanto</w:t>
      </w:r>
      <w:proofErr w:type="spellEnd"/>
      <w:r w:rsidRPr="0012597A">
        <w:rPr>
          <w:rFonts w:ascii="Times New Roman" w:hAnsi="Times New Roman" w:cs="Times New Roman"/>
          <w:sz w:val="24"/>
          <w:szCs w:val="24"/>
        </w:rPr>
        <w:t>.</w:t>
      </w:r>
    </w:p>
    <w:p w14:paraId="42496282" w14:textId="77777777" w:rsidR="006907F3" w:rsidRPr="0012597A" w:rsidRDefault="006907F3"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Ruth Salinas Reyes.</w:t>
      </w:r>
    </w:p>
    <w:p w14:paraId="1454F463" w14:textId="77777777" w:rsidR="006907F3" w:rsidRPr="0012597A" w:rsidRDefault="006907F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referirlo.</w:t>
      </w:r>
    </w:p>
    <w:p w14:paraId="1A3047AB" w14:textId="77777777" w:rsidR="006907F3" w:rsidRPr="0012597A" w:rsidRDefault="006907F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de votación hasta por 2 minutos.</w:t>
      </w:r>
    </w:p>
    <w:p w14:paraId="493A2C75" w14:textId="77777777" w:rsidR="006907F3" w:rsidRPr="0012597A" w:rsidRDefault="006907F3"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3F170DC7" w14:textId="77777777" w:rsidR="00B333B9" w:rsidRPr="0012597A" w:rsidRDefault="00B333B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El dictamen y el proyecto de decreto han sido aprobados en lo general por mayoría de votos.</w:t>
      </w:r>
    </w:p>
    <w:p w14:paraId="72785219" w14:textId="77777777" w:rsidR="00B333B9" w:rsidRPr="0012597A" w:rsidRDefault="00B333B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Se tienen por aprobados en lo general el dictamen y el proyecto de decreto.</w:t>
      </w:r>
    </w:p>
    <w:p w14:paraId="0CF27BE0" w14:textId="77777777" w:rsidR="00B333B9" w:rsidRPr="0012597A" w:rsidRDefault="00B333B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En la discusión en particular pido a la Secretaría dé lectura a la reserva presentada por la diputada Ruth Salinas Reyes.</w:t>
      </w:r>
    </w:p>
    <w:p w14:paraId="4D86FE57" w14:textId="77777777" w:rsidR="00B333B9" w:rsidRPr="0012597A" w:rsidRDefault="00B333B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Reserva 18 de marzo de 2026, Sesión Deliberante, Segundo Periodo Ordinario de Sesiones del Segundo Año del Ejercicio Constitucional de la Honorable LXII Legislatura.</w:t>
      </w:r>
    </w:p>
    <w:p w14:paraId="4ED831C3" w14:textId="77777777" w:rsidR="00B333B9" w:rsidRPr="0012597A" w:rsidRDefault="00B333B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Discusión y resolución del dictamen de la Iniciativa con Proyecto de Decreto que reforma el artículo 47 de la Ley Orgánica del Poder Judicial del Estado de México, relacionada con la integración de los Tribunales de Alzada presentada por el Presidente del Tribunal Superior de Justicia del Estado de México y formulado por la Comisión Legislativa de Procuración y Administración de Justicia.</w:t>
      </w:r>
    </w:p>
    <w:p w14:paraId="56F9DDBB" w14:textId="77777777" w:rsidR="00EE7E63" w:rsidRPr="0012597A" w:rsidRDefault="00EE7E63" w:rsidP="00EF1C7F">
      <w:pPr>
        <w:pStyle w:val="Sinespaciado"/>
        <w:jc w:val="both"/>
        <w:rPr>
          <w:rFonts w:ascii="Times New Roman" w:hAnsi="Times New Roman" w:cs="Times New Roman"/>
          <w:sz w:val="24"/>
          <w:szCs w:val="24"/>
        </w:rPr>
      </w:pPr>
    </w:p>
    <w:p w14:paraId="2FD3E156" w14:textId="7CA1B9DA" w:rsidR="00B333B9" w:rsidRPr="0012597A" w:rsidRDefault="00AA7227"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DIPUTADA MARTHA AZUCENA CAMACHO REYNOSO</w:t>
      </w:r>
    </w:p>
    <w:p w14:paraId="6E7864B9" w14:textId="7257E930" w:rsidR="00B333B9" w:rsidRPr="0012597A" w:rsidRDefault="00AA7227"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DE LA MESA DIRECTIVA.</w:t>
      </w:r>
    </w:p>
    <w:p w14:paraId="1BBD0E29" w14:textId="77777777" w:rsidR="00B333B9" w:rsidRPr="0012597A" w:rsidRDefault="00B333B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lastRenderedPageBreak/>
        <w:t>Solicito se reserve del proyecto de decreto para su discusión en lo particular, el artículo 47 de la Ley Orgánica del Poder Judicial del Estado de México, de acuerdo con la propuesta presentada al Pleno.</w:t>
      </w:r>
    </w:p>
    <w:p w14:paraId="3ED50599" w14:textId="77777777" w:rsidR="00B333B9" w:rsidRPr="0012597A" w:rsidRDefault="00B333B9" w:rsidP="00EF1C7F">
      <w:pPr>
        <w:pStyle w:val="Sinespaciado"/>
        <w:ind w:firstLine="708"/>
        <w:jc w:val="center"/>
        <w:rPr>
          <w:rFonts w:ascii="Times New Roman" w:hAnsi="Times New Roman" w:cs="Times New Roman"/>
          <w:sz w:val="24"/>
          <w:szCs w:val="24"/>
        </w:rPr>
      </w:pPr>
      <w:r w:rsidRPr="0012597A">
        <w:rPr>
          <w:rFonts w:ascii="Times New Roman" w:hAnsi="Times New Roman" w:cs="Times New Roman"/>
          <w:sz w:val="24"/>
          <w:szCs w:val="24"/>
        </w:rPr>
        <w:t>Movimiento Ciudadano</w:t>
      </w:r>
    </w:p>
    <w:p w14:paraId="0D449C19" w14:textId="77777777" w:rsidR="00B333B9" w:rsidRPr="0012597A" w:rsidRDefault="00B333B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Se propone precisar la excepción justificada y temporal para integrar Tribunales de Alzada con personas juzgadoras para quedar como, de manera excepcional y justificada, el Órgano de Administración de Justicia podrá designar a personas juzgadoras para integrar los Tribunales de Alzada de manera temporal.</w:t>
      </w:r>
    </w:p>
    <w:p w14:paraId="1C251292" w14:textId="77777777" w:rsidR="00B333B9" w:rsidRPr="0012597A" w:rsidRDefault="00B333B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Gracias Secretario. </w:t>
      </w:r>
    </w:p>
    <w:p w14:paraId="55463A50" w14:textId="77777777" w:rsidR="00B333B9" w:rsidRPr="0012597A" w:rsidRDefault="00B333B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Consulto si alguien desea hacer uso de la palabra. </w:t>
      </w:r>
    </w:p>
    <w:p w14:paraId="0237EFA6" w14:textId="77777777" w:rsidR="00B333B9" w:rsidRPr="0012597A" w:rsidRDefault="00B333B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Se propone para el artículo 47 agregar un segundo párrafo para quedar como sigue.</w:t>
      </w:r>
    </w:p>
    <w:p w14:paraId="36F16BF4" w14:textId="77777777" w:rsidR="00B333B9" w:rsidRPr="0012597A" w:rsidRDefault="00B333B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Artículo 47. De manera excepcional y justificada, el Órgano de Administración Judicial podrá designar a personas jugadoras para integrar los Tribunales de Alzada de manera temporal.</w:t>
      </w:r>
    </w:p>
    <w:p w14:paraId="66C72F68" w14:textId="77777777" w:rsidR="00B333B9" w:rsidRPr="0012597A" w:rsidRDefault="00B333B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0272895E" w14:textId="77777777" w:rsidR="00B333B9" w:rsidRPr="0012597A" w:rsidRDefault="00B333B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Someto a la propuesta de la diputada Ruth Salinas Reyes para el artículo 47 de la Ley Orgánica del Poder Judicial y pido a la Secretaría abra el sistema de votación hasta por dos minutos.</w:t>
      </w:r>
    </w:p>
    <w:p w14:paraId="7F0C93CA" w14:textId="77777777" w:rsidR="00B333B9" w:rsidRPr="0012597A" w:rsidRDefault="00B333B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de votación hasta por dos minutos.</w:t>
      </w:r>
    </w:p>
    <w:p w14:paraId="208EB8E1" w14:textId="77777777" w:rsidR="00B333B9" w:rsidRPr="0012597A" w:rsidRDefault="00B333B9"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1E5749F6" w14:textId="77777777" w:rsidR="00F520D5" w:rsidRPr="0012597A" w:rsidRDefault="007365C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w:t>
      </w:r>
      <w:r w:rsidR="00F85E06" w:rsidRPr="0012597A">
        <w:rPr>
          <w:rFonts w:ascii="Times New Roman" w:hAnsi="Times New Roman" w:cs="Times New Roman"/>
          <w:sz w:val="24"/>
          <w:szCs w:val="24"/>
        </w:rPr>
        <w:t>.</w:t>
      </w:r>
      <w:r w:rsidR="00F520D5" w:rsidRPr="0012597A">
        <w:rPr>
          <w:rFonts w:ascii="Times New Roman" w:hAnsi="Times New Roman" w:cs="Times New Roman"/>
          <w:sz w:val="24"/>
          <w:szCs w:val="24"/>
        </w:rPr>
        <w:t xml:space="preserve"> La propuesta de la diputada Ruth Salinas para el artículo 47 ha sido desechada por mayoría de votos. </w:t>
      </w:r>
    </w:p>
    <w:p w14:paraId="15BD1B04"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Gracias, Secretario. </w:t>
      </w:r>
    </w:p>
    <w:p w14:paraId="5D8A34B6" w14:textId="77777777" w:rsidR="008F16B7"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Se tiene por desechada la propuesta de la diputada Ruth Salinas Reyes</w:t>
      </w:r>
      <w:r w:rsidR="008F16B7" w:rsidRPr="0012597A">
        <w:rPr>
          <w:rFonts w:ascii="Times New Roman" w:hAnsi="Times New Roman" w:cs="Times New Roman"/>
          <w:sz w:val="24"/>
          <w:szCs w:val="24"/>
        </w:rPr>
        <w:t>.</w:t>
      </w:r>
    </w:p>
    <w:p w14:paraId="12C22838" w14:textId="24AC036A" w:rsidR="00F520D5" w:rsidRPr="0012597A" w:rsidRDefault="008F16B7"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P</w:t>
      </w:r>
      <w:r w:rsidR="00F520D5" w:rsidRPr="0012597A">
        <w:rPr>
          <w:rFonts w:ascii="Times New Roman" w:hAnsi="Times New Roman" w:cs="Times New Roman"/>
          <w:sz w:val="24"/>
          <w:szCs w:val="24"/>
        </w:rPr>
        <w:t xml:space="preserve">ara la votación de la propuesta original. Pido a la Secretaría, abra el sistema de votación hasta por dos minutos. </w:t>
      </w:r>
    </w:p>
    <w:p w14:paraId="3D8DB5EC"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Ábrase el sistema de votación hasta por dos minutos. </w:t>
      </w:r>
    </w:p>
    <w:p w14:paraId="008906D0" w14:textId="77777777" w:rsidR="00F85E06" w:rsidRPr="0012597A" w:rsidRDefault="00F85E06"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23D71881"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Por favor pueden apoyar a la diputada Ruth Reyes con su votación en contra. </w:t>
      </w:r>
    </w:p>
    <w:p w14:paraId="0DD3D686" w14:textId="560CA45C"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La propuesta original del </w:t>
      </w:r>
      <w:r w:rsidR="000062C1" w:rsidRPr="0012597A">
        <w:rPr>
          <w:rFonts w:ascii="Times New Roman" w:hAnsi="Times New Roman" w:cs="Times New Roman"/>
          <w:sz w:val="24"/>
          <w:szCs w:val="24"/>
        </w:rPr>
        <w:t xml:space="preserve">Dictamen </w:t>
      </w:r>
      <w:r w:rsidRPr="0012597A">
        <w:rPr>
          <w:rFonts w:ascii="Times New Roman" w:hAnsi="Times New Roman" w:cs="Times New Roman"/>
          <w:sz w:val="24"/>
          <w:szCs w:val="24"/>
        </w:rPr>
        <w:t xml:space="preserve">y del </w:t>
      </w:r>
      <w:r w:rsidR="000062C1"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0062C1"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 xml:space="preserve">ha sido aprobado por mayoría de votos. </w:t>
      </w:r>
    </w:p>
    <w:p w14:paraId="12D98080"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Se tiene por aprobada la propuesta original. </w:t>
      </w:r>
    </w:p>
    <w:p w14:paraId="3D2377F8"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En cuanto al punto número </w:t>
      </w:r>
      <w:r w:rsidR="00161A2E" w:rsidRPr="0012597A">
        <w:rPr>
          <w:rFonts w:ascii="Times New Roman" w:hAnsi="Times New Roman" w:cs="Times New Roman"/>
          <w:sz w:val="24"/>
          <w:szCs w:val="24"/>
        </w:rPr>
        <w:t>3</w:t>
      </w:r>
      <w:r w:rsidRPr="0012597A">
        <w:rPr>
          <w:rFonts w:ascii="Times New Roman" w:hAnsi="Times New Roman" w:cs="Times New Roman"/>
          <w:sz w:val="24"/>
          <w:szCs w:val="24"/>
        </w:rPr>
        <w:t xml:space="preserve">, el diputado Vladimir Hernández Villegas leerá el dictamen de la Iniciativa con Proyecto de Decreto que adiciona los artículos 1.5 Bis al 1.5 Quáter del Código Civil del Estado de México para regular la nulidad de juicio concluido, presentada por el Presidente del Tribunal Superior de Justicia del Estado de México formulado por la Comisión Legislativa de Procuración y Administración de Justicia. </w:t>
      </w:r>
    </w:p>
    <w:p w14:paraId="14BE2F8A"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VLADIMIR HERNÁNDEZ VILLEGAS. Muchas gracias, Presidenta.</w:t>
      </w:r>
    </w:p>
    <w:p w14:paraId="5F327309" w14:textId="010EFF3A"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Dictamen formulado a la </w:t>
      </w:r>
      <w:r w:rsidR="000062C1" w:rsidRPr="0012597A">
        <w:rPr>
          <w:rFonts w:ascii="Times New Roman" w:hAnsi="Times New Roman" w:cs="Times New Roman"/>
          <w:sz w:val="24"/>
          <w:szCs w:val="24"/>
        </w:rPr>
        <w:t xml:space="preserve">Iniciativa </w:t>
      </w:r>
      <w:r w:rsidRPr="0012597A">
        <w:rPr>
          <w:rFonts w:ascii="Times New Roman" w:hAnsi="Times New Roman" w:cs="Times New Roman"/>
          <w:sz w:val="24"/>
          <w:szCs w:val="24"/>
        </w:rPr>
        <w:t xml:space="preserve">con </w:t>
      </w:r>
      <w:r w:rsidR="000062C1"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0062C1"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que adiciona los artículos 1.5 Bis al 1.5 Quáter del Código Civil del Estado de México, presentada por el Presidente del Tribunal Superior de Justicia del Estado de México.</w:t>
      </w:r>
    </w:p>
    <w:p w14:paraId="2D73F910"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r>
      <w:r w:rsidR="008F5D5B" w:rsidRPr="0012597A">
        <w:rPr>
          <w:rFonts w:ascii="Times New Roman" w:hAnsi="Times New Roman" w:cs="Times New Roman"/>
          <w:sz w:val="24"/>
          <w:szCs w:val="24"/>
        </w:rPr>
        <w:t>HONORABLE ASAMBLEA.</w:t>
      </w:r>
    </w:p>
    <w:p w14:paraId="552697A7" w14:textId="77777777" w:rsidR="00F520D5"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La Presidencia de la “LXII” Legislatura remitió la Comisión Legislativa de Procuración y Administración de Justicia para su estudio y dictamen, la Iniciativa con Proyecto de Decreto que adiciona los artículos 1.5 Bis al 1.5 Quáter del Código Civil del Estado de México, presentada por el Presidente del Tribunal Superior de Justicia del Estado de México.</w:t>
      </w:r>
    </w:p>
    <w:p w14:paraId="4494CE64" w14:textId="77777777" w:rsidR="00341D4F" w:rsidRPr="0012597A" w:rsidRDefault="00F520D5"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Sustanciado, el estudio de la iniciativa y discutido ampliamente en la comisión legislativa nos permitimos</w:t>
      </w:r>
      <w:r w:rsidR="00D10120" w:rsidRPr="0012597A">
        <w:rPr>
          <w:rFonts w:ascii="Times New Roman" w:hAnsi="Times New Roman" w:cs="Times New Roman"/>
          <w:sz w:val="24"/>
          <w:szCs w:val="24"/>
        </w:rPr>
        <w:t xml:space="preserve"> c</w:t>
      </w:r>
      <w:r w:rsidR="00341D4F" w:rsidRPr="0012597A">
        <w:rPr>
          <w:rFonts w:ascii="Times New Roman" w:hAnsi="Times New Roman" w:cs="Times New Roman"/>
          <w:sz w:val="24"/>
          <w:szCs w:val="24"/>
        </w:rPr>
        <w:t>on fundamento en lo previsto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14:paraId="1BBE9B50" w14:textId="77777777" w:rsidR="00341D4F" w:rsidRPr="0012597A" w:rsidRDefault="00341D4F" w:rsidP="00EF1C7F">
      <w:pPr>
        <w:spacing w:after="0" w:line="240" w:lineRule="auto"/>
        <w:contextualSpacing/>
        <w:jc w:val="center"/>
        <w:rPr>
          <w:rFonts w:ascii="Times New Roman" w:hAnsi="Times New Roman" w:cs="Times New Roman"/>
          <w:bCs/>
          <w:sz w:val="24"/>
          <w:szCs w:val="24"/>
        </w:rPr>
      </w:pPr>
      <w:r w:rsidRPr="0012597A">
        <w:rPr>
          <w:rFonts w:ascii="Times New Roman" w:hAnsi="Times New Roman" w:cs="Times New Roman"/>
          <w:bCs/>
          <w:sz w:val="24"/>
          <w:szCs w:val="24"/>
        </w:rPr>
        <w:t>DICTAMEN</w:t>
      </w:r>
    </w:p>
    <w:p w14:paraId="7A58FC63" w14:textId="77777777" w:rsidR="00341D4F" w:rsidRPr="0012597A" w:rsidRDefault="00341D4F" w:rsidP="00EF1C7F">
      <w:pPr>
        <w:spacing w:after="0" w:line="240" w:lineRule="auto"/>
        <w:contextualSpacing/>
        <w:jc w:val="both"/>
        <w:rPr>
          <w:rFonts w:ascii="Times New Roman" w:hAnsi="Times New Roman" w:cs="Times New Roman"/>
          <w:bCs/>
          <w:sz w:val="24"/>
          <w:szCs w:val="24"/>
        </w:rPr>
      </w:pPr>
      <w:r w:rsidRPr="0012597A">
        <w:rPr>
          <w:rFonts w:ascii="Times New Roman" w:hAnsi="Times New Roman" w:cs="Times New Roman"/>
          <w:bCs/>
          <w:sz w:val="24"/>
          <w:szCs w:val="24"/>
        </w:rPr>
        <w:t>ANTECEDENTES.</w:t>
      </w:r>
    </w:p>
    <w:p w14:paraId="42D7683D" w14:textId="77777777" w:rsidR="00341D4F" w:rsidRPr="0012597A" w:rsidRDefault="00341D4F" w:rsidP="00EF1C7F">
      <w:pPr>
        <w:spacing w:after="0" w:line="240" w:lineRule="auto"/>
        <w:ind w:firstLine="709"/>
        <w:contextualSpacing/>
        <w:jc w:val="both"/>
        <w:rPr>
          <w:rFonts w:ascii="Times New Roman" w:hAnsi="Times New Roman" w:cs="Times New Roman"/>
          <w:sz w:val="24"/>
          <w:szCs w:val="24"/>
        </w:rPr>
      </w:pPr>
      <w:r w:rsidRPr="0012597A">
        <w:rPr>
          <w:rFonts w:ascii="Times New Roman" w:hAnsi="Times New Roman" w:cs="Times New Roman"/>
          <w:sz w:val="24"/>
          <w:szCs w:val="24"/>
        </w:rPr>
        <w:t>1.- En sesión de la LXII Legislatura celebrada el día once de febrero de dos mil veintiséis, el Presidente del Tribunal Superior de Justicia del Estado de México, con apego a lo establecido en los artículos 51 fracción III, 56 y 61 fracción I de la Constitución Política del Estado Libre y Soberano de México, y 28 fracción I, 79 y 81 de la Ley Orgánica del Poder Legislativo del Estado Libre y Soberano de México, sometió a la consideración de la Soberanía Popular la Iniciativa con Proyecto de Decreto que adiciona los artículos 1.5 Bis al 1.5 Quáter del Código Civil del Estado de México.</w:t>
      </w:r>
    </w:p>
    <w:p w14:paraId="5CC6B2D1" w14:textId="77777777" w:rsidR="00341D4F" w:rsidRPr="0012597A" w:rsidRDefault="00341D4F" w:rsidP="00EF1C7F">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ab/>
        <w:t>Con sujeción al estudio realizado, advertimos que la iniciativa propone regular la nulidad de juicio concluido.</w:t>
      </w:r>
    </w:p>
    <w:p w14:paraId="4DC6E0C7" w14:textId="77777777" w:rsidR="00341D4F" w:rsidRPr="0012597A" w:rsidRDefault="00341D4F" w:rsidP="00EF1C7F">
      <w:pPr>
        <w:spacing w:after="0" w:line="240" w:lineRule="auto"/>
        <w:ind w:firstLine="709"/>
        <w:contextualSpacing/>
        <w:jc w:val="both"/>
        <w:rPr>
          <w:rFonts w:ascii="Times New Roman" w:hAnsi="Times New Roman" w:cs="Times New Roman"/>
          <w:sz w:val="24"/>
          <w:szCs w:val="24"/>
        </w:rPr>
      </w:pPr>
      <w:r w:rsidRPr="0012597A">
        <w:rPr>
          <w:rFonts w:ascii="Times New Roman" w:hAnsi="Times New Roman" w:cs="Times New Roman"/>
          <w:sz w:val="24"/>
          <w:szCs w:val="24"/>
        </w:rPr>
        <w:t>2.- En términos del procedimiento legislativo correspondiente, el doce de marzo de dos mil veintiséis, la Comisión Legislativa de Procuración y Administración de Justicia, realizó reunión de estudio, con la presencia y participación, de dos Magistradas y un Magistrado del Poder Judicial del Estado, quienes, con respeto a la División de Poderes y con el propósito de colaborar institucionalmente, favorecieron el conocimiento detallado y profundo de la propuesta legislativa.</w:t>
      </w:r>
    </w:p>
    <w:p w14:paraId="61AA1EDD" w14:textId="77777777" w:rsidR="00341D4F" w:rsidRPr="0012597A" w:rsidRDefault="00341D4F" w:rsidP="00EF1C7F">
      <w:pPr>
        <w:spacing w:after="0" w:line="240" w:lineRule="auto"/>
        <w:ind w:firstLine="709"/>
        <w:contextualSpacing/>
        <w:jc w:val="both"/>
        <w:rPr>
          <w:rFonts w:ascii="Times New Roman" w:hAnsi="Times New Roman" w:cs="Times New Roman"/>
          <w:sz w:val="24"/>
          <w:szCs w:val="24"/>
        </w:rPr>
      </w:pPr>
      <w:r w:rsidRPr="0012597A">
        <w:rPr>
          <w:rFonts w:ascii="Times New Roman" w:hAnsi="Times New Roman" w:cs="Times New Roman"/>
          <w:sz w:val="24"/>
          <w:szCs w:val="24"/>
        </w:rPr>
        <w:t>3.- En reunión de la comisión legislativa celebrada el diecisiete de marzo de dos mil veintiséis, fue dictaminada la iniciativa con proyecto de decreto.</w:t>
      </w:r>
    </w:p>
    <w:p w14:paraId="566EE5B1" w14:textId="77777777" w:rsidR="00341D4F" w:rsidRPr="0012597A" w:rsidRDefault="00341D4F" w:rsidP="00EF1C7F">
      <w:pPr>
        <w:spacing w:after="0" w:line="240" w:lineRule="auto"/>
        <w:ind w:firstLine="709"/>
        <w:contextualSpacing/>
        <w:jc w:val="both"/>
        <w:rPr>
          <w:rFonts w:ascii="Times New Roman" w:hAnsi="Times New Roman" w:cs="Times New Roman"/>
          <w:sz w:val="24"/>
          <w:szCs w:val="24"/>
        </w:rPr>
      </w:pPr>
      <w:r w:rsidRPr="0012597A">
        <w:rPr>
          <w:rFonts w:ascii="Times New Roman" w:hAnsi="Times New Roman" w:cs="Times New Roman"/>
          <w:sz w:val="24"/>
          <w:szCs w:val="24"/>
        </w:rPr>
        <w:t>4.- Como resultado del estudio realizado conformamos un Proyecto de Decreto con la participación de representantes de distintos Grupos Parlamentarios, en concordancia con los objetivos de la propuesta legislativa.  Por lo tanto, es procedente adicionar los epígrafes Acción de nulidad de juicio concluido, Legitimación, Prescripción de la acción de nulidad de juicio concluido y Suspensión de ejecución de la sentencia y los artículos 1.5 Bis, 1.5 Ter, 1.5 Quáter y 1.5 Quinquies al Código Civil del Estado de México.</w:t>
      </w:r>
    </w:p>
    <w:p w14:paraId="776E963B" w14:textId="77777777" w:rsidR="00341D4F" w:rsidRPr="0012597A" w:rsidRDefault="00341D4F" w:rsidP="00EF1C7F">
      <w:pPr>
        <w:spacing w:after="0" w:line="240" w:lineRule="auto"/>
        <w:ind w:firstLine="709"/>
        <w:contextualSpacing/>
        <w:jc w:val="both"/>
        <w:rPr>
          <w:rFonts w:ascii="Times New Roman" w:hAnsi="Times New Roman" w:cs="Times New Roman"/>
          <w:sz w:val="24"/>
          <w:szCs w:val="24"/>
        </w:rPr>
      </w:pPr>
      <w:r w:rsidRPr="0012597A">
        <w:rPr>
          <w:rFonts w:ascii="Times New Roman" w:hAnsi="Times New Roman" w:cs="Times New Roman"/>
          <w:sz w:val="24"/>
          <w:szCs w:val="24"/>
        </w:rPr>
        <w:t>5.- Se trata de una solución propuesta por el Poder Judicial del Estado de México, viable, responsable y oportuna para adicionar el Código Civil del Estado de México, con el fin de incorporar de manera expresa y clara la nulidad de juicio concluido, siguiendo los parámetros establecidos por el Sistema Nacional, y con esta adición se reconoce el derecho subjetivo que permite impugnar sentencias firmes revestidas con autoridad de cosa juzgada, cuando han sido obtenidas mediante fraude procesal, colusión o la presentación de pruebas declaradas o reconocidas en resolución judicial falsas; asimismo, por haberse seguido el juicio sin conocimiento del afectado por no haber sido parte, o aun cuando lo haya sido, fue falsamente representado o llamado a juicio; se proporciona a los jueces y juezas una figura jurídica clara para atender aquellos casos excepcionales en los que un juicio ya concluido presenta vicios.</w:t>
      </w:r>
    </w:p>
    <w:p w14:paraId="68865AF4" w14:textId="77777777" w:rsidR="00341D4F" w:rsidRPr="0012597A" w:rsidRDefault="00341D4F" w:rsidP="00EF1C7F">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RESOLUTIVOS</w:t>
      </w:r>
    </w:p>
    <w:p w14:paraId="3DB13ED5" w14:textId="77777777" w:rsidR="00341D4F" w:rsidRPr="0012597A" w:rsidRDefault="00341D4F" w:rsidP="00EF1C7F">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ab/>
        <w:t xml:space="preserve">PRIMERO.- Es de aprobarse, en lo conducente, conforme el Proyecto de Decreto que ha sido integrado, la Iniciativa con Proyecto de Decreto que </w:t>
      </w:r>
      <w:bookmarkStart w:id="2" w:name="_Hlk224218856"/>
      <w:r w:rsidRPr="0012597A">
        <w:rPr>
          <w:rFonts w:ascii="Times New Roman" w:hAnsi="Times New Roman" w:cs="Times New Roman"/>
          <w:sz w:val="24"/>
          <w:szCs w:val="24"/>
        </w:rPr>
        <w:t>adiciona los artículos 1.5 Bis al 1.5 Quáter del Código Civil del Estado de México</w:t>
      </w:r>
      <w:bookmarkEnd w:id="2"/>
      <w:r w:rsidRPr="0012597A">
        <w:rPr>
          <w:rFonts w:ascii="Times New Roman" w:hAnsi="Times New Roman" w:cs="Times New Roman"/>
          <w:sz w:val="24"/>
          <w:szCs w:val="24"/>
        </w:rPr>
        <w:t>, presentada por el Presidente del Tribunal Superior de Justicia del Estado de México.</w:t>
      </w:r>
    </w:p>
    <w:p w14:paraId="53C451F6" w14:textId="77777777" w:rsidR="00341D4F" w:rsidRPr="0012597A" w:rsidRDefault="00341D4F" w:rsidP="00EF1C7F">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ab/>
        <w:t>SEGUNDO.- Se adjunta el Proyecto de Decreto por el que se adicionan los artículos 1.5 Bis al 1.5 Quinquies del Código Civil del Estado de México.</w:t>
      </w:r>
    </w:p>
    <w:p w14:paraId="2D892961" w14:textId="77777777" w:rsidR="00341D4F" w:rsidRPr="0012597A" w:rsidRDefault="00341D4F" w:rsidP="00EF1C7F">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ab/>
        <w:t>TERCERO.- Previa discusión y aprobación por la Legislatura en Pleno, remítase a la Titular del Poder Ejecutivo, para los efectos procedentes.</w:t>
      </w:r>
    </w:p>
    <w:p w14:paraId="02052E02" w14:textId="77777777" w:rsidR="004C1841" w:rsidRPr="0012597A" w:rsidRDefault="00341D4F" w:rsidP="00EF1C7F">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lastRenderedPageBreak/>
        <w:tab/>
        <w:t>Dado en el Palacio del Poder Legislativo, en la ciudad de Toluca de Lerdo, capital del Estado de México, a los diecisiete días del mes de marzo de dos mil veintiséis</w:t>
      </w:r>
    </w:p>
    <w:p w14:paraId="1BC2A5F2" w14:textId="77777777" w:rsidR="004E30D9" w:rsidRPr="0012597A" w:rsidRDefault="004E30D9" w:rsidP="00EF1C7F">
      <w:pPr>
        <w:spacing w:after="0" w:line="240" w:lineRule="auto"/>
        <w:ind w:firstLine="708"/>
        <w:contextualSpacing/>
        <w:jc w:val="both"/>
        <w:rPr>
          <w:rFonts w:ascii="Times New Roman" w:hAnsi="Times New Roman" w:cs="Times New Roman"/>
          <w:sz w:val="24"/>
          <w:szCs w:val="24"/>
        </w:rPr>
      </w:pPr>
      <w:r w:rsidRPr="0012597A">
        <w:rPr>
          <w:rFonts w:ascii="Times New Roman" w:hAnsi="Times New Roman" w:cs="Times New Roman"/>
          <w:sz w:val="24"/>
          <w:szCs w:val="24"/>
        </w:rPr>
        <w:t>Comisión Legislativa de Procuración y Administración de Justicia, y si me permite, Presidenta, solamente precisar porque en la Comisión el día de ayer hubo algunas dudas por parte de las y los ciudadanos, esta figura de nulidad de juicio concluido, si bien es cierto se ha estado ejerciendo en el Estado de México, ha sido por un tema de jurisprudencia y no por una regularidad en la ley. Con esta iniciativa que se presenta en este momento, pues precisamente se da certeza jurídica para la nulidad del juicio concluido, y damos sobre todo esta certeza jurídica a todas las y los mexiquenses.</w:t>
      </w:r>
    </w:p>
    <w:p w14:paraId="1564F6A2" w14:textId="77777777" w:rsidR="004E30D9" w:rsidRPr="0012597A" w:rsidRDefault="004E30D9" w:rsidP="00FD7960">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Recuperar la esencia de lo que decíamos en la Comisión esta Legislatura legislamos para una justicia efectiva, pero también legislamos y tenemos que legislar para corregir las injusticias; en la ruta de la construcción del Estado de Bienestar. </w:t>
      </w:r>
    </w:p>
    <w:p w14:paraId="5D56546E" w14:textId="77777777" w:rsidR="004E30D9" w:rsidRPr="0012597A" w:rsidRDefault="004E30D9" w:rsidP="00FD7960">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Muchísimas gracias, Presidenta.</w:t>
      </w:r>
    </w:p>
    <w:p w14:paraId="53F1E6E9" w14:textId="77777777" w:rsidR="004E30D9" w:rsidRPr="0012597A" w:rsidRDefault="004E30D9" w:rsidP="00FD7960">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Ser</w:t>
      </w:r>
      <w:r w:rsidR="002D7E06" w:rsidRPr="0012597A">
        <w:rPr>
          <w:rFonts w:ascii="Times New Roman" w:hAnsi="Times New Roman" w:cs="Times New Roman"/>
          <w:sz w:val="24"/>
          <w:szCs w:val="24"/>
        </w:rPr>
        <w:t>í</w:t>
      </w:r>
      <w:r w:rsidRPr="0012597A">
        <w:rPr>
          <w:rFonts w:ascii="Times New Roman" w:hAnsi="Times New Roman" w:cs="Times New Roman"/>
          <w:sz w:val="24"/>
          <w:szCs w:val="24"/>
        </w:rPr>
        <w:t xml:space="preserve">a </w:t>
      </w:r>
      <w:proofErr w:type="spellStart"/>
      <w:r w:rsidRPr="0012597A">
        <w:rPr>
          <w:rFonts w:ascii="Times New Roman" w:hAnsi="Times New Roman" w:cs="Times New Roman"/>
          <w:sz w:val="24"/>
          <w:szCs w:val="24"/>
        </w:rPr>
        <w:t>cuanto</w:t>
      </w:r>
      <w:proofErr w:type="spellEnd"/>
      <w:r w:rsidRPr="0012597A">
        <w:rPr>
          <w:rFonts w:ascii="Times New Roman" w:hAnsi="Times New Roman" w:cs="Times New Roman"/>
          <w:sz w:val="24"/>
          <w:szCs w:val="24"/>
        </w:rPr>
        <w:t>.</w:t>
      </w:r>
    </w:p>
    <w:p w14:paraId="740FC377" w14:textId="77777777" w:rsidR="00FC47FF" w:rsidRPr="0012597A" w:rsidRDefault="00FC47FF" w:rsidP="00FD7960">
      <w:pPr>
        <w:pStyle w:val="Sinespaciado"/>
        <w:jc w:val="both"/>
        <w:rPr>
          <w:rFonts w:ascii="Times New Roman" w:hAnsi="Times New Roman" w:cs="Times New Roman"/>
          <w:sz w:val="24"/>
          <w:szCs w:val="24"/>
        </w:rPr>
      </w:pPr>
    </w:p>
    <w:p w14:paraId="1BCA938F" w14:textId="77777777" w:rsidR="00FC47FF" w:rsidRPr="0012597A" w:rsidRDefault="00FC47FF" w:rsidP="00FD7960">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(Se inserta documento)</w:t>
      </w:r>
    </w:p>
    <w:p w14:paraId="458B9B02" w14:textId="77777777" w:rsidR="00FC47FF" w:rsidRPr="0012597A" w:rsidRDefault="00FC47FF" w:rsidP="00FD7960">
      <w:pPr>
        <w:spacing w:after="0" w:line="240" w:lineRule="auto"/>
        <w:jc w:val="center"/>
        <w:rPr>
          <w:rFonts w:ascii="Times New Roman" w:hAnsi="Times New Roman" w:cs="Times New Roman"/>
          <w:sz w:val="24"/>
          <w:szCs w:val="24"/>
        </w:rPr>
      </w:pPr>
    </w:p>
    <w:p w14:paraId="66360C7E" w14:textId="77777777" w:rsidR="00C96B15" w:rsidRPr="0012597A" w:rsidRDefault="00C96B15" w:rsidP="00FD7960">
      <w:pPr>
        <w:spacing w:after="0" w:line="240" w:lineRule="auto"/>
        <w:contextualSpacing/>
        <w:jc w:val="both"/>
        <w:rPr>
          <w:rFonts w:ascii="Times New Roman" w:hAnsi="Times New Roman" w:cs="Times New Roman"/>
          <w:b/>
          <w:sz w:val="24"/>
          <w:szCs w:val="24"/>
          <w:lang w:val="es-ES"/>
        </w:rPr>
      </w:pPr>
      <w:r w:rsidRPr="0012597A">
        <w:rPr>
          <w:rFonts w:ascii="Times New Roman" w:hAnsi="Times New Roman" w:cs="Times New Roman"/>
          <w:b/>
          <w:sz w:val="24"/>
          <w:szCs w:val="24"/>
        </w:rPr>
        <w:t>DICTAMEN FORMULADO A LA INICIATIVA CON PROYECTO DE DECRETO QUE ADICIONA LOS ARTÍCULOS 1.5 BIS AL 1.5 QUÁTER DEL CÓDIGO CIVIL DEL ESTADO DE MÉXICO, PRESENTADA POR EL PRESIDENTE DEL TRIBUNAL SUPERIOR DE JUSTICIA DEL ESTADO DE MÉXICO.</w:t>
      </w:r>
    </w:p>
    <w:p w14:paraId="428A246D"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48A43D98" w14:textId="77777777" w:rsidR="00C96B15" w:rsidRPr="0012597A" w:rsidRDefault="00C96B15" w:rsidP="00FD7960">
      <w:pPr>
        <w:spacing w:after="0" w:line="240" w:lineRule="auto"/>
        <w:contextualSpacing/>
        <w:jc w:val="both"/>
        <w:rPr>
          <w:rFonts w:ascii="Times New Roman" w:hAnsi="Times New Roman" w:cs="Times New Roman"/>
          <w:b/>
          <w:sz w:val="24"/>
          <w:szCs w:val="24"/>
          <w:lang w:val="es-ES"/>
        </w:rPr>
      </w:pPr>
      <w:r w:rsidRPr="0012597A">
        <w:rPr>
          <w:rFonts w:ascii="Times New Roman" w:hAnsi="Times New Roman" w:cs="Times New Roman"/>
          <w:b/>
          <w:sz w:val="24"/>
          <w:szCs w:val="24"/>
          <w:lang w:val="es-ES"/>
        </w:rPr>
        <w:t>HONORABLE ASAMBLEA:</w:t>
      </w:r>
    </w:p>
    <w:p w14:paraId="5FDBBB72"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0BB2EC58"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r w:rsidRPr="0012597A">
        <w:rPr>
          <w:rFonts w:ascii="Times New Roman" w:hAnsi="Times New Roman" w:cs="Times New Roman"/>
          <w:sz w:val="24"/>
          <w:szCs w:val="24"/>
        </w:rPr>
        <w:t>La Presidencia de la "LXII" Legislatura remitió a la Comisión Legislativa de Procuración y Administración de Justicia</w:t>
      </w:r>
      <w:r w:rsidRPr="0012597A">
        <w:rPr>
          <w:rFonts w:ascii="Times New Roman" w:hAnsi="Times New Roman" w:cs="Times New Roman"/>
          <w:sz w:val="24"/>
          <w:szCs w:val="24"/>
          <w:lang w:val="es-ES"/>
        </w:rPr>
        <w:t>, para su estudio</w:t>
      </w:r>
      <w:r w:rsidRPr="0012597A">
        <w:rPr>
          <w:rFonts w:ascii="Times New Roman" w:hAnsi="Times New Roman" w:cs="Times New Roman"/>
          <w:sz w:val="24"/>
          <w:szCs w:val="24"/>
        </w:rPr>
        <w:t xml:space="preserve"> y dictamen, la</w:t>
      </w:r>
      <w:r w:rsidRPr="0012597A">
        <w:rPr>
          <w:rFonts w:ascii="Times New Roman" w:hAnsi="Times New Roman" w:cs="Times New Roman"/>
          <w:sz w:val="24"/>
          <w:szCs w:val="24"/>
          <w:lang w:val="es-ES"/>
        </w:rPr>
        <w:t xml:space="preserve"> </w:t>
      </w:r>
      <w:r w:rsidRPr="0012597A">
        <w:rPr>
          <w:rFonts w:ascii="Times New Roman" w:hAnsi="Times New Roman" w:cs="Times New Roman"/>
          <w:sz w:val="24"/>
          <w:szCs w:val="24"/>
        </w:rPr>
        <w:t>Iniciativa con Proyecto de Decreto que adiciona los artículos 1.5 Bis al 1.5 Quáter del Código Civil del Estado de México, presentada por el Presidente del Tribunal Superior de Justicia del Estado de México.</w:t>
      </w:r>
    </w:p>
    <w:p w14:paraId="6A219CF8" w14:textId="77777777" w:rsidR="00C96B15" w:rsidRPr="0012597A" w:rsidRDefault="00C96B15" w:rsidP="00FD7960">
      <w:pPr>
        <w:spacing w:after="0" w:line="240" w:lineRule="auto"/>
        <w:contextualSpacing/>
        <w:jc w:val="both"/>
        <w:rPr>
          <w:rFonts w:ascii="Times New Roman" w:hAnsi="Times New Roman" w:cs="Times New Roman"/>
          <w:bCs/>
          <w:sz w:val="24"/>
          <w:szCs w:val="24"/>
        </w:rPr>
      </w:pPr>
    </w:p>
    <w:p w14:paraId="268FCE5B"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Sustanciado el estudio de la iniciativa y discutido ampliamente en la comisión legislativa, nos permitimos, con fundamento en lo previsto en los artículos 68, 70 y 82 de la Ley Orgánica del Poder Legislativo del Estado Libre y Soberano de México, en relación con lo señalado en los artículos 13 A, 70, 73, 78, 79 y 80 del Reglamento del Poder Legislativo del Estado Libre y Soberano de México, emitir el siguiente:</w:t>
      </w:r>
    </w:p>
    <w:p w14:paraId="75EC40FD"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03861224" w14:textId="77777777" w:rsidR="00C96B15" w:rsidRPr="0012597A" w:rsidRDefault="00C96B15" w:rsidP="00FD7960">
      <w:pPr>
        <w:spacing w:after="0" w:line="240" w:lineRule="auto"/>
        <w:contextualSpacing/>
        <w:jc w:val="center"/>
        <w:rPr>
          <w:rFonts w:ascii="Times New Roman" w:hAnsi="Times New Roman" w:cs="Times New Roman"/>
          <w:b/>
          <w:bCs/>
          <w:sz w:val="24"/>
          <w:szCs w:val="24"/>
        </w:rPr>
      </w:pPr>
      <w:r w:rsidRPr="0012597A">
        <w:rPr>
          <w:rFonts w:ascii="Times New Roman" w:hAnsi="Times New Roman" w:cs="Times New Roman"/>
          <w:b/>
          <w:bCs/>
          <w:sz w:val="24"/>
          <w:szCs w:val="24"/>
        </w:rPr>
        <w:t>DICTAMEN</w:t>
      </w:r>
    </w:p>
    <w:p w14:paraId="497295AA" w14:textId="77777777" w:rsidR="00C96B15" w:rsidRPr="0012597A" w:rsidRDefault="00C96B15" w:rsidP="00FD7960">
      <w:pPr>
        <w:spacing w:after="0" w:line="240" w:lineRule="auto"/>
        <w:contextualSpacing/>
        <w:jc w:val="both"/>
        <w:rPr>
          <w:rFonts w:ascii="Times New Roman" w:hAnsi="Times New Roman" w:cs="Times New Roman"/>
          <w:bCs/>
          <w:sz w:val="24"/>
          <w:szCs w:val="24"/>
        </w:rPr>
      </w:pPr>
    </w:p>
    <w:p w14:paraId="4BE48980" w14:textId="77777777" w:rsidR="00C96B15" w:rsidRPr="0012597A" w:rsidRDefault="00C96B15" w:rsidP="00FD7960">
      <w:pPr>
        <w:spacing w:after="0" w:line="240" w:lineRule="auto"/>
        <w:contextualSpacing/>
        <w:jc w:val="both"/>
        <w:rPr>
          <w:rFonts w:ascii="Times New Roman" w:hAnsi="Times New Roman" w:cs="Times New Roman"/>
          <w:b/>
          <w:bCs/>
          <w:sz w:val="24"/>
          <w:szCs w:val="24"/>
        </w:rPr>
      </w:pPr>
      <w:r w:rsidRPr="0012597A">
        <w:rPr>
          <w:rFonts w:ascii="Times New Roman" w:hAnsi="Times New Roman" w:cs="Times New Roman"/>
          <w:b/>
          <w:bCs/>
          <w:sz w:val="24"/>
          <w:szCs w:val="24"/>
        </w:rPr>
        <w:t>ANTECEDENTES.</w:t>
      </w:r>
    </w:p>
    <w:p w14:paraId="197BDF2D" w14:textId="77777777" w:rsidR="00C96B15" w:rsidRPr="0012597A" w:rsidRDefault="00C96B15" w:rsidP="00FD7960">
      <w:pPr>
        <w:spacing w:after="0" w:line="240" w:lineRule="auto"/>
        <w:contextualSpacing/>
        <w:jc w:val="both"/>
        <w:rPr>
          <w:rFonts w:ascii="Times New Roman" w:hAnsi="Times New Roman" w:cs="Times New Roman"/>
          <w:bCs/>
          <w:sz w:val="24"/>
          <w:szCs w:val="24"/>
        </w:rPr>
      </w:pPr>
    </w:p>
    <w:p w14:paraId="402D7580"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r w:rsidRPr="0012597A">
        <w:rPr>
          <w:rFonts w:ascii="Times New Roman" w:hAnsi="Times New Roman" w:cs="Times New Roman"/>
          <w:b/>
          <w:sz w:val="24"/>
          <w:szCs w:val="24"/>
          <w:lang w:val="es-ES"/>
        </w:rPr>
        <w:t>1.-</w:t>
      </w:r>
      <w:r w:rsidRPr="0012597A">
        <w:rPr>
          <w:rFonts w:ascii="Times New Roman" w:hAnsi="Times New Roman" w:cs="Times New Roman"/>
          <w:sz w:val="24"/>
          <w:szCs w:val="24"/>
          <w:lang w:val="es-ES"/>
        </w:rPr>
        <w:t xml:space="preserve"> En sesión de la “LXII” Legislatura celebrada el día once de febrero de dos mil veintiséis, el Presidente del Tribunal Superior de Justicia del Estado de México, con apego a lo establecido en </w:t>
      </w:r>
      <w:r w:rsidRPr="0012597A">
        <w:rPr>
          <w:rFonts w:ascii="Times New Roman" w:hAnsi="Times New Roman" w:cs="Times New Roman"/>
          <w:sz w:val="24"/>
          <w:szCs w:val="24"/>
        </w:rPr>
        <w:t>los artículos 51 fracción III, 56 y 95 fracción I de la Constitución Política del Estado Libre y Soberano de México, y 79 y 81 de la Ley Orgánica del Poder Legislativo del Estado Libre y Soberano de México</w:t>
      </w:r>
      <w:r w:rsidRPr="0012597A">
        <w:rPr>
          <w:rFonts w:ascii="Times New Roman" w:hAnsi="Times New Roman" w:cs="Times New Roman"/>
          <w:sz w:val="24"/>
          <w:szCs w:val="24"/>
          <w:lang w:val="es-ES"/>
        </w:rPr>
        <w:t xml:space="preserve">, sometió a la consideración de la Soberanía Popular la </w:t>
      </w:r>
      <w:r w:rsidRPr="0012597A">
        <w:rPr>
          <w:rFonts w:ascii="Times New Roman" w:hAnsi="Times New Roman" w:cs="Times New Roman"/>
          <w:sz w:val="24"/>
          <w:szCs w:val="24"/>
        </w:rPr>
        <w:t>Iniciativa con Proyecto de Decreto que adiciona los artículos 1.5 Bis al 1.5 Quáter del Código Civil del Estado de México</w:t>
      </w:r>
      <w:r w:rsidRPr="0012597A">
        <w:rPr>
          <w:rFonts w:ascii="Times New Roman" w:hAnsi="Times New Roman" w:cs="Times New Roman"/>
          <w:sz w:val="24"/>
          <w:szCs w:val="24"/>
          <w:lang w:val="es-ES"/>
        </w:rPr>
        <w:t>.</w:t>
      </w:r>
    </w:p>
    <w:p w14:paraId="2B017329"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71ABC68E"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r w:rsidRPr="0012597A">
        <w:rPr>
          <w:rFonts w:ascii="Times New Roman" w:hAnsi="Times New Roman" w:cs="Times New Roman"/>
          <w:sz w:val="24"/>
          <w:szCs w:val="24"/>
          <w:lang w:val="es-ES"/>
        </w:rPr>
        <w:t>Con sujeción al estudio realizado, advertimos que la iniciativa propone regular la nulidad de juicio concluido.</w:t>
      </w:r>
    </w:p>
    <w:p w14:paraId="65ED2D8B"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56F9265B"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b/>
          <w:sz w:val="24"/>
          <w:szCs w:val="24"/>
        </w:rPr>
        <w:lastRenderedPageBreak/>
        <w:t>2.-</w:t>
      </w:r>
      <w:r w:rsidRPr="0012597A">
        <w:rPr>
          <w:rFonts w:ascii="Times New Roman" w:hAnsi="Times New Roman" w:cs="Times New Roman"/>
          <w:sz w:val="24"/>
          <w:szCs w:val="24"/>
        </w:rPr>
        <w:t xml:space="preserve"> En términos del procedimiento legislativo correspondiente, el doce de marzo de dos mil veintiséis, la Comisión Legislativa de Procuración y Administración de Justicia, realizó reunión de estudio, con la presencia y participación, de dos Magistradas y un Magistrado del Poder Judicial del Estado, quienes, con respeto a la División de Poderes y con el propósito de colaborar institucionalmente, favorecieron el conocimiento detallado y profundo de la propuesta legislativa.</w:t>
      </w:r>
    </w:p>
    <w:p w14:paraId="2F414A60"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76CF0C21"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b/>
          <w:sz w:val="24"/>
          <w:szCs w:val="24"/>
        </w:rPr>
        <w:t>3.-</w:t>
      </w:r>
      <w:r w:rsidRPr="0012597A">
        <w:rPr>
          <w:rFonts w:ascii="Times New Roman" w:hAnsi="Times New Roman" w:cs="Times New Roman"/>
          <w:sz w:val="24"/>
          <w:szCs w:val="24"/>
        </w:rPr>
        <w:t xml:space="preserve"> En reunión de la comisión legislativa celebrada el diecisiete de marzo de dos mil veintiséis, fue dictaminada la Iniciativa con Proyecto de Decreto.</w:t>
      </w:r>
    </w:p>
    <w:p w14:paraId="0011443B"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317330D3"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b/>
          <w:sz w:val="24"/>
          <w:szCs w:val="24"/>
        </w:rPr>
        <w:t>4.-</w:t>
      </w:r>
      <w:r w:rsidRPr="0012597A">
        <w:rPr>
          <w:rFonts w:ascii="Times New Roman" w:hAnsi="Times New Roman" w:cs="Times New Roman"/>
          <w:sz w:val="24"/>
          <w:szCs w:val="24"/>
        </w:rPr>
        <w:t xml:space="preserve"> Como resultado del estudio realizado conformamos un Proyecto de Decreto con la participación de representantes de distintos Grupos Parlamentarios, en concordancia con los objetivos de la propuesta legislativa.  Por lo tanto, es procedente adicionar los epígrafes </w:t>
      </w:r>
      <w:r w:rsidRPr="0012597A">
        <w:rPr>
          <w:rFonts w:ascii="Times New Roman" w:hAnsi="Times New Roman" w:cs="Times New Roman"/>
          <w:b/>
          <w:sz w:val="24"/>
          <w:szCs w:val="24"/>
        </w:rPr>
        <w:t>Acción de nulidad de juicio concluido,</w:t>
      </w:r>
      <w:r w:rsidRPr="0012597A">
        <w:rPr>
          <w:rFonts w:ascii="Times New Roman" w:hAnsi="Times New Roman" w:cs="Times New Roman"/>
          <w:sz w:val="24"/>
          <w:szCs w:val="24"/>
        </w:rPr>
        <w:t xml:space="preserve"> </w:t>
      </w:r>
      <w:r w:rsidRPr="0012597A">
        <w:rPr>
          <w:rFonts w:ascii="Times New Roman" w:hAnsi="Times New Roman" w:cs="Times New Roman"/>
          <w:b/>
          <w:sz w:val="24"/>
          <w:szCs w:val="24"/>
        </w:rPr>
        <w:t>Legitimación, Prescripción</w:t>
      </w:r>
      <w:r w:rsidRPr="0012597A">
        <w:rPr>
          <w:rFonts w:ascii="Times New Roman" w:hAnsi="Times New Roman" w:cs="Times New Roman"/>
          <w:sz w:val="24"/>
          <w:szCs w:val="24"/>
        </w:rPr>
        <w:t xml:space="preserve"> </w:t>
      </w:r>
      <w:r w:rsidRPr="0012597A">
        <w:rPr>
          <w:rFonts w:ascii="Times New Roman" w:hAnsi="Times New Roman" w:cs="Times New Roman"/>
          <w:b/>
          <w:sz w:val="24"/>
          <w:szCs w:val="24"/>
        </w:rPr>
        <w:t xml:space="preserve">de la acción de nulidad de juicio concluido y Suspensión de ejecución de la sentencia </w:t>
      </w:r>
      <w:r w:rsidRPr="0012597A">
        <w:rPr>
          <w:rFonts w:ascii="Times New Roman" w:hAnsi="Times New Roman" w:cs="Times New Roman"/>
          <w:sz w:val="24"/>
          <w:szCs w:val="24"/>
        </w:rPr>
        <w:t>y los artículos 1.5 Bis, 1.5 Ter, 1.5 Quáter y 1.5 Quinquies al Código Civil del Estado de México.</w:t>
      </w:r>
    </w:p>
    <w:p w14:paraId="2B24DAA2"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3FE44102"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b/>
          <w:sz w:val="24"/>
          <w:szCs w:val="24"/>
        </w:rPr>
        <w:t>5.-</w:t>
      </w:r>
      <w:r w:rsidRPr="0012597A">
        <w:rPr>
          <w:rFonts w:ascii="Times New Roman" w:hAnsi="Times New Roman" w:cs="Times New Roman"/>
          <w:sz w:val="24"/>
          <w:szCs w:val="24"/>
        </w:rPr>
        <w:t xml:space="preserve"> Se trata de una solución propuesta por el Poder Judicial del Estado de México, viable, responsable y oportuna para adicionar el Código Civil del Estado de México, con el fin de incorporar de manera expresa y clara la nulidad de juicio concluido, siguiendo los parámetros establecidos por el Sistema Nacional, y con esta adición se reconoce el derecho subjetivo que permite impugnar sentencias firmes revestidas con autoridad de cosa juzgada, cuando han sido obtenidas mediante fraude procesal, colusión o la presentación de pruebas declaradas o reconocidas en resolución judicial falsas; asimismo, por haberse seguido el juicio sin conocimiento del afectado por no haber sido parte, o aun cuando lo haya sido, fue falsamente representado o llamado a juicio; se proporciona a los jueces y juezas una figura jurídica clara para atender aquellos casos excepcionales en los que un juicio ya concluido presenta vicios.</w:t>
      </w:r>
    </w:p>
    <w:p w14:paraId="0F4B88A7"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5FC63134" w14:textId="77777777" w:rsidR="00C96B15" w:rsidRPr="0012597A" w:rsidRDefault="00C96B15" w:rsidP="00FD7960">
      <w:pPr>
        <w:spacing w:after="0" w:line="240" w:lineRule="auto"/>
        <w:contextualSpacing/>
        <w:jc w:val="both"/>
        <w:rPr>
          <w:rFonts w:ascii="Times New Roman" w:hAnsi="Times New Roman" w:cs="Times New Roman"/>
          <w:b/>
          <w:sz w:val="24"/>
          <w:szCs w:val="24"/>
          <w:lang w:val="es-ES"/>
        </w:rPr>
      </w:pPr>
      <w:r w:rsidRPr="0012597A">
        <w:rPr>
          <w:rFonts w:ascii="Times New Roman" w:hAnsi="Times New Roman" w:cs="Times New Roman"/>
          <w:b/>
          <w:sz w:val="24"/>
          <w:szCs w:val="24"/>
          <w:lang w:val="es-ES"/>
        </w:rPr>
        <w:t>CONSIDERACIONES.</w:t>
      </w:r>
    </w:p>
    <w:p w14:paraId="515A7D1E"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177ED0F3" w14:textId="77777777" w:rsidR="00C96B15" w:rsidRPr="0012597A" w:rsidRDefault="00C96B15" w:rsidP="00FD7960">
      <w:pPr>
        <w:spacing w:after="0" w:line="240" w:lineRule="auto"/>
        <w:contextualSpacing/>
        <w:jc w:val="both"/>
        <w:rPr>
          <w:rFonts w:ascii="Times New Roman" w:hAnsi="Times New Roman" w:cs="Times New Roman"/>
          <w:bCs/>
          <w:sz w:val="24"/>
          <w:szCs w:val="24"/>
        </w:rPr>
      </w:pPr>
      <w:r w:rsidRPr="0012597A">
        <w:rPr>
          <w:rFonts w:ascii="Times New Roman" w:hAnsi="Times New Roman" w:cs="Times New Roman"/>
          <w:bCs/>
          <w:sz w:val="24"/>
          <w:szCs w:val="24"/>
        </w:rPr>
        <w:t>Es competencia de la “LXII” Legislatura conocer y resolver la Iniciativa de Decreto, en observancia de lo dispuesto en el artículo 61 fracción I de la Constitución Política del Estado Libre y Soberano de México, que la faculta a</w:t>
      </w:r>
      <w:r w:rsidRPr="0012597A">
        <w:rPr>
          <w:rFonts w:ascii="Times New Roman" w:hAnsi="Times New Roman" w:cs="Times New Roman"/>
          <w:bCs/>
          <w:sz w:val="24"/>
          <w:szCs w:val="24"/>
          <w:lang w:val="es-ES"/>
        </w:rPr>
        <w:t xml:space="preserve"> </w:t>
      </w:r>
      <w:r w:rsidRPr="0012597A">
        <w:rPr>
          <w:rFonts w:ascii="Times New Roman" w:hAnsi="Times New Roman" w:cs="Times New Roman"/>
          <w:bCs/>
          <w:sz w:val="24"/>
          <w:szCs w:val="24"/>
        </w:rPr>
        <w:t>expedir leyes, decretos o acuerdos para el régimen interior del Estado, en todos los ramos de la administración del gobierno.</w:t>
      </w:r>
    </w:p>
    <w:p w14:paraId="0C3C2B14"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7B4D4573" w14:textId="77777777" w:rsidR="00C96B15" w:rsidRPr="0012597A" w:rsidRDefault="00C96B15" w:rsidP="00FD7960">
      <w:pPr>
        <w:spacing w:after="0" w:line="240" w:lineRule="auto"/>
        <w:contextualSpacing/>
        <w:jc w:val="both"/>
        <w:rPr>
          <w:rFonts w:ascii="Times New Roman" w:hAnsi="Times New Roman" w:cs="Times New Roman"/>
          <w:b/>
          <w:sz w:val="24"/>
          <w:szCs w:val="24"/>
        </w:rPr>
      </w:pPr>
      <w:r w:rsidRPr="0012597A">
        <w:rPr>
          <w:rFonts w:ascii="Times New Roman" w:hAnsi="Times New Roman" w:cs="Times New Roman"/>
          <w:b/>
          <w:sz w:val="24"/>
          <w:szCs w:val="24"/>
        </w:rPr>
        <w:t>ANÁLISIS Y VALORACIÓN DE LOS ARGUMENTOS.</w:t>
      </w:r>
    </w:p>
    <w:p w14:paraId="5E6E4CE7"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48892B22"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Reconocemos con la iniciativa que el Poder Judicial del Estado de México vive momentos de transformación profunda, que se reflejan en una elevada exigencia de responsabilidad para cada uno de sus servidores públicos y órganos jurisdiccionales.</w:t>
      </w:r>
    </w:p>
    <w:p w14:paraId="5148A2CC"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A9A5814"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Apreciamos, también que la función de impartir justicia es una de las tareas más delicadas y relevantes del Estado Mexicano; en ella se deposita buena parte de la confianza de la ciudadanía frente a las instituciones.</w:t>
      </w:r>
    </w:p>
    <w:p w14:paraId="3E31EDA7"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1C76F936"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De igual forma, que es innegable que existe una deuda histórica con la sociedad en materia de acceso a la justicia; sin embargo, también es cierto que el Poder Judicial del Estado de México, se ha caracterizado por su vocación de servicio, disciplina institucional y entrega al pueblo mexiquense.</w:t>
      </w:r>
    </w:p>
    <w:p w14:paraId="1B43426B"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7E57C661"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lastRenderedPageBreak/>
        <w:t>Encontramos que al interior del Poder Judicial se han concretado importantes esfuerzos de modernización administrativa y jurisdiccional: mejora de procesos internos, incorporación de herramientas tecnológicas, profesionalización continua del personal y fortalecimiento de criterios jurisdiccionales.  No obstante, la percepción social sobre la justicia no siempre avanza al mismo ritmo que estas mejoras, así como, que parte de esta distancia se explica porque la comunicación entre los tribunales y la población no es sencilla; el lenguaje jurídico es complejo, los procesos suelen ser técnicos y especializados, y el estudio que exige la función jurisdiccional puede generar, sin quererlo, una sensación de lejanía.</w:t>
      </w:r>
    </w:p>
    <w:p w14:paraId="08626A55"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4295F25B"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Sin embargo, como se comenta pese a ello, es evidente el orden, la seriedad y la responsabilidad con la que se trabaja al interior del Poder Judicial del Estado de México.  La preocupación permanente es la misma; servir con honestidad y resolver con justicia.  Para lograrlo, no basta con la voluntad; es imprescindible contar con procesos claros, transparentes y eficaces, regulados en normas actualizadas y acordes con las necesidades actuales de la población.</w:t>
      </w:r>
    </w:p>
    <w:p w14:paraId="0D7F5EBC"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A620552"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 xml:space="preserve">Advertimos la relevancia de la jurisprudencia publicada el viernes 8 de agosto de 2025 en el Semanario Judicial de la Federación, identificada con el registro digital 2030778, emitida por el Pleno de la Suprema Corte de Justicia de la Nación, cuyo rubro es: </w:t>
      </w:r>
      <w:r w:rsidRPr="0012597A">
        <w:rPr>
          <w:rFonts w:ascii="Times New Roman" w:hAnsi="Times New Roman" w:cs="Times New Roman"/>
          <w:b/>
          <w:sz w:val="24"/>
          <w:szCs w:val="24"/>
        </w:rPr>
        <w:t>“ACCIÓN DE NULIDAD DE JUICIO CONCLUIDO, ES IMPROCEDENTE CUANDO LA LEGISLACIÓN PROCESAL NO LA PREVÉ, INCLUSIVE BAJO EL SUPUESTO DE PROCESO FRAUDULENTO”,</w:t>
      </w:r>
      <w:r w:rsidRPr="0012597A">
        <w:rPr>
          <w:rFonts w:ascii="Times New Roman" w:hAnsi="Times New Roman" w:cs="Times New Roman"/>
          <w:sz w:val="24"/>
          <w:szCs w:val="24"/>
        </w:rPr>
        <w:t xml:space="preserve"> y resaltamos, como lo hace la iniciativa que dicho criterio jurisprudencial tiene su origen en la sentencia dictada en la contradicción de criterios 393/2023, donde el Pleno de la Suprema Corte de Justicia de la Nación sostuvo de manera clara la improcedencia de la acción de nulidad respecto de un juicio ya concluido, aun cuando se alegue que éste fue simulado o de origen fraudulento, si la legislación procesal aplicable no contempla expresamente dicha figura.</w:t>
      </w:r>
    </w:p>
    <w:p w14:paraId="4D730F61"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5221C7FD"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 xml:space="preserve">La iniciativa precisa los criterios sostenidos por las Salas del Máximo Tribunal, en su anterior integración, destacando, por una parte, que: </w:t>
      </w:r>
      <w:r w:rsidRPr="0012597A">
        <w:rPr>
          <w:rFonts w:ascii="Times New Roman" w:hAnsi="Times New Roman" w:cs="Times New Roman"/>
          <w:b/>
          <w:sz w:val="24"/>
          <w:szCs w:val="24"/>
        </w:rPr>
        <w:t>La entonces Primera Sala de la Suprema Corte de Justicia de la Nación, al resolver el amparo directo 11/2018</w:t>
      </w:r>
      <w:r w:rsidRPr="0012597A">
        <w:rPr>
          <w:rFonts w:ascii="Times New Roman" w:hAnsi="Times New Roman" w:cs="Times New Roman"/>
          <w:sz w:val="24"/>
          <w:szCs w:val="24"/>
        </w:rPr>
        <w:t xml:space="preserve">, estableció como criterio esencial, que los Tribunales no pueden abstenerse ni negarse a conocer de una acción bajo el argumento de que no existe una ley que regule el procedimiento correspondiente, en todo caso, el silencio o insuficiencia de la ley procesal debe colmarse acudiendo a la regla genérica más adecuada o en su defecto a los principios generales del derecho, y por otra, la </w:t>
      </w:r>
      <w:r w:rsidRPr="0012597A">
        <w:rPr>
          <w:rFonts w:ascii="Times New Roman" w:hAnsi="Times New Roman" w:cs="Times New Roman"/>
          <w:b/>
          <w:sz w:val="24"/>
          <w:szCs w:val="24"/>
        </w:rPr>
        <w:t xml:space="preserve">Segunda Sala de la Suprema Corte de Justicia de la Nación, al resolver la contradicción de tesis 275/2011, dio origen a la tesis jurisprudencial 2ª./J.158/2011 (9ª.), de rubro </w:t>
      </w:r>
      <w:r w:rsidRPr="0012597A">
        <w:rPr>
          <w:rFonts w:ascii="Times New Roman" w:hAnsi="Times New Roman" w:cs="Times New Roman"/>
          <w:b/>
          <w:i/>
          <w:sz w:val="24"/>
          <w:szCs w:val="24"/>
        </w:rPr>
        <w:t>“Nulidad de juicio concluido.  Es improcedente en materia laboral”</w:t>
      </w:r>
      <w:r w:rsidRPr="0012597A">
        <w:rPr>
          <w:rFonts w:ascii="Times New Roman" w:hAnsi="Times New Roman" w:cs="Times New Roman"/>
          <w:sz w:val="24"/>
          <w:szCs w:val="24"/>
        </w:rPr>
        <w:t>, publicada en el Semanario Judicial de la Federación y su Gaceta, con número de registro digital 16081.  En dicha resolución, la Sala retomó algunas consideraciones vertidas en la contradicción de criterios 26/2003, en las que se sostuvo que no existe posibilidad jurídica de promover la nulidad de un juicio laboral concluido bajo el argumento de simulación o fraude, debido a que esta figura no se encuentra regulada en la legislación laboral y a que no es viable impugnar una sentencia que ha adquirido la calidad de cosa juzgada.</w:t>
      </w:r>
    </w:p>
    <w:p w14:paraId="7502273F"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EA8A321"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En este contexto y como lo menciona la iniciativa, a partir del análisis de estos criterios y toda vez que no se encontraba la acción de nulidad de juicio concluido expresamente contemplada en la legislación, el Máximo Tribunal concluyó el sentido negativo, esto es, determinando la improcedencia de la acción de nulidad de un juicio concluido cuando la legislación procesal correspondiente no lo regulara.</w:t>
      </w:r>
    </w:p>
    <w:p w14:paraId="568723F2"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197AD79A"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lastRenderedPageBreak/>
        <w:t>En términos de la iniciativa, esta jurisprudencia tuvo un impacto directo en el Estado de México, pues nuestros órganos jurisdiccionales, respaldados por diversos antecedentes jurisprudenciales, venían conociendo y resolviendo múltiples acciones de nulidad de juicio concluido, ofreciendo así una vía excepcional para corregir situaciones de grave injusticia procesal; sin embargo, con la publicación de la jurisprudencia mencionada el panorama cambió de manera radical, pues al no estar prevista de forma expresa la nulidad de juicio concluido en nuestra legislación, dejo de ser jurídicamente viable.</w:t>
      </w:r>
    </w:p>
    <w:p w14:paraId="18ADFCE0"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5CACD41"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Es evidente como se afirma en la iniciativa, aunque dicha jurisprudencia reconoce que el juicio de amparo, tanto en su vía directa como indirecta, permite subsanar los vicios procesales que puedan surgir durante un proceso, garantizando que la sentencia que se dicte adquiera la calidad de cosa juzgada, la realidad es distinta, pues como ya lo señaló la Primera Sala de la Suprema Corte de Justicia de la Nación al resolver el amparo directo 11/2018, la acción de nulidad tiene un carácter excepcional, ya que su litis se centra en analizar la validez material de los actos impugnados, a partir de causas que, por lo general, no son evidentes para la persona juzgadora en las actuaciones y que, de demostrarse, impiden que el proceso mismo subsista por haber sido desarrollado de manera fraudulenta.</w:t>
      </w:r>
    </w:p>
    <w:p w14:paraId="30311313"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5B59F49"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Es correcta la apreciación de que, para resolver dicha pretensión, es necesario llevar a cabo un proceso ordinario que garantice de manera plena el derecho de audiencia de las partes, permitiéndoles exponer y sustentar sus argumentos de acción o defensa mediante los medios de prueba correspondientes, con el objetivo de que se determine de manera adecuada el derecho que les asiste.  Esto contrasta con el juicio de amparo, en el cual no se abordan cuestiones de fondo o de carácter sustantivo.</w:t>
      </w:r>
    </w:p>
    <w:p w14:paraId="03AC9621"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0F0824F7"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Por lo tanto, coincidimos en que la nulidad de un juicio concluido debe estar expresamente prevista en el Código Civil del Estado de México, ya que se deriva de la teoría general de la nulidad, aplicable cuando los actos jurídicos se llevan a cabo en contravención de normas prohibitivas o de interés público.</w:t>
      </w:r>
    </w:p>
    <w:p w14:paraId="467EDB51"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0BB08620"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Es oportuno referir, como lo hace la iniciativa, que de ninguna manera debe entenderse esta preocupación como un intento de menoscabar la cosa juzgada, como institución procesal fundamental; por el contrario, se busca respetar el derecho a la tutela judicial efectiva, ya que, al demostrarse que el proceso fue fraudulento, quedaría claro que la cosa juzgada sólo existió de manera aparente, pero nunca llegó a configurase.</w:t>
      </w:r>
    </w:p>
    <w:p w14:paraId="3BCF684D"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1EE131F6"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Estimamos, también, que, es necesario desalentar el uso indebido de la nulidad de un juicio concluido por parte de abogados que la promueven, aun cuando saben que el proceso que buscan anular se llevó a cabo respetando todas las formalidades legales, ya que este tipo de conductas atenta contra las resoluciones que ya han adquirido la calidad de cosa juzgada. La sanción no recae sobre el acto de solicitar la nulidad en sí, sino sobre la manera temeraria o maliciosa que el profesional de derecho empela esa acción para pretender nulificar una sentencia o auto definitivo con las formalidades de la ley.</w:t>
      </w:r>
    </w:p>
    <w:p w14:paraId="404668A2"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828E684"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Encontramos, como lo expresa la iniciativa que, el Código Nacional de Procedimientos Civiles y Familiares contempla de manera expresa la nulidad de juicio concluido dentro de la sección dedicada a las acciones; sin embargo, la entrada en vigor de este Código no será inmediata, y durante ese período las personas justiciables del Estado de México no pueden quedar desprotegidas frente a situaciones que requieran esta acción.</w:t>
      </w:r>
    </w:p>
    <w:p w14:paraId="042043BA"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4D2EE04"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 xml:space="preserve">Esta reforma establece las bases sustantivas bajo las cuales se regirá la acción de nulidad de juicio concluido, que establece el artículo 1.212 del Código de Procedimientos del Estado de México con el criterio de rubro: </w:t>
      </w:r>
      <w:r w:rsidRPr="0012597A">
        <w:rPr>
          <w:rFonts w:ascii="Times New Roman" w:hAnsi="Times New Roman" w:cs="Times New Roman"/>
          <w:i/>
          <w:sz w:val="24"/>
          <w:szCs w:val="24"/>
        </w:rPr>
        <w:t>“ACCIÓN DE NULIDAD DE JUICIO CONCLUIDO.  ES IMPROCEDENTE CUANDO LA LEGISLACIÓN PROCESAL NO LA PREVÉ, INCLUSIVE BAJO EL SUPUESTO DE PROCESO FRAUDULENTO”</w:t>
      </w:r>
      <w:r w:rsidRPr="0012597A">
        <w:rPr>
          <w:rFonts w:ascii="Times New Roman" w:hAnsi="Times New Roman" w:cs="Times New Roman"/>
          <w:sz w:val="24"/>
          <w:szCs w:val="24"/>
        </w:rPr>
        <w:t>, y la regulación de la acción de nulidad de juicio concluido se orienta conforme al Código Nacional de Procedimientos Civiles y Familiares, anticipando una solución normativa que fortalece la tutela efectiva de los derechos de las personas justiciables.</w:t>
      </w:r>
    </w:p>
    <w:p w14:paraId="0B01F92E"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5C11880"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Entendemos que, se trata de dar un paso más de la consolidación de un Poder Judicial cercano, moderno y comprometido con la verdad y la justicia, no solo en el discurso, sino en las normas jurídicas y en sus decisiones.</w:t>
      </w:r>
    </w:p>
    <w:p w14:paraId="137CCD0E" w14:textId="77777777" w:rsidR="00C96B15" w:rsidRPr="0012597A" w:rsidRDefault="00C96B15" w:rsidP="00FD7960">
      <w:pPr>
        <w:spacing w:after="0" w:line="240" w:lineRule="auto"/>
        <w:contextualSpacing/>
        <w:jc w:val="both"/>
        <w:rPr>
          <w:rFonts w:ascii="Times New Roman" w:hAnsi="Times New Roman" w:cs="Times New Roman"/>
          <w:b/>
          <w:sz w:val="24"/>
          <w:szCs w:val="24"/>
        </w:rPr>
      </w:pPr>
    </w:p>
    <w:p w14:paraId="35D34C28" w14:textId="77777777" w:rsidR="00C96B15" w:rsidRPr="0012597A" w:rsidRDefault="00C96B15" w:rsidP="00FD7960">
      <w:pPr>
        <w:spacing w:after="0" w:line="240" w:lineRule="auto"/>
        <w:contextualSpacing/>
        <w:jc w:val="both"/>
        <w:rPr>
          <w:rFonts w:ascii="Times New Roman" w:hAnsi="Times New Roman" w:cs="Times New Roman"/>
          <w:b/>
          <w:sz w:val="24"/>
          <w:szCs w:val="24"/>
        </w:rPr>
      </w:pPr>
      <w:r w:rsidRPr="0012597A">
        <w:rPr>
          <w:rFonts w:ascii="Times New Roman" w:hAnsi="Times New Roman" w:cs="Times New Roman"/>
          <w:b/>
          <w:sz w:val="24"/>
          <w:szCs w:val="24"/>
        </w:rPr>
        <w:t>ANÁLISIS Y ESTUDIO TÉCNICO DEL TEXTO NORMATIVO.</w:t>
      </w:r>
    </w:p>
    <w:p w14:paraId="061D6B9C"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31B5E151"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 xml:space="preserve">Como resultado del estudio realizado conformamos un Proyecto de Decreto con la participación de representantes de distintos Grupos Parlamentarios, en concordancia con los objetivos de la propuesta legislativa.  Por lo tanto, es procedente adicionar los epígrafes </w:t>
      </w:r>
      <w:r w:rsidRPr="0012597A">
        <w:rPr>
          <w:rFonts w:ascii="Times New Roman" w:hAnsi="Times New Roman" w:cs="Times New Roman"/>
          <w:b/>
          <w:sz w:val="24"/>
          <w:szCs w:val="24"/>
        </w:rPr>
        <w:t>Acción de nulidad de juicio concluido, Legitimación, Prescripción de la acción de nulidad de juicio concluido y Suspensión de ejecución de la sentencia</w:t>
      </w:r>
      <w:r w:rsidRPr="0012597A">
        <w:rPr>
          <w:rFonts w:ascii="Times New Roman" w:hAnsi="Times New Roman" w:cs="Times New Roman"/>
          <w:sz w:val="24"/>
          <w:szCs w:val="24"/>
        </w:rPr>
        <w:t xml:space="preserve"> y los artículos 1.5 Bis, 1.5 Ter, 1.5 Quáter y 1.5 Quinquies al Código Civil del Estado de México.</w:t>
      </w:r>
    </w:p>
    <w:p w14:paraId="2991A942"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541711BB"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En tal sentido, respecto del epígrafe de la Acción de nulidad de juicio concluido, es correcto que en el artículo 1.5 Bis, se disponga que la nulidad de juicio concluido es de naturaleza excepcional y procede en aquellos asuntos en los que se haya dictado sentencia o auto definitivo que haya causado ejecutoria.</w:t>
      </w:r>
    </w:p>
    <w:p w14:paraId="14101B16"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48EBE0E6"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En cuanto al epígrafe de Legitimación, es adecuado, que en el artículo 1.5 Ter, fracciones I y II se disponga que la nulidad de juicio concluido puede ser ejercitada por quienes habiendo sido parte en el procedimiento, hayan sido falsamente representados o emplazados, sus sucesores o causahabientes, y los terceros a quienes perjudique la resolución y se actualice alguna de las siguientes hipótesis: I. Si se falló con base en pruebas reconocidas o declaradas de cualquier modo falsas con posterioridad a la resolución, por sentencia o resolución judicial firme o que la parte vencida ignoraba que se habían reconocido o declarado como tales antes de la sentencia, o; II. Cuando exista colusión u otra maniobra fraudulenta de las partes litigantes en el juicio cuya nulidad se pide, en perjuicio de la parte promovente de la acción de nulidad de juicio concluido.</w:t>
      </w:r>
    </w:p>
    <w:p w14:paraId="1C1FC374"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099A0233"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El epígrafe de Prescripción de la acción de nulidad de juicio concluido, con el artículo 1.5 Quáter, dispone que en ningún caso será procedente la acción de nulidad de juicio concluido: I. Si han transcurrido cinco años desde que hubiere causado ejecutoria la resolución que en ese juicio se dictó, o II. Si han transcurrido dos años desde que el recurrente hubiere conocido o debió conocer los motivos en que se fundare la misma. No procede la acción de nulidad de juicio concluido contra las sentencias dictadas en el mismo juicio de nulidad. Si se encuentra juicio pendiente de resolver sobre la falsedad de alguna prueba que fue determinante en fallo dictado en el juicio reclamado como nulo, se suspenderán los plazos a que se refiere el presente artículo.</w:t>
      </w:r>
    </w:p>
    <w:p w14:paraId="745315D2"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32791B71"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Por lo que hace al epígrafe de la Suspensión de ejecución de la sentencia, es pertinente que en el artículo 1.5 Quinquies, se precise que la interposición de la nulidad de juicio concluido no suspenderá la ejecución de la resolución firme que la motivare.</w:t>
      </w:r>
    </w:p>
    <w:p w14:paraId="6B1E8528"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0CE737D6" w14:textId="77777777" w:rsidR="00C96B15" w:rsidRPr="0012597A" w:rsidRDefault="00C96B15" w:rsidP="00FD7960">
      <w:pPr>
        <w:pStyle w:val="Textoindependiente"/>
        <w:spacing w:after="0" w:line="240" w:lineRule="auto"/>
        <w:ind w:right="259"/>
        <w:contextualSpacing/>
        <w:jc w:val="both"/>
        <w:rPr>
          <w:rFonts w:ascii="Times New Roman" w:hAnsi="Times New Roman" w:cs="Times New Roman"/>
          <w:sz w:val="24"/>
          <w:szCs w:val="24"/>
        </w:rPr>
      </w:pPr>
      <w:r w:rsidRPr="0012597A">
        <w:rPr>
          <w:rFonts w:ascii="Times New Roman" w:hAnsi="Times New Roman" w:cs="Times New Roman"/>
          <w:sz w:val="24"/>
          <w:szCs w:val="24"/>
        </w:rPr>
        <w:t>Asimismo, que, no obstante, quien promueva la nulidad podrá solicitar a la autoridad jurisdiccional que conozca de la misma, la suspensión de la ejecución de aquella sentencia cuya nulidad se pide. Para tal efecto, deberá otorgar garantía que fije la autoridad jurisdiccional que conoce de la nulidad, por los daños y perjuicios que, de manera inmediata y directa, pudieran ocasionarse con motivo de la suspensión a la parte vencedora del juicio cuya nulidad se solicita.</w:t>
      </w:r>
    </w:p>
    <w:p w14:paraId="1D55BA3A" w14:textId="77777777" w:rsidR="00C96B15" w:rsidRPr="0012597A" w:rsidRDefault="00C96B15" w:rsidP="00FD7960">
      <w:pPr>
        <w:pStyle w:val="Textoindependiente"/>
        <w:spacing w:after="0" w:line="240" w:lineRule="auto"/>
        <w:contextualSpacing/>
        <w:rPr>
          <w:rFonts w:ascii="Times New Roman" w:hAnsi="Times New Roman" w:cs="Times New Roman"/>
          <w:sz w:val="24"/>
          <w:szCs w:val="24"/>
        </w:rPr>
      </w:pPr>
    </w:p>
    <w:p w14:paraId="7CD6005C"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De igual forma que cuando la nulidad de juicio concluido se declare improcedente, la garantía se adjudicará a la parte demandada por concepto de los daños y perjuicios ocasionados por la suspensión, sin necesidad de prueba alguna.</w:t>
      </w:r>
    </w:p>
    <w:p w14:paraId="38D8B997"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6D54AC8C" w14:textId="77777777" w:rsidR="00C96B15" w:rsidRPr="0012597A" w:rsidRDefault="00C96B15" w:rsidP="00FD7960">
      <w:pPr>
        <w:pStyle w:val="Textoindependiente"/>
        <w:spacing w:after="0" w:line="240" w:lineRule="auto"/>
        <w:ind w:right="255"/>
        <w:contextualSpacing/>
        <w:jc w:val="both"/>
        <w:rPr>
          <w:rFonts w:ascii="Times New Roman" w:hAnsi="Times New Roman" w:cs="Times New Roman"/>
          <w:sz w:val="24"/>
          <w:szCs w:val="24"/>
        </w:rPr>
      </w:pPr>
      <w:r w:rsidRPr="0012597A">
        <w:rPr>
          <w:rFonts w:ascii="Times New Roman" w:hAnsi="Times New Roman" w:cs="Times New Roman"/>
          <w:sz w:val="24"/>
          <w:szCs w:val="24"/>
        </w:rPr>
        <w:t>Así como, que, no será necesaria la garantía cuando se acredite fehacientemente que la ejecución pueda causar un daño irreparable a quien promueve la nulidad. En este supuesto, si la nulidad resulta improcedente, la parte actora será condenada al pago de los daños y perjuicios ocasionados con motivo de la suspensión, en los términos del párrafo anterior, junto con el pago de gastos y costas, que se cuantificarán en ejecución de sentencia; así como una multa equivalente a un año de valor de la Unidad de Medida y Actualización para la persona licenciada en derecho o abogada que la haya intentado.</w:t>
      </w:r>
    </w:p>
    <w:p w14:paraId="646C56C4"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2B498A3A"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 xml:space="preserve">Por las razones anteriores; </w:t>
      </w:r>
      <w:r w:rsidRPr="0012597A">
        <w:rPr>
          <w:rFonts w:ascii="Times New Roman" w:eastAsia="Arial" w:hAnsi="Times New Roman" w:cs="Times New Roman"/>
          <w:iCs/>
          <w:sz w:val="24"/>
          <w:szCs w:val="24"/>
        </w:rPr>
        <w:t xml:space="preserve">valorados los argumentos; desarrollado el estudio técnico; demostrado el beneficio social de la Iniciativa; y satisfechos los </w:t>
      </w:r>
      <w:r w:rsidRPr="0012597A">
        <w:rPr>
          <w:rFonts w:ascii="Times New Roman" w:hAnsi="Times New Roman" w:cs="Times New Roman"/>
          <w:sz w:val="24"/>
          <w:szCs w:val="24"/>
        </w:rPr>
        <w:t xml:space="preserve">requisitos de fondo y forma, nos permitimos concluir con los siguientes: </w:t>
      </w:r>
    </w:p>
    <w:p w14:paraId="3F489190"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01FE5ABA" w14:textId="77777777" w:rsidR="00C96B15" w:rsidRPr="0012597A" w:rsidRDefault="00C96B15" w:rsidP="00FD7960">
      <w:pPr>
        <w:spacing w:after="0" w:line="240" w:lineRule="auto"/>
        <w:contextualSpacing/>
        <w:jc w:val="center"/>
        <w:rPr>
          <w:rFonts w:ascii="Times New Roman" w:hAnsi="Times New Roman" w:cs="Times New Roman"/>
          <w:b/>
          <w:sz w:val="24"/>
          <w:szCs w:val="24"/>
          <w:lang w:val="es-ES"/>
        </w:rPr>
      </w:pPr>
      <w:r w:rsidRPr="0012597A">
        <w:rPr>
          <w:rFonts w:ascii="Times New Roman" w:hAnsi="Times New Roman" w:cs="Times New Roman"/>
          <w:b/>
          <w:sz w:val="24"/>
          <w:szCs w:val="24"/>
          <w:lang w:val="es-ES"/>
        </w:rPr>
        <w:t>RESOLUTIVOS</w:t>
      </w:r>
    </w:p>
    <w:p w14:paraId="15EB4A25"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7E88263C" w14:textId="77777777" w:rsidR="00C96B15" w:rsidRPr="0012597A" w:rsidRDefault="00C96B15" w:rsidP="00FD7960">
      <w:pPr>
        <w:spacing w:after="0" w:line="240" w:lineRule="auto"/>
        <w:contextualSpacing/>
        <w:jc w:val="both"/>
        <w:rPr>
          <w:rFonts w:ascii="Times New Roman" w:hAnsi="Times New Roman" w:cs="Times New Roman"/>
          <w:b/>
          <w:sz w:val="24"/>
          <w:szCs w:val="24"/>
          <w:lang w:val="es-ES"/>
        </w:rPr>
      </w:pPr>
      <w:r w:rsidRPr="0012597A">
        <w:rPr>
          <w:rFonts w:ascii="Times New Roman" w:hAnsi="Times New Roman" w:cs="Times New Roman"/>
          <w:b/>
          <w:sz w:val="24"/>
          <w:szCs w:val="24"/>
        </w:rPr>
        <w:t>PRIMERO.-</w:t>
      </w:r>
      <w:r w:rsidRPr="0012597A">
        <w:rPr>
          <w:rFonts w:ascii="Times New Roman" w:hAnsi="Times New Roman" w:cs="Times New Roman"/>
          <w:sz w:val="24"/>
          <w:szCs w:val="24"/>
        </w:rPr>
        <w:t xml:space="preserve"> Es de aprobarse, en lo conducente, conforme el Proyecto de Decreto que ha sido integrado, la Iniciativa con Proyecto de Decreto que adiciona los artículos 1.5 Bis al 1.5 Quáter del Código Civil del Estado de México, presentada por el Presidente del Tribunal Superior de Justicia del Estado de México.</w:t>
      </w:r>
    </w:p>
    <w:p w14:paraId="482FD6DD"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6E52BAEB"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b/>
          <w:sz w:val="24"/>
          <w:szCs w:val="24"/>
        </w:rPr>
        <w:t xml:space="preserve">SEGUNDO.- </w:t>
      </w:r>
      <w:r w:rsidRPr="0012597A">
        <w:rPr>
          <w:rFonts w:ascii="Times New Roman" w:hAnsi="Times New Roman" w:cs="Times New Roman"/>
          <w:sz w:val="24"/>
          <w:szCs w:val="24"/>
        </w:rPr>
        <w:t>Se adjunta el Proyecto de Decreto por el que se adicionan los artículos 1.5 Bis al 1.5 Quinquies del Código Civil del Estado de México.</w:t>
      </w:r>
    </w:p>
    <w:p w14:paraId="76D9B304" w14:textId="77777777" w:rsidR="00C96B15" w:rsidRPr="0012597A" w:rsidRDefault="00C96B15" w:rsidP="00FD7960">
      <w:pPr>
        <w:spacing w:after="0" w:line="240" w:lineRule="auto"/>
        <w:contextualSpacing/>
        <w:jc w:val="both"/>
        <w:rPr>
          <w:rFonts w:ascii="Times New Roman" w:hAnsi="Times New Roman" w:cs="Times New Roman"/>
          <w:sz w:val="24"/>
          <w:szCs w:val="24"/>
          <w:lang w:val="es-ES"/>
        </w:rPr>
      </w:pPr>
    </w:p>
    <w:p w14:paraId="18B5A527" w14:textId="77777777" w:rsidR="00C96B15" w:rsidRPr="0012597A" w:rsidRDefault="00C96B15" w:rsidP="00FD7960">
      <w:pPr>
        <w:spacing w:after="0" w:line="240" w:lineRule="auto"/>
        <w:contextualSpacing/>
        <w:jc w:val="both"/>
        <w:rPr>
          <w:rFonts w:ascii="Times New Roman" w:hAnsi="Times New Roman" w:cs="Times New Roman"/>
          <w:b/>
          <w:sz w:val="24"/>
          <w:szCs w:val="24"/>
          <w:lang w:val="es-ES"/>
        </w:rPr>
      </w:pPr>
      <w:r w:rsidRPr="0012597A">
        <w:rPr>
          <w:rFonts w:ascii="Times New Roman" w:hAnsi="Times New Roman" w:cs="Times New Roman"/>
          <w:b/>
          <w:sz w:val="24"/>
          <w:szCs w:val="24"/>
          <w:lang w:val="es-ES"/>
        </w:rPr>
        <w:t xml:space="preserve">TERCERO.- </w:t>
      </w:r>
      <w:r w:rsidRPr="0012597A">
        <w:rPr>
          <w:rFonts w:ascii="Times New Roman" w:hAnsi="Times New Roman" w:cs="Times New Roman"/>
          <w:sz w:val="24"/>
          <w:szCs w:val="24"/>
          <w:lang w:val="es-ES"/>
        </w:rPr>
        <w:t>Previa discusión y aprobación por la Legislatura en Pleno, remítase a la Titular del Poder Ejecutivo, para los efectos procedentes.</w:t>
      </w:r>
    </w:p>
    <w:p w14:paraId="0B8D9706" w14:textId="77777777" w:rsidR="00C96B15" w:rsidRPr="0012597A" w:rsidRDefault="00C96B15" w:rsidP="00FD7960">
      <w:pPr>
        <w:spacing w:after="0" w:line="240" w:lineRule="auto"/>
        <w:contextualSpacing/>
        <w:jc w:val="both"/>
        <w:rPr>
          <w:rFonts w:ascii="Times New Roman" w:hAnsi="Times New Roman" w:cs="Times New Roman"/>
          <w:sz w:val="24"/>
          <w:szCs w:val="24"/>
        </w:rPr>
      </w:pPr>
    </w:p>
    <w:p w14:paraId="51E76A17" w14:textId="77777777" w:rsidR="00C96B15" w:rsidRPr="0012597A" w:rsidRDefault="00C96B15"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Dado en el Palacio del Poder Legislativo, en la ciudad de Toluca de Lerdo, capital del Estado de México, a los diecisiete días del mes de marzo de dos mil veintiséis.</w:t>
      </w:r>
    </w:p>
    <w:p w14:paraId="267D6FEA" w14:textId="77777777" w:rsidR="00976895" w:rsidRPr="0012597A" w:rsidRDefault="00976895" w:rsidP="00FD7960">
      <w:pPr>
        <w:spacing w:after="0" w:line="240" w:lineRule="auto"/>
        <w:contextualSpacing/>
        <w:jc w:val="center"/>
        <w:rPr>
          <w:rFonts w:ascii="Times New Roman" w:hAnsi="Times New Roman" w:cs="Times New Roman"/>
          <w:b/>
          <w:sz w:val="24"/>
          <w:szCs w:val="24"/>
        </w:rPr>
      </w:pPr>
    </w:p>
    <w:p w14:paraId="35DDD4F0" w14:textId="353B2C9D"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LISTA DE VOTACIÓN</w:t>
      </w:r>
    </w:p>
    <w:p w14:paraId="1A3EDA33" w14:textId="77777777" w:rsidR="00C96B15" w:rsidRPr="0012597A" w:rsidRDefault="00C96B15" w:rsidP="00FD7960">
      <w:pPr>
        <w:spacing w:after="0" w:line="240" w:lineRule="auto"/>
        <w:contextualSpacing/>
        <w:rPr>
          <w:rFonts w:ascii="Times New Roman" w:hAnsi="Times New Roman" w:cs="Times New Roman"/>
          <w:b/>
          <w:sz w:val="24"/>
          <w:szCs w:val="24"/>
        </w:rPr>
      </w:pPr>
    </w:p>
    <w:p w14:paraId="7845964A" w14:textId="77777777" w:rsidR="00C96B15" w:rsidRPr="0012597A" w:rsidRDefault="00C96B15" w:rsidP="00FD7960">
      <w:pPr>
        <w:spacing w:after="0" w:line="240" w:lineRule="auto"/>
        <w:contextualSpacing/>
        <w:rPr>
          <w:rFonts w:ascii="Times New Roman" w:hAnsi="Times New Roman" w:cs="Times New Roman"/>
          <w:b/>
          <w:sz w:val="24"/>
          <w:szCs w:val="24"/>
        </w:rPr>
      </w:pPr>
      <w:r w:rsidRPr="0012597A">
        <w:rPr>
          <w:rFonts w:ascii="Times New Roman" w:hAnsi="Times New Roman" w:cs="Times New Roman"/>
          <w:b/>
          <w:sz w:val="24"/>
          <w:szCs w:val="24"/>
        </w:rPr>
        <w:t xml:space="preserve">FECHA: </w:t>
      </w:r>
      <w:r w:rsidRPr="0012597A">
        <w:rPr>
          <w:rFonts w:ascii="Times New Roman" w:hAnsi="Times New Roman" w:cs="Times New Roman"/>
          <w:sz w:val="24"/>
          <w:szCs w:val="24"/>
        </w:rPr>
        <w:t>17/MARZO/2026.</w:t>
      </w:r>
    </w:p>
    <w:p w14:paraId="20A384D4" w14:textId="77777777" w:rsidR="00C96B15" w:rsidRPr="0012597A" w:rsidRDefault="00C96B15" w:rsidP="00FD7960">
      <w:pPr>
        <w:pStyle w:val="Ttulo2"/>
        <w:spacing w:before="0" w:line="240" w:lineRule="auto"/>
        <w:ind w:right="-93"/>
        <w:contextualSpacing/>
        <w:jc w:val="both"/>
        <w:rPr>
          <w:rFonts w:ascii="Times New Roman" w:hAnsi="Times New Roman"/>
          <w:b w:val="0"/>
          <w:sz w:val="24"/>
          <w:szCs w:val="24"/>
        </w:rPr>
      </w:pPr>
      <w:r w:rsidRPr="0012597A">
        <w:rPr>
          <w:rFonts w:ascii="Times New Roman" w:hAnsi="Times New Roman"/>
          <w:sz w:val="24"/>
          <w:szCs w:val="24"/>
        </w:rPr>
        <w:t xml:space="preserve">ASUNTO: </w:t>
      </w:r>
      <w:r w:rsidRPr="0012597A">
        <w:rPr>
          <w:rFonts w:ascii="Times New Roman" w:hAnsi="Times New Roman"/>
          <w:b w:val="0"/>
          <w:sz w:val="24"/>
          <w:szCs w:val="24"/>
        </w:rPr>
        <w:t>DICTAMEN FORMULADO A LA INICIATIVA CON PROYECTO DE DECRETO QUE ADICIONA LOS ARTÍCULOS 1.5 BIS AL 1.5 QUÁTER DEL CÓDIGO CIVIL DEL ESTADO DE MÉXICO, PRESENTADA POR EL PRESIDENTE DEL TRIBUNAL SUPERIOR DE JUSTICIA DEL ESTADO DE MÉXICO.</w:t>
      </w:r>
    </w:p>
    <w:p w14:paraId="3C2B7AE1"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p w14:paraId="6B15D69D"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COMISIÓN LEGISLATIVA DE</w:t>
      </w:r>
    </w:p>
    <w:p w14:paraId="3FD72CD0"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 xml:space="preserve">PROCURACIÓN Y ADMINISTRACIÓN DE JUSTICIA </w:t>
      </w:r>
    </w:p>
    <w:p w14:paraId="3CDEF111"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5"/>
        <w:gridCol w:w="2244"/>
        <w:gridCol w:w="2375"/>
        <w:gridCol w:w="2377"/>
      </w:tblGrid>
      <w:tr w:rsidR="00C96B15" w:rsidRPr="0012597A" w14:paraId="6C896E68" w14:textId="77777777" w:rsidTr="00520EAF">
        <w:trPr>
          <w:trHeight w:val="19"/>
          <w:tblHeader/>
          <w:jc w:val="center"/>
        </w:trPr>
        <w:tc>
          <w:tcPr>
            <w:tcW w:w="247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FD2FA48"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DIPUTADA(O)</w:t>
            </w:r>
          </w:p>
        </w:tc>
        <w:tc>
          <w:tcPr>
            <w:tcW w:w="699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BD88594"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FIRMA</w:t>
            </w:r>
          </w:p>
        </w:tc>
      </w:tr>
      <w:tr w:rsidR="00C96B15" w:rsidRPr="0012597A" w14:paraId="150426FB" w14:textId="77777777" w:rsidTr="00520EAF">
        <w:trPr>
          <w:trHeight w:val="19"/>
          <w:tblHeader/>
          <w:jc w:val="center"/>
        </w:trPr>
        <w:tc>
          <w:tcPr>
            <w:tcW w:w="2475" w:type="dxa"/>
            <w:vMerge/>
            <w:tcBorders>
              <w:top w:val="single" w:sz="4" w:space="0" w:color="auto"/>
              <w:left w:val="single" w:sz="4" w:space="0" w:color="auto"/>
              <w:bottom w:val="single" w:sz="4" w:space="0" w:color="auto"/>
              <w:right w:val="single" w:sz="4" w:space="0" w:color="auto"/>
            </w:tcBorders>
            <w:vAlign w:val="center"/>
            <w:hideMark/>
          </w:tcPr>
          <w:p w14:paraId="6F5D7E7E" w14:textId="77777777" w:rsidR="00C96B15" w:rsidRPr="0012597A" w:rsidRDefault="00C96B15" w:rsidP="00FD7960">
            <w:pPr>
              <w:spacing w:after="0" w:line="240" w:lineRule="auto"/>
              <w:contextualSpacing/>
              <w:rPr>
                <w:rFonts w:ascii="Times New Roman" w:hAnsi="Times New Roman" w:cs="Times New Roman"/>
                <w:b/>
                <w:sz w:val="24"/>
                <w:szCs w:val="24"/>
              </w:rPr>
            </w:pPr>
          </w:p>
        </w:tc>
        <w:tc>
          <w:tcPr>
            <w:tcW w:w="2244" w:type="dxa"/>
            <w:tcBorders>
              <w:top w:val="single" w:sz="4" w:space="0" w:color="auto"/>
              <w:left w:val="single" w:sz="4" w:space="0" w:color="auto"/>
              <w:bottom w:val="single" w:sz="4" w:space="0" w:color="auto"/>
              <w:right w:val="single" w:sz="4" w:space="0" w:color="auto"/>
            </w:tcBorders>
            <w:shd w:val="clear" w:color="auto" w:fill="D9D9D9"/>
            <w:hideMark/>
          </w:tcPr>
          <w:p w14:paraId="70CAAB92"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A FAVOR</w:t>
            </w:r>
          </w:p>
        </w:tc>
        <w:tc>
          <w:tcPr>
            <w:tcW w:w="2375" w:type="dxa"/>
            <w:tcBorders>
              <w:top w:val="single" w:sz="4" w:space="0" w:color="auto"/>
              <w:left w:val="single" w:sz="4" w:space="0" w:color="auto"/>
              <w:bottom w:val="single" w:sz="4" w:space="0" w:color="auto"/>
              <w:right w:val="single" w:sz="4" w:space="0" w:color="auto"/>
            </w:tcBorders>
            <w:shd w:val="clear" w:color="auto" w:fill="D9D9D9"/>
            <w:hideMark/>
          </w:tcPr>
          <w:p w14:paraId="2A24ED5C"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EN CONTRA</w:t>
            </w:r>
          </w:p>
        </w:tc>
        <w:tc>
          <w:tcPr>
            <w:tcW w:w="2376" w:type="dxa"/>
            <w:tcBorders>
              <w:top w:val="single" w:sz="4" w:space="0" w:color="auto"/>
              <w:left w:val="single" w:sz="4" w:space="0" w:color="auto"/>
              <w:bottom w:val="single" w:sz="4" w:space="0" w:color="auto"/>
              <w:right w:val="single" w:sz="4" w:space="0" w:color="auto"/>
            </w:tcBorders>
            <w:shd w:val="clear" w:color="auto" w:fill="D9D9D9"/>
            <w:hideMark/>
          </w:tcPr>
          <w:p w14:paraId="65B2BCDC"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ABSTENCIÓN</w:t>
            </w:r>
          </w:p>
        </w:tc>
      </w:tr>
      <w:tr w:rsidR="00C96B15" w:rsidRPr="0012597A" w14:paraId="0EAFB34B"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5B58239A"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b/>
                <w:sz w:val="24"/>
                <w:szCs w:val="24"/>
              </w:rPr>
              <w:t>Presidenta</w:t>
            </w:r>
          </w:p>
          <w:p w14:paraId="5F5AC287"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sz w:val="24"/>
                <w:szCs w:val="24"/>
              </w:rPr>
              <w:t>Dip. Emma Laura Alvarez Villavicencio</w:t>
            </w:r>
          </w:p>
        </w:tc>
        <w:tc>
          <w:tcPr>
            <w:tcW w:w="2244" w:type="dxa"/>
            <w:tcBorders>
              <w:top w:val="single" w:sz="4" w:space="0" w:color="auto"/>
              <w:left w:val="single" w:sz="4" w:space="0" w:color="auto"/>
              <w:bottom w:val="single" w:sz="4" w:space="0" w:color="auto"/>
              <w:right w:val="single" w:sz="4" w:space="0" w:color="auto"/>
            </w:tcBorders>
            <w:vAlign w:val="center"/>
          </w:tcPr>
          <w:p w14:paraId="37E5B15A"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01D18A4A"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5EB2DC06"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1EC1C9C7"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057DF7F3"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b/>
                <w:sz w:val="24"/>
                <w:szCs w:val="24"/>
              </w:rPr>
              <w:t>Secretario</w:t>
            </w:r>
          </w:p>
          <w:p w14:paraId="4C9DE57E"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 xml:space="preserve">Dip. Omar </w:t>
            </w:r>
          </w:p>
          <w:p w14:paraId="6079DFCC"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sz w:val="24"/>
                <w:szCs w:val="24"/>
              </w:rPr>
              <w:t>Ortega Álvarez</w:t>
            </w:r>
          </w:p>
        </w:tc>
        <w:tc>
          <w:tcPr>
            <w:tcW w:w="2244" w:type="dxa"/>
            <w:tcBorders>
              <w:top w:val="single" w:sz="4" w:space="0" w:color="auto"/>
              <w:left w:val="single" w:sz="4" w:space="0" w:color="auto"/>
              <w:bottom w:val="single" w:sz="4" w:space="0" w:color="auto"/>
              <w:right w:val="single" w:sz="4" w:space="0" w:color="auto"/>
            </w:tcBorders>
            <w:vAlign w:val="center"/>
          </w:tcPr>
          <w:p w14:paraId="3E8B8AD2"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0A5981D8"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26D6EFFF"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6D561BFD"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0B669D5B" w14:textId="77777777" w:rsidR="00C96B15" w:rsidRPr="0012597A" w:rsidRDefault="00C96B15" w:rsidP="00FD7960">
            <w:pPr>
              <w:spacing w:after="0" w:line="240" w:lineRule="auto"/>
              <w:contextualSpacing/>
              <w:jc w:val="center"/>
              <w:rPr>
                <w:rFonts w:ascii="Times New Roman" w:hAnsi="Times New Roman" w:cs="Times New Roman"/>
                <w:sz w:val="24"/>
                <w:szCs w:val="24"/>
                <w:lang w:eastAsia="es-MX"/>
              </w:rPr>
            </w:pPr>
            <w:r w:rsidRPr="0012597A">
              <w:rPr>
                <w:rFonts w:ascii="Times New Roman" w:hAnsi="Times New Roman" w:cs="Times New Roman"/>
                <w:b/>
                <w:sz w:val="24"/>
                <w:szCs w:val="24"/>
              </w:rPr>
              <w:t>Prosecretario</w:t>
            </w:r>
          </w:p>
          <w:p w14:paraId="7AAF592A"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 xml:space="preserve">Dip. Octavio </w:t>
            </w:r>
          </w:p>
          <w:p w14:paraId="33FC876F"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sz w:val="24"/>
                <w:szCs w:val="24"/>
              </w:rPr>
              <w:t>Martínez Vargas</w:t>
            </w:r>
          </w:p>
        </w:tc>
        <w:tc>
          <w:tcPr>
            <w:tcW w:w="2244" w:type="dxa"/>
            <w:tcBorders>
              <w:top w:val="single" w:sz="4" w:space="0" w:color="auto"/>
              <w:left w:val="single" w:sz="4" w:space="0" w:color="auto"/>
              <w:bottom w:val="single" w:sz="4" w:space="0" w:color="auto"/>
              <w:right w:val="single" w:sz="4" w:space="0" w:color="auto"/>
            </w:tcBorders>
            <w:vAlign w:val="center"/>
          </w:tcPr>
          <w:p w14:paraId="79E48BCE"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4FD45FE9"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21705413"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66352D81"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1B7CB6DE"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sz w:val="24"/>
                <w:szCs w:val="24"/>
              </w:rPr>
              <w:t>Dip. Carlos Antonio Martínez Zurita Trejo</w:t>
            </w:r>
          </w:p>
        </w:tc>
        <w:tc>
          <w:tcPr>
            <w:tcW w:w="2244" w:type="dxa"/>
            <w:tcBorders>
              <w:top w:val="single" w:sz="4" w:space="0" w:color="auto"/>
              <w:left w:val="single" w:sz="4" w:space="0" w:color="auto"/>
              <w:bottom w:val="single" w:sz="4" w:space="0" w:color="auto"/>
              <w:right w:val="single" w:sz="4" w:space="0" w:color="auto"/>
            </w:tcBorders>
            <w:vAlign w:val="center"/>
          </w:tcPr>
          <w:p w14:paraId="1A80232A"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40D1C4CB"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4A7784F9"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4B87DF85"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211FA108" w14:textId="77777777" w:rsidR="00C96B15" w:rsidRPr="0012597A" w:rsidRDefault="00C96B15" w:rsidP="00FD7960">
            <w:pPr>
              <w:spacing w:after="0" w:line="240" w:lineRule="auto"/>
              <w:contextualSpacing/>
              <w:jc w:val="center"/>
              <w:rPr>
                <w:rFonts w:ascii="Times New Roman" w:hAnsi="Times New Roman" w:cs="Times New Roman"/>
                <w:sz w:val="24"/>
                <w:szCs w:val="24"/>
                <w:lang w:val="es-ES_tradnl"/>
              </w:rPr>
            </w:pPr>
            <w:r w:rsidRPr="0012597A">
              <w:rPr>
                <w:rFonts w:ascii="Times New Roman" w:hAnsi="Times New Roman" w:cs="Times New Roman"/>
                <w:sz w:val="24"/>
                <w:szCs w:val="24"/>
              </w:rPr>
              <w:t>Dip. Vladimir Hernández Villegas</w:t>
            </w:r>
          </w:p>
        </w:tc>
        <w:tc>
          <w:tcPr>
            <w:tcW w:w="2244" w:type="dxa"/>
            <w:tcBorders>
              <w:top w:val="single" w:sz="4" w:space="0" w:color="auto"/>
              <w:left w:val="single" w:sz="4" w:space="0" w:color="auto"/>
              <w:bottom w:val="single" w:sz="4" w:space="0" w:color="auto"/>
              <w:right w:val="single" w:sz="4" w:space="0" w:color="auto"/>
            </w:tcBorders>
            <w:vAlign w:val="center"/>
          </w:tcPr>
          <w:p w14:paraId="55716A59"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7B09CC3E"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41ED66A7"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2BD2F612"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3696DCC4" w14:textId="77777777" w:rsidR="00C96B15" w:rsidRPr="0012597A" w:rsidRDefault="00C96B15" w:rsidP="00FD7960">
            <w:pPr>
              <w:spacing w:after="0" w:line="240" w:lineRule="auto"/>
              <w:contextualSpacing/>
              <w:jc w:val="center"/>
              <w:rPr>
                <w:rFonts w:ascii="Times New Roman" w:hAnsi="Times New Roman" w:cs="Times New Roman"/>
                <w:sz w:val="24"/>
                <w:szCs w:val="24"/>
                <w:lang w:val="es-ES_tradnl"/>
              </w:rPr>
            </w:pPr>
            <w:r w:rsidRPr="0012597A">
              <w:rPr>
                <w:rFonts w:ascii="Times New Roman" w:hAnsi="Times New Roman" w:cs="Times New Roman"/>
                <w:sz w:val="24"/>
                <w:szCs w:val="24"/>
              </w:rPr>
              <w:t>Dip. Nelly Brígida Rivera Sánchez</w:t>
            </w:r>
          </w:p>
        </w:tc>
        <w:tc>
          <w:tcPr>
            <w:tcW w:w="2244" w:type="dxa"/>
            <w:tcBorders>
              <w:top w:val="single" w:sz="4" w:space="0" w:color="auto"/>
              <w:left w:val="single" w:sz="4" w:space="0" w:color="auto"/>
              <w:bottom w:val="single" w:sz="4" w:space="0" w:color="auto"/>
              <w:right w:val="single" w:sz="4" w:space="0" w:color="auto"/>
            </w:tcBorders>
            <w:vAlign w:val="center"/>
          </w:tcPr>
          <w:p w14:paraId="54A010D0"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1BB1CB97"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0EDC1309"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49DEDACD"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5736D40C" w14:textId="77777777" w:rsidR="00C96B15" w:rsidRPr="0012597A" w:rsidRDefault="00C96B15" w:rsidP="00FD7960">
            <w:pPr>
              <w:spacing w:after="0" w:line="240" w:lineRule="auto"/>
              <w:contextualSpacing/>
              <w:jc w:val="center"/>
              <w:rPr>
                <w:rFonts w:ascii="Times New Roman" w:hAnsi="Times New Roman" w:cs="Times New Roman"/>
                <w:sz w:val="24"/>
                <w:szCs w:val="24"/>
                <w:lang w:val="es-ES_tradnl"/>
              </w:rPr>
            </w:pPr>
            <w:r w:rsidRPr="0012597A">
              <w:rPr>
                <w:rFonts w:ascii="Times New Roman" w:hAnsi="Times New Roman" w:cs="Times New Roman"/>
                <w:sz w:val="24"/>
                <w:szCs w:val="24"/>
              </w:rPr>
              <w:t>Dip. Yesica Yanet Rojas Hernández</w:t>
            </w:r>
          </w:p>
        </w:tc>
        <w:tc>
          <w:tcPr>
            <w:tcW w:w="2244" w:type="dxa"/>
            <w:tcBorders>
              <w:top w:val="single" w:sz="4" w:space="0" w:color="auto"/>
              <w:left w:val="single" w:sz="4" w:space="0" w:color="auto"/>
              <w:bottom w:val="single" w:sz="4" w:space="0" w:color="auto"/>
              <w:right w:val="single" w:sz="4" w:space="0" w:color="auto"/>
            </w:tcBorders>
            <w:vAlign w:val="center"/>
          </w:tcPr>
          <w:p w14:paraId="6D71C372"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4063EC9E"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54793B25"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103C1886"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057CB495" w14:textId="77777777" w:rsidR="00C96B15" w:rsidRPr="0012597A" w:rsidRDefault="00C96B15" w:rsidP="00FD7960">
            <w:pPr>
              <w:spacing w:after="0" w:line="240" w:lineRule="auto"/>
              <w:contextualSpacing/>
              <w:jc w:val="center"/>
              <w:rPr>
                <w:rFonts w:ascii="Times New Roman" w:hAnsi="Times New Roman" w:cs="Times New Roman"/>
                <w:sz w:val="24"/>
                <w:szCs w:val="24"/>
                <w:lang w:val="es-ES_tradnl"/>
              </w:rPr>
            </w:pPr>
            <w:r w:rsidRPr="0012597A">
              <w:rPr>
                <w:rFonts w:ascii="Times New Roman" w:hAnsi="Times New Roman" w:cs="Times New Roman"/>
                <w:sz w:val="24"/>
                <w:szCs w:val="24"/>
              </w:rPr>
              <w:t>Dip. Héctor Karim Carvallo Delfín</w:t>
            </w:r>
          </w:p>
        </w:tc>
        <w:tc>
          <w:tcPr>
            <w:tcW w:w="2244" w:type="dxa"/>
            <w:tcBorders>
              <w:top w:val="single" w:sz="4" w:space="0" w:color="auto"/>
              <w:left w:val="single" w:sz="4" w:space="0" w:color="auto"/>
              <w:bottom w:val="single" w:sz="4" w:space="0" w:color="auto"/>
              <w:right w:val="single" w:sz="4" w:space="0" w:color="auto"/>
            </w:tcBorders>
            <w:vAlign w:val="center"/>
          </w:tcPr>
          <w:p w14:paraId="1C285DE5"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53A6E2A5"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4451C695"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25D50C90"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6C8590B6"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 xml:space="preserve">Dip. Selina </w:t>
            </w:r>
          </w:p>
          <w:p w14:paraId="5B0D939F"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Trujillo Arizmendi</w:t>
            </w:r>
          </w:p>
        </w:tc>
        <w:tc>
          <w:tcPr>
            <w:tcW w:w="2244" w:type="dxa"/>
            <w:tcBorders>
              <w:top w:val="single" w:sz="4" w:space="0" w:color="auto"/>
              <w:left w:val="single" w:sz="4" w:space="0" w:color="auto"/>
              <w:bottom w:val="single" w:sz="4" w:space="0" w:color="auto"/>
              <w:right w:val="single" w:sz="4" w:space="0" w:color="auto"/>
            </w:tcBorders>
            <w:vAlign w:val="center"/>
          </w:tcPr>
          <w:p w14:paraId="32E51E31"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1AC41911"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70025DCA"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20D1B122"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794FC5A7"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 xml:space="preserve">Dip. Miriam </w:t>
            </w:r>
          </w:p>
          <w:p w14:paraId="045E939A"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Silva Mata</w:t>
            </w:r>
          </w:p>
        </w:tc>
        <w:tc>
          <w:tcPr>
            <w:tcW w:w="2244" w:type="dxa"/>
            <w:tcBorders>
              <w:top w:val="single" w:sz="4" w:space="0" w:color="auto"/>
              <w:left w:val="single" w:sz="4" w:space="0" w:color="auto"/>
              <w:bottom w:val="single" w:sz="4" w:space="0" w:color="auto"/>
              <w:right w:val="single" w:sz="4" w:space="0" w:color="auto"/>
            </w:tcBorders>
            <w:vAlign w:val="center"/>
          </w:tcPr>
          <w:p w14:paraId="3B513F35"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36F299F0"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1408632F"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144909FB"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27851B87"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 xml:space="preserve">Dip. Ana Yurixi </w:t>
            </w:r>
          </w:p>
          <w:p w14:paraId="387DCA08"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Leyva Piñón</w:t>
            </w:r>
          </w:p>
        </w:tc>
        <w:tc>
          <w:tcPr>
            <w:tcW w:w="2244" w:type="dxa"/>
            <w:tcBorders>
              <w:top w:val="single" w:sz="4" w:space="0" w:color="auto"/>
              <w:left w:val="single" w:sz="4" w:space="0" w:color="auto"/>
              <w:bottom w:val="single" w:sz="4" w:space="0" w:color="auto"/>
              <w:right w:val="single" w:sz="4" w:space="0" w:color="auto"/>
            </w:tcBorders>
            <w:vAlign w:val="center"/>
          </w:tcPr>
          <w:p w14:paraId="4CBC7364"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vAlign w:val="center"/>
          </w:tcPr>
          <w:p w14:paraId="74A39F0A"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4419290F"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r>
      <w:tr w:rsidR="00C96B15" w:rsidRPr="0012597A" w14:paraId="7E4A7CEA"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51109A61"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Dip. María Mercedes Colín Guadarrama</w:t>
            </w:r>
          </w:p>
        </w:tc>
        <w:tc>
          <w:tcPr>
            <w:tcW w:w="2244" w:type="dxa"/>
            <w:tcBorders>
              <w:top w:val="single" w:sz="4" w:space="0" w:color="auto"/>
              <w:left w:val="single" w:sz="4" w:space="0" w:color="auto"/>
              <w:bottom w:val="single" w:sz="4" w:space="0" w:color="auto"/>
              <w:right w:val="single" w:sz="4" w:space="0" w:color="auto"/>
            </w:tcBorders>
            <w:vAlign w:val="center"/>
          </w:tcPr>
          <w:p w14:paraId="04FF5DEC"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5" w:type="dxa"/>
            <w:tcBorders>
              <w:top w:val="single" w:sz="4" w:space="0" w:color="auto"/>
              <w:left w:val="single" w:sz="4" w:space="0" w:color="auto"/>
              <w:bottom w:val="single" w:sz="4" w:space="0" w:color="auto"/>
              <w:right w:val="single" w:sz="4" w:space="0" w:color="auto"/>
            </w:tcBorders>
            <w:vAlign w:val="center"/>
          </w:tcPr>
          <w:p w14:paraId="53C2E2AD"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767EECAC"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r>
      <w:tr w:rsidR="00C96B15" w:rsidRPr="0012597A" w14:paraId="42E85CB9" w14:textId="77777777" w:rsidTr="00520EAF">
        <w:trPr>
          <w:trHeight w:val="19"/>
          <w:jc w:val="center"/>
        </w:trPr>
        <w:tc>
          <w:tcPr>
            <w:tcW w:w="2475" w:type="dxa"/>
            <w:tcBorders>
              <w:top w:val="single" w:sz="4" w:space="0" w:color="auto"/>
              <w:left w:val="single" w:sz="4" w:space="0" w:color="auto"/>
              <w:bottom w:val="single" w:sz="4" w:space="0" w:color="auto"/>
              <w:right w:val="single" w:sz="4" w:space="0" w:color="auto"/>
            </w:tcBorders>
            <w:vAlign w:val="center"/>
            <w:hideMark/>
          </w:tcPr>
          <w:p w14:paraId="0AA715B9"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 xml:space="preserve">Dip. Ruth </w:t>
            </w:r>
          </w:p>
          <w:p w14:paraId="46F8FF4C" w14:textId="77777777" w:rsidR="00C96B15" w:rsidRPr="0012597A" w:rsidRDefault="00C96B15" w:rsidP="00FD7960">
            <w:pPr>
              <w:spacing w:after="0" w:line="240" w:lineRule="auto"/>
              <w:contextualSpacing/>
              <w:jc w:val="center"/>
              <w:rPr>
                <w:rFonts w:ascii="Times New Roman" w:hAnsi="Times New Roman" w:cs="Times New Roman"/>
                <w:sz w:val="24"/>
                <w:szCs w:val="24"/>
              </w:rPr>
            </w:pPr>
            <w:r w:rsidRPr="0012597A">
              <w:rPr>
                <w:rFonts w:ascii="Times New Roman" w:hAnsi="Times New Roman" w:cs="Times New Roman"/>
                <w:sz w:val="24"/>
                <w:szCs w:val="24"/>
              </w:rPr>
              <w:t>Salinas Reyes</w:t>
            </w:r>
          </w:p>
        </w:tc>
        <w:tc>
          <w:tcPr>
            <w:tcW w:w="2244" w:type="dxa"/>
            <w:tcBorders>
              <w:top w:val="single" w:sz="4" w:space="0" w:color="auto"/>
              <w:left w:val="single" w:sz="4" w:space="0" w:color="auto"/>
              <w:bottom w:val="single" w:sz="4" w:space="0" w:color="auto"/>
              <w:right w:val="single" w:sz="4" w:space="0" w:color="auto"/>
            </w:tcBorders>
            <w:vAlign w:val="center"/>
          </w:tcPr>
          <w:p w14:paraId="5966DD13"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5" w:type="dxa"/>
            <w:tcBorders>
              <w:top w:val="single" w:sz="4" w:space="0" w:color="auto"/>
              <w:left w:val="single" w:sz="4" w:space="0" w:color="auto"/>
              <w:bottom w:val="single" w:sz="4" w:space="0" w:color="auto"/>
              <w:right w:val="single" w:sz="4" w:space="0" w:color="auto"/>
            </w:tcBorders>
            <w:vAlign w:val="center"/>
          </w:tcPr>
          <w:p w14:paraId="5A3C1344"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p>
        </w:tc>
        <w:tc>
          <w:tcPr>
            <w:tcW w:w="2376" w:type="dxa"/>
            <w:tcBorders>
              <w:top w:val="single" w:sz="4" w:space="0" w:color="auto"/>
              <w:left w:val="single" w:sz="4" w:space="0" w:color="auto"/>
              <w:bottom w:val="single" w:sz="4" w:space="0" w:color="auto"/>
              <w:right w:val="single" w:sz="4" w:space="0" w:color="auto"/>
            </w:tcBorders>
            <w:vAlign w:val="center"/>
          </w:tcPr>
          <w:p w14:paraId="4DBC1116" w14:textId="77777777" w:rsidR="00C96B15" w:rsidRPr="0012597A" w:rsidRDefault="00C96B15" w:rsidP="00FD7960">
            <w:pPr>
              <w:spacing w:after="0" w:line="240" w:lineRule="auto"/>
              <w:contextualSpacing/>
              <w:jc w:val="center"/>
              <w:rPr>
                <w:rFonts w:ascii="Times New Roman" w:hAnsi="Times New Roman" w:cs="Times New Roman"/>
                <w:b/>
                <w:sz w:val="24"/>
                <w:szCs w:val="24"/>
              </w:rPr>
            </w:pPr>
            <w:r w:rsidRPr="0012597A">
              <w:rPr>
                <w:rFonts w:ascii="Times New Roman" w:hAnsi="Times New Roman" w:cs="Times New Roman"/>
                <w:b/>
                <w:sz w:val="24"/>
                <w:szCs w:val="24"/>
              </w:rPr>
              <w:t>√</w:t>
            </w:r>
          </w:p>
        </w:tc>
      </w:tr>
    </w:tbl>
    <w:p w14:paraId="17C66F33" w14:textId="5CC5BFD3" w:rsidR="00FC47FF" w:rsidRPr="0012597A" w:rsidRDefault="00FC47FF" w:rsidP="00FD7960">
      <w:pPr>
        <w:spacing w:after="0" w:line="240" w:lineRule="auto"/>
        <w:jc w:val="center"/>
        <w:rPr>
          <w:rFonts w:ascii="Times New Roman" w:hAnsi="Times New Roman" w:cs="Times New Roman"/>
          <w:sz w:val="24"/>
          <w:szCs w:val="24"/>
        </w:rPr>
      </w:pPr>
    </w:p>
    <w:p w14:paraId="295CF14C" w14:textId="6DA1BCCF" w:rsidR="00E42132" w:rsidRPr="0012597A" w:rsidRDefault="00E42132" w:rsidP="00FD7960">
      <w:pPr>
        <w:spacing w:after="0" w:line="240" w:lineRule="auto"/>
        <w:jc w:val="center"/>
        <w:rPr>
          <w:rFonts w:ascii="Times New Roman" w:hAnsi="Times New Roman" w:cs="Times New Roman"/>
          <w:sz w:val="24"/>
          <w:szCs w:val="24"/>
        </w:rPr>
      </w:pPr>
    </w:p>
    <w:p w14:paraId="2967F192" w14:textId="77777777" w:rsidR="00E42132" w:rsidRPr="0012597A" w:rsidRDefault="00E42132" w:rsidP="00FD7960">
      <w:pPr>
        <w:spacing w:after="0" w:line="240" w:lineRule="auto"/>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DECRETO NÚMERO</w:t>
      </w:r>
    </w:p>
    <w:p w14:paraId="13AB2D35" w14:textId="77777777" w:rsidR="00E42132" w:rsidRPr="0012597A" w:rsidRDefault="00E42132" w:rsidP="00FD7960">
      <w:pPr>
        <w:spacing w:after="0" w:line="240" w:lineRule="auto"/>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LA H. “LXII” LEGISLATURA</w:t>
      </w:r>
    </w:p>
    <w:p w14:paraId="28F20274" w14:textId="77777777" w:rsidR="00E42132" w:rsidRPr="0012597A" w:rsidRDefault="00E42132" w:rsidP="00FD7960">
      <w:pPr>
        <w:spacing w:after="0" w:line="240" w:lineRule="auto"/>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 xml:space="preserve">DEL ESTADO DE MÉXICO </w:t>
      </w:r>
    </w:p>
    <w:p w14:paraId="6754D875" w14:textId="77777777" w:rsidR="00E42132" w:rsidRPr="0012597A" w:rsidRDefault="00E42132" w:rsidP="00FD7960">
      <w:pPr>
        <w:spacing w:after="0" w:line="240" w:lineRule="auto"/>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DECRETA:</w:t>
      </w:r>
    </w:p>
    <w:p w14:paraId="3D00E2CF" w14:textId="77777777" w:rsidR="00E42132" w:rsidRPr="0012597A" w:rsidRDefault="00E42132" w:rsidP="00FD7960">
      <w:pPr>
        <w:spacing w:after="0" w:line="240" w:lineRule="auto"/>
        <w:jc w:val="both"/>
        <w:rPr>
          <w:rFonts w:ascii="Times New Roman" w:hAnsi="Times New Roman" w:cs="Times New Roman"/>
          <w:b/>
          <w:bCs/>
          <w:color w:val="000000"/>
          <w:sz w:val="24"/>
          <w:szCs w:val="24"/>
        </w:rPr>
      </w:pPr>
    </w:p>
    <w:p w14:paraId="660A0506" w14:textId="77777777" w:rsidR="00E42132" w:rsidRPr="0012597A" w:rsidRDefault="00E42132" w:rsidP="00FD7960">
      <w:pPr>
        <w:spacing w:after="0" w:line="240" w:lineRule="auto"/>
        <w:jc w:val="both"/>
        <w:rPr>
          <w:rFonts w:ascii="Times New Roman" w:hAnsi="Times New Roman" w:cs="Times New Roman"/>
          <w:b/>
          <w:bCs/>
          <w:color w:val="000000"/>
          <w:sz w:val="24"/>
          <w:szCs w:val="24"/>
        </w:rPr>
      </w:pPr>
      <w:r w:rsidRPr="0012597A">
        <w:rPr>
          <w:rFonts w:ascii="Times New Roman" w:hAnsi="Times New Roman" w:cs="Times New Roman"/>
          <w:b/>
          <w:bCs/>
          <w:color w:val="000000"/>
          <w:sz w:val="24"/>
          <w:szCs w:val="24"/>
        </w:rPr>
        <w:t xml:space="preserve">ÚNICO.- </w:t>
      </w:r>
      <w:r w:rsidRPr="0012597A">
        <w:rPr>
          <w:rFonts w:ascii="Times New Roman" w:hAnsi="Times New Roman" w:cs="Times New Roman"/>
          <w:bCs/>
          <w:color w:val="000000"/>
          <w:sz w:val="24"/>
          <w:szCs w:val="24"/>
        </w:rPr>
        <w:t>Se adicionan los artículos 1.5 Bis, 1.5 Ter, 1.5 Quáter y 1.5 Quinquies al Código Civil del Estado de México, para quedar como sigue:</w:t>
      </w:r>
      <w:r w:rsidRPr="0012597A">
        <w:rPr>
          <w:rFonts w:ascii="Times New Roman" w:hAnsi="Times New Roman" w:cs="Times New Roman"/>
          <w:b/>
          <w:bCs/>
          <w:color w:val="000000"/>
          <w:sz w:val="24"/>
          <w:szCs w:val="24"/>
        </w:rPr>
        <w:t xml:space="preserve"> </w:t>
      </w:r>
    </w:p>
    <w:p w14:paraId="296FB19D" w14:textId="77777777" w:rsidR="00E42132" w:rsidRPr="0012597A" w:rsidRDefault="00E42132" w:rsidP="00FD7960">
      <w:pPr>
        <w:spacing w:after="0" w:line="240" w:lineRule="auto"/>
        <w:jc w:val="both"/>
        <w:rPr>
          <w:rFonts w:ascii="Times New Roman" w:hAnsi="Times New Roman" w:cs="Times New Roman"/>
          <w:b/>
          <w:bCs/>
          <w:color w:val="000000"/>
          <w:sz w:val="24"/>
          <w:szCs w:val="24"/>
        </w:rPr>
      </w:pPr>
    </w:p>
    <w:p w14:paraId="3CFDA63B"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lang w:val="es-419" w:eastAsia="es-MX"/>
        </w:rPr>
      </w:pPr>
      <w:r w:rsidRPr="0012597A">
        <w:rPr>
          <w:rFonts w:ascii="Times New Roman" w:hAnsi="Times New Roman" w:cs="Times New Roman"/>
          <w:b/>
          <w:bCs/>
          <w:color w:val="000000"/>
          <w:sz w:val="24"/>
          <w:szCs w:val="24"/>
          <w:lang w:val="es-419" w:eastAsia="es-MX"/>
        </w:rPr>
        <w:t xml:space="preserve">Acción de nulidad de juicio concluido </w:t>
      </w:r>
    </w:p>
    <w:p w14:paraId="69DF093C"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lang w:val="es-419" w:eastAsia="es-MX"/>
        </w:rPr>
      </w:pPr>
    </w:p>
    <w:p w14:paraId="2C7240E7"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lang w:val="es-419" w:eastAsia="es-MX"/>
        </w:rPr>
      </w:pPr>
      <w:r w:rsidRPr="0012597A">
        <w:rPr>
          <w:rFonts w:ascii="Times New Roman" w:hAnsi="Times New Roman" w:cs="Times New Roman"/>
          <w:b/>
          <w:bCs/>
          <w:color w:val="000000"/>
          <w:sz w:val="24"/>
          <w:szCs w:val="24"/>
          <w:lang w:val="es-419" w:eastAsia="es-MX"/>
        </w:rPr>
        <w:t>Artículo 1.5 Bis.- La nulidad de juicio concluido es de naturaleza excepcional y procede en aquellos asuntos en los que se haya dictado sentencia o auto definitivo que haya causado ejecutoria.</w:t>
      </w:r>
    </w:p>
    <w:p w14:paraId="3630AC4B"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rPr>
      </w:pPr>
    </w:p>
    <w:p w14:paraId="044E92F0"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lang w:val="es-419"/>
        </w:rPr>
      </w:pPr>
      <w:r w:rsidRPr="0012597A">
        <w:rPr>
          <w:rFonts w:ascii="Times New Roman" w:hAnsi="Times New Roman" w:cs="Times New Roman"/>
          <w:b/>
          <w:bCs/>
          <w:color w:val="000000"/>
          <w:sz w:val="24"/>
          <w:szCs w:val="24"/>
          <w:lang w:val="es-419"/>
        </w:rPr>
        <w:lastRenderedPageBreak/>
        <w:t>Legitimación</w:t>
      </w:r>
    </w:p>
    <w:p w14:paraId="5567C4EC"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lang w:val="es-419"/>
        </w:rPr>
      </w:pPr>
    </w:p>
    <w:p w14:paraId="08FA735F"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rPr>
      </w:pPr>
      <w:r w:rsidRPr="0012597A">
        <w:rPr>
          <w:rFonts w:ascii="Times New Roman" w:hAnsi="Times New Roman" w:cs="Times New Roman"/>
          <w:b/>
          <w:bCs/>
          <w:color w:val="000000"/>
          <w:sz w:val="24"/>
          <w:szCs w:val="24"/>
          <w:lang w:val="es-419"/>
        </w:rPr>
        <w:t>Artículo 1.5 Ter.- La nulidad de juicio concluido puede ser ejercitada por quienes habiendo sido parte en el procedimiento, hayan sido falsamente representados o emplazados, sus sucesores o causahabientes, y los terceros a quienes perjudique la resolución y se actualice alguna de las siguientes hipótesis:</w:t>
      </w:r>
    </w:p>
    <w:p w14:paraId="0B28AAA1" w14:textId="77777777" w:rsidR="00E42132" w:rsidRPr="0012597A" w:rsidRDefault="00E42132" w:rsidP="00FD7960">
      <w:pPr>
        <w:spacing w:after="0" w:line="240" w:lineRule="auto"/>
        <w:contextualSpacing/>
        <w:jc w:val="both"/>
        <w:rPr>
          <w:rFonts w:ascii="Times New Roman" w:hAnsi="Times New Roman" w:cs="Times New Roman"/>
          <w:b/>
          <w:bCs/>
          <w:color w:val="000000"/>
          <w:sz w:val="24"/>
          <w:szCs w:val="24"/>
        </w:rPr>
      </w:pPr>
    </w:p>
    <w:p w14:paraId="32268EEC"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r w:rsidRPr="0012597A">
        <w:rPr>
          <w:rFonts w:ascii="Times New Roman" w:hAnsi="Times New Roman" w:cs="Times New Roman"/>
          <w:b/>
          <w:color w:val="000000"/>
          <w:sz w:val="24"/>
          <w:szCs w:val="24"/>
          <w:lang w:val="es-419"/>
        </w:rPr>
        <w:t>I. Si se falló con base en pruebas reconocidas o declaradas de cualquier modo falsas con posterioridad a la resolución, por sentencia o resolución judicial firme o que la parte vencida ignoraba que se habían reconocido o declarado como tales antes de la sentencia, o</w:t>
      </w:r>
    </w:p>
    <w:p w14:paraId="0C45C290" w14:textId="77777777" w:rsidR="00E42132" w:rsidRPr="0012597A" w:rsidRDefault="00E42132" w:rsidP="00FD7960">
      <w:pPr>
        <w:spacing w:after="0" w:line="240" w:lineRule="auto"/>
        <w:rPr>
          <w:rFonts w:ascii="Times New Roman" w:hAnsi="Times New Roman" w:cs="Times New Roman"/>
          <w:sz w:val="24"/>
          <w:szCs w:val="24"/>
          <w:lang w:val="es-419"/>
        </w:rPr>
      </w:pPr>
    </w:p>
    <w:p w14:paraId="6B45C515"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r w:rsidRPr="0012597A">
        <w:rPr>
          <w:rFonts w:ascii="Times New Roman" w:hAnsi="Times New Roman" w:cs="Times New Roman"/>
          <w:b/>
          <w:sz w:val="24"/>
          <w:szCs w:val="24"/>
          <w:lang w:val="es-419"/>
        </w:rPr>
        <w:t xml:space="preserve">II. Cuando exista colusión u otra maniobra fraudulenta de las partes litigantes en el </w:t>
      </w:r>
      <w:r w:rsidRPr="0012597A">
        <w:rPr>
          <w:rFonts w:ascii="Times New Roman" w:hAnsi="Times New Roman" w:cs="Times New Roman"/>
          <w:b/>
          <w:color w:val="000000"/>
          <w:sz w:val="24"/>
          <w:szCs w:val="24"/>
          <w:lang w:val="es-419"/>
        </w:rPr>
        <w:t>juicio cuya nulidad se pide, en perjuicio de la parte promovente de la acción de nulidad de juicio concluido.</w:t>
      </w:r>
    </w:p>
    <w:p w14:paraId="6EA6AE5D"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p>
    <w:p w14:paraId="0B7C09D1"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r w:rsidRPr="0012597A">
        <w:rPr>
          <w:rFonts w:ascii="Times New Roman" w:hAnsi="Times New Roman" w:cs="Times New Roman"/>
          <w:b/>
          <w:color w:val="000000"/>
          <w:sz w:val="24"/>
          <w:szCs w:val="24"/>
          <w:lang w:val="es-419"/>
        </w:rPr>
        <w:t>Prescripción de la acción de nulidad de juicio concluido</w:t>
      </w:r>
    </w:p>
    <w:p w14:paraId="30915D49"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p>
    <w:p w14:paraId="53B48280"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r w:rsidRPr="0012597A">
        <w:rPr>
          <w:rFonts w:ascii="Times New Roman" w:hAnsi="Times New Roman" w:cs="Times New Roman"/>
          <w:b/>
          <w:color w:val="000000"/>
          <w:sz w:val="24"/>
          <w:szCs w:val="24"/>
          <w:lang w:val="es-419"/>
        </w:rPr>
        <w:t xml:space="preserve">Artículo 1.5 </w:t>
      </w:r>
      <w:proofErr w:type="spellStart"/>
      <w:r w:rsidRPr="0012597A">
        <w:rPr>
          <w:rFonts w:ascii="Times New Roman" w:hAnsi="Times New Roman" w:cs="Times New Roman"/>
          <w:b/>
          <w:color w:val="000000"/>
          <w:sz w:val="24"/>
          <w:szCs w:val="24"/>
          <w:lang w:val="es-419"/>
        </w:rPr>
        <w:t>Quáter</w:t>
      </w:r>
      <w:proofErr w:type="spellEnd"/>
      <w:r w:rsidRPr="0012597A">
        <w:rPr>
          <w:rFonts w:ascii="Times New Roman" w:hAnsi="Times New Roman" w:cs="Times New Roman"/>
          <w:b/>
          <w:color w:val="000000"/>
          <w:sz w:val="24"/>
          <w:szCs w:val="24"/>
          <w:lang w:val="es-419"/>
        </w:rPr>
        <w:t>.- En ningún caso será procedente la acción de nulidad de juicio concluido:</w:t>
      </w:r>
    </w:p>
    <w:p w14:paraId="4EFF3F31"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p>
    <w:p w14:paraId="31281AB6" w14:textId="77777777" w:rsidR="00E42132" w:rsidRPr="0012597A" w:rsidRDefault="00E42132" w:rsidP="00FD7960">
      <w:pPr>
        <w:spacing w:after="0" w:line="240" w:lineRule="auto"/>
        <w:jc w:val="both"/>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 xml:space="preserve">I. Si han transcurrido cinco años desde que hubiere causado ejecutoria la resolución que en ese juicio se dictó, o </w:t>
      </w:r>
    </w:p>
    <w:p w14:paraId="6A957EC6" w14:textId="77777777" w:rsidR="00E42132" w:rsidRPr="0012597A" w:rsidRDefault="00E42132" w:rsidP="00FD7960">
      <w:pPr>
        <w:spacing w:after="0" w:line="240" w:lineRule="auto"/>
        <w:rPr>
          <w:rFonts w:ascii="Times New Roman" w:hAnsi="Times New Roman" w:cs="Times New Roman"/>
          <w:color w:val="000000"/>
          <w:sz w:val="24"/>
          <w:szCs w:val="24"/>
        </w:rPr>
      </w:pPr>
    </w:p>
    <w:p w14:paraId="042D56CA" w14:textId="77777777" w:rsidR="00E42132" w:rsidRPr="0012597A" w:rsidRDefault="00E42132" w:rsidP="00FD7960">
      <w:pPr>
        <w:spacing w:after="0" w:line="240" w:lineRule="auto"/>
        <w:jc w:val="both"/>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II. Si han transcurrido dos años desde que el recurrente hubiere conocido o debió conocer los motivos en que se fundare la misma.</w:t>
      </w:r>
    </w:p>
    <w:p w14:paraId="5A67233A" w14:textId="77777777" w:rsidR="00E42132" w:rsidRPr="0012597A" w:rsidRDefault="00E42132" w:rsidP="00FD7960">
      <w:pPr>
        <w:spacing w:after="0" w:line="240" w:lineRule="auto"/>
        <w:jc w:val="both"/>
        <w:rPr>
          <w:rFonts w:ascii="Times New Roman" w:hAnsi="Times New Roman" w:cs="Times New Roman"/>
          <w:b/>
          <w:color w:val="000000"/>
          <w:sz w:val="24"/>
          <w:szCs w:val="24"/>
        </w:rPr>
      </w:pPr>
    </w:p>
    <w:p w14:paraId="41BF497A" w14:textId="77777777" w:rsidR="00E42132" w:rsidRPr="0012597A" w:rsidRDefault="00E42132" w:rsidP="00FD7960">
      <w:pPr>
        <w:spacing w:after="0" w:line="240" w:lineRule="auto"/>
        <w:jc w:val="both"/>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No procede la acción de nulidad de juicio concluido contra las sentencias dictadas en el mismo juicio de nulidad.</w:t>
      </w:r>
    </w:p>
    <w:p w14:paraId="6272AC41" w14:textId="77777777" w:rsidR="00E42132" w:rsidRPr="0012597A" w:rsidRDefault="00E42132" w:rsidP="00FD7960">
      <w:pPr>
        <w:spacing w:after="0" w:line="240" w:lineRule="auto"/>
        <w:jc w:val="both"/>
        <w:rPr>
          <w:rFonts w:ascii="Times New Roman" w:hAnsi="Times New Roman" w:cs="Times New Roman"/>
          <w:b/>
          <w:color w:val="000000"/>
          <w:sz w:val="24"/>
          <w:szCs w:val="24"/>
        </w:rPr>
      </w:pPr>
    </w:p>
    <w:p w14:paraId="644718C5" w14:textId="77777777" w:rsidR="00E42132" w:rsidRPr="0012597A" w:rsidRDefault="00E42132" w:rsidP="00FD7960">
      <w:pPr>
        <w:spacing w:after="0" w:line="240" w:lineRule="auto"/>
        <w:jc w:val="both"/>
        <w:rPr>
          <w:rFonts w:ascii="Times New Roman" w:hAnsi="Times New Roman" w:cs="Times New Roman"/>
          <w:b/>
          <w:color w:val="000000"/>
          <w:sz w:val="24"/>
          <w:szCs w:val="24"/>
        </w:rPr>
      </w:pPr>
      <w:r w:rsidRPr="0012597A">
        <w:rPr>
          <w:rFonts w:ascii="Times New Roman" w:hAnsi="Times New Roman" w:cs="Times New Roman"/>
          <w:b/>
          <w:color w:val="000000"/>
          <w:sz w:val="24"/>
          <w:szCs w:val="24"/>
        </w:rPr>
        <w:t>Si se encuentra juicio pendiente de resolver sobre la falsedad de alguna prueba que fue determinante en fallo dictado en el juicio reclamado como nulo, se suspenderán los plazos a que se refiere el presente artículo.</w:t>
      </w:r>
    </w:p>
    <w:p w14:paraId="168E31A2" w14:textId="77777777" w:rsidR="00E42132" w:rsidRPr="0012597A" w:rsidRDefault="00E42132" w:rsidP="00FD7960">
      <w:pPr>
        <w:spacing w:after="0" w:line="240" w:lineRule="auto"/>
        <w:jc w:val="both"/>
        <w:rPr>
          <w:rFonts w:ascii="Times New Roman" w:hAnsi="Times New Roman" w:cs="Times New Roman"/>
          <w:b/>
          <w:color w:val="000000"/>
          <w:sz w:val="24"/>
          <w:szCs w:val="24"/>
        </w:rPr>
      </w:pPr>
    </w:p>
    <w:p w14:paraId="6812D530"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r w:rsidRPr="0012597A">
        <w:rPr>
          <w:rFonts w:ascii="Times New Roman" w:hAnsi="Times New Roman" w:cs="Times New Roman"/>
          <w:b/>
          <w:color w:val="000000"/>
          <w:sz w:val="24"/>
          <w:szCs w:val="24"/>
          <w:lang w:val="es-419"/>
        </w:rPr>
        <w:t>Suspensión de ejecución de la sentencia</w:t>
      </w:r>
    </w:p>
    <w:p w14:paraId="35897B43"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p>
    <w:p w14:paraId="764A9799" w14:textId="77777777" w:rsidR="00E42132" w:rsidRPr="0012597A" w:rsidRDefault="00E42132" w:rsidP="00FD7960">
      <w:pPr>
        <w:spacing w:after="0" w:line="240" w:lineRule="auto"/>
        <w:jc w:val="both"/>
        <w:rPr>
          <w:rFonts w:ascii="Times New Roman" w:hAnsi="Times New Roman" w:cs="Times New Roman"/>
          <w:b/>
          <w:color w:val="000000"/>
          <w:sz w:val="24"/>
          <w:szCs w:val="24"/>
          <w:lang w:val="es-419"/>
        </w:rPr>
      </w:pPr>
      <w:r w:rsidRPr="0012597A">
        <w:rPr>
          <w:rFonts w:ascii="Times New Roman" w:hAnsi="Times New Roman" w:cs="Times New Roman"/>
          <w:b/>
          <w:color w:val="000000"/>
          <w:sz w:val="24"/>
          <w:szCs w:val="24"/>
          <w:lang w:val="es-419"/>
        </w:rPr>
        <w:t>Artículo 1.5 Quinquies.- La interposición de la nulidad de juicio concluido no suspenderá la ejecución de la resolución firme que la motivare.</w:t>
      </w:r>
    </w:p>
    <w:p w14:paraId="26A6B5C1" w14:textId="77777777" w:rsidR="00E42132" w:rsidRPr="0012597A" w:rsidRDefault="00E42132" w:rsidP="00FD7960">
      <w:pPr>
        <w:spacing w:after="0" w:line="240" w:lineRule="auto"/>
        <w:jc w:val="both"/>
        <w:rPr>
          <w:rFonts w:ascii="Times New Roman" w:hAnsi="Times New Roman" w:cs="Times New Roman"/>
          <w:b/>
          <w:sz w:val="24"/>
          <w:szCs w:val="24"/>
          <w:lang w:val="es-419"/>
        </w:rPr>
      </w:pPr>
    </w:p>
    <w:p w14:paraId="6497799D" w14:textId="77777777" w:rsidR="00E42132" w:rsidRPr="0012597A" w:rsidRDefault="00E42132" w:rsidP="00FD7960">
      <w:pPr>
        <w:spacing w:after="0" w:line="240" w:lineRule="auto"/>
        <w:jc w:val="both"/>
        <w:rPr>
          <w:rFonts w:ascii="Times New Roman" w:hAnsi="Times New Roman" w:cs="Times New Roman"/>
          <w:b/>
          <w:sz w:val="24"/>
          <w:szCs w:val="24"/>
        </w:rPr>
      </w:pPr>
      <w:r w:rsidRPr="0012597A">
        <w:rPr>
          <w:rFonts w:ascii="Times New Roman" w:hAnsi="Times New Roman" w:cs="Times New Roman"/>
          <w:b/>
          <w:sz w:val="24"/>
          <w:szCs w:val="24"/>
        </w:rPr>
        <w:t>No obstante, quien promueva la nulidad podrá solicitar a la autoridad jurisdiccional que conozca de la misma, la suspensión de la ejecución de aquella sentencia cuya nulidad se pide. Para tal efecto, deberá otorgar garantía que fije la autoridad jurisdiccional que conoce de la nulidad, por los daños y perjuicios que, de manera inmediata y directa, pudieran ocasionarse con motivo de la suspensión a la parte vencedora del juicio cuya nulidad se solicita.</w:t>
      </w:r>
    </w:p>
    <w:p w14:paraId="22216756" w14:textId="77777777" w:rsidR="00E42132" w:rsidRPr="0012597A" w:rsidRDefault="00E42132" w:rsidP="00FD7960">
      <w:pPr>
        <w:spacing w:after="0" w:line="240" w:lineRule="auto"/>
        <w:jc w:val="both"/>
        <w:rPr>
          <w:rFonts w:ascii="Times New Roman" w:hAnsi="Times New Roman" w:cs="Times New Roman"/>
          <w:b/>
          <w:sz w:val="24"/>
          <w:szCs w:val="24"/>
        </w:rPr>
      </w:pPr>
    </w:p>
    <w:p w14:paraId="768605E9" w14:textId="77777777" w:rsidR="00E42132" w:rsidRPr="0012597A" w:rsidRDefault="00E42132" w:rsidP="00FD7960">
      <w:pPr>
        <w:spacing w:after="0" w:line="240" w:lineRule="auto"/>
        <w:jc w:val="both"/>
        <w:rPr>
          <w:rFonts w:ascii="Times New Roman" w:hAnsi="Times New Roman" w:cs="Times New Roman"/>
          <w:b/>
          <w:sz w:val="24"/>
          <w:szCs w:val="24"/>
        </w:rPr>
      </w:pPr>
      <w:r w:rsidRPr="0012597A">
        <w:rPr>
          <w:rFonts w:ascii="Times New Roman" w:hAnsi="Times New Roman" w:cs="Times New Roman"/>
          <w:b/>
          <w:sz w:val="24"/>
          <w:szCs w:val="24"/>
        </w:rPr>
        <w:t>Cuando la nulidad de juicio concluido se declare improcedente, la garantía se adjudicará a la parte demandada por concepto de los daños y perjuicios ocasionados por la suspensión, sin necesidad de prueba alguna.</w:t>
      </w:r>
    </w:p>
    <w:p w14:paraId="0E9DBA47" w14:textId="77777777" w:rsidR="00E42132" w:rsidRPr="0012597A" w:rsidRDefault="00E42132" w:rsidP="00FD7960">
      <w:pPr>
        <w:spacing w:after="0" w:line="240" w:lineRule="auto"/>
        <w:jc w:val="both"/>
        <w:rPr>
          <w:rFonts w:ascii="Times New Roman" w:hAnsi="Times New Roman" w:cs="Times New Roman"/>
          <w:b/>
          <w:sz w:val="24"/>
          <w:szCs w:val="24"/>
        </w:rPr>
      </w:pPr>
    </w:p>
    <w:p w14:paraId="53FFE85E" w14:textId="77777777" w:rsidR="00E42132" w:rsidRPr="0012597A" w:rsidRDefault="00E42132" w:rsidP="00FD7960">
      <w:pPr>
        <w:spacing w:after="0" w:line="240" w:lineRule="auto"/>
        <w:jc w:val="both"/>
        <w:rPr>
          <w:rFonts w:ascii="Times New Roman" w:hAnsi="Times New Roman" w:cs="Times New Roman"/>
          <w:b/>
          <w:sz w:val="24"/>
          <w:szCs w:val="24"/>
        </w:rPr>
      </w:pPr>
      <w:r w:rsidRPr="0012597A">
        <w:rPr>
          <w:rFonts w:ascii="Times New Roman" w:hAnsi="Times New Roman" w:cs="Times New Roman"/>
          <w:b/>
          <w:sz w:val="24"/>
          <w:szCs w:val="24"/>
        </w:rPr>
        <w:lastRenderedPageBreak/>
        <w:t>No será necesaria la garantía cuando se acredite fehacientemente que la ejecución pueda causar un daño irreparable a quien promueve la nulidad. En este supuesto, si la nulidad resulta improcedente, la parte actora será condenada al pago de los daños y perjuicios ocasionados con motivo de la suspensión, en los términos del párrafo anterior, junto con el pago de gastos y costas, que se cuantificarán en ejecución de sentencia; así como una multa equivalente a un año de valor de la Unidad de Medida y Actualización para la persona licenciada en derecho o abogada que la haya intentado.</w:t>
      </w:r>
    </w:p>
    <w:p w14:paraId="1B824F4B" w14:textId="77777777" w:rsidR="00E42132" w:rsidRPr="0012597A" w:rsidRDefault="00E42132" w:rsidP="00FD7960">
      <w:pPr>
        <w:spacing w:after="0" w:line="240" w:lineRule="auto"/>
        <w:jc w:val="both"/>
        <w:rPr>
          <w:rFonts w:ascii="Times New Roman" w:hAnsi="Times New Roman" w:cs="Times New Roman"/>
          <w:b/>
          <w:sz w:val="24"/>
          <w:szCs w:val="24"/>
        </w:rPr>
      </w:pPr>
    </w:p>
    <w:p w14:paraId="7128AE5C" w14:textId="77777777" w:rsidR="00E42132" w:rsidRPr="0012597A" w:rsidRDefault="00E42132" w:rsidP="00FD7960">
      <w:pPr>
        <w:spacing w:after="0" w:line="240" w:lineRule="auto"/>
        <w:jc w:val="center"/>
        <w:rPr>
          <w:rFonts w:ascii="Times New Roman" w:hAnsi="Times New Roman" w:cs="Times New Roman"/>
          <w:b/>
          <w:bCs/>
          <w:color w:val="000000"/>
          <w:sz w:val="24"/>
          <w:szCs w:val="24"/>
        </w:rPr>
      </w:pPr>
      <w:r w:rsidRPr="0012597A">
        <w:rPr>
          <w:rFonts w:ascii="Times New Roman" w:hAnsi="Times New Roman" w:cs="Times New Roman"/>
          <w:b/>
          <w:bCs/>
          <w:color w:val="000000"/>
          <w:sz w:val="24"/>
          <w:szCs w:val="24"/>
        </w:rPr>
        <w:t>T R A N S I T O R I O S</w:t>
      </w:r>
    </w:p>
    <w:p w14:paraId="40B5EF84" w14:textId="77777777" w:rsidR="00E42132" w:rsidRPr="0012597A" w:rsidRDefault="00E42132" w:rsidP="00FD7960">
      <w:pPr>
        <w:spacing w:after="0" w:line="240" w:lineRule="auto"/>
        <w:jc w:val="center"/>
        <w:rPr>
          <w:rFonts w:ascii="Times New Roman" w:hAnsi="Times New Roman" w:cs="Times New Roman"/>
          <w:b/>
          <w:bCs/>
          <w:color w:val="000000"/>
          <w:sz w:val="24"/>
          <w:szCs w:val="24"/>
        </w:rPr>
      </w:pPr>
    </w:p>
    <w:p w14:paraId="1EB26A9B" w14:textId="77777777" w:rsidR="00E42132" w:rsidRPr="0012597A" w:rsidRDefault="00E42132" w:rsidP="00FD7960">
      <w:pPr>
        <w:spacing w:after="0" w:line="240" w:lineRule="auto"/>
        <w:jc w:val="both"/>
        <w:rPr>
          <w:rFonts w:ascii="Times New Roman" w:hAnsi="Times New Roman" w:cs="Times New Roman"/>
          <w:color w:val="000000"/>
          <w:sz w:val="24"/>
          <w:szCs w:val="24"/>
        </w:rPr>
      </w:pPr>
      <w:r w:rsidRPr="0012597A">
        <w:rPr>
          <w:rFonts w:ascii="Times New Roman" w:hAnsi="Times New Roman" w:cs="Times New Roman"/>
          <w:b/>
          <w:bCs/>
          <w:color w:val="000000"/>
          <w:sz w:val="24"/>
          <w:szCs w:val="24"/>
        </w:rPr>
        <w:t>ARTÍCULO PRIMERO</w:t>
      </w:r>
      <w:r w:rsidRPr="0012597A">
        <w:rPr>
          <w:rFonts w:ascii="Times New Roman" w:hAnsi="Times New Roman" w:cs="Times New Roman"/>
          <w:b/>
          <w:color w:val="000000"/>
          <w:sz w:val="24"/>
          <w:szCs w:val="24"/>
        </w:rPr>
        <w:t xml:space="preserve">.- </w:t>
      </w:r>
      <w:r w:rsidRPr="0012597A">
        <w:rPr>
          <w:rFonts w:ascii="Times New Roman" w:hAnsi="Times New Roman" w:cs="Times New Roman"/>
          <w:color w:val="000000"/>
          <w:sz w:val="24"/>
          <w:szCs w:val="24"/>
        </w:rPr>
        <w:t>Publíquese el presente Decreto en el Periódico Oficial “Gaceta del Gobierno”.</w:t>
      </w:r>
    </w:p>
    <w:p w14:paraId="3DB07302" w14:textId="77777777" w:rsidR="00E42132" w:rsidRPr="0012597A" w:rsidRDefault="00E42132" w:rsidP="00FD7960">
      <w:pPr>
        <w:spacing w:after="0" w:line="240" w:lineRule="auto"/>
        <w:jc w:val="both"/>
        <w:rPr>
          <w:rFonts w:ascii="Times New Roman" w:hAnsi="Times New Roman" w:cs="Times New Roman"/>
          <w:color w:val="000000"/>
          <w:sz w:val="24"/>
          <w:szCs w:val="24"/>
        </w:rPr>
      </w:pPr>
    </w:p>
    <w:p w14:paraId="3538DE22" w14:textId="77777777" w:rsidR="00E42132" w:rsidRPr="0012597A" w:rsidRDefault="00E42132" w:rsidP="00FD7960">
      <w:pPr>
        <w:spacing w:after="0" w:line="240" w:lineRule="auto"/>
        <w:jc w:val="both"/>
        <w:rPr>
          <w:rFonts w:ascii="Times New Roman" w:hAnsi="Times New Roman" w:cs="Times New Roman"/>
          <w:color w:val="000000"/>
          <w:sz w:val="24"/>
          <w:szCs w:val="24"/>
        </w:rPr>
      </w:pPr>
      <w:r w:rsidRPr="0012597A">
        <w:rPr>
          <w:rFonts w:ascii="Times New Roman" w:hAnsi="Times New Roman" w:cs="Times New Roman"/>
          <w:b/>
          <w:bCs/>
          <w:color w:val="000000"/>
          <w:sz w:val="24"/>
          <w:szCs w:val="24"/>
        </w:rPr>
        <w:t>ARTÍCULO SEGUNDO.</w:t>
      </w:r>
      <w:r w:rsidRPr="0012597A">
        <w:rPr>
          <w:rFonts w:ascii="Times New Roman" w:hAnsi="Times New Roman" w:cs="Times New Roman"/>
          <w:b/>
          <w:color w:val="000000"/>
          <w:sz w:val="24"/>
          <w:szCs w:val="24"/>
        </w:rPr>
        <w:t>-</w:t>
      </w:r>
      <w:r w:rsidRPr="0012597A">
        <w:rPr>
          <w:rFonts w:ascii="Times New Roman" w:hAnsi="Times New Roman" w:cs="Times New Roman"/>
          <w:color w:val="000000"/>
          <w:sz w:val="24"/>
          <w:szCs w:val="24"/>
        </w:rPr>
        <w:t xml:space="preserve"> El presente Decreto entrara en vigor al día siguiente de su publicación en el Periódico Oficial “Gaceta del Gobierno”. </w:t>
      </w:r>
    </w:p>
    <w:p w14:paraId="61AE7FFD" w14:textId="77777777" w:rsidR="00E42132" w:rsidRPr="0012597A" w:rsidRDefault="00E42132" w:rsidP="00FD7960">
      <w:pPr>
        <w:spacing w:after="0" w:line="240" w:lineRule="auto"/>
        <w:jc w:val="both"/>
        <w:rPr>
          <w:rFonts w:ascii="Times New Roman" w:hAnsi="Times New Roman" w:cs="Times New Roman"/>
          <w:color w:val="000000"/>
          <w:sz w:val="24"/>
          <w:szCs w:val="24"/>
        </w:rPr>
      </w:pPr>
    </w:p>
    <w:p w14:paraId="7E70EB3E" w14:textId="77777777" w:rsidR="00E42132" w:rsidRPr="0012597A" w:rsidRDefault="00E42132" w:rsidP="00FD7960">
      <w:pPr>
        <w:spacing w:after="0" w:line="240" w:lineRule="auto"/>
        <w:jc w:val="both"/>
        <w:rPr>
          <w:rFonts w:ascii="Times New Roman" w:hAnsi="Times New Roman" w:cs="Times New Roman"/>
          <w:color w:val="000000"/>
          <w:sz w:val="24"/>
          <w:szCs w:val="24"/>
        </w:rPr>
      </w:pPr>
      <w:r w:rsidRPr="0012597A">
        <w:rPr>
          <w:rFonts w:ascii="Times New Roman" w:hAnsi="Times New Roman" w:cs="Times New Roman"/>
          <w:b/>
          <w:bCs/>
          <w:color w:val="000000"/>
          <w:sz w:val="24"/>
          <w:szCs w:val="24"/>
        </w:rPr>
        <w:t>ARTÍCULO TERCERO.-</w:t>
      </w:r>
      <w:r w:rsidRPr="0012597A">
        <w:rPr>
          <w:rFonts w:ascii="Times New Roman" w:hAnsi="Times New Roman" w:cs="Times New Roman"/>
          <w:color w:val="000000"/>
          <w:sz w:val="24"/>
          <w:szCs w:val="24"/>
        </w:rPr>
        <w:t xml:space="preserve"> Las disposiciones materia del presente Decreto quedarán sin efecto a partir de la entrada en vigor del Código Nacional de Procedimientos Civiles y Familiares, de conformidad con el marco jurídico aplicable.</w:t>
      </w:r>
    </w:p>
    <w:p w14:paraId="4CFD9DA9" w14:textId="77777777" w:rsidR="00E42132" w:rsidRPr="0012597A" w:rsidRDefault="00E42132" w:rsidP="00FD7960">
      <w:pPr>
        <w:spacing w:after="0" w:line="240" w:lineRule="auto"/>
        <w:jc w:val="both"/>
        <w:rPr>
          <w:rFonts w:ascii="Times New Roman" w:hAnsi="Times New Roman" w:cs="Times New Roman"/>
          <w:color w:val="000000"/>
          <w:sz w:val="24"/>
          <w:szCs w:val="24"/>
        </w:rPr>
      </w:pPr>
    </w:p>
    <w:p w14:paraId="38964B37" w14:textId="77777777" w:rsidR="00E42132" w:rsidRPr="0012597A" w:rsidRDefault="00E42132" w:rsidP="00FD7960">
      <w:pPr>
        <w:spacing w:after="0" w:line="240" w:lineRule="auto"/>
        <w:jc w:val="both"/>
        <w:rPr>
          <w:rFonts w:ascii="Times New Roman" w:hAnsi="Times New Roman" w:cs="Times New Roman"/>
          <w:color w:val="000000"/>
          <w:sz w:val="24"/>
          <w:szCs w:val="24"/>
        </w:rPr>
      </w:pPr>
      <w:r w:rsidRPr="0012597A">
        <w:rPr>
          <w:rFonts w:ascii="Times New Roman" w:hAnsi="Times New Roman" w:cs="Times New Roman"/>
          <w:color w:val="000000"/>
          <w:sz w:val="24"/>
          <w:szCs w:val="24"/>
        </w:rPr>
        <w:t xml:space="preserve">Lo tendrá entendido la Gobernadora del Estado, haciendo que se publique y se cumpla. </w:t>
      </w:r>
    </w:p>
    <w:p w14:paraId="78D04941" w14:textId="77777777" w:rsidR="00E42132" w:rsidRPr="0012597A" w:rsidRDefault="00E42132" w:rsidP="00FD7960">
      <w:pPr>
        <w:spacing w:after="0" w:line="240" w:lineRule="auto"/>
        <w:jc w:val="both"/>
        <w:rPr>
          <w:rFonts w:ascii="Times New Roman" w:hAnsi="Times New Roman" w:cs="Times New Roman"/>
          <w:color w:val="000000"/>
          <w:sz w:val="24"/>
          <w:szCs w:val="24"/>
        </w:rPr>
      </w:pPr>
    </w:p>
    <w:p w14:paraId="69973F5E" w14:textId="77777777" w:rsidR="00E42132" w:rsidRPr="0012597A" w:rsidRDefault="00E42132" w:rsidP="00FD7960">
      <w:pPr>
        <w:spacing w:after="0" w:line="240" w:lineRule="auto"/>
        <w:contextualSpacing/>
        <w:jc w:val="both"/>
        <w:rPr>
          <w:rFonts w:ascii="Times New Roman" w:hAnsi="Times New Roman" w:cs="Times New Roman"/>
          <w:sz w:val="24"/>
          <w:szCs w:val="24"/>
        </w:rPr>
      </w:pPr>
      <w:r w:rsidRPr="0012597A">
        <w:rPr>
          <w:rFonts w:ascii="Times New Roman" w:hAnsi="Times New Roman" w:cs="Times New Roman"/>
          <w:sz w:val="24"/>
          <w:szCs w:val="24"/>
        </w:rPr>
        <w:t>Dado en el Palacio del Poder Legislativo, en la ciudad de Toluca de Lerdo, Capital del Estado de México, a los dieciocho días del mes de marzo del dos mil veintiséis.</w:t>
      </w:r>
    </w:p>
    <w:p w14:paraId="083728E0" w14:textId="77777777" w:rsidR="00E42132" w:rsidRPr="0012597A" w:rsidRDefault="00E42132" w:rsidP="00FD7960">
      <w:pPr>
        <w:spacing w:after="0" w:line="240" w:lineRule="auto"/>
        <w:jc w:val="center"/>
        <w:rPr>
          <w:rFonts w:ascii="Times New Roman" w:hAnsi="Times New Roman" w:cs="Times New Roman"/>
          <w:b/>
          <w:sz w:val="24"/>
          <w:szCs w:val="24"/>
        </w:rPr>
      </w:pPr>
    </w:p>
    <w:p w14:paraId="4727D23F"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PRESIDENTA</w:t>
      </w:r>
    </w:p>
    <w:p w14:paraId="6A938416"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DIP. MARTHA AZUCENA CAMACHO REYNOSO</w:t>
      </w:r>
    </w:p>
    <w:p w14:paraId="6BD3E3C0" w14:textId="77777777" w:rsidR="00E42132" w:rsidRPr="0012597A" w:rsidRDefault="00E42132" w:rsidP="00FD7960">
      <w:pPr>
        <w:spacing w:after="0" w:line="240" w:lineRule="auto"/>
        <w:jc w:val="center"/>
        <w:rPr>
          <w:rFonts w:ascii="Times New Roman" w:hAnsi="Times New Roman" w:cs="Times New Roman"/>
          <w:b/>
          <w:sz w:val="24"/>
          <w:szCs w:val="24"/>
        </w:rPr>
      </w:pPr>
    </w:p>
    <w:p w14:paraId="3AD52AF8"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SECRETARIO</w:t>
      </w:r>
    </w:p>
    <w:p w14:paraId="7622B0B7"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DIP. EDMUNDO LUIS VALDEÑA BASTIDA</w:t>
      </w:r>
    </w:p>
    <w:p w14:paraId="25A01C2F" w14:textId="77777777" w:rsidR="00E42132" w:rsidRPr="0012597A" w:rsidRDefault="00E42132" w:rsidP="00FD7960">
      <w:pPr>
        <w:spacing w:after="0" w:line="240" w:lineRule="auto"/>
        <w:jc w:val="center"/>
        <w:rPr>
          <w:rFonts w:ascii="Times New Roman" w:hAnsi="Times New Roman" w:cs="Times New Roman"/>
          <w:b/>
          <w:sz w:val="24"/>
          <w:szCs w:val="24"/>
        </w:rPr>
      </w:pPr>
    </w:p>
    <w:p w14:paraId="0A65F711"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SECRETARIAS</w:t>
      </w:r>
    </w:p>
    <w:tbl>
      <w:tblPr>
        <w:tblW w:w="0" w:type="auto"/>
        <w:tblLook w:val="04A0" w:firstRow="1" w:lastRow="0" w:firstColumn="1" w:lastColumn="0" w:noHBand="0" w:noVBand="1"/>
      </w:tblPr>
      <w:tblGrid>
        <w:gridCol w:w="4704"/>
        <w:gridCol w:w="4701"/>
      </w:tblGrid>
      <w:tr w:rsidR="00E42132" w:rsidRPr="0012597A" w14:paraId="54BD39E6" w14:textId="77777777" w:rsidTr="00520EAF">
        <w:tc>
          <w:tcPr>
            <w:tcW w:w="4704" w:type="dxa"/>
            <w:hideMark/>
          </w:tcPr>
          <w:p w14:paraId="49842AC9"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DIP. KRISHNA KARINA</w:t>
            </w:r>
          </w:p>
          <w:p w14:paraId="6E6A43B3"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 xml:space="preserve"> ROMERO VELÁZQUEZ </w:t>
            </w:r>
          </w:p>
        </w:tc>
        <w:tc>
          <w:tcPr>
            <w:tcW w:w="4701" w:type="dxa"/>
            <w:hideMark/>
          </w:tcPr>
          <w:p w14:paraId="7DB40C54"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 xml:space="preserve">DIP. MARICELA </w:t>
            </w:r>
          </w:p>
          <w:p w14:paraId="7F49FEB4" w14:textId="77777777" w:rsidR="00E42132" w:rsidRPr="0012597A" w:rsidRDefault="00E42132" w:rsidP="00FD7960">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 xml:space="preserve">BELTRÁN SÁNCHEZ </w:t>
            </w:r>
          </w:p>
        </w:tc>
      </w:tr>
    </w:tbl>
    <w:p w14:paraId="6F8DAE63" w14:textId="77777777" w:rsidR="00E42132" w:rsidRPr="0012597A" w:rsidRDefault="00E42132" w:rsidP="00FD7960">
      <w:pPr>
        <w:spacing w:after="0" w:line="240" w:lineRule="auto"/>
        <w:jc w:val="center"/>
        <w:rPr>
          <w:rFonts w:ascii="Times New Roman" w:hAnsi="Times New Roman" w:cs="Times New Roman"/>
          <w:sz w:val="24"/>
          <w:szCs w:val="24"/>
        </w:rPr>
      </w:pPr>
    </w:p>
    <w:p w14:paraId="32A4B857" w14:textId="77777777" w:rsidR="00FC47FF" w:rsidRPr="0012597A" w:rsidRDefault="00FC47FF" w:rsidP="00FD7960">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(Fin del documento)</w:t>
      </w:r>
    </w:p>
    <w:p w14:paraId="7440C003" w14:textId="77777777" w:rsidR="00FC47FF" w:rsidRPr="0012597A" w:rsidRDefault="00FC47FF" w:rsidP="00FD7960">
      <w:pPr>
        <w:spacing w:after="0" w:line="240" w:lineRule="auto"/>
        <w:jc w:val="center"/>
        <w:rPr>
          <w:rFonts w:ascii="Times New Roman" w:hAnsi="Times New Roman" w:cs="Times New Roman"/>
          <w:sz w:val="24"/>
          <w:szCs w:val="24"/>
        </w:rPr>
      </w:pPr>
    </w:p>
    <w:p w14:paraId="02346884" w14:textId="4FD8456C" w:rsidR="004E30D9" w:rsidRPr="0012597A" w:rsidRDefault="004E30D9" w:rsidP="00FD7960">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diputado Vladimir Hernández Villegas.</w:t>
      </w:r>
    </w:p>
    <w:p w14:paraId="2F9A4AB3" w14:textId="77777777" w:rsidR="004E30D9" w:rsidRPr="0012597A" w:rsidRDefault="004E30D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Leídos los antecedentes del dictamen pido a quien estén por su turno de discusión, se sirva levantar la mano.</w:t>
      </w:r>
    </w:p>
    <w:p w14:paraId="4D307817" w14:textId="77777777" w:rsidR="004E30D9" w:rsidRPr="0012597A" w:rsidRDefault="004E30D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La propuesta ha sido aprobada por unanimidad de votos.</w:t>
      </w:r>
    </w:p>
    <w:p w14:paraId="577BEAA3" w14:textId="77777777" w:rsidR="004E30D9" w:rsidRPr="0012597A" w:rsidRDefault="004E30D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47E558B7" w14:textId="77777777" w:rsidR="004E30D9" w:rsidRPr="0012597A" w:rsidRDefault="004E30D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Abro la discusión en lo general y pregunto a las y los diputados si desean hacer uso de la palabra.</w:t>
      </w:r>
    </w:p>
    <w:p w14:paraId="448934BB" w14:textId="77777777" w:rsidR="004E30D9" w:rsidRPr="0012597A" w:rsidRDefault="004E30D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¿Con qué objeto? Adelante. </w:t>
      </w:r>
    </w:p>
    <w:p w14:paraId="5EB8B203" w14:textId="77777777" w:rsidR="004E30D9" w:rsidRPr="0012597A" w:rsidRDefault="004E30D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DIP. RUTH SALINAS REYES. Con su permiso Presidenta, la de mis compañeras diputadas, diputados, ciudadanas y ciudadanos. </w:t>
      </w:r>
    </w:p>
    <w:p w14:paraId="6E921340" w14:textId="77777777" w:rsidR="004E30D9" w:rsidRPr="0012597A" w:rsidRDefault="004E30D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lastRenderedPageBreak/>
        <w:t xml:space="preserve">La construcción de un sistema de justicia cercano a la gente empieza por garantizar principios esenciales del Estado de Derecho, como es la certeza jurídica; por ello, es inaceptable que se nos presente una iniciativa que se extralimita a lo que ya previamente establecido en el Código Nacional de Procedimientos Civiles, al pasar de un año a cinco años el plazo de prescripción. </w:t>
      </w:r>
    </w:p>
    <w:p w14:paraId="74F9693F" w14:textId="77777777" w:rsidR="004E30D9" w:rsidRPr="0012597A" w:rsidRDefault="004E30D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Recuerdo muy bien las discusiones de la reforma al Poder Judicial y no solo era la efectividad, también dar una respuesta pronta, más para aquellas personas que históricamente han sido dañadas en el tiempo y que al final solo se les dice una disculpa ya perdió usted 20 años, tal vez de su vida en prisión, por decir lo menos, el término de un año es razonable, el de cinco años es un exceso, las y los meses requieren que sus asuntos causen firmeza lo más pronto posible, no se puede estar en la incertidumbre jurídica por tanto tiempo, sobre todo considerando la rapidez con la que se mueve el mundo fuera de la burocracia del Estado. </w:t>
      </w:r>
    </w:p>
    <w:p w14:paraId="1F477E6A" w14:textId="57321B31" w:rsidR="00412BF7" w:rsidRPr="0012597A" w:rsidRDefault="004E30D9"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Por esta razón es que vamos a reservar el artículo 1.5 Quater del dictamen</w:t>
      </w:r>
      <w:r w:rsidR="00102A5B" w:rsidRPr="0012597A">
        <w:rPr>
          <w:rFonts w:ascii="Times New Roman" w:hAnsi="Times New Roman" w:cs="Times New Roman"/>
          <w:sz w:val="24"/>
          <w:szCs w:val="24"/>
        </w:rPr>
        <w:t>,</w:t>
      </w:r>
      <w:r w:rsidRPr="0012597A">
        <w:rPr>
          <w:rFonts w:ascii="Times New Roman" w:hAnsi="Times New Roman" w:cs="Times New Roman"/>
          <w:sz w:val="24"/>
          <w:szCs w:val="24"/>
        </w:rPr>
        <w:t xml:space="preserve"> para armonizar con el Código Nacional de Procedimientos Civiles y limitar el plazo de prescripción a un año cuando la sentencia cause ejecutoria, o si han transcurrido tres meses desde que el recurrente hubiese conocido o debió conocer los motivos en que se fundare la misma; así mismo, queremos hacer énfasis en que la justificación de la creación de esta figura radica en reparar los fallos en la justicia, sobre todo para personas pertenecientes a</w:t>
      </w:r>
      <w:r w:rsidR="006B49DD" w:rsidRPr="0012597A">
        <w:rPr>
          <w:rFonts w:ascii="Times New Roman" w:hAnsi="Times New Roman" w:cs="Times New Roman"/>
          <w:sz w:val="24"/>
          <w:szCs w:val="24"/>
        </w:rPr>
        <w:t xml:space="preserve"> grupos </w:t>
      </w:r>
      <w:r w:rsidR="00412BF7" w:rsidRPr="0012597A">
        <w:rPr>
          <w:rFonts w:ascii="Times New Roman" w:hAnsi="Times New Roman" w:cs="Times New Roman"/>
          <w:sz w:val="24"/>
          <w:szCs w:val="24"/>
        </w:rPr>
        <w:t>vulnerables; sin embargo, en ninguna parte se lee esta situación en el documento que se nos presenta.</w:t>
      </w:r>
    </w:p>
    <w:p w14:paraId="14C96AF9" w14:textId="1321FAEB"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Movimiento Ciudadano sí nos ocupa que estas figuras beneficien principalmente a las personas que históricamente han sido vulneradas y que desgraciadamente son víctimas de la exclusión y marginación sistemática, ¿</w:t>
      </w:r>
      <w:r w:rsidR="00102A5B" w:rsidRPr="0012597A">
        <w:rPr>
          <w:rFonts w:ascii="Times New Roman" w:hAnsi="Times New Roman" w:cs="Times New Roman"/>
          <w:sz w:val="24"/>
          <w:szCs w:val="24"/>
        </w:rPr>
        <w:t>P</w:t>
      </w:r>
      <w:r w:rsidRPr="0012597A">
        <w:rPr>
          <w:rFonts w:ascii="Times New Roman" w:hAnsi="Times New Roman" w:cs="Times New Roman"/>
          <w:sz w:val="24"/>
          <w:szCs w:val="24"/>
        </w:rPr>
        <w:t xml:space="preserve">or qué? </w:t>
      </w:r>
      <w:r w:rsidR="00102A5B" w:rsidRPr="0012597A">
        <w:rPr>
          <w:rFonts w:ascii="Times New Roman" w:hAnsi="Times New Roman" w:cs="Times New Roman"/>
          <w:sz w:val="24"/>
          <w:szCs w:val="24"/>
        </w:rPr>
        <w:t>¿</w:t>
      </w:r>
      <w:r w:rsidRPr="0012597A">
        <w:rPr>
          <w:rFonts w:ascii="Times New Roman" w:hAnsi="Times New Roman" w:cs="Times New Roman"/>
          <w:sz w:val="24"/>
          <w:szCs w:val="24"/>
        </w:rPr>
        <w:t>Como una figura que pretende corregir fallos en la justicia exige una garantía para aquellas personas que el sistema las ha dejado en total indefensión</w:t>
      </w:r>
      <w:r w:rsidR="00102A5B" w:rsidRPr="0012597A">
        <w:rPr>
          <w:rFonts w:ascii="Times New Roman" w:hAnsi="Times New Roman" w:cs="Times New Roman"/>
          <w:sz w:val="24"/>
          <w:szCs w:val="24"/>
        </w:rPr>
        <w:t>?</w:t>
      </w:r>
    </w:p>
    <w:p w14:paraId="0E198A5B"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No podemos seguir manteniendo un modelo de justicia en el que solo lamentablemente se sigue protegiendo a quien puede pagar y a quien no se le olvida, ahora no sólo por un año, sino va a ser por 5.</w:t>
      </w:r>
    </w:p>
    <w:p w14:paraId="04DD8BDF" w14:textId="5EB62EB1"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 xml:space="preserve">Para verdaderamente plasmar en la ley ese beneficio a las personas, es que proponemos que exista una </w:t>
      </w:r>
      <w:r w:rsidR="0007056F" w:rsidRPr="0012597A">
        <w:rPr>
          <w:rFonts w:ascii="Times New Roman" w:hAnsi="Times New Roman" w:cs="Times New Roman"/>
          <w:sz w:val="24"/>
          <w:szCs w:val="24"/>
        </w:rPr>
        <w:t>exención</w:t>
      </w:r>
      <w:r w:rsidRPr="0012597A">
        <w:rPr>
          <w:rFonts w:ascii="Times New Roman" w:hAnsi="Times New Roman" w:cs="Times New Roman"/>
          <w:sz w:val="24"/>
          <w:szCs w:val="24"/>
        </w:rPr>
        <w:t xml:space="preserve"> en el pago de la garantía que refiere el artículo 1.5 Quinquies, para las personas pertenecientes a grupos históricamente vulnerados, porque la justicia debe ser universal y equitativa para proteger en igualdad de condiciones a todas y todos.</w:t>
      </w:r>
    </w:p>
    <w:p w14:paraId="424B9013"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Es cuanto Presidenta, muchas gracias.</w:t>
      </w:r>
    </w:p>
    <w:p w14:paraId="67E30D3B"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Ruth Salinas Reyes.</w:t>
      </w:r>
    </w:p>
    <w:p w14:paraId="0C7F7298"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Abro la discusión en lo general y pregunto a los diputados si desean hacer uso de la palabra.</w:t>
      </w:r>
    </w:p>
    <w:p w14:paraId="105BE2C0"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Pregunto a la Legislatura si se considera suficientemente discutidos en lo general el Dictamen y el Proyecto de Decreto, pido a quienes estén por ello se sirvan levantar la mano.</w:t>
      </w:r>
    </w:p>
    <w:p w14:paraId="301695B3"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La Legislatura considera suficientemente discutido en lo general el Dictamen y el Proyecto de Decreto.</w:t>
      </w:r>
    </w:p>
    <w:p w14:paraId="6D79C579"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Para recabar la votación en lo general pido a la Secretaría abra el sistema de votación hasta por 2 minutos, si alguien desea separar algún artículo en lo particular sírvase indicarlo.</w:t>
      </w:r>
    </w:p>
    <w:p w14:paraId="73999DCD"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de votación hasta por dos minutos.</w:t>
      </w:r>
    </w:p>
    <w:p w14:paraId="6747C292"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SECRETARIA DIP. KRISHNA ROMERO VELÁZQUEZ. Presidenta le informo que la diputada Emma Laura Alvarez Villavicencio, ha presentado una reserva para discusión en lo particular.</w:t>
      </w:r>
    </w:p>
    <w:p w14:paraId="47005A0B"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Adelante diputada Ruth Salinas Reyes.</w:t>
      </w:r>
    </w:p>
    <w:p w14:paraId="738B2D43"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lastRenderedPageBreak/>
        <w:t>SECRETARIO DIP. EDMUNDO LUIS VALDEÑA BASTIDA. Por favor pueden abrir el tablero de votación.</w:t>
      </w:r>
    </w:p>
    <w:p w14:paraId="3D54584E" w14:textId="77777777" w:rsidR="00412BF7" w:rsidRPr="0012597A" w:rsidRDefault="00412BF7"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Ábrase el sistema de votación hasta por dos minutos.</w:t>
      </w:r>
    </w:p>
    <w:p w14:paraId="67CC70A4" w14:textId="77777777" w:rsidR="00027A27" w:rsidRPr="0012597A" w:rsidRDefault="00412BF7" w:rsidP="00EF1C7F">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290A2849" w14:textId="3A33CD5A" w:rsidR="00341D4F" w:rsidRPr="0012597A" w:rsidRDefault="00341D4F" w:rsidP="00EF1C7F">
      <w:pPr>
        <w:spacing w:after="0" w:line="240" w:lineRule="auto"/>
        <w:rPr>
          <w:rFonts w:ascii="Times New Roman" w:hAnsi="Times New Roman" w:cs="Times New Roman"/>
          <w:i/>
          <w:sz w:val="24"/>
          <w:szCs w:val="24"/>
        </w:rPr>
      </w:pPr>
      <w:r w:rsidRPr="0012597A">
        <w:rPr>
          <w:rFonts w:ascii="Times New Roman" w:hAnsi="Times New Roman" w:cs="Times New Roman"/>
          <w:sz w:val="24"/>
          <w:szCs w:val="24"/>
        </w:rPr>
        <w:t xml:space="preserve">SECRETARIO DIP. EDMUNDO LUIS VALDEÑA BASTIDA. </w:t>
      </w:r>
      <w:r w:rsidR="00102A5B" w:rsidRPr="0012597A">
        <w:rPr>
          <w:rFonts w:ascii="Times New Roman" w:hAnsi="Times New Roman" w:cs="Times New Roman"/>
          <w:sz w:val="24"/>
          <w:szCs w:val="24"/>
        </w:rPr>
        <w:t>¿</w:t>
      </w:r>
      <w:r w:rsidRPr="0012597A">
        <w:rPr>
          <w:rFonts w:ascii="Times New Roman" w:hAnsi="Times New Roman" w:cs="Times New Roman"/>
          <w:sz w:val="24"/>
          <w:szCs w:val="24"/>
        </w:rPr>
        <w:t>Alguien falta de emitir su voto</w:t>
      </w:r>
      <w:r w:rsidR="00102A5B" w:rsidRPr="0012597A">
        <w:rPr>
          <w:rFonts w:ascii="Times New Roman" w:hAnsi="Times New Roman" w:cs="Times New Roman"/>
          <w:sz w:val="24"/>
          <w:szCs w:val="24"/>
        </w:rPr>
        <w:t>?</w:t>
      </w:r>
    </w:p>
    <w:p w14:paraId="05B830CB" w14:textId="77777777" w:rsidR="00341D4F" w:rsidRPr="0012597A" w:rsidRDefault="00341D4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Apoyo a la diputada Maricela Beltrán Sánchez, para emitir su voto en contra.</w:t>
      </w:r>
    </w:p>
    <w:p w14:paraId="06349F09" w14:textId="77777777" w:rsidR="00341D4F" w:rsidRPr="0012597A" w:rsidRDefault="00341D4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El Dictamen y el Proyecto de Decreto ha sido aprobado en lo general por mayoría de votos.</w:t>
      </w:r>
    </w:p>
    <w:p w14:paraId="2BC5D418" w14:textId="77777777" w:rsidR="00341D4F" w:rsidRPr="0012597A" w:rsidRDefault="00341D4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5F665C8E" w14:textId="77777777" w:rsidR="00341D4F" w:rsidRPr="0012597A" w:rsidRDefault="00341D4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Se tienen por aprobados en lo general el Dictamen y el Proyecto de Decreto, en la exclusión particular pido a la Secretaria registre el turno de oradores.</w:t>
      </w:r>
    </w:p>
    <w:p w14:paraId="74F9AA7F" w14:textId="77777777" w:rsidR="00341D4F" w:rsidRPr="0012597A" w:rsidRDefault="00341D4F"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El turno de oradores es el siguiente:</w:t>
      </w:r>
    </w:p>
    <w:p w14:paraId="290EAE18" w14:textId="77777777" w:rsidR="00341D4F" w:rsidRPr="0012597A" w:rsidRDefault="00341D4F"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Han hecho reserva la diputada Ruth Salina</w:t>
      </w:r>
      <w:r w:rsidR="00647413" w:rsidRPr="0012597A">
        <w:rPr>
          <w:rFonts w:ascii="Times New Roman" w:hAnsi="Times New Roman" w:cs="Times New Roman"/>
          <w:sz w:val="24"/>
          <w:szCs w:val="24"/>
        </w:rPr>
        <w:t>s</w:t>
      </w:r>
      <w:r w:rsidRPr="0012597A">
        <w:rPr>
          <w:rFonts w:ascii="Times New Roman" w:hAnsi="Times New Roman" w:cs="Times New Roman"/>
          <w:sz w:val="24"/>
          <w:szCs w:val="24"/>
        </w:rPr>
        <w:t>, Emma Laura Alvarez Villavicencio.</w:t>
      </w:r>
    </w:p>
    <w:p w14:paraId="33398E2F" w14:textId="77777777" w:rsidR="00341D4F" w:rsidRPr="0012597A" w:rsidRDefault="00341D4F"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Procedo a dar lectura a la reserva de la diputada Ruth Salinas.</w:t>
      </w:r>
    </w:p>
    <w:p w14:paraId="0848859F" w14:textId="6047F2F8" w:rsidR="00102A5B" w:rsidRPr="0012597A" w:rsidRDefault="00341D4F"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Reserva</w:t>
      </w:r>
      <w:r w:rsidR="00346494" w:rsidRPr="0012597A">
        <w:rPr>
          <w:rFonts w:ascii="Times New Roman" w:hAnsi="Times New Roman" w:cs="Times New Roman"/>
          <w:sz w:val="24"/>
          <w:szCs w:val="24"/>
        </w:rPr>
        <w:t>:</w:t>
      </w:r>
      <w:r w:rsidRPr="0012597A">
        <w:rPr>
          <w:rFonts w:ascii="Times New Roman" w:hAnsi="Times New Roman" w:cs="Times New Roman"/>
          <w:sz w:val="24"/>
          <w:szCs w:val="24"/>
        </w:rPr>
        <w:t xml:space="preserve"> 18 de marzo de 2026, Sesión Deliberante segundo periodo </w:t>
      </w:r>
      <w:r w:rsidR="003854CA" w:rsidRPr="0012597A">
        <w:rPr>
          <w:rFonts w:ascii="Times New Roman" w:hAnsi="Times New Roman" w:cs="Times New Roman"/>
          <w:sz w:val="24"/>
          <w:szCs w:val="24"/>
        </w:rPr>
        <w:t xml:space="preserve">del segundo año de ejercicio constitucional de la Honorable “LXII” Legislatura, discusión y resolución del dictamen de la </w:t>
      </w:r>
      <w:r w:rsidR="00102A5B" w:rsidRPr="0012597A">
        <w:rPr>
          <w:rFonts w:ascii="Times New Roman" w:hAnsi="Times New Roman" w:cs="Times New Roman"/>
          <w:sz w:val="24"/>
          <w:szCs w:val="24"/>
        </w:rPr>
        <w:t xml:space="preserve">Iniciativa </w:t>
      </w:r>
      <w:r w:rsidR="003854CA" w:rsidRPr="0012597A">
        <w:rPr>
          <w:rFonts w:ascii="Times New Roman" w:hAnsi="Times New Roman" w:cs="Times New Roman"/>
          <w:sz w:val="24"/>
          <w:szCs w:val="24"/>
        </w:rPr>
        <w:t xml:space="preserve">con </w:t>
      </w:r>
      <w:r w:rsidR="00102A5B" w:rsidRPr="0012597A">
        <w:rPr>
          <w:rFonts w:ascii="Times New Roman" w:hAnsi="Times New Roman" w:cs="Times New Roman"/>
          <w:sz w:val="24"/>
          <w:szCs w:val="24"/>
        </w:rPr>
        <w:t xml:space="preserve">Proyecto de Decreto </w:t>
      </w:r>
      <w:r w:rsidR="003854CA" w:rsidRPr="0012597A">
        <w:rPr>
          <w:rFonts w:ascii="Times New Roman" w:hAnsi="Times New Roman" w:cs="Times New Roman"/>
          <w:sz w:val="24"/>
          <w:szCs w:val="24"/>
        </w:rPr>
        <w:t>que adicionan los artículos 1.5 Bis, 1.5 Quinquies del Código Civil del Estado de México para regular la nulidad de juicio concluido, presentada por el Presidente del Tribunal Superior de Justicia del Estado de México, formulado por la Comisión Legislativa de Procuración y Administración de Justicia</w:t>
      </w:r>
      <w:r w:rsidR="00102A5B" w:rsidRPr="0012597A">
        <w:rPr>
          <w:rFonts w:ascii="Times New Roman" w:hAnsi="Times New Roman" w:cs="Times New Roman"/>
          <w:sz w:val="24"/>
          <w:szCs w:val="24"/>
        </w:rPr>
        <w:t>.</w:t>
      </w:r>
    </w:p>
    <w:p w14:paraId="6FA6441E" w14:textId="4FF0D1E6" w:rsidR="00102A5B" w:rsidRPr="0012597A" w:rsidRDefault="00102A5B"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DIPUTADA MARTHA AZUCENA CAMACHO REYNOSO</w:t>
      </w:r>
    </w:p>
    <w:p w14:paraId="7C8E2890" w14:textId="3BBB60CE" w:rsidR="00102A5B" w:rsidRPr="0012597A" w:rsidRDefault="00102A5B"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PRESIDENTA DE LA MESA DIRECTIVA.</w:t>
      </w:r>
    </w:p>
    <w:p w14:paraId="42107525" w14:textId="7269CE7A" w:rsidR="003854CA" w:rsidRPr="0012597A" w:rsidRDefault="00102A5B"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w:t>
      </w:r>
      <w:r w:rsidR="003854CA" w:rsidRPr="0012597A">
        <w:rPr>
          <w:rFonts w:ascii="Times New Roman" w:hAnsi="Times New Roman" w:cs="Times New Roman"/>
          <w:sz w:val="24"/>
          <w:szCs w:val="24"/>
        </w:rPr>
        <w:t>olicito se reserve del proyecto de decreto para su discusión en lo particular la fracción I y II del primer párrafo del artículo 1.5 Quater del Código Civil del Estado de México.</w:t>
      </w:r>
    </w:p>
    <w:p w14:paraId="0C6ADEA4" w14:textId="7D466AC9" w:rsidR="003854CA" w:rsidRPr="0012597A" w:rsidRDefault="003854CA" w:rsidP="00EF1C7F">
      <w:pPr>
        <w:spacing w:after="0" w:line="240" w:lineRule="aut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2. </w:t>
      </w:r>
      <w:r w:rsidR="00102A5B" w:rsidRPr="0012597A">
        <w:rPr>
          <w:rFonts w:ascii="Times New Roman" w:hAnsi="Times New Roman" w:cs="Times New Roman"/>
          <w:sz w:val="24"/>
          <w:szCs w:val="24"/>
        </w:rPr>
        <w:t>E</w:t>
      </w:r>
      <w:r w:rsidRPr="0012597A">
        <w:rPr>
          <w:rFonts w:ascii="Times New Roman" w:hAnsi="Times New Roman" w:cs="Times New Roman"/>
          <w:sz w:val="24"/>
          <w:szCs w:val="24"/>
        </w:rPr>
        <w:t>l párrafo cuarto del artículo 1.5 Quinques del Código Civil del Estado de México.</w:t>
      </w:r>
    </w:p>
    <w:p w14:paraId="7AEBF704" w14:textId="77777777"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De acuerdo con las propuestas que presenta el Pleno del Movimiento Ciudadano, se propone de forma general reducir el tiempo de prescripción de la parte actoral para interponer la acción de nulidad de juicio concluido y por otra parte, exentarla de garantía, si pertenece a un grupo históricamente vulnerado, para quedar como: la prescripción será de un año, desde que hubiese causado ejecutoría la resolución que en ese juicio se dictó o 3 meses desde que el concurrente hubiera conocido o debido conocer los motivos que se fundare la misma y no será necesaria la garantía cuando se acredite fehacientemente que la ejecución puede causar irreparable a quien promueve la nulidad y/o la parte actoral, pertenezca a un grupo históricamente vulnerable.</w:t>
      </w:r>
    </w:p>
    <w:p w14:paraId="4970528F" w14:textId="77777777"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 propone para la fracción I y II del primer párrafo del artículo 1.5 Quater, la siguiente redacción para quedar como sigue:</w:t>
      </w:r>
    </w:p>
    <w:p w14:paraId="751C0665" w14:textId="4CC591F9"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Artículo 1.5 Quater</w:t>
      </w:r>
      <w:r w:rsidR="00102A5B" w:rsidRPr="0012597A">
        <w:rPr>
          <w:rFonts w:ascii="Times New Roman" w:hAnsi="Times New Roman" w:cs="Times New Roman"/>
          <w:sz w:val="24"/>
          <w:szCs w:val="24"/>
        </w:rPr>
        <w:t>:</w:t>
      </w:r>
      <w:r w:rsidRPr="0012597A">
        <w:rPr>
          <w:rFonts w:ascii="Times New Roman" w:hAnsi="Times New Roman" w:cs="Times New Roman"/>
          <w:sz w:val="24"/>
          <w:szCs w:val="24"/>
        </w:rPr>
        <w:t xml:space="preserve"> En ningún caso, será procedente la acción de nulidad de juicio concluido.</w:t>
      </w:r>
    </w:p>
    <w:p w14:paraId="4F2E57B6" w14:textId="11F18B30"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r>
      <w:r w:rsidR="00102A5B" w:rsidRPr="0012597A">
        <w:rPr>
          <w:rFonts w:ascii="Times New Roman" w:hAnsi="Times New Roman" w:cs="Times New Roman"/>
          <w:sz w:val="24"/>
          <w:szCs w:val="24"/>
        </w:rPr>
        <w:t>I. S</w:t>
      </w:r>
      <w:r w:rsidRPr="0012597A">
        <w:rPr>
          <w:rFonts w:ascii="Times New Roman" w:hAnsi="Times New Roman" w:cs="Times New Roman"/>
          <w:sz w:val="24"/>
          <w:szCs w:val="24"/>
        </w:rPr>
        <w:t>e transcurrirá un año desde que hubiese causado ejecutoria la resolución en ese juicio, se dictó o 2, se han transcurrido 3 meses desde que el recurrente hubiese conocido o debió conocer los motivos en que se fundare la misma.</w:t>
      </w:r>
    </w:p>
    <w:p w14:paraId="3FE7C73F" w14:textId="66DFF264"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 propone para</w:t>
      </w:r>
      <w:r w:rsidR="00102A5B" w:rsidRPr="0012597A">
        <w:rPr>
          <w:rFonts w:ascii="Times New Roman" w:hAnsi="Times New Roman" w:cs="Times New Roman"/>
          <w:sz w:val="24"/>
          <w:szCs w:val="24"/>
        </w:rPr>
        <w:t>:</w:t>
      </w:r>
    </w:p>
    <w:p w14:paraId="39D38578" w14:textId="462725BF"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r>
      <w:r w:rsidR="00102A5B" w:rsidRPr="0012597A">
        <w:rPr>
          <w:rFonts w:ascii="Times New Roman" w:hAnsi="Times New Roman" w:cs="Times New Roman"/>
          <w:sz w:val="24"/>
          <w:szCs w:val="24"/>
        </w:rPr>
        <w:t>II</w:t>
      </w:r>
      <w:r w:rsidRPr="0012597A">
        <w:rPr>
          <w:rFonts w:ascii="Times New Roman" w:hAnsi="Times New Roman" w:cs="Times New Roman"/>
          <w:sz w:val="24"/>
          <w:szCs w:val="24"/>
        </w:rPr>
        <w:t xml:space="preserve">. </w:t>
      </w:r>
      <w:r w:rsidR="00102A5B" w:rsidRPr="0012597A">
        <w:rPr>
          <w:rFonts w:ascii="Times New Roman" w:hAnsi="Times New Roman" w:cs="Times New Roman"/>
          <w:sz w:val="24"/>
          <w:szCs w:val="24"/>
        </w:rPr>
        <w:t>E</w:t>
      </w:r>
      <w:r w:rsidRPr="0012597A">
        <w:rPr>
          <w:rFonts w:ascii="Times New Roman" w:hAnsi="Times New Roman" w:cs="Times New Roman"/>
          <w:sz w:val="24"/>
          <w:szCs w:val="24"/>
        </w:rPr>
        <w:t>l párrafo cuarto del artículo 1.5 Quinques la siguiente redacción para quedar como sigue:</w:t>
      </w:r>
    </w:p>
    <w:p w14:paraId="02B40E4F" w14:textId="77777777"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Artículo 1.5 Quinques. No será necesaria la garantía cuando se acredite fehacientemente que la ejecución puede causar un daño irreparable a quien promueve la nulidad y/o la parte actora pertenezca a un grupo históricamente vulnerable.</w:t>
      </w:r>
    </w:p>
    <w:p w14:paraId="5095ABA3" w14:textId="77777777"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 xml:space="preserve">En estos supuestos, la nulidad resulta improcedente, la parte actora, será condenada al pago de los daños y </w:t>
      </w:r>
      <w:r w:rsidR="00F35F71" w:rsidRPr="0012597A">
        <w:rPr>
          <w:rFonts w:ascii="Times New Roman" w:hAnsi="Times New Roman" w:cs="Times New Roman"/>
          <w:sz w:val="24"/>
          <w:szCs w:val="24"/>
        </w:rPr>
        <w:t>perjuicios</w:t>
      </w:r>
      <w:r w:rsidRPr="0012597A">
        <w:rPr>
          <w:rFonts w:ascii="Times New Roman" w:hAnsi="Times New Roman" w:cs="Times New Roman"/>
          <w:sz w:val="24"/>
          <w:szCs w:val="24"/>
        </w:rPr>
        <w:t xml:space="preserve"> ocasionados con motivo de la suspensión en los términos del párrafo anterior, junto con el pago de gastos y costos y se cuantificará en ejecución de sentencia; así como una multa equivalente a un año del valor de unidad de medida y actualización para la persona licenciada en derecho o abogada que la haya intentado.</w:t>
      </w:r>
    </w:p>
    <w:p w14:paraId="18E67C3D" w14:textId="77777777" w:rsidR="003854CA" w:rsidRPr="0012597A" w:rsidRDefault="003854CA"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Es </w:t>
      </w:r>
      <w:proofErr w:type="spellStart"/>
      <w:r w:rsidRPr="0012597A">
        <w:rPr>
          <w:rFonts w:ascii="Times New Roman" w:hAnsi="Times New Roman" w:cs="Times New Roman"/>
          <w:sz w:val="24"/>
          <w:szCs w:val="24"/>
        </w:rPr>
        <w:t>cuanto</w:t>
      </w:r>
      <w:proofErr w:type="spellEnd"/>
      <w:r w:rsidRPr="0012597A">
        <w:rPr>
          <w:rFonts w:ascii="Times New Roman" w:hAnsi="Times New Roman" w:cs="Times New Roman"/>
          <w:sz w:val="24"/>
          <w:szCs w:val="24"/>
        </w:rPr>
        <w:t>.</w:t>
      </w:r>
    </w:p>
    <w:p w14:paraId="5D38E97B" w14:textId="77777777" w:rsidR="003854CA" w:rsidRPr="0012597A" w:rsidRDefault="003854CA"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Someto a votación la propuesta de la diputada Ruth Salinas Reyes para la fracción I y II del primer párrafo del artículo 1.5 Quater del Código Civil del Estado de México.</w:t>
      </w:r>
    </w:p>
    <w:p w14:paraId="6B61EBCC" w14:textId="77777777" w:rsidR="003854CA" w:rsidRPr="0012597A" w:rsidRDefault="003854CA"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de votación hasta por 2 minutos.</w:t>
      </w:r>
    </w:p>
    <w:p w14:paraId="5EBA75AC" w14:textId="77777777" w:rsidR="00451110" w:rsidRPr="0012597A" w:rsidRDefault="00451110"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32413A6D" w14:textId="47A43462" w:rsidR="00451110" w:rsidRPr="0012597A" w:rsidRDefault="00451110"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Apoyo para la diputada Sara Alicia Ramírez de la O</w:t>
      </w:r>
      <w:r w:rsidR="002339A0" w:rsidRPr="0012597A">
        <w:rPr>
          <w:rFonts w:ascii="Times New Roman" w:hAnsi="Times New Roman" w:cs="Times New Roman"/>
          <w:sz w:val="24"/>
          <w:szCs w:val="24"/>
        </w:rPr>
        <w:t>, p</w:t>
      </w:r>
      <w:r w:rsidRPr="0012597A">
        <w:rPr>
          <w:rFonts w:ascii="Times New Roman" w:hAnsi="Times New Roman" w:cs="Times New Roman"/>
          <w:sz w:val="24"/>
          <w:szCs w:val="24"/>
        </w:rPr>
        <w:t>or favor, en contra.</w:t>
      </w:r>
    </w:p>
    <w:p w14:paraId="0B6B3381" w14:textId="77777777" w:rsidR="00451110" w:rsidRPr="0012597A" w:rsidRDefault="00451110"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¿Alguien falta de emitir su voto?</w:t>
      </w:r>
    </w:p>
    <w:p w14:paraId="2AA38F6A" w14:textId="77777777" w:rsidR="00451110" w:rsidRPr="0012597A" w:rsidRDefault="00451110"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La propuesta de la diputada Ruth Salinas para la reserva para el artículo 1.5 del Código Civil del Estado de México, fracciones I y II del primer párrafo, del artículo 1.5 Quater y del segundo párrafo 1.5 Quinques ha sido desechada por mayoría de votos.</w:t>
      </w:r>
    </w:p>
    <w:p w14:paraId="5FC1AE25" w14:textId="77777777" w:rsidR="00451110" w:rsidRPr="0012597A" w:rsidRDefault="00451110"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2442BD13" w14:textId="77777777" w:rsidR="00451110" w:rsidRPr="0012597A" w:rsidRDefault="00451110"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Se tiene por desechada la propuesta de la diputada Ruth Salinas Reyes.</w:t>
      </w:r>
    </w:p>
    <w:p w14:paraId="2F5C5081" w14:textId="77777777" w:rsidR="00451110" w:rsidRPr="0012597A" w:rsidRDefault="00451110"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Para la votación de la propuesta original, pido a la Secretaría abra el sistema de votación hasta por dos minutos.</w:t>
      </w:r>
    </w:p>
    <w:p w14:paraId="03892D19" w14:textId="77777777" w:rsidR="00451110" w:rsidRPr="0012597A" w:rsidRDefault="00451110"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de votación hasta por dos minutos.</w:t>
      </w:r>
    </w:p>
    <w:p w14:paraId="018A77E6" w14:textId="017A67C0" w:rsidR="00451110" w:rsidRPr="0012597A" w:rsidRDefault="00451110"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38267577" w14:textId="4FEAE38D"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¿Alguien falta por emitir su voto? </w:t>
      </w:r>
    </w:p>
    <w:p w14:paraId="367537F0" w14:textId="5EF2E631"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 La propuesta original del </w:t>
      </w:r>
      <w:r w:rsidR="002339A0" w:rsidRPr="0012597A">
        <w:rPr>
          <w:rFonts w:ascii="Times New Roman" w:hAnsi="Times New Roman" w:cs="Times New Roman"/>
          <w:sz w:val="24"/>
          <w:szCs w:val="24"/>
        </w:rPr>
        <w:t xml:space="preserve">Dictamen </w:t>
      </w:r>
      <w:r w:rsidRPr="0012597A">
        <w:rPr>
          <w:rFonts w:ascii="Times New Roman" w:hAnsi="Times New Roman" w:cs="Times New Roman"/>
          <w:sz w:val="24"/>
          <w:szCs w:val="24"/>
        </w:rPr>
        <w:t xml:space="preserve">y del </w:t>
      </w:r>
      <w:r w:rsidR="002339A0"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2339A0"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 xml:space="preserve">ha sido aprobado por mayoría de votos. </w:t>
      </w:r>
    </w:p>
    <w:p w14:paraId="49EFD218"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105BCFBE"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Se tiene por aprobado la propuesta original.</w:t>
      </w:r>
    </w:p>
    <w:p w14:paraId="2D3D6A84"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En cuanto a la reserva número 2, de la diputada Ruth Salinas Reyes, del párrafo cuarto del artículo 1.5 Quinques del Código Civil del Estado de México. </w:t>
      </w:r>
    </w:p>
    <w:p w14:paraId="282C102A"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Someto a votación la propuesta y ábrase el sistema de votación hasta por dos minutos. </w:t>
      </w:r>
    </w:p>
    <w:p w14:paraId="3D74D64D"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Ábrase el sistema de votación hasta por dos minutos. </w:t>
      </w:r>
    </w:p>
    <w:p w14:paraId="464E26E8" w14:textId="77777777" w:rsidR="00647413" w:rsidRPr="0012597A" w:rsidRDefault="00647413"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3F377171" w14:textId="201BE039"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Apoyo, por favor, para el diputado Luis Vald</w:t>
      </w:r>
      <w:r w:rsidR="002339A0" w:rsidRPr="0012597A">
        <w:rPr>
          <w:rFonts w:ascii="Times New Roman" w:hAnsi="Times New Roman" w:cs="Times New Roman"/>
          <w:sz w:val="24"/>
          <w:szCs w:val="24"/>
        </w:rPr>
        <w:t>eña</w:t>
      </w:r>
      <w:r w:rsidR="00FC0165" w:rsidRPr="0012597A">
        <w:rPr>
          <w:rFonts w:ascii="Times New Roman" w:hAnsi="Times New Roman" w:cs="Times New Roman"/>
          <w:sz w:val="24"/>
          <w:szCs w:val="24"/>
        </w:rPr>
        <w:t>.</w:t>
      </w:r>
    </w:p>
    <w:p w14:paraId="4D07C9C0" w14:textId="3DEB29A3"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Apoyo para la Alicia Ramírez de la O</w:t>
      </w:r>
      <w:r w:rsidR="002339A0" w:rsidRPr="0012597A">
        <w:rPr>
          <w:rFonts w:ascii="Times New Roman" w:hAnsi="Times New Roman" w:cs="Times New Roman"/>
          <w:sz w:val="24"/>
          <w:szCs w:val="24"/>
        </w:rPr>
        <w:t>,</w:t>
      </w:r>
      <w:r w:rsidRPr="0012597A">
        <w:rPr>
          <w:rFonts w:ascii="Times New Roman" w:hAnsi="Times New Roman" w:cs="Times New Roman"/>
          <w:sz w:val="24"/>
          <w:szCs w:val="24"/>
        </w:rPr>
        <w:t xml:space="preserve"> en contra. </w:t>
      </w:r>
    </w:p>
    <w:p w14:paraId="3ED3B273" w14:textId="2A0FB629"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w:t>
      </w:r>
      <w:r w:rsidR="002339A0" w:rsidRPr="0012597A">
        <w:rPr>
          <w:rFonts w:ascii="Times New Roman" w:hAnsi="Times New Roman" w:cs="Times New Roman"/>
          <w:sz w:val="24"/>
          <w:szCs w:val="24"/>
        </w:rPr>
        <w:t>¿</w:t>
      </w:r>
      <w:r w:rsidRPr="0012597A">
        <w:rPr>
          <w:rFonts w:ascii="Times New Roman" w:hAnsi="Times New Roman" w:cs="Times New Roman"/>
          <w:sz w:val="24"/>
          <w:szCs w:val="24"/>
        </w:rPr>
        <w:t>Alguien falta de emitir su voto</w:t>
      </w:r>
      <w:r w:rsidR="002339A0" w:rsidRPr="0012597A">
        <w:rPr>
          <w:rFonts w:ascii="Times New Roman" w:hAnsi="Times New Roman" w:cs="Times New Roman"/>
          <w:sz w:val="24"/>
          <w:szCs w:val="24"/>
        </w:rPr>
        <w:t>?</w:t>
      </w:r>
    </w:p>
    <w:p w14:paraId="5A71CE9A"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La propuesta de la diputada Ruth Salinas en el segundo párrafo del cuarto artículo 1.5 quinques del Código Civil del Estado de México, ha sido rechazada por mayoría de votos. </w:t>
      </w:r>
    </w:p>
    <w:p w14:paraId="5B0FC834"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 se tiene por desechada la propuesta de la diputada Ruth Salinas Reyes.</w:t>
      </w:r>
    </w:p>
    <w:p w14:paraId="07806011"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Para la votación de la propuesta original, pido a la Secretaría abra el sistema de votación hasta por dos minutos. </w:t>
      </w:r>
    </w:p>
    <w:p w14:paraId="62F2123D" w14:textId="77777777" w:rsidR="00647413" w:rsidRPr="0012597A" w:rsidRDefault="00647413"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Ábrase el sistema de votación hasta por dos minutos. </w:t>
      </w:r>
    </w:p>
    <w:p w14:paraId="7BB2927C" w14:textId="77777777" w:rsidR="00647413" w:rsidRPr="0012597A" w:rsidRDefault="00647413"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09EB3DB8" w14:textId="77777777" w:rsidR="0012579C" w:rsidRPr="0012597A" w:rsidRDefault="00E05950" w:rsidP="00EF1C7F">
      <w:pPr>
        <w:pStyle w:val="Sinespaciado"/>
        <w:jc w:val="both"/>
        <w:rPr>
          <w:rFonts w:ascii="Times New Roman" w:hAnsi="Times New Roman" w:cs="Times New Roman"/>
          <w:sz w:val="24"/>
          <w:szCs w:val="24"/>
        </w:rPr>
      </w:pPr>
      <w:r w:rsidRPr="0012597A">
        <w:rPr>
          <w:rFonts w:ascii="Times New Roman" w:hAnsi="Times New Roman" w:cs="Times New Roman"/>
          <w:kern w:val="2"/>
          <w:sz w:val="24"/>
          <w:szCs w:val="24"/>
          <w:lang w:eastAsia="es-MX"/>
        </w:rPr>
        <w:lastRenderedPageBreak/>
        <w:t>PRESIDENTA DIP. MARTHA AZUCENA CAMACHO REYNOSO</w:t>
      </w:r>
      <w:r w:rsidR="0012579C" w:rsidRPr="0012597A">
        <w:rPr>
          <w:rFonts w:ascii="Times New Roman" w:hAnsi="Times New Roman" w:cs="Times New Roman"/>
          <w:sz w:val="24"/>
          <w:szCs w:val="24"/>
        </w:rPr>
        <w:t xml:space="preserve">. ¿Falta alguien de emitir su voto? </w:t>
      </w:r>
    </w:p>
    <w:p w14:paraId="20AB7FBB"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La propuesta original del…</w:t>
      </w:r>
    </w:p>
    <w:p w14:paraId="6E4FF223"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kern w:val="2"/>
          <w:sz w:val="24"/>
          <w:szCs w:val="24"/>
          <w:lang w:eastAsia="es-MX"/>
        </w:rPr>
        <w:t xml:space="preserve">PRESIDENTA DIP. MARTHA AZUCENA CAMACHO REYNOSO. </w:t>
      </w:r>
      <w:r w:rsidRPr="0012597A">
        <w:rPr>
          <w:rFonts w:ascii="Times New Roman" w:hAnsi="Times New Roman" w:cs="Times New Roman"/>
          <w:sz w:val="24"/>
          <w:szCs w:val="24"/>
        </w:rPr>
        <w:t>Apoyo para la diputada Sara Alicia Ramírez de la O, es a favor.</w:t>
      </w:r>
    </w:p>
    <w:p w14:paraId="0C091451" w14:textId="7193143D"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La propuesta original del </w:t>
      </w:r>
      <w:r w:rsidR="002339A0" w:rsidRPr="0012597A">
        <w:rPr>
          <w:rFonts w:ascii="Times New Roman" w:hAnsi="Times New Roman" w:cs="Times New Roman"/>
          <w:sz w:val="24"/>
          <w:szCs w:val="24"/>
        </w:rPr>
        <w:t xml:space="preserve">Dictamen </w:t>
      </w:r>
      <w:r w:rsidRPr="0012597A">
        <w:rPr>
          <w:rFonts w:ascii="Times New Roman" w:hAnsi="Times New Roman" w:cs="Times New Roman"/>
          <w:sz w:val="24"/>
          <w:szCs w:val="24"/>
        </w:rPr>
        <w:t xml:space="preserve">y del </w:t>
      </w:r>
      <w:r w:rsidR="002339A0"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2339A0"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ha sido aprobado por mayoría de votos.</w:t>
      </w:r>
    </w:p>
    <w:p w14:paraId="535D149B"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kern w:val="2"/>
          <w:sz w:val="24"/>
          <w:szCs w:val="24"/>
          <w:lang w:eastAsia="es-MX"/>
        </w:rPr>
        <w:t xml:space="preserve">PRESIDENTA DIP. MARTHA AZUCENA CAMACHO REYNOSO. </w:t>
      </w:r>
      <w:r w:rsidRPr="0012597A">
        <w:rPr>
          <w:rFonts w:ascii="Times New Roman" w:hAnsi="Times New Roman" w:cs="Times New Roman"/>
          <w:sz w:val="24"/>
          <w:szCs w:val="24"/>
        </w:rPr>
        <w:t>Gracias, Secretario.</w:t>
      </w:r>
    </w:p>
    <w:p w14:paraId="34EC6C74"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Se tiene por aprobada la propuesta original.</w:t>
      </w:r>
    </w:p>
    <w:p w14:paraId="6D09786D"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Tiene el uso de la voz la diputada Krishna Karina Romero Velázquez.</w:t>
      </w:r>
    </w:p>
    <w:p w14:paraId="1F5DE915"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kern w:val="2"/>
          <w:sz w:val="24"/>
          <w:szCs w:val="24"/>
          <w:lang w:eastAsia="es-MX"/>
        </w:rPr>
        <w:t xml:space="preserve">SECRETARIA DIP. KRISHNA ROMERO VELÁZQUEZ. </w:t>
      </w:r>
      <w:r w:rsidRPr="0012597A">
        <w:rPr>
          <w:rFonts w:ascii="Times New Roman" w:hAnsi="Times New Roman" w:cs="Times New Roman"/>
          <w:sz w:val="24"/>
          <w:szCs w:val="24"/>
        </w:rPr>
        <w:t xml:space="preserve">Doy lectura a la reserva presentada por la diputada Emma Laura </w:t>
      </w:r>
      <w:r w:rsidR="00CD0E2F" w:rsidRPr="0012597A">
        <w:rPr>
          <w:rFonts w:ascii="Times New Roman" w:hAnsi="Times New Roman" w:cs="Times New Roman"/>
          <w:sz w:val="24"/>
          <w:szCs w:val="24"/>
        </w:rPr>
        <w:t>A</w:t>
      </w:r>
      <w:r w:rsidRPr="0012597A">
        <w:rPr>
          <w:rFonts w:ascii="Times New Roman" w:hAnsi="Times New Roman" w:cs="Times New Roman"/>
          <w:sz w:val="24"/>
          <w:szCs w:val="24"/>
        </w:rPr>
        <w:t>lvarez Villavicencio</w:t>
      </w:r>
      <w:r w:rsidR="00CD0E2F" w:rsidRPr="0012597A">
        <w:rPr>
          <w:rFonts w:ascii="Times New Roman" w:hAnsi="Times New Roman" w:cs="Times New Roman"/>
          <w:sz w:val="24"/>
          <w:szCs w:val="24"/>
        </w:rPr>
        <w:t>.</w:t>
      </w:r>
    </w:p>
    <w:p w14:paraId="70C38B4A" w14:textId="77777777" w:rsidR="0012579C" w:rsidRPr="0012597A" w:rsidRDefault="0012579C" w:rsidP="00EF1C7F">
      <w:pPr>
        <w:pStyle w:val="Sinespaciado"/>
        <w:jc w:val="right"/>
        <w:rPr>
          <w:rFonts w:ascii="Times New Roman" w:hAnsi="Times New Roman" w:cs="Times New Roman"/>
          <w:sz w:val="24"/>
          <w:szCs w:val="24"/>
        </w:rPr>
      </w:pPr>
      <w:r w:rsidRPr="0012597A">
        <w:rPr>
          <w:rFonts w:ascii="Times New Roman" w:hAnsi="Times New Roman" w:cs="Times New Roman"/>
          <w:sz w:val="24"/>
          <w:szCs w:val="24"/>
        </w:rPr>
        <w:t>Toluca, de Lerdo, México, a 18 de marzo de 2026</w:t>
      </w:r>
    </w:p>
    <w:p w14:paraId="18C38CB9"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DIPUTADA MARTHA AZUCENA CAMACHO REYNOSO</w:t>
      </w:r>
    </w:p>
    <w:p w14:paraId="20FA4BFB"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DE LA MESA DIRECTIVA DE LA LXII</w:t>
      </w:r>
    </w:p>
    <w:p w14:paraId="3D41AD8E"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LEGISLATURA DEL CONGRESO DEL ESTADO DE MÉXICO</w:t>
      </w:r>
    </w:p>
    <w:p w14:paraId="1BAC0478" w14:textId="327C666A"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PRESENTE</w:t>
      </w:r>
      <w:r w:rsidR="002339A0" w:rsidRPr="0012597A">
        <w:rPr>
          <w:rFonts w:ascii="Times New Roman" w:hAnsi="Times New Roman" w:cs="Times New Roman"/>
          <w:sz w:val="24"/>
          <w:szCs w:val="24"/>
        </w:rPr>
        <w:t>.</w:t>
      </w:r>
    </w:p>
    <w:p w14:paraId="313427F1"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 </w:t>
      </w:r>
      <w:r w:rsidRPr="0012597A">
        <w:rPr>
          <w:rFonts w:ascii="Times New Roman" w:hAnsi="Times New Roman" w:cs="Times New Roman"/>
          <w:sz w:val="24"/>
          <w:szCs w:val="24"/>
        </w:rPr>
        <w:tab/>
        <w:t xml:space="preserve">Con fundamento en el artículo 53 de la Constitución Política del Estado Libre y Soberano de México, 87 de la Ley Orgánica del Poder Legislativo del Estado Libre y Soberano de México; 90, 93, 94 y 95 del Reglamento del Poder Legislativo del Estado Libre y Soberano de México quien suscribe; Diputada Emma Laura </w:t>
      </w:r>
      <w:r w:rsidR="00CD0E2F" w:rsidRPr="0012597A">
        <w:rPr>
          <w:rFonts w:ascii="Times New Roman" w:hAnsi="Times New Roman" w:cs="Times New Roman"/>
          <w:sz w:val="24"/>
          <w:szCs w:val="24"/>
        </w:rPr>
        <w:t>A</w:t>
      </w:r>
      <w:r w:rsidRPr="0012597A">
        <w:rPr>
          <w:rFonts w:ascii="Times New Roman" w:hAnsi="Times New Roman" w:cs="Times New Roman"/>
          <w:sz w:val="24"/>
          <w:szCs w:val="24"/>
        </w:rPr>
        <w:t xml:space="preserve">lvarez Villavicencio, Integrante del Grupo Parlamentario del Partido Acción Nacional. </w:t>
      </w:r>
    </w:p>
    <w:p w14:paraId="38ED12CE"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Someto a la consideración de esta Honorable Legislatura la presente reserva, en el marco de la discusión del Dictamen y Decreto de la Iniciativa por la que se reforman, adicionan y derogan diversas disposiciones del Código Civil del Estado de México, todas relativas a la nulidad del juicio. </w:t>
      </w:r>
    </w:p>
    <w:p w14:paraId="79F742E6" w14:textId="145B4B22"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r>
      <w:r w:rsidR="00567C5E" w:rsidRPr="0012597A">
        <w:rPr>
          <w:rFonts w:ascii="Times New Roman" w:hAnsi="Times New Roman" w:cs="Times New Roman"/>
          <w:sz w:val="24"/>
          <w:szCs w:val="24"/>
        </w:rPr>
        <w:t xml:space="preserve">JUSTIFICACIÓN. </w:t>
      </w:r>
      <w:r w:rsidRPr="0012597A">
        <w:rPr>
          <w:rFonts w:ascii="Times New Roman" w:hAnsi="Times New Roman" w:cs="Times New Roman"/>
          <w:sz w:val="24"/>
          <w:szCs w:val="24"/>
        </w:rPr>
        <w:t xml:space="preserve">La presente reserva tiene por objeto derogar el artículo 1.5 Quater del Código Civil del Estado de México, en virtud de que su contenido regula una figura de naturaleza eminentemente procesal, como lo es la nulidad del juicio </w:t>
      </w:r>
      <w:r w:rsidR="002339A0" w:rsidRPr="0012597A">
        <w:rPr>
          <w:rFonts w:ascii="Times New Roman" w:hAnsi="Times New Roman" w:cs="Times New Roman"/>
          <w:sz w:val="24"/>
          <w:szCs w:val="24"/>
        </w:rPr>
        <w:t>concluido</w:t>
      </w:r>
      <w:r w:rsidRPr="0012597A">
        <w:rPr>
          <w:rFonts w:ascii="Times New Roman" w:hAnsi="Times New Roman" w:cs="Times New Roman"/>
          <w:sz w:val="24"/>
          <w:szCs w:val="24"/>
        </w:rPr>
        <w:t xml:space="preserve">. </w:t>
      </w:r>
    </w:p>
    <w:p w14:paraId="1DCE5822" w14:textId="09E4D580"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Dicho precepto establece supuestos de improcedencia, plazos, legitimación y efectos sobre resoluciones judiciales firmes, elementos que corresponden exclusivamente al ámbito del derecho procesal y no al derecho civil </w:t>
      </w:r>
      <w:r w:rsidR="002339A0" w:rsidRPr="0012597A">
        <w:rPr>
          <w:rFonts w:ascii="Times New Roman" w:hAnsi="Times New Roman" w:cs="Times New Roman"/>
          <w:sz w:val="24"/>
          <w:szCs w:val="24"/>
        </w:rPr>
        <w:t>sustantivo</w:t>
      </w:r>
      <w:r w:rsidRPr="0012597A">
        <w:rPr>
          <w:rFonts w:ascii="Times New Roman" w:hAnsi="Times New Roman" w:cs="Times New Roman"/>
          <w:sz w:val="24"/>
          <w:szCs w:val="24"/>
        </w:rPr>
        <w:t xml:space="preserve">. </w:t>
      </w:r>
    </w:p>
    <w:p w14:paraId="1017DD75" w14:textId="77777777" w:rsidR="0012579C" w:rsidRPr="0012597A" w:rsidRDefault="0012579C"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Necesidad de </w:t>
      </w:r>
      <w:r w:rsidR="004D08C7" w:rsidRPr="0012597A">
        <w:rPr>
          <w:rFonts w:ascii="Times New Roman" w:hAnsi="Times New Roman" w:cs="Times New Roman"/>
          <w:sz w:val="24"/>
          <w:szCs w:val="24"/>
        </w:rPr>
        <w:t>derogación</w:t>
      </w:r>
      <w:r w:rsidRPr="0012597A">
        <w:rPr>
          <w:rFonts w:ascii="Times New Roman" w:hAnsi="Times New Roman" w:cs="Times New Roman"/>
          <w:sz w:val="24"/>
          <w:szCs w:val="24"/>
        </w:rPr>
        <w:t>:</w:t>
      </w:r>
      <w:r w:rsidR="004D08C7" w:rsidRPr="0012597A">
        <w:rPr>
          <w:rFonts w:ascii="Times New Roman" w:hAnsi="Times New Roman" w:cs="Times New Roman"/>
          <w:sz w:val="24"/>
          <w:szCs w:val="24"/>
        </w:rPr>
        <w:t xml:space="preserve"> </w:t>
      </w:r>
      <w:r w:rsidRPr="0012597A">
        <w:rPr>
          <w:rFonts w:ascii="Times New Roman" w:hAnsi="Times New Roman" w:cs="Times New Roman"/>
          <w:sz w:val="24"/>
          <w:szCs w:val="24"/>
        </w:rPr>
        <w:t xml:space="preserve">La solución jurídicamente correcta no es reformar el contenido del artículo, sino eliminarlo, porque la materia ya se encuentra regulada a nivel nacional cualquier regulación local resulta innecesaria e inconstitucional. </w:t>
      </w:r>
    </w:p>
    <w:p w14:paraId="7E978174" w14:textId="1087A9AB"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La derogación garantiza armonización normativa: Por estas razones se propone</w:t>
      </w:r>
      <w:r w:rsidR="000D7935" w:rsidRPr="0012597A">
        <w:rPr>
          <w:rFonts w:ascii="Times New Roman" w:hAnsi="Times New Roman" w:cs="Times New Roman"/>
          <w:sz w:val="24"/>
          <w:szCs w:val="24"/>
        </w:rPr>
        <w:t>:</w:t>
      </w:r>
    </w:p>
    <w:p w14:paraId="154E48F0" w14:textId="5C0BC891"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r>
      <w:r w:rsidR="00567C5E" w:rsidRPr="0012597A">
        <w:rPr>
          <w:rFonts w:ascii="Times New Roman" w:hAnsi="Times New Roman" w:cs="Times New Roman"/>
          <w:sz w:val="24"/>
          <w:szCs w:val="24"/>
        </w:rPr>
        <w:t>ÚNICO</w:t>
      </w:r>
      <w:r w:rsidRPr="0012597A">
        <w:rPr>
          <w:rFonts w:ascii="Times New Roman" w:hAnsi="Times New Roman" w:cs="Times New Roman"/>
          <w:sz w:val="24"/>
          <w:szCs w:val="24"/>
        </w:rPr>
        <w:t>. Se deroga el artículo 1.5 Quater del Código Civil del Estado de México</w:t>
      </w:r>
      <w:r w:rsidR="00567C5E" w:rsidRPr="0012597A">
        <w:rPr>
          <w:rFonts w:ascii="Times New Roman" w:hAnsi="Times New Roman" w:cs="Times New Roman"/>
          <w:sz w:val="24"/>
          <w:szCs w:val="24"/>
        </w:rPr>
        <w:t>, e</w:t>
      </w:r>
      <w:r w:rsidRPr="0012597A">
        <w:rPr>
          <w:rFonts w:ascii="Times New Roman" w:hAnsi="Times New Roman" w:cs="Times New Roman"/>
          <w:sz w:val="24"/>
          <w:szCs w:val="24"/>
        </w:rPr>
        <w:t xml:space="preserve">sta reserva no busca frenar la reforma, por el contrario, busca fortalecerla y darle solidez jurídica, cuando hablamos de justicia civil y familiar hablamos de los conflictos más sensibles de las personas el patrimonio, la familia, la propiedad y los derechos de niñas, niños y adolescentes. Si aprobamos plazos distintos a los establecidos en el Código Nacional de Procedimientos Civiles y Familiares no solo generaremos incertidumbre jurídica, sino que también abriremos la puerta a litigios innecesarios, interpretaciones contradictorias e incluso a eventuales acciones de control constitucional. </w:t>
      </w:r>
    </w:p>
    <w:p w14:paraId="7750D429" w14:textId="069FBD70" w:rsidR="0012579C" w:rsidRPr="0012597A" w:rsidRDefault="00026044" w:rsidP="00EF1C7F">
      <w:pPr>
        <w:pStyle w:val="Sinespaciado"/>
        <w:jc w:val="center"/>
        <w:rPr>
          <w:rFonts w:ascii="Times New Roman" w:hAnsi="Times New Roman" w:cs="Times New Roman"/>
          <w:sz w:val="24"/>
          <w:szCs w:val="24"/>
        </w:rPr>
      </w:pPr>
      <w:r w:rsidRPr="0012597A">
        <w:rPr>
          <w:rFonts w:ascii="Times New Roman" w:hAnsi="Times New Roman" w:cs="Times New Roman"/>
          <w:sz w:val="24"/>
          <w:szCs w:val="24"/>
        </w:rPr>
        <w:t>ATENTAMENTE</w:t>
      </w:r>
    </w:p>
    <w:p w14:paraId="72E812D7" w14:textId="7E4BB350" w:rsidR="0012579C" w:rsidRPr="0012597A" w:rsidRDefault="00026044" w:rsidP="00EF1C7F">
      <w:pPr>
        <w:pStyle w:val="Sinespaciado"/>
        <w:jc w:val="center"/>
        <w:rPr>
          <w:rFonts w:ascii="Times New Roman" w:hAnsi="Times New Roman" w:cs="Times New Roman"/>
          <w:sz w:val="24"/>
          <w:szCs w:val="24"/>
        </w:rPr>
      </w:pPr>
      <w:r w:rsidRPr="0012597A">
        <w:rPr>
          <w:rFonts w:ascii="Times New Roman" w:hAnsi="Times New Roman" w:cs="Times New Roman"/>
          <w:sz w:val="24"/>
          <w:szCs w:val="24"/>
        </w:rPr>
        <w:t>DIPUTADA EMMA LAURA ALVAREZ VILLAVICENCIO.</w:t>
      </w:r>
    </w:p>
    <w:p w14:paraId="4C27BC50"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Es cuanto presidenta.</w:t>
      </w:r>
    </w:p>
    <w:p w14:paraId="2B702CCB"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kern w:val="2"/>
          <w:sz w:val="24"/>
          <w:szCs w:val="24"/>
          <w:lang w:eastAsia="es-MX"/>
        </w:rPr>
        <w:t xml:space="preserve">PRESIDENTA DIP. MARTHA AZUCENA CAMACHO REYNOSO. </w:t>
      </w:r>
      <w:r w:rsidRPr="0012597A">
        <w:rPr>
          <w:rFonts w:ascii="Times New Roman" w:hAnsi="Times New Roman" w:cs="Times New Roman"/>
          <w:sz w:val="24"/>
          <w:szCs w:val="24"/>
        </w:rPr>
        <w:t xml:space="preserve">Gracias, diputada </w:t>
      </w:r>
      <w:r w:rsidRPr="0012597A">
        <w:rPr>
          <w:rFonts w:ascii="Times New Roman" w:hAnsi="Times New Roman" w:cs="Times New Roman"/>
          <w:kern w:val="2"/>
          <w:sz w:val="24"/>
          <w:szCs w:val="24"/>
          <w:lang w:eastAsia="es-MX"/>
        </w:rPr>
        <w:t>Krishna</w:t>
      </w:r>
      <w:r w:rsidRPr="0012597A">
        <w:rPr>
          <w:rFonts w:ascii="Times New Roman" w:hAnsi="Times New Roman" w:cs="Times New Roman"/>
          <w:sz w:val="24"/>
          <w:szCs w:val="24"/>
        </w:rPr>
        <w:t xml:space="preserve"> Karina Romero Velázquez. </w:t>
      </w:r>
    </w:p>
    <w:p w14:paraId="09733886"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 xml:space="preserve">Consulto si alguien desea hacer uso de la palabra… </w:t>
      </w:r>
    </w:p>
    <w:p w14:paraId="244C18D1" w14:textId="77777777"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Someto a votación la propuesta de la diputada Emma Lara Álvarez Villavicencio y pido la Secretaría abre el sistema de votación hasta por dos minutos.</w:t>
      </w:r>
    </w:p>
    <w:p w14:paraId="1660BCE1" w14:textId="0656C8F1" w:rsidR="0012579C" w:rsidRPr="0012597A" w:rsidRDefault="0012579C"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de votación hasta por dos minuto</w:t>
      </w:r>
      <w:r w:rsidR="00026044" w:rsidRPr="0012597A">
        <w:rPr>
          <w:rFonts w:ascii="Times New Roman" w:hAnsi="Times New Roman" w:cs="Times New Roman"/>
          <w:sz w:val="24"/>
          <w:szCs w:val="24"/>
        </w:rPr>
        <w:t>s.</w:t>
      </w:r>
    </w:p>
    <w:p w14:paraId="183ACAFF" w14:textId="77777777" w:rsidR="0012579C" w:rsidRPr="0012597A" w:rsidRDefault="0012579C"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228A6883" w14:textId="77777777" w:rsidR="00D47844" w:rsidRPr="0012597A" w:rsidRDefault="00E05950"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w:t>
      </w:r>
      <w:r w:rsidR="00000822" w:rsidRPr="0012597A">
        <w:rPr>
          <w:rFonts w:ascii="Times New Roman" w:hAnsi="Times New Roman" w:cs="Times New Roman"/>
          <w:sz w:val="24"/>
          <w:szCs w:val="24"/>
        </w:rPr>
        <w:t>. A</w:t>
      </w:r>
      <w:r w:rsidR="00D47844" w:rsidRPr="0012597A">
        <w:rPr>
          <w:rFonts w:ascii="Times New Roman" w:hAnsi="Times New Roman" w:cs="Times New Roman"/>
          <w:sz w:val="24"/>
          <w:szCs w:val="24"/>
        </w:rPr>
        <w:t>poyo para la diputada Alicia Ramírez de la O, gracias, y para el diputado Edmundo Luis Valdeña.</w:t>
      </w:r>
    </w:p>
    <w:p w14:paraId="32D83532" w14:textId="77777777" w:rsidR="00D47844" w:rsidRPr="0012597A" w:rsidRDefault="00D47844"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SECRETARIO DIP. EDMUNDO LUIS VALDEÑA BASTIDA. ¿Alguien falta de emitir su voto? </w:t>
      </w:r>
    </w:p>
    <w:p w14:paraId="2B7D7D35" w14:textId="77777777" w:rsidR="00D47844" w:rsidRPr="0012597A" w:rsidRDefault="00D47844"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La propuesta de la diputada Emma Laura Álvarez Villavicencio ha sido rechazada por mayoría de votos.</w:t>
      </w:r>
    </w:p>
    <w:p w14:paraId="08391D05" w14:textId="77777777" w:rsidR="00D47844" w:rsidRPr="0012597A" w:rsidRDefault="00D47844"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secretario.</w:t>
      </w:r>
    </w:p>
    <w:p w14:paraId="121AF63A" w14:textId="77777777" w:rsidR="00D47844" w:rsidRPr="0012597A" w:rsidRDefault="00D47844"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Se tiene por desechada la propuesta de la diputada Emma Laura Álvarez Villavicencio.</w:t>
      </w:r>
    </w:p>
    <w:p w14:paraId="2F64C565" w14:textId="77777777" w:rsidR="00D47844" w:rsidRPr="0012597A" w:rsidRDefault="00D47844"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Para la votación de la propuesta original, pido a la Secretaría abre el sistema de votación hasta por dos minutos.</w:t>
      </w:r>
    </w:p>
    <w:p w14:paraId="47F5819E" w14:textId="77777777" w:rsidR="00D47844" w:rsidRPr="0012597A" w:rsidRDefault="00D47844"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Ábrase el sistema de votación hasta por dos minutos.</w:t>
      </w:r>
    </w:p>
    <w:p w14:paraId="307A60A4" w14:textId="77777777" w:rsidR="00D47844" w:rsidRPr="0012597A" w:rsidRDefault="00D47844"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61DA500A" w14:textId="77777777" w:rsidR="00D47844" w:rsidRPr="0012597A" w:rsidRDefault="00D47844"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SECRETARIO DIP. EDMUNDO LUIS VALDEÑA BASTIDA. ¿Alguien falta de emitir su voto?</w:t>
      </w:r>
    </w:p>
    <w:p w14:paraId="0F3D6F05" w14:textId="30CD180E" w:rsidR="00D47844" w:rsidRPr="0012597A" w:rsidRDefault="00D47844"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La propuesta original del dictamen y del </w:t>
      </w:r>
      <w:r w:rsidR="00026044"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026044"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ha sido aprobado por mayoría de votos.</w:t>
      </w:r>
    </w:p>
    <w:p w14:paraId="42D8CF0F" w14:textId="77777777" w:rsidR="00D47844" w:rsidRPr="0012597A" w:rsidRDefault="00D47844"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Se tiene por aprobada la propuesta original. </w:t>
      </w:r>
    </w:p>
    <w:p w14:paraId="128C4DCA" w14:textId="77777777" w:rsidR="00D47844" w:rsidRPr="0012597A" w:rsidRDefault="00D47844"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Se tiene aprobado en lo general y en lo particular, el Dictamen y el Proyecto de Decreto.</w:t>
      </w:r>
    </w:p>
    <w:p w14:paraId="2B9101F8" w14:textId="77777777" w:rsidR="00D47844" w:rsidRPr="0012597A" w:rsidRDefault="00D47844"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Para atender el punto número 4, la diputada Elena García Martínez leerá el dictamen de la Iniciativa con Proyecto de Decreto por el que se reforman los artículos 3.38 Bis y 3.38 Ter del Código Civil del Estado de México, para agilizar la resolución de cambio de nombre ante la Dirección General del Registro Civil, presentada por la diputada Elena García Martínez, en nombre del Grupo Parlamentario del Partido morena, formulado por la Comisión Legislativa de Procuración y Administración de Justicia.</w:t>
      </w:r>
    </w:p>
    <w:p w14:paraId="75055AC9" w14:textId="6B9402BF" w:rsidR="00A52A01" w:rsidRPr="0012597A" w:rsidRDefault="00D47844"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DIP. ELENA GARCÍA MARTÍNEZ. Dictamen formulado a la Iniciativa con Proyecto de </w:t>
      </w:r>
      <w:r w:rsidR="00C66D68"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por el que se reforman los artículos 3.38 Bis y 3.38</w:t>
      </w:r>
      <w:r w:rsidR="005864DB" w:rsidRPr="0012597A">
        <w:rPr>
          <w:rFonts w:ascii="Times New Roman" w:hAnsi="Times New Roman" w:cs="Times New Roman"/>
          <w:sz w:val="24"/>
          <w:szCs w:val="24"/>
        </w:rPr>
        <w:t xml:space="preserve"> </w:t>
      </w:r>
      <w:r w:rsidR="00026044" w:rsidRPr="0012597A">
        <w:rPr>
          <w:rFonts w:ascii="Times New Roman" w:hAnsi="Times New Roman" w:cs="Times New Roman"/>
          <w:sz w:val="24"/>
          <w:szCs w:val="24"/>
        </w:rPr>
        <w:t xml:space="preserve">Ter </w:t>
      </w:r>
      <w:r w:rsidR="00A52A01" w:rsidRPr="0012597A">
        <w:rPr>
          <w:rFonts w:ascii="Times New Roman" w:hAnsi="Times New Roman" w:cs="Times New Roman"/>
          <w:sz w:val="24"/>
          <w:szCs w:val="24"/>
        </w:rPr>
        <w:t>del Código Civil del Estado de México, presentada por la de la voz, diputada Elena García Martínez, en nombre del Grupo Parlamentario del Partido morena.</w:t>
      </w:r>
    </w:p>
    <w:p w14:paraId="6978CD19" w14:textId="77777777"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color w:val="BF8F00" w:themeColor="accent4" w:themeShade="BF"/>
          <w:sz w:val="24"/>
          <w:szCs w:val="24"/>
        </w:rPr>
        <w:tab/>
      </w:r>
      <w:r w:rsidRPr="0012597A">
        <w:rPr>
          <w:rFonts w:ascii="Times New Roman" w:hAnsi="Times New Roman" w:cs="Times New Roman"/>
          <w:sz w:val="24"/>
          <w:szCs w:val="24"/>
        </w:rPr>
        <w:t>HONORABLE ASAMBLEA:</w:t>
      </w:r>
    </w:p>
    <w:p w14:paraId="5A61307E" w14:textId="77777777"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La Presidencia de la LXII Legislatura remitió a la Comisión Legislativa de Procuración y Administración de Justicia, para su estudio y dictamen, la Iniciativa con Proyecto de Decreto por lo que se reforman los artículos 3.38 Bis y 3.38 Ter del Código Civil del Estado de México, presentada por la de la voz, en nombre del Grupo Parlamentario del Partido morena.</w:t>
      </w:r>
    </w:p>
    <w:p w14:paraId="5D8E27A4" w14:textId="77777777"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Sustanciado el estudio de la iniciativa y discutido plenamente en la comisión legislativa, nos permitimos con fundamento en lo dispuesto por los artículos 68, 70, 82 de la Ley Orgánica del Poder Legislativo del Estado Libre y Soberano de México, en relación con lo establecido en los artículos 13 A, 70, 73, 75, 78, 79 y 80 del Reglamento del Poder Legislativo del Estado Libre y Soberano de México, emitir el siguiente:</w:t>
      </w:r>
    </w:p>
    <w:p w14:paraId="31939E90" w14:textId="77777777" w:rsidR="00A52A01" w:rsidRPr="0012597A" w:rsidRDefault="00A52A01" w:rsidP="00EF1C7F">
      <w:pPr>
        <w:spacing w:after="0" w:line="240" w:lineRule="auto"/>
        <w:jc w:val="center"/>
        <w:rPr>
          <w:rFonts w:ascii="Times New Roman" w:hAnsi="Times New Roman" w:cs="Times New Roman"/>
          <w:sz w:val="24"/>
          <w:szCs w:val="24"/>
        </w:rPr>
      </w:pPr>
      <w:r w:rsidRPr="0012597A">
        <w:rPr>
          <w:rFonts w:ascii="Times New Roman" w:hAnsi="Times New Roman" w:cs="Times New Roman"/>
          <w:sz w:val="24"/>
          <w:szCs w:val="24"/>
        </w:rPr>
        <w:t>DICTAMEN</w:t>
      </w:r>
    </w:p>
    <w:p w14:paraId="0736C7F1" w14:textId="77777777"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ANTECEDENTES</w:t>
      </w:r>
    </w:p>
    <w:p w14:paraId="5BA122EB" w14:textId="2686661E"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 xml:space="preserve">En la sesión de la LXII Legislatura realizada el día 30 de abril del 2025, la de la voz, integrante del Grupo Parlamentario del Partido morena, de conformidad con lo señalado por los artículo 51 fracción II, 56, 57 y 61 fracción I de la Constitución Política del Estado Libre y </w:t>
      </w:r>
      <w:r w:rsidRPr="0012597A">
        <w:rPr>
          <w:rFonts w:ascii="Times New Roman" w:hAnsi="Times New Roman" w:cs="Times New Roman"/>
          <w:sz w:val="24"/>
          <w:szCs w:val="24"/>
        </w:rPr>
        <w:lastRenderedPageBreak/>
        <w:t xml:space="preserve">Soberano de México y 28 fracción I, 79 y 81 de la Ley Orgánica del Poder Legislativo del Estado Libre y Soberano de México, sometió a la consideración de esta </w:t>
      </w:r>
      <w:r w:rsidR="00CA0B72" w:rsidRPr="0012597A">
        <w:rPr>
          <w:rFonts w:ascii="Times New Roman" w:hAnsi="Times New Roman" w:cs="Times New Roman"/>
          <w:sz w:val="24"/>
          <w:szCs w:val="24"/>
        </w:rPr>
        <w:t xml:space="preserve">Soberanía Popular </w:t>
      </w:r>
      <w:r w:rsidRPr="0012597A">
        <w:rPr>
          <w:rFonts w:ascii="Times New Roman" w:hAnsi="Times New Roman" w:cs="Times New Roman"/>
          <w:sz w:val="24"/>
          <w:szCs w:val="24"/>
        </w:rPr>
        <w:t xml:space="preserve">la </w:t>
      </w:r>
      <w:r w:rsidR="00567C5E" w:rsidRPr="0012597A">
        <w:rPr>
          <w:rFonts w:ascii="Times New Roman" w:hAnsi="Times New Roman" w:cs="Times New Roman"/>
          <w:sz w:val="24"/>
          <w:szCs w:val="24"/>
        </w:rPr>
        <w:t xml:space="preserve">Iniciativa </w:t>
      </w:r>
      <w:r w:rsidRPr="0012597A">
        <w:rPr>
          <w:rFonts w:ascii="Times New Roman" w:hAnsi="Times New Roman" w:cs="Times New Roman"/>
          <w:sz w:val="24"/>
          <w:szCs w:val="24"/>
        </w:rPr>
        <w:t>con Proyecto de Decreto, por lo que se reforman los artículos 3.38 Bis y 3.38 Ter del Código Civil del Estado de México.</w:t>
      </w:r>
    </w:p>
    <w:p w14:paraId="4FC57E51" w14:textId="77777777"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color w:val="BF8F00" w:themeColor="accent4" w:themeShade="BF"/>
          <w:sz w:val="24"/>
          <w:szCs w:val="24"/>
        </w:rPr>
        <w:tab/>
      </w:r>
      <w:r w:rsidRPr="0012597A">
        <w:rPr>
          <w:rFonts w:ascii="Times New Roman" w:hAnsi="Times New Roman" w:cs="Times New Roman"/>
          <w:sz w:val="24"/>
          <w:szCs w:val="24"/>
        </w:rPr>
        <w:t>Con base en el estudio realizado por la comisión legislativa, encontramos que a través de la iniciativa se propone agilizar la resolución de solitudes de cambio de nombre mediante dictamen de la Dirección General del Registro Civil, en cumplimiento del procedimiento legislativo aplicable el 20 de octubre del 2025 la Comisión Legislativa de Procuración y Administración de Justicia celebró reunión de estudio y analizó la Iniciativa con Proyecto de Decreto y en la fecha 12 de marzo del 2026 celebró reunión con la que dictaminó la iniciativa.</w:t>
      </w:r>
    </w:p>
    <w:p w14:paraId="668BC74F" w14:textId="624E74B8"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color w:val="BF8F00" w:themeColor="accent4" w:themeShade="BF"/>
          <w:sz w:val="24"/>
          <w:szCs w:val="24"/>
        </w:rPr>
        <w:tab/>
      </w:r>
      <w:r w:rsidRPr="0012597A">
        <w:rPr>
          <w:rFonts w:ascii="Times New Roman" w:hAnsi="Times New Roman" w:cs="Times New Roman"/>
          <w:sz w:val="24"/>
          <w:szCs w:val="24"/>
        </w:rPr>
        <w:t xml:space="preserve">Por lo tanto, en apego al estudio que llevamos a cabo y a las propuestas de integrantes de los distintos grupos parlamentarios favorecimos el perfeccionamiento del </w:t>
      </w:r>
      <w:r w:rsidR="00CA0B72"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CA0B72"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y así resulta procedente reformar el párrafo tercero del artículo 3.38 Bis y adicionar un párrafo cuarto recorriendo el subsecuente del artículo 3.38 del Código Civil del Estado de México.</w:t>
      </w:r>
    </w:p>
    <w:p w14:paraId="1B6A1265" w14:textId="43601117"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tal sentido, la reforma permitirá que la solicitud de modificación, cambio, ampliación o reducción del sustantivo propio registrado por ser expuesto al ridículo o por el uso invariable y constante de otro diverso en su vida social y jurídica sin que se afecten los apellidos será resuelto en un plazo no mayor a 15 días hábiles por el consejo dictaminador en términos de lo dispuesto por los lineamientos que para ese efecto se emitan.</w:t>
      </w:r>
    </w:p>
    <w:p w14:paraId="4F50675C" w14:textId="77777777"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color w:val="BF8F00" w:themeColor="accent4" w:themeShade="BF"/>
          <w:sz w:val="24"/>
          <w:szCs w:val="24"/>
        </w:rPr>
        <w:tab/>
      </w:r>
      <w:r w:rsidRPr="0012597A">
        <w:rPr>
          <w:rFonts w:ascii="Times New Roman" w:hAnsi="Times New Roman" w:cs="Times New Roman"/>
          <w:sz w:val="24"/>
          <w:szCs w:val="24"/>
        </w:rPr>
        <w:t>De igual forma, una vez dictaminada la procedencia de la modificación del sustantivo propio del consejo dictaminador se dará aviso a la persona interesada y en un plazo no mayor a 2 días hábiles la Dirección General del Registro Civil notificará a la oficial del registro civil y a la jefatura regional que corresponda, para que de forma inmediata realice la anotación de modificación en el acta de nacimiento.</w:t>
      </w:r>
    </w:p>
    <w:p w14:paraId="5A9A16E0" w14:textId="77777777" w:rsidR="00A52A01" w:rsidRPr="0012597A" w:rsidRDefault="00A52A01" w:rsidP="00EF1C7F">
      <w:pPr>
        <w:spacing w:after="0" w:line="240" w:lineRule="auto"/>
        <w:jc w:val="center"/>
        <w:rPr>
          <w:rFonts w:ascii="Times New Roman" w:hAnsi="Times New Roman" w:cs="Times New Roman"/>
          <w:sz w:val="24"/>
          <w:szCs w:val="24"/>
        </w:rPr>
      </w:pPr>
      <w:r w:rsidRPr="0012597A">
        <w:rPr>
          <w:rFonts w:ascii="Times New Roman" w:hAnsi="Times New Roman" w:cs="Times New Roman"/>
          <w:sz w:val="24"/>
          <w:szCs w:val="24"/>
        </w:rPr>
        <w:t>RESOLUTIVOS</w:t>
      </w:r>
    </w:p>
    <w:p w14:paraId="646C8323" w14:textId="3DC68C74" w:rsidR="00A52A01"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 xml:space="preserve">PRIMERO. Es de aprobarse en lo conducente conforme el </w:t>
      </w:r>
      <w:r w:rsidR="00C66D68"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C66D68" w:rsidRPr="0012597A">
        <w:rPr>
          <w:rFonts w:ascii="Times New Roman" w:hAnsi="Times New Roman" w:cs="Times New Roman"/>
          <w:sz w:val="24"/>
          <w:szCs w:val="24"/>
        </w:rPr>
        <w:t xml:space="preserve">Decreto </w:t>
      </w:r>
      <w:r w:rsidRPr="0012597A">
        <w:rPr>
          <w:rFonts w:ascii="Times New Roman" w:hAnsi="Times New Roman" w:cs="Times New Roman"/>
          <w:sz w:val="24"/>
          <w:szCs w:val="24"/>
        </w:rPr>
        <w:t>que ha sido integrado la Iniciativa de Proyecto de Decreto, por lo que se reforma el Código Civil del Estado de México, presentada por la de la voz, diputada Elena García Martínez, en nombre del Grupo Parlamentario del Partido morena.</w:t>
      </w:r>
    </w:p>
    <w:p w14:paraId="31EFC7E8" w14:textId="77777777" w:rsidR="00EF6AC6" w:rsidRPr="0012597A" w:rsidRDefault="00A52A01"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SEGUNDO. Se adjunta el Proyecto de Decreto por el que se reforma el párrafo tercero del artículo 3.38 Bis y se adiciona un párrafo cuarto recorriéndose el subsecuente del artículo 3</w:t>
      </w:r>
      <w:r w:rsidR="00E3524D" w:rsidRPr="0012597A">
        <w:rPr>
          <w:rFonts w:ascii="Times New Roman" w:hAnsi="Times New Roman" w:cs="Times New Roman"/>
          <w:sz w:val="24"/>
          <w:szCs w:val="24"/>
        </w:rPr>
        <w:t xml:space="preserve">.38 </w:t>
      </w:r>
      <w:r w:rsidR="00EF6AC6" w:rsidRPr="0012597A">
        <w:rPr>
          <w:rFonts w:ascii="Times New Roman" w:hAnsi="Times New Roman" w:cs="Times New Roman"/>
          <w:sz w:val="24"/>
          <w:szCs w:val="24"/>
        </w:rPr>
        <w:t>Bis del Código Civil del Estado de México,</w:t>
      </w:r>
    </w:p>
    <w:p w14:paraId="56D4E23A" w14:textId="77777777" w:rsidR="00EF6AC6" w:rsidRPr="0012597A" w:rsidRDefault="00EF6AC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TERCERO. Previo a discusión y aprobación por la Legislatura en Pleno remítase a la Titular del Poder Ejecutivo Estatal, para los efectos procedentes.</w:t>
      </w:r>
    </w:p>
    <w:p w14:paraId="3FF7A7D5" w14:textId="77777777" w:rsidR="00EF6AC6" w:rsidRPr="0012597A" w:rsidRDefault="00EF6AC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Dado en el Palacio del Poder Legislativo en la ciudad de Toluca de Lerdo capital del Estado de México, a los 12 días del mes de marzo de 2026.</w:t>
      </w:r>
    </w:p>
    <w:p w14:paraId="5A5E98B2" w14:textId="13BB0840" w:rsidR="00C66D68" w:rsidRPr="0012597A" w:rsidRDefault="00C66D68" w:rsidP="00EF1C7F">
      <w:pPr>
        <w:pStyle w:val="Sinespaciado"/>
        <w:jc w:val="center"/>
        <w:rPr>
          <w:rFonts w:ascii="Times New Roman" w:hAnsi="Times New Roman" w:cs="Times New Roman"/>
          <w:sz w:val="24"/>
          <w:szCs w:val="24"/>
        </w:rPr>
      </w:pPr>
      <w:r w:rsidRPr="0012597A">
        <w:rPr>
          <w:rFonts w:ascii="Times New Roman" w:hAnsi="Times New Roman" w:cs="Times New Roman"/>
          <w:sz w:val="24"/>
          <w:szCs w:val="24"/>
        </w:rPr>
        <w:t>COMISIÓN LEGISLATIVA DE PROCURACIÓN Y ADMINISTRACIÓN DE JUSTICIA.</w:t>
      </w:r>
    </w:p>
    <w:p w14:paraId="1AEE6B46" w14:textId="7337939A" w:rsidR="00EF6AC6" w:rsidRPr="0012597A" w:rsidRDefault="00C66D68"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E</w:t>
      </w:r>
      <w:r w:rsidR="00EF6AC6" w:rsidRPr="0012597A">
        <w:rPr>
          <w:rFonts w:ascii="Times New Roman" w:hAnsi="Times New Roman" w:cs="Times New Roman"/>
          <w:sz w:val="24"/>
          <w:szCs w:val="24"/>
        </w:rPr>
        <w:t>s cuanto señora Presidenta.</w:t>
      </w:r>
    </w:p>
    <w:p w14:paraId="255AA7C3" w14:textId="77777777" w:rsidR="00B9688A" w:rsidRPr="0012597A" w:rsidRDefault="00B9688A" w:rsidP="004B08E8">
      <w:pPr>
        <w:pStyle w:val="Sinespaciado"/>
        <w:jc w:val="both"/>
        <w:rPr>
          <w:rFonts w:ascii="Times New Roman" w:hAnsi="Times New Roman" w:cs="Times New Roman"/>
          <w:sz w:val="24"/>
          <w:szCs w:val="24"/>
        </w:rPr>
      </w:pPr>
    </w:p>
    <w:p w14:paraId="21E2B42A" w14:textId="77777777" w:rsidR="00B9688A" w:rsidRPr="0012597A" w:rsidRDefault="00B9688A" w:rsidP="004B08E8">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(Se inserta documento)</w:t>
      </w:r>
    </w:p>
    <w:p w14:paraId="11267E4F" w14:textId="77777777" w:rsidR="00B9688A" w:rsidRPr="0012597A" w:rsidRDefault="00B9688A" w:rsidP="004B08E8">
      <w:pPr>
        <w:spacing w:after="0" w:line="240" w:lineRule="auto"/>
        <w:jc w:val="center"/>
        <w:rPr>
          <w:rFonts w:ascii="Times New Roman" w:hAnsi="Times New Roman" w:cs="Times New Roman"/>
          <w:sz w:val="24"/>
          <w:szCs w:val="24"/>
        </w:rPr>
      </w:pPr>
    </w:p>
    <w:p w14:paraId="70542EDC" w14:textId="77777777" w:rsidR="00FC0165" w:rsidRPr="0012597A" w:rsidRDefault="00FC0165" w:rsidP="004B08E8">
      <w:pPr>
        <w:spacing w:after="0" w:line="240" w:lineRule="auto"/>
        <w:contextualSpacing/>
        <w:jc w:val="both"/>
        <w:rPr>
          <w:rFonts w:ascii="Times New Roman" w:eastAsia="Calibri" w:hAnsi="Times New Roman" w:cs="Times New Roman"/>
          <w:b/>
          <w:sz w:val="24"/>
          <w:szCs w:val="24"/>
          <w:lang w:val="es-ES"/>
        </w:rPr>
      </w:pPr>
      <w:bookmarkStart w:id="3" w:name="_Hlk164223724"/>
      <w:bookmarkStart w:id="4" w:name="_Hlk214925852"/>
      <w:bookmarkStart w:id="5" w:name="_Hlk221985812"/>
      <w:r w:rsidRPr="0012597A">
        <w:rPr>
          <w:rFonts w:ascii="Times New Roman" w:eastAsia="Calibri" w:hAnsi="Times New Roman" w:cs="Times New Roman"/>
          <w:b/>
          <w:sz w:val="24"/>
          <w:szCs w:val="24"/>
        </w:rPr>
        <w:t xml:space="preserve">DICTAMEN FORMULADO A LA </w:t>
      </w:r>
      <w:bookmarkEnd w:id="3"/>
      <w:r w:rsidRPr="0012597A">
        <w:rPr>
          <w:rFonts w:ascii="Times New Roman" w:eastAsia="Calibri" w:hAnsi="Times New Roman" w:cs="Times New Roman"/>
          <w:b/>
          <w:sz w:val="24"/>
          <w:szCs w:val="24"/>
          <w:lang w:val="es-ES"/>
        </w:rPr>
        <w:t>INICIATIVA CON PROYECTO DE DECRETO POR EL QUE SE REFORMAN LOS ARTÍCULOS 3.38 BIS Y 3.38 TER DEL CÓDIGO CIVIL DEL ESTADO DE MÉXICO, PRESENTADA POR LA DIPUTADA ELENA GARCÍA MARTÍNEZ, EN NOMBRE DEL GRUPO PARLAMENTARIO DEL PARTIDO MORENA.</w:t>
      </w:r>
    </w:p>
    <w:bookmarkEnd w:id="5"/>
    <w:p w14:paraId="74C014AE"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07E655D8" w14:textId="77777777" w:rsidR="00FC0165" w:rsidRPr="0012597A" w:rsidRDefault="00FC0165" w:rsidP="004B08E8">
      <w:pPr>
        <w:spacing w:after="0" w:line="240" w:lineRule="auto"/>
        <w:contextualSpacing/>
        <w:jc w:val="both"/>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HONORABLE ASAMBLEA:</w:t>
      </w:r>
    </w:p>
    <w:p w14:paraId="2A77F20C"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568D8123"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r w:rsidRPr="0012597A">
        <w:rPr>
          <w:rFonts w:ascii="Times New Roman" w:eastAsia="Calibri" w:hAnsi="Times New Roman" w:cs="Times New Roman"/>
          <w:sz w:val="24"/>
          <w:szCs w:val="24"/>
        </w:rPr>
        <w:lastRenderedPageBreak/>
        <w:t>La Presidencia de la "LXII" Legislatura remitió a la Comisión Legislativa de Procuración y Administración de Justicia</w:t>
      </w:r>
      <w:r w:rsidRPr="0012597A">
        <w:rPr>
          <w:rFonts w:ascii="Times New Roman" w:eastAsia="Calibri" w:hAnsi="Times New Roman" w:cs="Times New Roman"/>
          <w:sz w:val="24"/>
          <w:szCs w:val="24"/>
          <w:lang w:val="es-ES"/>
        </w:rPr>
        <w:t>, para su estudio</w:t>
      </w:r>
      <w:r w:rsidRPr="0012597A">
        <w:rPr>
          <w:rFonts w:ascii="Times New Roman" w:eastAsia="Calibri" w:hAnsi="Times New Roman" w:cs="Times New Roman"/>
          <w:sz w:val="24"/>
          <w:szCs w:val="24"/>
        </w:rPr>
        <w:t xml:space="preserve"> y dictamen, la</w:t>
      </w:r>
      <w:r w:rsidRPr="0012597A">
        <w:rPr>
          <w:rFonts w:ascii="Times New Roman" w:eastAsia="Calibri" w:hAnsi="Times New Roman" w:cs="Times New Roman"/>
          <w:sz w:val="24"/>
          <w:szCs w:val="24"/>
          <w:lang w:val="es-ES"/>
        </w:rPr>
        <w:t xml:space="preserve"> </w:t>
      </w:r>
      <w:bookmarkStart w:id="6" w:name="_Hlk221985748"/>
      <w:r w:rsidRPr="0012597A">
        <w:rPr>
          <w:rFonts w:ascii="Times New Roman" w:eastAsia="Calibri" w:hAnsi="Times New Roman" w:cs="Times New Roman"/>
          <w:sz w:val="24"/>
          <w:szCs w:val="24"/>
          <w:lang w:val="es-ES"/>
        </w:rPr>
        <w:t>Iniciativa con Proyecto de Decreto por el que se reforman los artículos 3.38 bis y 3.38 ter del Código Civil del Estado de México, presentada por la Diputada Elena García Martínez, en nombre del Grupo Parlamentario del Partido morena.</w:t>
      </w:r>
    </w:p>
    <w:bookmarkEnd w:id="6"/>
    <w:p w14:paraId="0DA00032"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p>
    <w:p w14:paraId="4E3447E5"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Sustanciado el estudio de la iniciativa y discutido plenamente en la comisión legislativa,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14:paraId="46B6EBD7"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11AF6007" w14:textId="77777777" w:rsidR="00FC0165" w:rsidRPr="0012597A" w:rsidRDefault="00FC0165" w:rsidP="004B08E8">
      <w:pPr>
        <w:spacing w:after="0" w:line="240" w:lineRule="auto"/>
        <w:contextualSpacing/>
        <w:jc w:val="center"/>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DICTAMEN</w:t>
      </w:r>
    </w:p>
    <w:p w14:paraId="1003AE42"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p>
    <w:p w14:paraId="7840D8EA" w14:textId="77777777" w:rsidR="00FC0165" w:rsidRPr="0012597A" w:rsidRDefault="00FC0165" w:rsidP="004B08E8">
      <w:pPr>
        <w:spacing w:after="0" w:line="240" w:lineRule="auto"/>
        <w:contextualSpacing/>
        <w:jc w:val="both"/>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ANTECEDENTES.</w:t>
      </w:r>
    </w:p>
    <w:p w14:paraId="6ACE7906"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p>
    <w:p w14:paraId="0E05CA4D"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r w:rsidRPr="0012597A">
        <w:rPr>
          <w:rFonts w:ascii="Times New Roman" w:eastAsia="Calibri" w:hAnsi="Times New Roman" w:cs="Times New Roman"/>
          <w:sz w:val="24"/>
          <w:szCs w:val="24"/>
          <w:lang w:val="es-ES"/>
        </w:rPr>
        <w:t xml:space="preserve">En sesión de la “LXII” Legislatura realizada el día treinta de abril de dos mil veinticinco, la Diputada Elena García Martínez, integrante del Grupo Parlamentario del Partido morena, de conformidad con lo señalado en </w:t>
      </w:r>
      <w:r w:rsidRPr="0012597A">
        <w:rPr>
          <w:rFonts w:ascii="Times New Roman" w:eastAsia="Calibri" w:hAnsi="Times New Roman" w:cs="Times New Roman"/>
          <w:sz w:val="24"/>
          <w:szCs w:val="24"/>
        </w:rPr>
        <w:t>los artículos 51 fracción II, 56, 57 y 61 fracción I de la Constitución Política del Estado Libre y Soberano de México, y 28 fracción I, 79 y 81 de la Ley Orgánica del Poder Legislativo del Estado Libre y Soberano de México</w:t>
      </w:r>
      <w:r w:rsidRPr="0012597A">
        <w:rPr>
          <w:rFonts w:ascii="Times New Roman" w:eastAsia="Calibri" w:hAnsi="Times New Roman" w:cs="Times New Roman"/>
          <w:sz w:val="24"/>
          <w:szCs w:val="24"/>
          <w:lang w:val="es-ES"/>
        </w:rPr>
        <w:t>, sometió a la consideración de la Soberanía Popular la Iniciativa con Proyecto de Decreto por el que se reforman los artículos 3.38 bis y 3.38 ter del Código Civil del Estado de México.</w:t>
      </w:r>
    </w:p>
    <w:p w14:paraId="0F2EADD7"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0CCFB79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lang w:val="es-ES"/>
        </w:rPr>
        <w:t xml:space="preserve">Con base en el estudio desarrollado por la comisión legislativa encontramos que a través de la iniciativa se propone </w:t>
      </w:r>
      <w:r w:rsidRPr="0012597A">
        <w:rPr>
          <w:rFonts w:ascii="Times New Roman" w:eastAsia="Calibri" w:hAnsi="Times New Roman" w:cs="Times New Roman"/>
          <w:sz w:val="24"/>
          <w:szCs w:val="24"/>
        </w:rPr>
        <w:t>agilizar la resolución de solicitudes de cambio de nombre mediante dictamen de la Dirección General del Registro Civil.</w:t>
      </w:r>
    </w:p>
    <w:p w14:paraId="17C4102D"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57AD57C7"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En cumplimiento del procedimiento legislativo aplicable, el veinte de octubre de dos mil veinticinco, la Comisión Legislativa de Procuración y Administración de Justicia, celebró reunión de estudio y analizó la Iniciativa con Proyecto de Decreto y, en fecha doce de marzo de dos mil veintiséis, celebró reunión, en la que dictaminó la iniciativa.</w:t>
      </w:r>
    </w:p>
    <w:p w14:paraId="300D476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087A3483"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Por lo tanto, con apego al estudio que llevamos a cabo y a las propuestas de integrantes de los distintos Grupos Parlamentarios, favorecimos el perfeccionamiento del Proyecto de Decreto y así, resulta procedente </w:t>
      </w:r>
      <w:r w:rsidRPr="0012597A">
        <w:rPr>
          <w:rFonts w:ascii="Times New Roman" w:eastAsia="Calibri" w:hAnsi="Times New Roman" w:cs="Times New Roman"/>
          <w:bCs/>
          <w:sz w:val="24"/>
          <w:szCs w:val="24"/>
        </w:rPr>
        <w:t xml:space="preserve">reformar </w:t>
      </w:r>
      <w:r w:rsidRPr="0012597A">
        <w:rPr>
          <w:rFonts w:ascii="Times New Roman" w:eastAsia="Calibri" w:hAnsi="Times New Roman" w:cs="Times New Roman"/>
          <w:sz w:val="24"/>
          <w:szCs w:val="24"/>
        </w:rPr>
        <w:t>el párrafo tercero del artículo 3.38 bis y adicionar un párrafo cuarto, recorriéndose el subsecuente del artículo 3.38 bis del Código Civil del Estado de México.</w:t>
      </w:r>
    </w:p>
    <w:p w14:paraId="533D2822"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C397013"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En tal sentido, la reforma permitirá que la solicitud de modificación, cambio, ampliación o reducción del sustantivo propio registrado por ser expuesto al ridículo o por el uso invariable y constante de otro diverso en su vida social y jurídica, sin que se afecten los apellidos, será resuelta en un plazo no mayor a </w:t>
      </w:r>
      <w:r w:rsidRPr="0012597A">
        <w:rPr>
          <w:rFonts w:ascii="Times New Roman" w:eastAsia="Calibri" w:hAnsi="Times New Roman" w:cs="Times New Roman"/>
          <w:bCs/>
          <w:sz w:val="24"/>
          <w:szCs w:val="24"/>
        </w:rPr>
        <w:t>quince días hábiles</w:t>
      </w:r>
      <w:r w:rsidRPr="0012597A">
        <w:rPr>
          <w:rFonts w:ascii="Times New Roman" w:eastAsia="Calibri" w:hAnsi="Times New Roman" w:cs="Times New Roman"/>
          <w:b/>
          <w:bCs/>
          <w:sz w:val="24"/>
          <w:szCs w:val="24"/>
        </w:rPr>
        <w:t xml:space="preserve"> </w:t>
      </w:r>
      <w:r w:rsidRPr="0012597A">
        <w:rPr>
          <w:rFonts w:ascii="Times New Roman" w:eastAsia="Calibri" w:hAnsi="Times New Roman" w:cs="Times New Roman"/>
          <w:sz w:val="24"/>
          <w:szCs w:val="24"/>
        </w:rPr>
        <w:t>por el Consejo Dictaminador, en términos de lo dispuesto por los lineamientos que para el efecto se emitan.</w:t>
      </w:r>
    </w:p>
    <w:p w14:paraId="728D6CEE"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3698D32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Cs/>
          <w:sz w:val="24"/>
          <w:szCs w:val="24"/>
        </w:rPr>
        <w:t>De igual forma, una vez dictaminada la procedencia de la modificación del sustantivo propio por el Consejo Dictaminador, se dará aviso a la persona interesada y en un plazo no mayor a dos días hábiles, la</w:t>
      </w:r>
      <w:r w:rsidRPr="0012597A">
        <w:rPr>
          <w:rFonts w:ascii="Times New Roman" w:eastAsia="Calibri" w:hAnsi="Times New Roman" w:cs="Times New Roman"/>
          <w:b/>
          <w:bCs/>
          <w:sz w:val="24"/>
          <w:szCs w:val="24"/>
        </w:rPr>
        <w:t xml:space="preserve"> </w:t>
      </w:r>
      <w:r w:rsidRPr="0012597A">
        <w:rPr>
          <w:rFonts w:ascii="Times New Roman" w:eastAsia="Calibri" w:hAnsi="Times New Roman" w:cs="Times New Roman"/>
          <w:bCs/>
          <w:sz w:val="24"/>
          <w:szCs w:val="24"/>
        </w:rPr>
        <w:t>Dirección General del Registro Civil notificará al Oficial del Registro Civil y a la Jefatura Regional que correspondan, para que de forma inmediata realicen la anotación de modificación en el acta de nacimiento.</w:t>
      </w:r>
    </w:p>
    <w:p w14:paraId="1FEA7B22"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06418218" w14:textId="77777777" w:rsidR="00FC0165" w:rsidRPr="0012597A" w:rsidRDefault="00FC0165" w:rsidP="004B08E8">
      <w:pPr>
        <w:spacing w:after="0" w:line="240" w:lineRule="auto"/>
        <w:contextualSpacing/>
        <w:jc w:val="both"/>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CONSIDERACIONES.</w:t>
      </w:r>
    </w:p>
    <w:p w14:paraId="1A2899C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229F4795"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r w:rsidRPr="0012597A">
        <w:rPr>
          <w:rFonts w:ascii="Times New Roman" w:eastAsia="Calibri" w:hAnsi="Times New Roman" w:cs="Times New Roman"/>
          <w:bCs/>
          <w:sz w:val="24"/>
          <w:szCs w:val="24"/>
        </w:rPr>
        <w:t>Compete a la “LXII” Legislatura conocer y resolver la Iniciativa de Decreto, en atención a lo previsto en el artículo 61 fracción I de la Constitución Política del Estado Libre y Soberano de México, que la faculta a</w:t>
      </w:r>
      <w:r w:rsidRPr="0012597A">
        <w:rPr>
          <w:rFonts w:ascii="Times New Roman" w:eastAsia="Calibri" w:hAnsi="Times New Roman" w:cs="Times New Roman"/>
          <w:bCs/>
          <w:sz w:val="24"/>
          <w:szCs w:val="24"/>
          <w:lang w:val="es-ES"/>
        </w:rPr>
        <w:t xml:space="preserve"> </w:t>
      </w:r>
      <w:r w:rsidRPr="0012597A">
        <w:rPr>
          <w:rFonts w:ascii="Times New Roman" w:eastAsia="Calibri" w:hAnsi="Times New Roman" w:cs="Times New Roman"/>
          <w:bCs/>
          <w:sz w:val="24"/>
          <w:szCs w:val="24"/>
        </w:rPr>
        <w:t>expedir leyes, decretos o acuerdos para el régimen interior del Estado, en todos los ramos de la administración del gobierno.</w:t>
      </w:r>
    </w:p>
    <w:p w14:paraId="5389D7C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7395FF85" w14:textId="77777777" w:rsidR="00FC0165" w:rsidRPr="0012597A" w:rsidRDefault="00FC0165" w:rsidP="004B08E8">
      <w:pPr>
        <w:spacing w:after="0" w:line="240" w:lineRule="auto"/>
        <w:contextualSpacing/>
        <w:jc w:val="both"/>
        <w:rPr>
          <w:rFonts w:ascii="Times New Roman" w:eastAsia="Calibri" w:hAnsi="Times New Roman" w:cs="Times New Roman"/>
          <w:b/>
          <w:sz w:val="24"/>
          <w:szCs w:val="24"/>
        </w:rPr>
      </w:pPr>
      <w:r w:rsidRPr="0012597A">
        <w:rPr>
          <w:rFonts w:ascii="Times New Roman" w:eastAsia="Calibri" w:hAnsi="Times New Roman" w:cs="Times New Roman"/>
          <w:b/>
          <w:sz w:val="24"/>
          <w:szCs w:val="24"/>
        </w:rPr>
        <w:t>ANÁLISIS Y VALORACIÓN DE LOS ARGUMENTOS.</w:t>
      </w:r>
    </w:p>
    <w:p w14:paraId="5C78950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18FA8710"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Reconocemos con la iniciativa que el derecho a la identidad es fundamental para garantizar el reconocimiento individual de cada persona. Asimismo, comprende aspectos legales como la inscripción en registros civiles, pero también elementos más profundos como los orígenes familiares, la herencia cultural y el reconocimiento de una identidad social.  Este derecho permite a las personas desarrollar su personalidad sin discriminación de ningún tipo y acceder a servicios básicos.</w:t>
      </w:r>
    </w:p>
    <w:p w14:paraId="5E1C2FE7"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7A668882"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En efecto, como se explica en la parte expositiva, el nombre es un derecho humano cuyo ejercicio pleno está relacionado con la posibilidad de acceder a otros derechos. Es difícil visualizar que alguien ejerza una prerrogativa estatal sin previamente identificarse de manera cierta. Es especialmente importante para niñas, niños y adolescentes, quienes construyen su imagen y comprensión personal a partir del disfrute de otros derechos como la educación, la salud, el ocio o la convivencia social. Su vulneración puede conducir a la marginación social y la negación de estos derechos fundamentales.</w:t>
      </w:r>
    </w:p>
    <w:p w14:paraId="0946507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98A1B4E" w14:textId="77777777" w:rsidR="00FC0165" w:rsidRPr="0012597A" w:rsidRDefault="00FC0165" w:rsidP="004B08E8">
      <w:pPr>
        <w:spacing w:after="0" w:line="240" w:lineRule="auto"/>
        <w:contextualSpacing/>
        <w:jc w:val="both"/>
        <w:rPr>
          <w:rFonts w:ascii="Times New Roman" w:eastAsia="Calibri" w:hAnsi="Times New Roman" w:cs="Times New Roman"/>
          <w:i/>
          <w:iCs/>
          <w:sz w:val="24"/>
          <w:szCs w:val="24"/>
        </w:rPr>
      </w:pPr>
      <w:r w:rsidRPr="0012597A">
        <w:rPr>
          <w:rFonts w:ascii="Times New Roman" w:eastAsia="Calibri" w:hAnsi="Times New Roman" w:cs="Times New Roman"/>
          <w:sz w:val="24"/>
          <w:szCs w:val="24"/>
        </w:rPr>
        <w:t>Destacamos también con la propuesta legislativa que la Suprema Corte de Justicia de la Nación (SCJN) ha señalado que el derecho humano al nombre está estrechamente ligado con la dignidad humana, toda vez</w:t>
      </w:r>
      <w:r w:rsidRPr="0012597A">
        <w:rPr>
          <w:rFonts w:ascii="Times New Roman" w:eastAsia="Calibri" w:hAnsi="Times New Roman" w:cs="Times New Roman"/>
          <w:sz w:val="24"/>
          <w:szCs w:val="24"/>
          <w:lang w:eastAsia="es-MX"/>
        </w:rPr>
        <w:t xml:space="preserve"> </w:t>
      </w:r>
      <w:r w:rsidRPr="0012597A">
        <w:rPr>
          <w:rFonts w:ascii="Times New Roman" w:eastAsia="Calibri" w:hAnsi="Times New Roman" w:cs="Times New Roman"/>
          <w:sz w:val="24"/>
          <w:szCs w:val="24"/>
        </w:rPr>
        <w:t xml:space="preserve">que es imposible acceder a otros derechos si el Estado no reconoce la identidad de una persona.  De igual forma, en el amparo directo 6/2008, la Suprema Corte </w:t>
      </w:r>
      <w:r w:rsidRPr="0012597A">
        <w:rPr>
          <w:rFonts w:ascii="Times New Roman" w:eastAsia="Calibri" w:hAnsi="Times New Roman" w:cs="Times New Roman"/>
          <w:i/>
          <w:iCs/>
          <w:sz w:val="24"/>
          <w:szCs w:val="24"/>
        </w:rPr>
        <w:t xml:space="preserve">fijó que cada persona puede disponer libremente de los aspectos íntimos de su vida como mejor le plazca: el libre desarrollo de la personalidad fue elevado a rango constitucional, a la usanza más pura de los tribunales del </w:t>
      </w:r>
      <w:proofErr w:type="spellStart"/>
      <w:r w:rsidRPr="0012597A">
        <w:rPr>
          <w:rFonts w:ascii="Times New Roman" w:eastAsia="Calibri" w:hAnsi="Times New Roman" w:cs="Times New Roman"/>
          <w:i/>
          <w:iCs/>
          <w:sz w:val="24"/>
          <w:szCs w:val="24"/>
        </w:rPr>
        <w:t>common</w:t>
      </w:r>
      <w:proofErr w:type="spellEnd"/>
      <w:r w:rsidRPr="0012597A">
        <w:rPr>
          <w:rFonts w:ascii="Times New Roman" w:eastAsia="Calibri" w:hAnsi="Times New Roman" w:cs="Times New Roman"/>
          <w:i/>
          <w:iCs/>
          <w:sz w:val="24"/>
          <w:szCs w:val="24"/>
        </w:rPr>
        <w:t xml:space="preserve"> </w:t>
      </w:r>
      <w:proofErr w:type="spellStart"/>
      <w:r w:rsidRPr="0012597A">
        <w:rPr>
          <w:rFonts w:ascii="Times New Roman" w:eastAsia="Calibri" w:hAnsi="Times New Roman" w:cs="Times New Roman"/>
          <w:i/>
          <w:iCs/>
          <w:sz w:val="24"/>
          <w:szCs w:val="24"/>
        </w:rPr>
        <w:t>law</w:t>
      </w:r>
      <w:proofErr w:type="spellEnd"/>
      <w:r w:rsidRPr="0012597A">
        <w:rPr>
          <w:rFonts w:ascii="Times New Roman" w:eastAsia="Calibri" w:hAnsi="Times New Roman" w:cs="Times New Roman"/>
          <w:i/>
          <w:iCs/>
          <w:sz w:val="24"/>
          <w:szCs w:val="24"/>
        </w:rPr>
        <w:t xml:space="preserve"> (derecho consuetudinario). Los litigios de diferentes derechos —como el derecho al nombre— tomaron esta sentencia como precedente fundamental, cuyos enunciados estuvieron enraizados en la cultura jurídica mexicana durante una temporalidad considerable.</w:t>
      </w:r>
    </w:p>
    <w:p w14:paraId="72466802" w14:textId="77777777" w:rsidR="00FC0165" w:rsidRPr="0012597A" w:rsidRDefault="00FC0165" w:rsidP="004B08E8">
      <w:pPr>
        <w:spacing w:after="0" w:line="240" w:lineRule="auto"/>
        <w:contextualSpacing/>
        <w:jc w:val="both"/>
        <w:rPr>
          <w:rFonts w:ascii="Times New Roman" w:eastAsia="Calibri" w:hAnsi="Times New Roman" w:cs="Times New Roman"/>
          <w:i/>
          <w:iCs/>
          <w:sz w:val="24"/>
          <w:szCs w:val="24"/>
        </w:rPr>
      </w:pPr>
    </w:p>
    <w:p w14:paraId="12110B6B"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Asimismo, advertimos que el derecho al nombre se encuentra previsto como un derecho fundamental en el artículo 18 de la Convención Americana sobre Derechos Humanos de la Organización de los Estados Americanos.</w:t>
      </w:r>
    </w:p>
    <w:p w14:paraId="32EFB08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305529A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De igual forma, la Declaración sobre los Derechos del Niño de la Organización de las Naciones Unidas dispone en su parte conducente que los Estados Partes se comprometen a respetar el derecho del niño a preservar su identidad, incluidos la nacionalidad, el nombre y las relaciones familiares de conformidad con la ley sin injerencias ilícitas.</w:t>
      </w:r>
    </w:p>
    <w:p w14:paraId="4E2ACA7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5AA74F24"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Cabe precisar como lo hace la iniciativa que el artículo 29 de la Constitución Política de los Estados Unidos Mexicanos, reconoce además que el nombre de las personas es un derecho fundamental que no puede restringirse ni suspenderse, inclusive en los casos de invasión, perturbación grave de </w:t>
      </w:r>
      <w:r w:rsidRPr="0012597A">
        <w:rPr>
          <w:rFonts w:ascii="Times New Roman" w:eastAsia="Calibri" w:hAnsi="Times New Roman" w:cs="Times New Roman"/>
          <w:sz w:val="24"/>
          <w:szCs w:val="24"/>
        </w:rPr>
        <w:lastRenderedPageBreak/>
        <w:t>la paz pública, o de cualquier otro que ponga a la sociedad en grave peligro o conflicto, por lo cual se describe como un derecho inalienable e imprescriptible.</w:t>
      </w:r>
    </w:p>
    <w:p w14:paraId="5F93EC39"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48DA1FD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Por su parte, la SCJN ha señalado que el </w:t>
      </w:r>
      <w:r w:rsidRPr="0012597A">
        <w:rPr>
          <w:rFonts w:ascii="Times New Roman" w:eastAsia="Calibri" w:hAnsi="Times New Roman" w:cs="Times New Roman"/>
          <w:i/>
          <w:iCs/>
          <w:sz w:val="24"/>
          <w:szCs w:val="24"/>
        </w:rPr>
        <w:t xml:space="preserve">“derecho humano al nombre ha sido ejercitado hasta ahora con mayor urgencia por grupos vulnerables.  Desde la perspectiva jurisdiccional, es posible apreciar un cúmulo importante de sentencias en la materia que han beneficiado a niñas, niños y adolescentes, por un lado, y a miembros de la comunidad LGBTIQ+, por otro.” </w:t>
      </w:r>
      <w:r w:rsidRPr="0012597A">
        <w:rPr>
          <w:rFonts w:ascii="Times New Roman" w:eastAsia="Calibri" w:hAnsi="Times New Roman" w:cs="Times New Roman"/>
          <w:sz w:val="24"/>
          <w:szCs w:val="24"/>
        </w:rPr>
        <w:t>He aquí donde recae la importancia de que este derecho humano sea regulado adecuadamente, puesto que, el no poder ejercerlo de manera óptima, genera vulnerabilidades, principalmente en estos grupos.</w:t>
      </w:r>
    </w:p>
    <w:p w14:paraId="73058DB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3719BDC8"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Es claro que, el nombre se encuentra concebido como un derecho humano mediante el cual genera un nexo social de la identidad, siendo uno de sus elementos determinantes para la identificación de las personas, por lo que no emerge de una regulación particular por las entidades federativas, sino se atiende acorde con la tutela prevista en normas internacionales, la propia Constitución Política de los Estados Unidos Mexicanos, las constituciones de las entidades federativas y las regulaciones secundarias a éstas.</w:t>
      </w:r>
    </w:p>
    <w:p w14:paraId="71926C82"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1EC28C9C"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De igual forma, apreciamos que compete a las entidades federativas regular los casos en los que podría considerarse justificado la modificación del sustantivo del nombre de las personas como un ejercicio pleno al derecho fundamental del uso de nombre, y los mecanismos administrativos o judiciales, los cuales deben ser ágiles para salvaguardar a las personas el acceso a prerrogativas estatales y evitar una merma en su esfera jurídica.</w:t>
      </w:r>
    </w:p>
    <w:p w14:paraId="2898F445"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0EDFCC5E"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Resalta también que, en el año 2014, fueron publicadas las reformas al Código Civil del Estado de México para regular en materia administrativa, el procedimiento de modificación de cambio de sustantivo propio, por lo cual se adicionaron a la normatividad sustantiva en materia civil los artículos 3.38 bis y 3.38 ter.</w:t>
      </w:r>
    </w:p>
    <w:p w14:paraId="3AAFE8B2"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097ED780"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Como se afirma en la iniciativa, el artículo 3.38 bis del Código Civil del Estado de México, reguló como motivos para modificar el sustantivo propio lo siguiente: por la afectación a su dignidad humana como consecuencia de la exposición al ridículo, o por el uso invariable y constante de otro diverso en su vida social y jurídica. Asimismo, la reforma adicionó como posibles solicitantes del procedimiento de modificación.</w:t>
      </w:r>
    </w:p>
    <w:p w14:paraId="621DED04"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311A900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En este contexto, para poder calificar la procedencia del cambio de sustantivo propio, la reforma incorporó al Código Civil del Estado de México, un órgano colegiado resolutor para analizar y deliberar las solicitudes de cambio de sustantivo propio denominado Consejo Dictaminador, el cual, de conformidad con el artículo 3.38 ter, se encuentra integrado por la Consejería Jurídica; la Dirección General del Registro Civil; el Poder Judicial del Estado de México; la Universidad Autónoma del Estado de México; el Colegio de Notarios del Estado de México; el Sistema Estatal para el Desarrollo Integral de la Familia del Estado de México; y la Comisión de Derechos Humanos del Estado de México, como se refiere en la propuesta legislativa.</w:t>
      </w:r>
    </w:p>
    <w:p w14:paraId="6314A473"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29F5C14C"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Como lo precisa la iniciativa, si bien es cierto que la integración de un órgano colegiado busca una deliberación respecto a la procedencia o improcedencia de las solicitudes, lo cierto es que, al tratarse de un tema de derechos fundamentales, máxime que el nombre se trata de un derecho que potencializa el acceso a otras prerrogativas estatales, su resolución no puede ser prolongada y debe resolverse en un corto tiempo y de manera cierta,</w:t>
      </w:r>
      <w:r w:rsidRPr="0012597A">
        <w:rPr>
          <w:rFonts w:ascii="Times New Roman" w:eastAsia="Calibri" w:hAnsi="Times New Roman" w:cs="Times New Roman"/>
          <w:sz w:val="24"/>
          <w:szCs w:val="24"/>
          <w:lang w:eastAsia="es-MX"/>
        </w:rPr>
        <w:t xml:space="preserve"> </w:t>
      </w:r>
      <w:r w:rsidRPr="0012597A">
        <w:rPr>
          <w:rFonts w:ascii="Times New Roman" w:eastAsia="Calibri" w:hAnsi="Times New Roman" w:cs="Times New Roman"/>
          <w:sz w:val="24"/>
          <w:szCs w:val="24"/>
        </w:rPr>
        <w:t>ya que el Estado está conminado a regular un procedimiento ágil y garantizar certeza sobre la resolución de la pretensión de las personas.</w:t>
      </w:r>
    </w:p>
    <w:p w14:paraId="54053B34"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7BD1560"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Coincidimos con la propuesta, en cuanto a que si tomamos en consideración que la modificación al nombre se relaciona directamente con el acceso al ejercicio de los derechos como: salud, educación, posesión o propiedad, sucesorios, alimentos, acceso a programas sociales, laborales, entre otros, es de suma importancia que las resoluciones sean prontas y expeditas para evitar obstaculizar el libre desarrollo de las personas otorgando la máxima tutela a los derechos humanos.</w:t>
      </w:r>
    </w:p>
    <w:p w14:paraId="5BE9FBC2"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3F89AB6"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Es acertado recordar que la Corte Interamericana de Derechos Humanos ha indicado en varias oportunidades que el plazo razonable de duración de un procedimiento sea éste judicial o administrativo, se encuentra determinado, entre otros elementos, por la afectación generada por la duración del procedimiento en la situación jurídica de la persona involucrada en el mismo. Así, se ha establecido que, si el paso del tiempo incide de manera relevante en la situación jurídica de la persona, resultará necesario que el procedimiento se desarrolle con mayor prontitud a fin de que el caso se resuelva en un tiempo breve.</w:t>
      </w:r>
    </w:p>
    <w:p w14:paraId="5354297C"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5EC84D1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Es evidente que el grado de afectación que puede tener este tipo de procedimientos de cambio de nombre, es de tal magnitud que deben llevarse a cabo con la mayor celeridad posible. Hay que destacar que si se centraliza el proceso de análisis de modificación del sustantivo propio en una única entidad administrativa, como lo es la Dirección General del Registro Civil, esto puede generar una estrategia más eficiente y expedita que la deliberación de un comité colegiado, que, por norma, se reúne cada mes, toda vez que reduce la complejidad burocrática y minimiza los tiempos de respuesta, facilitando el acceso de las personas a este trámite.</w:t>
      </w:r>
    </w:p>
    <w:p w14:paraId="454168E8"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79625D0D"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Creemos también que el análisis de los casos concentrados solamente en una dependencia como la Dirección General en comento, puede permitir una evaluación más directa de los elementos que incluyan en su solicitud las personas interesadas, eliminando las dilaciones innecesarias a las discusiones colegiadas dentro del Consejo Dictaminador, y esto puede garantizar un flujo procedimental más rápido y transparente, donde la responsabilidad recae en una autoridad específica con facultades claras para resolver.</w:t>
      </w:r>
    </w:p>
    <w:p w14:paraId="4D98B495"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76549184"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Es obvio que, la Dirección General del Registro Civil cuenta con el conocimiento técnico y jurídico necesario para emitir resoluciones fundadas, motivadas, apegadas a derecho y con pleno respeto a los derechos humanos de las personas que, por cualquiera que sea el motivo, solicitan este procedimiento, lo cual puede llevarse a cabo con mayor celeridad, sin los procesos deliberativos tardados que caracterizan a los órganos colegiados, lo que se traduce en un acceso más inmediato y efectivo al trámite de modificación del nombre para los ciudadanos.</w:t>
      </w:r>
    </w:p>
    <w:p w14:paraId="255F698B"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5860C53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En consecuencia, compartimos el objeto de la iniciativa de eliminar obstáculos procedimentales que dilaten la resolución de las solicitudes de cambio de sustantivo propio a efecto de que exista certeza a favor de las personas, para lo cual se propone que la resolución de procedencia o improcedencia sea pronunciada mediante dictamen que emita la Dirección General del Registro Civil del Estado de México, en un periodo no mayor a quince días hábiles.</w:t>
      </w:r>
    </w:p>
    <w:p w14:paraId="137BF43B"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155535F5"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Remarcamos, como lo hace la exposición de motivos que en la legislación ya se prevén procedimientos ágiles para cambio de sustantivo como es el previsto en el CAPÍTULO VIII “Expedición de acta por rectificación para el reconocimiento de identidad de género” del Código Civil del Estado de México, procedimiento en el cual se faculta a los oficiales del Registro Civil para modificar el sustantivo sin autorización alguna, por ello debe considerarse jurídicamente viable que los procedimientos de modificación de sustantivo propio se emitan por la Dirección del </w:t>
      </w:r>
      <w:r w:rsidRPr="0012597A">
        <w:rPr>
          <w:rFonts w:ascii="Times New Roman" w:eastAsia="Calibri" w:hAnsi="Times New Roman" w:cs="Times New Roman"/>
          <w:sz w:val="24"/>
          <w:szCs w:val="24"/>
        </w:rPr>
        <w:lastRenderedPageBreak/>
        <w:t>Registro Civil de forma expedita. En este sentido, se encuentra viable que, al igual que en el procedimiento señalado, se regule la forma en la que el Registro Civil lo realizará, por lo cual se incorporan los lineamientos expedidos para el caso en análisis y se incorporan propiamente en el Código Civil del Estado de México.</w:t>
      </w:r>
    </w:p>
    <w:p w14:paraId="0103A62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040A488B" w14:textId="77777777" w:rsidR="00FC0165" w:rsidRPr="0012597A" w:rsidRDefault="00FC0165" w:rsidP="004B08E8">
      <w:pPr>
        <w:spacing w:after="0" w:line="240" w:lineRule="auto"/>
        <w:contextualSpacing/>
        <w:jc w:val="both"/>
        <w:rPr>
          <w:rFonts w:ascii="Times New Roman" w:eastAsia="Calibri" w:hAnsi="Times New Roman" w:cs="Times New Roman"/>
          <w:b/>
          <w:sz w:val="24"/>
          <w:szCs w:val="24"/>
        </w:rPr>
      </w:pPr>
      <w:r w:rsidRPr="0012597A">
        <w:rPr>
          <w:rFonts w:ascii="Times New Roman" w:eastAsia="Calibri" w:hAnsi="Times New Roman" w:cs="Times New Roman"/>
          <w:b/>
          <w:sz w:val="24"/>
          <w:szCs w:val="24"/>
        </w:rPr>
        <w:t>ANÁLISIS Y ESTUDIO TÉCNICO DEL TEXTO NORMATIVO.</w:t>
      </w:r>
    </w:p>
    <w:p w14:paraId="198DA137"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96E7A1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bookmarkStart w:id="7" w:name="_Hlk222352470"/>
      <w:r w:rsidRPr="0012597A">
        <w:rPr>
          <w:rFonts w:ascii="Times New Roman" w:eastAsia="Calibri" w:hAnsi="Times New Roman" w:cs="Times New Roman"/>
          <w:sz w:val="24"/>
          <w:szCs w:val="24"/>
        </w:rPr>
        <w:t xml:space="preserve">En consecuencia, con sujeción al estudio realizado y tomando en cuenta las propuestas de integrantes de los distintos Grupos Parlamentarios, favorecimos el perfeccionamiento del Proyecto de Decreto y así, resulta procedente </w:t>
      </w:r>
      <w:r w:rsidRPr="0012597A">
        <w:rPr>
          <w:rFonts w:ascii="Times New Roman" w:eastAsia="Calibri" w:hAnsi="Times New Roman" w:cs="Times New Roman"/>
          <w:bCs/>
          <w:sz w:val="24"/>
          <w:szCs w:val="24"/>
        </w:rPr>
        <w:t xml:space="preserve">reformar </w:t>
      </w:r>
      <w:r w:rsidRPr="0012597A">
        <w:rPr>
          <w:rFonts w:ascii="Times New Roman" w:eastAsia="Calibri" w:hAnsi="Times New Roman" w:cs="Times New Roman"/>
          <w:sz w:val="24"/>
          <w:szCs w:val="24"/>
        </w:rPr>
        <w:t>el párrafo tercero del artículo 3.38 bis y adicionar un párrafo cuarto, recorriéndose el subsecuente del artículo 3.38 bis del Código Civil del Estado de México.</w:t>
      </w:r>
    </w:p>
    <w:p w14:paraId="4E4F1E14"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4C41C12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Estimamos que la reforma permitirá que la solicitud de modificación, cambio, ampliación o reducción del sustantivo propio registrado por ser expuesto al ridículo o por el uso invariable y constante de otro diverso en su vida social y jurídica, sin que se afecten los apellidos, será resuelta en un plazo no mayor a </w:t>
      </w:r>
      <w:r w:rsidRPr="0012597A">
        <w:rPr>
          <w:rFonts w:ascii="Times New Roman" w:eastAsia="Calibri" w:hAnsi="Times New Roman" w:cs="Times New Roman"/>
          <w:bCs/>
          <w:sz w:val="24"/>
          <w:szCs w:val="24"/>
        </w:rPr>
        <w:t xml:space="preserve">quince días hábiles </w:t>
      </w:r>
      <w:r w:rsidRPr="0012597A">
        <w:rPr>
          <w:rFonts w:ascii="Times New Roman" w:eastAsia="Calibri" w:hAnsi="Times New Roman" w:cs="Times New Roman"/>
          <w:sz w:val="24"/>
          <w:szCs w:val="24"/>
        </w:rPr>
        <w:t>por el Consejo Dictaminador, en términos de lo dispuesto por los lineamientos que para el efecto se emitan.</w:t>
      </w:r>
    </w:p>
    <w:p w14:paraId="119ADCFE"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7D1CB31E"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Cs/>
          <w:sz w:val="24"/>
          <w:szCs w:val="24"/>
        </w:rPr>
        <w:t>Asimismo, que, una vez dictaminada la procedencia de la modificación del sustantivo propio por el Consejo Dictaminador, se dará aviso a la persona interesada y en un plazo no mayor a dos días hábiles, la Dirección General del Registro Civil notificará al Oficial del Registro Civil y a la Jefatura Regional que correspondan, para que de forma inmediata realicen la anotación de modificación en el acta de nacimiento.</w:t>
      </w:r>
    </w:p>
    <w:bookmarkEnd w:id="7"/>
    <w:p w14:paraId="5110849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01BBE7C8"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Por las razones anteriores; </w:t>
      </w:r>
      <w:r w:rsidRPr="0012597A">
        <w:rPr>
          <w:rFonts w:ascii="Times New Roman" w:eastAsia="Arial" w:hAnsi="Times New Roman" w:cs="Times New Roman"/>
          <w:iCs/>
          <w:sz w:val="24"/>
          <w:szCs w:val="24"/>
        </w:rPr>
        <w:t xml:space="preserve">valorados los argumentos; desarrollado el estudio técnico; demostrado el beneficio social de la Iniciativa; y satisfechos los </w:t>
      </w:r>
      <w:r w:rsidRPr="0012597A">
        <w:rPr>
          <w:rFonts w:ascii="Times New Roman" w:eastAsia="Calibri" w:hAnsi="Times New Roman" w:cs="Times New Roman"/>
          <w:sz w:val="24"/>
          <w:szCs w:val="24"/>
        </w:rPr>
        <w:t xml:space="preserve">requisitos de fondo y forma, nos permitimos concluir con los siguientes: </w:t>
      </w:r>
    </w:p>
    <w:p w14:paraId="20B7A359"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40024FF2"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RESOLUTIVOS</w:t>
      </w:r>
    </w:p>
    <w:p w14:paraId="33C1D3C0"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2DE5489D"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r w:rsidRPr="0012597A">
        <w:rPr>
          <w:rFonts w:ascii="Times New Roman" w:eastAsia="Calibri" w:hAnsi="Times New Roman" w:cs="Times New Roman"/>
          <w:b/>
          <w:sz w:val="24"/>
          <w:szCs w:val="24"/>
        </w:rPr>
        <w:t>PRIMERO.-</w:t>
      </w:r>
      <w:r w:rsidRPr="0012597A">
        <w:rPr>
          <w:rFonts w:ascii="Times New Roman" w:eastAsia="Calibri" w:hAnsi="Times New Roman" w:cs="Times New Roman"/>
          <w:sz w:val="24"/>
          <w:szCs w:val="24"/>
        </w:rPr>
        <w:t xml:space="preserve"> Es de aprobarse, en lo conducente, conforme el Proyecto de Decreto que ha sido integrado, la </w:t>
      </w:r>
      <w:r w:rsidRPr="0012597A">
        <w:rPr>
          <w:rFonts w:ascii="Times New Roman" w:eastAsia="Calibri" w:hAnsi="Times New Roman" w:cs="Times New Roman"/>
          <w:sz w:val="24"/>
          <w:szCs w:val="24"/>
          <w:lang w:val="es-ES"/>
        </w:rPr>
        <w:t>Iniciativa con Proyecto de Decreto por el que se reforma el Código Civil del Estado de México, presentada por la Diputada Elena García Martínez, en nombre del Grupo Parlamentario del Partido morena.</w:t>
      </w:r>
    </w:p>
    <w:p w14:paraId="501F7D09"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30C9F7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sz w:val="24"/>
          <w:szCs w:val="24"/>
        </w:rPr>
        <w:t xml:space="preserve">SEGUNDO.- </w:t>
      </w:r>
      <w:r w:rsidRPr="0012597A">
        <w:rPr>
          <w:rFonts w:ascii="Times New Roman" w:eastAsia="Calibri" w:hAnsi="Times New Roman" w:cs="Times New Roman"/>
          <w:sz w:val="24"/>
          <w:szCs w:val="24"/>
        </w:rPr>
        <w:t>Se adjunta el Proyecto de Decreto por el que se reforma el párrafo tercero del artículo 3.38 bis y se adiciona un párrafo cuarto, recorriéndose el subsecuente del artículo 3.38 bis del Código Civil del Estado de México.</w:t>
      </w:r>
    </w:p>
    <w:p w14:paraId="764F0A05"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lang w:val="es-ES"/>
        </w:rPr>
      </w:pPr>
    </w:p>
    <w:p w14:paraId="514067F0" w14:textId="77777777" w:rsidR="00FC0165" w:rsidRPr="0012597A" w:rsidRDefault="00FC0165" w:rsidP="004B08E8">
      <w:pPr>
        <w:spacing w:after="0" w:line="240" w:lineRule="auto"/>
        <w:contextualSpacing/>
        <w:jc w:val="both"/>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 xml:space="preserve">TERCERO.- </w:t>
      </w:r>
      <w:r w:rsidRPr="0012597A">
        <w:rPr>
          <w:rFonts w:ascii="Times New Roman" w:eastAsia="Calibri" w:hAnsi="Times New Roman" w:cs="Times New Roman"/>
          <w:sz w:val="24"/>
          <w:szCs w:val="24"/>
          <w:lang w:val="es-ES"/>
        </w:rPr>
        <w:t>Previa discusión y aprobación por la Legislatura en Pleno, remítase a la Titular del Poder Ejecutivo, para los efectos procedentes.</w:t>
      </w:r>
    </w:p>
    <w:p w14:paraId="2EE0416C"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C3AA0E7"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Dado en el Palacio del Poder Legislativo, en la ciudad de Toluca de Lerdo, capital del Estado de México, a los doce días del mes de marzo de dos mil veintiséis.</w:t>
      </w:r>
    </w:p>
    <w:p w14:paraId="2F22252D" w14:textId="77777777" w:rsidR="00065062" w:rsidRPr="0012597A" w:rsidRDefault="00065062" w:rsidP="004B08E8">
      <w:pPr>
        <w:spacing w:after="0" w:line="240" w:lineRule="auto"/>
        <w:contextualSpacing/>
        <w:jc w:val="center"/>
        <w:rPr>
          <w:rFonts w:ascii="Times New Roman" w:eastAsia="Calibri" w:hAnsi="Times New Roman" w:cs="Times New Roman"/>
          <w:b/>
          <w:sz w:val="24"/>
          <w:szCs w:val="24"/>
        </w:rPr>
      </w:pPr>
    </w:p>
    <w:p w14:paraId="203BA180" w14:textId="7686DEE6"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LISTA DE VOTACIÓN</w:t>
      </w:r>
    </w:p>
    <w:p w14:paraId="2AAF6E6A" w14:textId="77777777" w:rsidR="00FC0165" w:rsidRPr="0012597A" w:rsidRDefault="00FC0165" w:rsidP="004B08E8">
      <w:pPr>
        <w:spacing w:after="0" w:line="240" w:lineRule="auto"/>
        <w:contextualSpacing/>
        <w:rPr>
          <w:rFonts w:ascii="Times New Roman" w:eastAsia="Calibri" w:hAnsi="Times New Roman" w:cs="Times New Roman"/>
          <w:b/>
          <w:sz w:val="24"/>
          <w:szCs w:val="24"/>
        </w:rPr>
      </w:pPr>
    </w:p>
    <w:p w14:paraId="272B93DA" w14:textId="77777777" w:rsidR="00FC0165" w:rsidRPr="0012597A" w:rsidRDefault="00FC0165" w:rsidP="004B08E8">
      <w:pPr>
        <w:spacing w:after="0" w:line="240" w:lineRule="auto"/>
        <w:contextualSpacing/>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FECHA: </w:t>
      </w:r>
      <w:r w:rsidRPr="0012597A">
        <w:rPr>
          <w:rFonts w:ascii="Times New Roman" w:eastAsia="Calibri" w:hAnsi="Times New Roman" w:cs="Times New Roman"/>
          <w:sz w:val="24"/>
          <w:szCs w:val="24"/>
        </w:rPr>
        <w:t>12/MARZO/2026.</w:t>
      </w:r>
    </w:p>
    <w:p w14:paraId="4DD3E6A4" w14:textId="77777777" w:rsidR="00FC0165" w:rsidRPr="0012597A" w:rsidRDefault="00FC0165" w:rsidP="004B08E8">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12597A">
        <w:rPr>
          <w:rFonts w:ascii="Times New Roman" w:eastAsia="Arial" w:hAnsi="Times New Roman" w:cs="Times New Roman"/>
          <w:b/>
          <w:bCs/>
          <w:sz w:val="24"/>
          <w:szCs w:val="24"/>
          <w:lang w:val="es-ES"/>
        </w:rPr>
        <w:lastRenderedPageBreak/>
        <w:t xml:space="preserve">ASUNTO: </w:t>
      </w:r>
      <w:r w:rsidRPr="0012597A">
        <w:rPr>
          <w:rFonts w:ascii="Times New Roman" w:eastAsia="Arial" w:hAnsi="Times New Roman" w:cs="Times New Roman"/>
          <w:bCs/>
          <w:sz w:val="24"/>
          <w:szCs w:val="24"/>
          <w:lang w:val="es-ES"/>
        </w:rPr>
        <w:t>DICTAMEN FORMULADO A LA INICIATIVA CON PROYECTO DE DECRETO POR EL QUE SE REFORMAN LOS ARTÍCULOS 3.38 BIS Y 3.38 TER DEL CÓDIGO CIVIL DEL ESTADO DE MÉXICO, PRESENTADA POR LA DIPUTADA ELENA GARCÍA MARTÍNEZ, EN NOMBRE DEL GRUPO PARLAMENTARIO DEL PARTIDO MORENA.</w:t>
      </w:r>
    </w:p>
    <w:p w14:paraId="5543F040"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p w14:paraId="2A64BCD0"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COMISIÓN LEGISLATIVA DE</w:t>
      </w:r>
    </w:p>
    <w:p w14:paraId="75AC512C"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PROCURACIÓN Y ADMINISTRACIÓN DE JUSTICIA </w:t>
      </w:r>
    </w:p>
    <w:p w14:paraId="6EB30E7A"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2"/>
        <w:gridCol w:w="2515"/>
        <w:gridCol w:w="2249"/>
        <w:gridCol w:w="2251"/>
      </w:tblGrid>
      <w:tr w:rsidR="00FC0165" w:rsidRPr="0012597A" w14:paraId="6989F871" w14:textId="77777777" w:rsidTr="00B45F0F">
        <w:trPr>
          <w:trHeight w:val="19"/>
          <w:tblHeader/>
          <w:jc w:val="center"/>
        </w:trPr>
        <w:tc>
          <w:tcPr>
            <w:tcW w:w="248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63F4425"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DIPUTADA(O)</w:t>
            </w:r>
          </w:p>
        </w:tc>
        <w:tc>
          <w:tcPr>
            <w:tcW w:w="701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42639F4"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FIRMA</w:t>
            </w:r>
          </w:p>
        </w:tc>
      </w:tr>
      <w:tr w:rsidR="00FC0165" w:rsidRPr="0012597A" w14:paraId="49D5439F" w14:textId="77777777" w:rsidTr="00B45F0F">
        <w:trPr>
          <w:trHeight w:val="19"/>
          <w:tblHeader/>
          <w:jc w:val="center"/>
        </w:trPr>
        <w:tc>
          <w:tcPr>
            <w:tcW w:w="2482" w:type="dxa"/>
            <w:vMerge/>
            <w:tcBorders>
              <w:top w:val="single" w:sz="4" w:space="0" w:color="auto"/>
              <w:left w:val="single" w:sz="4" w:space="0" w:color="auto"/>
              <w:bottom w:val="single" w:sz="4" w:space="0" w:color="auto"/>
              <w:right w:val="single" w:sz="4" w:space="0" w:color="auto"/>
            </w:tcBorders>
            <w:vAlign w:val="center"/>
            <w:hideMark/>
          </w:tcPr>
          <w:p w14:paraId="6D0CE6BB" w14:textId="77777777" w:rsidR="00FC0165" w:rsidRPr="0012597A" w:rsidRDefault="00FC0165" w:rsidP="004B08E8">
            <w:pPr>
              <w:spacing w:after="0" w:line="240" w:lineRule="auto"/>
              <w:rPr>
                <w:rFonts w:ascii="Times New Roman" w:eastAsia="Calibri" w:hAnsi="Times New Roman" w:cs="Times New Roman"/>
                <w:b/>
                <w:sz w:val="24"/>
                <w:szCs w:val="24"/>
              </w:rPr>
            </w:pPr>
          </w:p>
        </w:tc>
        <w:tc>
          <w:tcPr>
            <w:tcW w:w="2515" w:type="dxa"/>
            <w:tcBorders>
              <w:top w:val="single" w:sz="4" w:space="0" w:color="auto"/>
              <w:left w:val="single" w:sz="4" w:space="0" w:color="auto"/>
              <w:bottom w:val="single" w:sz="4" w:space="0" w:color="auto"/>
              <w:right w:val="single" w:sz="4" w:space="0" w:color="auto"/>
            </w:tcBorders>
            <w:shd w:val="clear" w:color="auto" w:fill="D9D9D9"/>
            <w:hideMark/>
          </w:tcPr>
          <w:p w14:paraId="22FC926A"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A FAVOR</w:t>
            </w:r>
          </w:p>
        </w:tc>
        <w:tc>
          <w:tcPr>
            <w:tcW w:w="2249" w:type="dxa"/>
            <w:tcBorders>
              <w:top w:val="single" w:sz="4" w:space="0" w:color="auto"/>
              <w:left w:val="single" w:sz="4" w:space="0" w:color="auto"/>
              <w:bottom w:val="single" w:sz="4" w:space="0" w:color="auto"/>
              <w:right w:val="single" w:sz="4" w:space="0" w:color="auto"/>
            </w:tcBorders>
            <w:shd w:val="clear" w:color="auto" w:fill="D9D9D9"/>
            <w:hideMark/>
          </w:tcPr>
          <w:p w14:paraId="4E89B75C"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EN CONTRA</w:t>
            </w:r>
          </w:p>
        </w:tc>
        <w:tc>
          <w:tcPr>
            <w:tcW w:w="2249" w:type="dxa"/>
            <w:tcBorders>
              <w:top w:val="single" w:sz="4" w:space="0" w:color="auto"/>
              <w:left w:val="single" w:sz="4" w:space="0" w:color="auto"/>
              <w:bottom w:val="single" w:sz="4" w:space="0" w:color="auto"/>
              <w:right w:val="single" w:sz="4" w:space="0" w:color="auto"/>
            </w:tcBorders>
            <w:shd w:val="clear" w:color="auto" w:fill="D9D9D9"/>
            <w:hideMark/>
          </w:tcPr>
          <w:p w14:paraId="144C2FDF"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ABSTENCIÓN</w:t>
            </w:r>
          </w:p>
        </w:tc>
      </w:tr>
      <w:tr w:rsidR="00FC0165" w:rsidRPr="0012597A" w14:paraId="456912D5"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158FFACA"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Presidenta</w:t>
            </w:r>
          </w:p>
          <w:p w14:paraId="4F94CA8F"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Dip. Emma Laura Alvarez Villavicencio</w:t>
            </w:r>
          </w:p>
        </w:tc>
        <w:tc>
          <w:tcPr>
            <w:tcW w:w="2515" w:type="dxa"/>
            <w:tcBorders>
              <w:top w:val="single" w:sz="4" w:space="0" w:color="auto"/>
              <w:left w:val="single" w:sz="4" w:space="0" w:color="auto"/>
              <w:bottom w:val="single" w:sz="4" w:space="0" w:color="auto"/>
              <w:right w:val="single" w:sz="4" w:space="0" w:color="auto"/>
            </w:tcBorders>
            <w:vAlign w:val="center"/>
          </w:tcPr>
          <w:p w14:paraId="1A2BAC1D"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1876980C"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18B3D117"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067F4B40"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6B04470C"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Secretario</w:t>
            </w:r>
          </w:p>
          <w:p w14:paraId="1E26971D"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Omar </w:t>
            </w:r>
          </w:p>
          <w:p w14:paraId="498001D6"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Ortega Álvarez</w:t>
            </w:r>
          </w:p>
        </w:tc>
        <w:tc>
          <w:tcPr>
            <w:tcW w:w="2515" w:type="dxa"/>
            <w:tcBorders>
              <w:top w:val="single" w:sz="4" w:space="0" w:color="auto"/>
              <w:left w:val="single" w:sz="4" w:space="0" w:color="auto"/>
              <w:bottom w:val="single" w:sz="4" w:space="0" w:color="auto"/>
              <w:right w:val="single" w:sz="4" w:space="0" w:color="auto"/>
            </w:tcBorders>
            <w:vAlign w:val="center"/>
          </w:tcPr>
          <w:p w14:paraId="4ED34176"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19833A17"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5A583F3F"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4E9B775E"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5C769749"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lang w:eastAsia="es-MX"/>
              </w:rPr>
            </w:pPr>
            <w:r w:rsidRPr="0012597A">
              <w:rPr>
                <w:rFonts w:ascii="Times New Roman" w:eastAsia="Calibri" w:hAnsi="Times New Roman" w:cs="Times New Roman"/>
                <w:b/>
                <w:sz w:val="24"/>
                <w:szCs w:val="24"/>
              </w:rPr>
              <w:t>Prosecretario</w:t>
            </w:r>
          </w:p>
          <w:p w14:paraId="4C96BED5"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Octavio </w:t>
            </w:r>
          </w:p>
          <w:p w14:paraId="4E23E01F"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Martínez Vargas</w:t>
            </w:r>
          </w:p>
        </w:tc>
        <w:tc>
          <w:tcPr>
            <w:tcW w:w="2515" w:type="dxa"/>
            <w:tcBorders>
              <w:top w:val="single" w:sz="4" w:space="0" w:color="auto"/>
              <w:left w:val="single" w:sz="4" w:space="0" w:color="auto"/>
              <w:bottom w:val="single" w:sz="4" w:space="0" w:color="auto"/>
              <w:right w:val="single" w:sz="4" w:space="0" w:color="auto"/>
            </w:tcBorders>
            <w:vAlign w:val="center"/>
          </w:tcPr>
          <w:p w14:paraId="5159F0EF"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027CDB57"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0AF75C45"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690734F1"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3D3F39BD"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Dip. Carlos Antonio Martínez Zurita Trejo</w:t>
            </w:r>
          </w:p>
        </w:tc>
        <w:tc>
          <w:tcPr>
            <w:tcW w:w="2515" w:type="dxa"/>
            <w:tcBorders>
              <w:top w:val="single" w:sz="4" w:space="0" w:color="auto"/>
              <w:left w:val="single" w:sz="4" w:space="0" w:color="auto"/>
              <w:bottom w:val="single" w:sz="4" w:space="0" w:color="auto"/>
              <w:right w:val="single" w:sz="4" w:space="0" w:color="auto"/>
            </w:tcBorders>
            <w:vAlign w:val="center"/>
          </w:tcPr>
          <w:p w14:paraId="3D96E818"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6152B1CA"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3C7B80C1"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3DA19422"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5486F0AB"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Dip. Vladimir Hernández Villegas</w:t>
            </w:r>
          </w:p>
        </w:tc>
        <w:tc>
          <w:tcPr>
            <w:tcW w:w="2515" w:type="dxa"/>
            <w:tcBorders>
              <w:top w:val="single" w:sz="4" w:space="0" w:color="auto"/>
              <w:left w:val="single" w:sz="4" w:space="0" w:color="auto"/>
              <w:bottom w:val="single" w:sz="4" w:space="0" w:color="auto"/>
              <w:right w:val="single" w:sz="4" w:space="0" w:color="auto"/>
            </w:tcBorders>
            <w:vAlign w:val="center"/>
          </w:tcPr>
          <w:p w14:paraId="57CBB845"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3D691B57"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044A9E25"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78A41568"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7ABCBA02"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Dip. Nelly Brígida Rivera Sánchez</w:t>
            </w:r>
          </w:p>
        </w:tc>
        <w:tc>
          <w:tcPr>
            <w:tcW w:w="2515" w:type="dxa"/>
            <w:tcBorders>
              <w:top w:val="single" w:sz="4" w:space="0" w:color="auto"/>
              <w:left w:val="single" w:sz="4" w:space="0" w:color="auto"/>
              <w:bottom w:val="single" w:sz="4" w:space="0" w:color="auto"/>
              <w:right w:val="single" w:sz="4" w:space="0" w:color="auto"/>
            </w:tcBorders>
            <w:vAlign w:val="center"/>
          </w:tcPr>
          <w:p w14:paraId="3538E0E1"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6217DED8"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48CCECC5"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00BD6C2E"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49D640CD"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Dip. Yesica Yanet Rojas Hernández</w:t>
            </w:r>
          </w:p>
        </w:tc>
        <w:tc>
          <w:tcPr>
            <w:tcW w:w="2515" w:type="dxa"/>
            <w:tcBorders>
              <w:top w:val="single" w:sz="4" w:space="0" w:color="auto"/>
              <w:left w:val="single" w:sz="4" w:space="0" w:color="auto"/>
              <w:bottom w:val="single" w:sz="4" w:space="0" w:color="auto"/>
              <w:right w:val="single" w:sz="4" w:space="0" w:color="auto"/>
            </w:tcBorders>
            <w:vAlign w:val="center"/>
          </w:tcPr>
          <w:p w14:paraId="3B80C26D"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55AFB427"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509F0CDD"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02BFEEC3"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7DEBD7C8"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Dip. Héctor Karim Carvallo Delfín</w:t>
            </w:r>
          </w:p>
        </w:tc>
        <w:tc>
          <w:tcPr>
            <w:tcW w:w="2515" w:type="dxa"/>
            <w:tcBorders>
              <w:top w:val="single" w:sz="4" w:space="0" w:color="auto"/>
              <w:left w:val="single" w:sz="4" w:space="0" w:color="auto"/>
              <w:bottom w:val="single" w:sz="4" w:space="0" w:color="auto"/>
              <w:right w:val="single" w:sz="4" w:space="0" w:color="auto"/>
            </w:tcBorders>
            <w:vAlign w:val="center"/>
          </w:tcPr>
          <w:p w14:paraId="5BC200E7"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3CA97CDA"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4D27965B"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1F4DFDF0"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1837702E"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Selina </w:t>
            </w:r>
          </w:p>
          <w:p w14:paraId="21D7572D"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Trujillo Arizmendi</w:t>
            </w:r>
          </w:p>
        </w:tc>
        <w:tc>
          <w:tcPr>
            <w:tcW w:w="2515" w:type="dxa"/>
            <w:tcBorders>
              <w:top w:val="single" w:sz="4" w:space="0" w:color="auto"/>
              <w:left w:val="single" w:sz="4" w:space="0" w:color="auto"/>
              <w:bottom w:val="single" w:sz="4" w:space="0" w:color="auto"/>
              <w:right w:val="single" w:sz="4" w:space="0" w:color="auto"/>
            </w:tcBorders>
            <w:vAlign w:val="center"/>
          </w:tcPr>
          <w:p w14:paraId="5D38283F"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4E6CDCFE"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4166C986"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64A935B4"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0E139504"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Miriam </w:t>
            </w:r>
          </w:p>
          <w:p w14:paraId="2048701B"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Silva Mata</w:t>
            </w:r>
          </w:p>
        </w:tc>
        <w:tc>
          <w:tcPr>
            <w:tcW w:w="2515" w:type="dxa"/>
            <w:tcBorders>
              <w:top w:val="single" w:sz="4" w:space="0" w:color="auto"/>
              <w:left w:val="single" w:sz="4" w:space="0" w:color="auto"/>
              <w:bottom w:val="single" w:sz="4" w:space="0" w:color="auto"/>
              <w:right w:val="single" w:sz="4" w:space="0" w:color="auto"/>
            </w:tcBorders>
            <w:vAlign w:val="center"/>
          </w:tcPr>
          <w:p w14:paraId="16017163"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50679192"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30486721"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32D260A2"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4A7E16A1"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Ana Yurixi </w:t>
            </w:r>
          </w:p>
          <w:p w14:paraId="6236E8F7"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Leyva Piñón</w:t>
            </w:r>
          </w:p>
        </w:tc>
        <w:tc>
          <w:tcPr>
            <w:tcW w:w="2515" w:type="dxa"/>
            <w:tcBorders>
              <w:top w:val="single" w:sz="4" w:space="0" w:color="auto"/>
              <w:left w:val="single" w:sz="4" w:space="0" w:color="auto"/>
              <w:bottom w:val="single" w:sz="4" w:space="0" w:color="auto"/>
              <w:right w:val="single" w:sz="4" w:space="0" w:color="auto"/>
            </w:tcBorders>
            <w:vAlign w:val="center"/>
          </w:tcPr>
          <w:p w14:paraId="6F943AB2"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249CBF3E"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2C617BAD"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2E00B83C"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4BD1F6F3"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Dip. María Mercedes Colín Guadarrama</w:t>
            </w:r>
          </w:p>
        </w:tc>
        <w:tc>
          <w:tcPr>
            <w:tcW w:w="2515" w:type="dxa"/>
            <w:tcBorders>
              <w:top w:val="single" w:sz="4" w:space="0" w:color="auto"/>
              <w:left w:val="single" w:sz="4" w:space="0" w:color="auto"/>
              <w:bottom w:val="single" w:sz="4" w:space="0" w:color="auto"/>
              <w:right w:val="single" w:sz="4" w:space="0" w:color="auto"/>
            </w:tcBorders>
            <w:vAlign w:val="center"/>
          </w:tcPr>
          <w:p w14:paraId="50FBA8C9"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6186FF0F"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12F3CCB3"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tr w:rsidR="00FC0165" w:rsidRPr="0012597A" w14:paraId="57C47394" w14:textId="77777777" w:rsidTr="00B45F0F">
        <w:trPr>
          <w:trHeight w:val="19"/>
          <w:jc w:val="center"/>
        </w:trPr>
        <w:tc>
          <w:tcPr>
            <w:tcW w:w="2482" w:type="dxa"/>
            <w:tcBorders>
              <w:top w:val="single" w:sz="4" w:space="0" w:color="auto"/>
              <w:left w:val="single" w:sz="4" w:space="0" w:color="auto"/>
              <w:bottom w:val="single" w:sz="4" w:space="0" w:color="auto"/>
              <w:right w:val="single" w:sz="4" w:space="0" w:color="auto"/>
            </w:tcBorders>
            <w:vAlign w:val="center"/>
            <w:hideMark/>
          </w:tcPr>
          <w:p w14:paraId="6CA89B07"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Ruth </w:t>
            </w:r>
          </w:p>
          <w:p w14:paraId="1B505574"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Salinas Reyes</w:t>
            </w:r>
          </w:p>
        </w:tc>
        <w:tc>
          <w:tcPr>
            <w:tcW w:w="2515" w:type="dxa"/>
            <w:tcBorders>
              <w:top w:val="single" w:sz="4" w:space="0" w:color="auto"/>
              <w:left w:val="single" w:sz="4" w:space="0" w:color="auto"/>
              <w:bottom w:val="single" w:sz="4" w:space="0" w:color="auto"/>
              <w:right w:val="single" w:sz="4" w:space="0" w:color="auto"/>
            </w:tcBorders>
            <w:vAlign w:val="center"/>
          </w:tcPr>
          <w:p w14:paraId="73EB0AFE"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249" w:type="dxa"/>
            <w:tcBorders>
              <w:top w:val="single" w:sz="4" w:space="0" w:color="auto"/>
              <w:left w:val="single" w:sz="4" w:space="0" w:color="auto"/>
              <w:bottom w:val="single" w:sz="4" w:space="0" w:color="auto"/>
              <w:right w:val="single" w:sz="4" w:space="0" w:color="auto"/>
            </w:tcBorders>
            <w:vAlign w:val="center"/>
          </w:tcPr>
          <w:p w14:paraId="1B11B9E5"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c>
          <w:tcPr>
            <w:tcW w:w="2249" w:type="dxa"/>
            <w:tcBorders>
              <w:top w:val="single" w:sz="4" w:space="0" w:color="auto"/>
              <w:left w:val="single" w:sz="4" w:space="0" w:color="auto"/>
              <w:bottom w:val="single" w:sz="4" w:space="0" w:color="auto"/>
              <w:right w:val="single" w:sz="4" w:space="0" w:color="auto"/>
            </w:tcBorders>
            <w:vAlign w:val="center"/>
          </w:tcPr>
          <w:p w14:paraId="12155758" w14:textId="77777777" w:rsidR="00FC0165" w:rsidRPr="0012597A" w:rsidRDefault="00FC0165" w:rsidP="004B08E8">
            <w:pPr>
              <w:spacing w:after="0" w:line="240" w:lineRule="auto"/>
              <w:contextualSpacing/>
              <w:jc w:val="center"/>
              <w:rPr>
                <w:rFonts w:ascii="Times New Roman" w:eastAsia="Calibri" w:hAnsi="Times New Roman" w:cs="Times New Roman"/>
                <w:b/>
                <w:sz w:val="24"/>
                <w:szCs w:val="24"/>
              </w:rPr>
            </w:pPr>
          </w:p>
        </w:tc>
      </w:tr>
      <w:bookmarkEnd w:id="4"/>
    </w:tbl>
    <w:p w14:paraId="2692DFD7"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p>
    <w:p w14:paraId="4172DDC4" w14:textId="77777777" w:rsidR="00FC0165" w:rsidRPr="0012597A" w:rsidRDefault="00FC0165" w:rsidP="004B08E8">
      <w:pPr>
        <w:spacing w:after="0" w:line="240" w:lineRule="auto"/>
        <w:contextualSpacing/>
        <w:jc w:val="both"/>
        <w:rPr>
          <w:rFonts w:ascii="Times New Roman" w:eastAsia="Calibri" w:hAnsi="Times New Roman" w:cs="Times New Roman"/>
          <w:b/>
          <w:bCs/>
          <w:sz w:val="24"/>
          <w:szCs w:val="24"/>
        </w:rPr>
      </w:pPr>
    </w:p>
    <w:p w14:paraId="6EB28CC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DECRETO NÚMERO </w:t>
      </w:r>
    </w:p>
    <w:p w14:paraId="52CEBF2C" w14:textId="77777777" w:rsidR="00FC0165" w:rsidRPr="0012597A" w:rsidRDefault="00FC0165" w:rsidP="004B08E8">
      <w:pPr>
        <w:spacing w:after="0" w:line="240" w:lineRule="auto"/>
        <w:contextualSpacing/>
        <w:jc w:val="both"/>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 xml:space="preserve">LA H. “LXII” LEGISLATURA </w:t>
      </w:r>
    </w:p>
    <w:p w14:paraId="6088ECF3"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DEL ESTADO DE MÉXICO </w:t>
      </w:r>
    </w:p>
    <w:p w14:paraId="7FF70AAD"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DECRETA:</w:t>
      </w:r>
    </w:p>
    <w:p w14:paraId="43619E56"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p>
    <w:p w14:paraId="13041D17"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lastRenderedPageBreak/>
        <w:t xml:space="preserve">ÚNICO.- </w:t>
      </w:r>
      <w:r w:rsidRPr="0012597A">
        <w:rPr>
          <w:rFonts w:ascii="Times New Roman" w:eastAsia="Calibri" w:hAnsi="Times New Roman" w:cs="Times New Roman"/>
          <w:sz w:val="24"/>
          <w:szCs w:val="24"/>
        </w:rPr>
        <w:t xml:space="preserve">Se </w:t>
      </w:r>
      <w:bookmarkStart w:id="8" w:name="_Hlk222318720"/>
      <w:r w:rsidRPr="0012597A">
        <w:rPr>
          <w:rFonts w:ascii="Times New Roman" w:eastAsia="Calibri" w:hAnsi="Times New Roman" w:cs="Times New Roman"/>
          <w:sz w:val="24"/>
          <w:szCs w:val="24"/>
        </w:rPr>
        <w:t>reforma el párrafo tercero del artículo 3.38 bis y se adiciona un párrafo cuarto, recorriéndose el subsecuente del artículo 3.38 bis del Código Civil del Estado de México</w:t>
      </w:r>
      <w:bookmarkEnd w:id="8"/>
      <w:r w:rsidRPr="0012597A">
        <w:rPr>
          <w:rFonts w:ascii="Times New Roman" w:eastAsia="Calibri" w:hAnsi="Times New Roman" w:cs="Times New Roman"/>
          <w:sz w:val="24"/>
          <w:szCs w:val="24"/>
        </w:rPr>
        <w:t xml:space="preserve">, para quedar como sigue: </w:t>
      </w:r>
    </w:p>
    <w:p w14:paraId="1FDCB8A6"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p>
    <w:p w14:paraId="71A4821B"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Artículo 3.38 bis.</w:t>
      </w:r>
      <w:r w:rsidRPr="0012597A">
        <w:rPr>
          <w:rFonts w:ascii="Times New Roman" w:eastAsia="Calibri" w:hAnsi="Times New Roman" w:cs="Times New Roman"/>
          <w:b/>
          <w:sz w:val="24"/>
          <w:szCs w:val="24"/>
        </w:rPr>
        <w:t>-</w:t>
      </w:r>
      <w:r w:rsidRPr="0012597A">
        <w:rPr>
          <w:rFonts w:ascii="Times New Roman" w:eastAsia="Calibri" w:hAnsi="Times New Roman" w:cs="Times New Roman"/>
          <w:sz w:val="24"/>
          <w:szCs w:val="24"/>
        </w:rPr>
        <w:t xml:space="preserve"> … </w:t>
      </w:r>
    </w:p>
    <w:p w14:paraId="4F2042C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23AF1853"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sz w:val="24"/>
          <w:szCs w:val="24"/>
        </w:rPr>
        <w:t xml:space="preserve">I. </w:t>
      </w:r>
      <w:r w:rsidRPr="0012597A">
        <w:rPr>
          <w:rFonts w:ascii="Times New Roman" w:eastAsia="Calibri" w:hAnsi="Times New Roman" w:cs="Times New Roman"/>
          <w:sz w:val="24"/>
          <w:szCs w:val="24"/>
        </w:rPr>
        <w:t>a</w:t>
      </w:r>
      <w:r w:rsidRPr="0012597A">
        <w:rPr>
          <w:rFonts w:ascii="Times New Roman" w:eastAsia="Calibri" w:hAnsi="Times New Roman" w:cs="Times New Roman"/>
          <w:b/>
          <w:sz w:val="24"/>
          <w:szCs w:val="24"/>
        </w:rPr>
        <w:t xml:space="preserve"> III.</w:t>
      </w:r>
      <w:r w:rsidRPr="0012597A">
        <w:rPr>
          <w:rFonts w:ascii="Times New Roman" w:eastAsia="Calibri" w:hAnsi="Times New Roman" w:cs="Times New Roman"/>
          <w:sz w:val="24"/>
          <w:szCs w:val="24"/>
        </w:rPr>
        <w:t xml:space="preserve"> … </w:t>
      </w:r>
    </w:p>
    <w:p w14:paraId="0F44F2E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632878F0"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 </w:t>
      </w:r>
    </w:p>
    <w:p w14:paraId="22B47F48"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0183BCCF"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La solicitud de modificación, cambio, ampliación o reducción del sustantivo propio registrado por ser expuesto al ridículo o por el uso invariable y constante de otro diverso en su vida social y jurídica, sin que se afecten los apellidos, será resuelta en un plazo no mayor a </w:t>
      </w:r>
      <w:r w:rsidRPr="0012597A">
        <w:rPr>
          <w:rFonts w:ascii="Times New Roman" w:eastAsia="Calibri" w:hAnsi="Times New Roman" w:cs="Times New Roman"/>
          <w:b/>
          <w:bCs/>
          <w:sz w:val="24"/>
          <w:szCs w:val="24"/>
        </w:rPr>
        <w:t xml:space="preserve">quince días hábiles </w:t>
      </w:r>
      <w:r w:rsidRPr="0012597A">
        <w:rPr>
          <w:rFonts w:ascii="Times New Roman" w:eastAsia="Calibri" w:hAnsi="Times New Roman" w:cs="Times New Roman"/>
          <w:sz w:val="24"/>
          <w:szCs w:val="24"/>
        </w:rPr>
        <w:t xml:space="preserve">por el Consejo Dictaminador, en términos de lo dispuesto por los lineamientos que para el efecto se emitan. </w:t>
      </w:r>
    </w:p>
    <w:p w14:paraId="35EF07E6"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2E0ECCF6"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Una vez dictaminada la procedencia de la modificación del sustantivo propio por el Consejo Dictaminador, se dará aviso a la persona interesada y en un plazo no mayor a dos días hábiles, la Dirección General del Registro Civil notificará al Oficial del Registro Civil y a la Jefatura Regional que correspondan, para que de forma inmediata realicen la anotación de modificación en el acta de nacimiento. </w:t>
      </w:r>
    </w:p>
    <w:p w14:paraId="08D9C679"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p>
    <w:p w14:paraId="259FBFE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Cs/>
          <w:sz w:val="24"/>
          <w:szCs w:val="24"/>
        </w:rPr>
        <w:t xml:space="preserve">… </w:t>
      </w:r>
    </w:p>
    <w:p w14:paraId="0F71812B" w14:textId="77777777" w:rsidR="00FC0165" w:rsidRPr="0012597A" w:rsidRDefault="00FC0165" w:rsidP="004B08E8">
      <w:pPr>
        <w:spacing w:after="0" w:line="240" w:lineRule="auto"/>
        <w:contextualSpacing/>
        <w:jc w:val="both"/>
        <w:rPr>
          <w:rFonts w:ascii="Times New Roman" w:eastAsia="Calibri" w:hAnsi="Times New Roman" w:cs="Times New Roman"/>
          <w:bCs/>
          <w:sz w:val="24"/>
          <w:szCs w:val="24"/>
        </w:rPr>
      </w:pPr>
    </w:p>
    <w:p w14:paraId="10750B64" w14:textId="77777777" w:rsidR="00FC0165" w:rsidRPr="0012597A" w:rsidRDefault="00FC0165" w:rsidP="004B08E8">
      <w:pPr>
        <w:spacing w:after="0" w:line="240" w:lineRule="auto"/>
        <w:contextualSpacing/>
        <w:jc w:val="center"/>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T R A N S I T O R I O S</w:t>
      </w:r>
    </w:p>
    <w:p w14:paraId="7542BAB7" w14:textId="77777777" w:rsidR="00FC0165" w:rsidRPr="0012597A" w:rsidRDefault="00FC0165" w:rsidP="004B08E8">
      <w:pPr>
        <w:spacing w:after="0" w:line="240" w:lineRule="auto"/>
        <w:contextualSpacing/>
        <w:jc w:val="center"/>
        <w:rPr>
          <w:rFonts w:ascii="Times New Roman" w:eastAsia="Calibri" w:hAnsi="Times New Roman" w:cs="Times New Roman"/>
          <w:sz w:val="24"/>
          <w:szCs w:val="24"/>
        </w:rPr>
      </w:pPr>
    </w:p>
    <w:p w14:paraId="1C01F1F3"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ARTÍCULO PRIMERO.- </w:t>
      </w:r>
      <w:r w:rsidRPr="0012597A">
        <w:rPr>
          <w:rFonts w:ascii="Times New Roman" w:eastAsia="Calibri" w:hAnsi="Times New Roman" w:cs="Times New Roman"/>
          <w:sz w:val="24"/>
          <w:szCs w:val="24"/>
        </w:rPr>
        <w:t xml:space="preserve">Publíquese el presente Decreto en el Periódico Oficial “Gaceta del Gobierno”. </w:t>
      </w:r>
    </w:p>
    <w:p w14:paraId="11ABA74F" w14:textId="77777777" w:rsidR="00FC0165" w:rsidRPr="0012597A" w:rsidRDefault="00FC0165" w:rsidP="004B08E8">
      <w:pPr>
        <w:spacing w:after="0" w:line="240" w:lineRule="auto"/>
        <w:contextualSpacing/>
        <w:jc w:val="both"/>
        <w:rPr>
          <w:rFonts w:ascii="Times New Roman" w:eastAsia="Calibri" w:hAnsi="Times New Roman" w:cs="Times New Roman"/>
          <w:b/>
          <w:bCs/>
          <w:sz w:val="24"/>
          <w:szCs w:val="24"/>
        </w:rPr>
      </w:pPr>
    </w:p>
    <w:p w14:paraId="013E45BD"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ARTÍCULO SEGUNDO.- </w:t>
      </w:r>
      <w:r w:rsidRPr="0012597A">
        <w:rPr>
          <w:rFonts w:ascii="Times New Roman" w:eastAsia="Calibri" w:hAnsi="Times New Roman" w:cs="Times New Roman"/>
          <w:sz w:val="24"/>
          <w:szCs w:val="24"/>
        </w:rPr>
        <w:t>El presente Decreto entrará en vigor el día siguiente al de su publicación en el Periódico Oficial “Gaceta del Gobierno”.</w:t>
      </w:r>
    </w:p>
    <w:p w14:paraId="4D061470"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7D4AF00A"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Lo tendrá entendido la Gobernadora del Estado, haciendo que se publique y se cumpla.</w:t>
      </w:r>
    </w:p>
    <w:p w14:paraId="3EE7B5C1"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p>
    <w:p w14:paraId="5A348C59" w14:textId="77777777" w:rsidR="00FC0165" w:rsidRPr="0012597A" w:rsidRDefault="00FC0165" w:rsidP="004B08E8">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Dado en el Palacio del Poder Legislativo, en la ciudad de Toluca de Lerdo, Capital del Estado de México, a los dieciocho días del mes de marzo del dos mil veintiséis.</w:t>
      </w:r>
    </w:p>
    <w:p w14:paraId="2CF90701" w14:textId="6CC2771E" w:rsidR="00FC0165" w:rsidRPr="0012597A" w:rsidRDefault="00FC0165" w:rsidP="004B08E8">
      <w:pPr>
        <w:spacing w:after="0" w:line="240" w:lineRule="auto"/>
        <w:jc w:val="center"/>
        <w:rPr>
          <w:rFonts w:ascii="Times New Roman" w:eastAsia="Calibri" w:hAnsi="Times New Roman" w:cs="Times New Roman"/>
          <w:b/>
          <w:sz w:val="24"/>
          <w:szCs w:val="24"/>
        </w:rPr>
      </w:pPr>
    </w:p>
    <w:p w14:paraId="3B350CF7"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PRESIDENTA</w:t>
      </w:r>
    </w:p>
    <w:p w14:paraId="2875D8FA"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 MARTHA AZUCENA CAMACHO REYNOSO</w:t>
      </w:r>
    </w:p>
    <w:p w14:paraId="5C27484C" w14:textId="77777777" w:rsidR="00FC0165" w:rsidRPr="0012597A" w:rsidRDefault="00FC0165" w:rsidP="004B08E8">
      <w:pPr>
        <w:spacing w:after="0" w:line="240" w:lineRule="auto"/>
        <w:jc w:val="center"/>
        <w:rPr>
          <w:rFonts w:ascii="Times New Roman" w:eastAsia="Calibri" w:hAnsi="Times New Roman" w:cs="Times New Roman"/>
          <w:b/>
          <w:sz w:val="24"/>
          <w:szCs w:val="24"/>
        </w:rPr>
      </w:pPr>
    </w:p>
    <w:p w14:paraId="6A0D6CA4"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SECRETARIO</w:t>
      </w:r>
    </w:p>
    <w:p w14:paraId="2FC66B7D"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 EDMUNDO LUIS VALDEÑA BASTIDA</w:t>
      </w:r>
    </w:p>
    <w:p w14:paraId="6A166F4D" w14:textId="77777777" w:rsidR="00FC0165" w:rsidRPr="0012597A" w:rsidRDefault="00FC0165" w:rsidP="004B08E8">
      <w:pPr>
        <w:spacing w:after="0" w:line="240" w:lineRule="auto"/>
        <w:jc w:val="center"/>
        <w:rPr>
          <w:rFonts w:ascii="Times New Roman" w:eastAsia="Calibri" w:hAnsi="Times New Roman" w:cs="Times New Roman"/>
          <w:b/>
          <w:sz w:val="24"/>
          <w:szCs w:val="24"/>
        </w:rPr>
      </w:pPr>
    </w:p>
    <w:p w14:paraId="42E1C657"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4"/>
        <w:gridCol w:w="4701"/>
      </w:tblGrid>
      <w:tr w:rsidR="00FC0165" w:rsidRPr="0012597A" w14:paraId="17201FBD" w14:textId="77777777" w:rsidTr="00B45F0F">
        <w:trPr>
          <w:jc w:val="center"/>
        </w:trPr>
        <w:tc>
          <w:tcPr>
            <w:tcW w:w="4704" w:type="dxa"/>
            <w:hideMark/>
          </w:tcPr>
          <w:p w14:paraId="083DB91B"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 KRISHNA KARINA</w:t>
            </w:r>
          </w:p>
          <w:p w14:paraId="42F2E500"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 ROMERO VELÁZQUEZ </w:t>
            </w:r>
          </w:p>
        </w:tc>
        <w:tc>
          <w:tcPr>
            <w:tcW w:w="4701" w:type="dxa"/>
            <w:hideMark/>
          </w:tcPr>
          <w:p w14:paraId="7B480092"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DIP. MARICELA </w:t>
            </w:r>
          </w:p>
          <w:p w14:paraId="144ADD7F" w14:textId="77777777" w:rsidR="00FC0165" w:rsidRPr="0012597A" w:rsidRDefault="00FC0165" w:rsidP="004B08E8">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BELTRÁN SÁNCHEZ </w:t>
            </w:r>
          </w:p>
        </w:tc>
      </w:tr>
    </w:tbl>
    <w:p w14:paraId="3C51F586" w14:textId="77777777" w:rsidR="00FC0165" w:rsidRPr="0012597A" w:rsidRDefault="00FC0165" w:rsidP="004B08E8">
      <w:pPr>
        <w:spacing w:after="0" w:line="240" w:lineRule="auto"/>
        <w:jc w:val="center"/>
        <w:rPr>
          <w:rFonts w:ascii="Times New Roman" w:hAnsi="Times New Roman" w:cs="Times New Roman"/>
          <w:sz w:val="24"/>
          <w:szCs w:val="24"/>
        </w:rPr>
      </w:pPr>
    </w:p>
    <w:p w14:paraId="7F59163E" w14:textId="77777777" w:rsidR="00B9688A" w:rsidRPr="0012597A" w:rsidRDefault="00B9688A"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17B753E5" w14:textId="77777777" w:rsidR="00B9688A" w:rsidRPr="0012597A" w:rsidRDefault="00B9688A" w:rsidP="00EF1C7F">
      <w:pPr>
        <w:spacing w:after="0" w:line="240" w:lineRule="auto"/>
        <w:jc w:val="center"/>
        <w:rPr>
          <w:rFonts w:ascii="Times New Roman" w:hAnsi="Times New Roman"/>
          <w:sz w:val="24"/>
          <w:szCs w:val="24"/>
        </w:rPr>
      </w:pPr>
    </w:p>
    <w:p w14:paraId="47962E8D" w14:textId="49F24951"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PRESIDENTA DIP. MARTHA AZUCENA CAMACHO REYNOSO. Gracias diputada Elena García Martínez.</w:t>
      </w:r>
    </w:p>
    <w:p w14:paraId="6784B40F"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Leído el Dictamen con sus antecedentes pido a quienes estén por su turno a discusión se sirvan levantar la mano.</w:t>
      </w:r>
    </w:p>
    <w:p w14:paraId="68FC7F4F"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Adelante diputado Samuel Hernández.</w:t>
      </w:r>
    </w:p>
    <w:p w14:paraId="39ACEE10"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SAMUEL HERNÁNDEZ CRUZ (Desde su curul). Gracias diputada Presidenta.</w:t>
      </w:r>
    </w:p>
    <w:p w14:paraId="3A35B906" w14:textId="77777777" w:rsidR="00EF6AC6" w:rsidRPr="0012597A" w:rsidRDefault="00EF6AC6"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Compañeras y compañeros, … iniciativa que hoy se va ….. </w:t>
      </w:r>
      <w:r w:rsidR="00D4064D" w:rsidRPr="0012597A">
        <w:rPr>
          <w:rFonts w:ascii="Times New Roman" w:hAnsi="Times New Roman" w:cs="Times New Roman"/>
          <w:sz w:val="24"/>
          <w:szCs w:val="24"/>
        </w:rPr>
        <w:t xml:space="preserve">por un homónimo, </w:t>
      </w:r>
      <w:r w:rsidRPr="0012597A">
        <w:rPr>
          <w:rFonts w:ascii="Times New Roman" w:hAnsi="Times New Roman" w:cs="Times New Roman"/>
          <w:sz w:val="24"/>
          <w:szCs w:val="24"/>
        </w:rPr>
        <w:t>felicidades celebro esta Iniciativa, gracias.</w:t>
      </w:r>
    </w:p>
    <w:p w14:paraId="3A07F385"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diputado Samuel Hernández.</w:t>
      </w:r>
    </w:p>
    <w:p w14:paraId="5E161513"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SECRETARIA DIP. MARICELA BELTRÁN SÁNCHEZ. Presidenta le informo que la propuesta ha sido aprobada por unanimidad de votos.</w:t>
      </w:r>
    </w:p>
    <w:p w14:paraId="103358FD"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Secretaria.</w:t>
      </w:r>
    </w:p>
    <w:p w14:paraId="1CE9A8A5"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Abro la discusión en lo general y pregunto a las y los diputados si desean hacer uso de la palabra.</w:t>
      </w:r>
    </w:p>
    <w:p w14:paraId="4AF78766"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Para recabar la votación en lo general pido a la Secretaria, abra el sistema de votación hasta por 2 minutos, si alguien desea separar algún artículo en lo particular sírvase comentarlo.</w:t>
      </w:r>
    </w:p>
    <w:p w14:paraId="15123C82"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SECRETARIA DIP. MARICELA BELTRÁN SÁNCHEZ. Abrase el sistema de votación hasta por 2 minutos.</w:t>
      </w:r>
    </w:p>
    <w:p w14:paraId="77A802A4" w14:textId="77777777" w:rsidR="00EF6AC6" w:rsidRPr="0012597A" w:rsidRDefault="00EF6AC6"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037A4F5C" w14:textId="768A3393"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SECRETARIA DIP. MARICELA BELTRÁN SÁNCHEZ. </w:t>
      </w:r>
      <w:r w:rsidR="00C66D68" w:rsidRPr="0012597A">
        <w:rPr>
          <w:rFonts w:ascii="Times New Roman" w:hAnsi="Times New Roman" w:cs="Times New Roman"/>
          <w:sz w:val="24"/>
          <w:szCs w:val="24"/>
        </w:rPr>
        <w:t>¿</w:t>
      </w:r>
      <w:r w:rsidRPr="0012597A">
        <w:rPr>
          <w:rFonts w:ascii="Times New Roman" w:hAnsi="Times New Roman" w:cs="Times New Roman"/>
          <w:sz w:val="24"/>
          <w:szCs w:val="24"/>
        </w:rPr>
        <w:t>Alguien falta emitir su voto</w:t>
      </w:r>
      <w:r w:rsidR="00C66D68" w:rsidRPr="0012597A">
        <w:rPr>
          <w:rFonts w:ascii="Times New Roman" w:hAnsi="Times New Roman" w:cs="Times New Roman"/>
          <w:sz w:val="24"/>
          <w:szCs w:val="24"/>
        </w:rPr>
        <w:t>?</w:t>
      </w:r>
    </w:p>
    <w:p w14:paraId="0643209E"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Presidenta el Dictamen y el Proyecto de Decreto ha sido aprobado en lo general por unanimidad de votos.</w:t>
      </w:r>
    </w:p>
    <w:p w14:paraId="5846F69C"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Secretaria.</w:t>
      </w:r>
    </w:p>
    <w:p w14:paraId="356F94C4"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Se tiene por aprobado en lo general el Dictamen y el Proyecto de Decreto, se declara también su aprobación en lo particular.</w:t>
      </w:r>
    </w:p>
    <w:p w14:paraId="14AAF1BB"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color w:val="7030A0"/>
          <w:sz w:val="24"/>
          <w:szCs w:val="24"/>
        </w:rPr>
        <w:tab/>
      </w:r>
      <w:r w:rsidRPr="0012597A">
        <w:rPr>
          <w:rFonts w:ascii="Times New Roman" w:hAnsi="Times New Roman" w:cs="Times New Roman"/>
          <w:sz w:val="24"/>
          <w:szCs w:val="24"/>
        </w:rPr>
        <w:t xml:space="preserve">En cuanto al punto </w:t>
      </w:r>
      <w:r w:rsidR="00741E1E" w:rsidRPr="0012597A">
        <w:rPr>
          <w:rFonts w:ascii="Times New Roman" w:hAnsi="Times New Roman" w:cs="Times New Roman"/>
          <w:sz w:val="24"/>
          <w:szCs w:val="24"/>
        </w:rPr>
        <w:t>número</w:t>
      </w:r>
      <w:r w:rsidRPr="0012597A">
        <w:rPr>
          <w:rFonts w:ascii="Times New Roman" w:hAnsi="Times New Roman" w:cs="Times New Roman"/>
          <w:sz w:val="24"/>
          <w:szCs w:val="24"/>
        </w:rPr>
        <w:t xml:space="preserve"> 5, el diputado Valentín Martínez Castillo, leerá el Dictamen de la Iniciativa al Congreso de la Unión con Proyecto de Decreto por el que se adiciona un párrafo cuarto al artículo 10 de la Ley de la Empresa Pública del Estado de México, Comisión Federal de Electricidad, presentada por el diputado Valentín Martínez Castillo, en nombre del Grupo Parlamentario del Partido morena, formulado por las Comisiones Unidas de Gobernación y Puntos Constitucionales y de Desarrollo Económico, Industrial, Comercial y Minero.</w:t>
      </w:r>
    </w:p>
    <w:p w14:paraId="7D085431" w14:textId="77777777" w:rsidR="00EF6AC6" w:rsidRPr="0012597A" w:rsidRDefault="00EF6AC6"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VALENTÍN MARTÍNEZ CASTILLO. Gracias.</w:t>
      </w:r>
    </w:p>
    <w:p w14:paraId="4392E405" w14:textId="77777777" w:rsidR="00B5179E" w:rsidRPr="0012597A" w:rsidRDefault="00EF6AC6" w:rsidP="00EF1C7F">
      <w:pPr>
        <w:pStyle w:val="Sinespaciado"/>
        <w:jc w:val="both"/>
        <w:rPr>
          <w:rFonts w:ascii="Times New Roman" w:hAnsi="Times New Roman" w:cs="Times New Roman"/>
          <w:color w:val="7030A0"/>
          <w:sz w:val="24"/>
          <w:szCs w:val="24"/>
        </w:rPr>
      </w:pPr>
      <w:r w:rsidRPr="0012597A">
        <w:rPr>
          <w:rFonts w:ascii="Times New Roman" w:hAnsi="Times New Roman" w:cs="Times New Roman"/>
          <w:sz w:val="24"/>
          <w:szCs w:val="24"/>
        </w:rPr>
        <w:tab/>
        <w:t>Con su permiso querida diputada Presidenta Martha Azucena Camacho Reynoso, queridas y queridos compañeros, compañeras legisladores, antes de leer el Dictamen aprobado por las Comisiones Unidas de Gobernación y Puntos Constitucionales y de Desarrollo Económico, Industrial, Comercial y Minero, agradezco el respaldo</w:t>
      </w:r>
      <w:r w:rsidR="008637DB" w:rsidRPr="0012597A">
        <w:rPr>
          <w:rFonts w:ascii="Times New Roman" w:hAnsi="Times New Roman" w:cs="Times New Roman"/>
          <w:sz w:val="24"/>
          <w:szCs w:val="24"/>
        </w:rPr>
        <w:t xml:space="preserve"> a</w:t>
      </w:r>
      <w:r w:rsidRPr="0012597A">
        <w:rPr>
          <w:rFonts w:ascii="Times New Roman" w:hAnsi="Times New Roman" w:cs="Times New Roman"/>
          <w:sz w:val="24"/>
          <w:szCs w:val="24"/>
        </w:rPr>
        <w:t xml:space="preserve"> </w:t>
      </w:r>
      <w:r w:rsidR="00B5179E" w:rsidRPr="0012597A">
        <w:rPr>
          <w:rFonts w:ascii="Times New Roman" w:hAnsi="Times New Roman" w:cs="Times New Roman"/>
          <w:sz w:val="24"/>
          <w:szCs w:val="24"/>
        </w:rPr>
        <w:t>esta iniciativa del día de ayer 17 de marzo que fue validada para su presentación ante este Pleno, esta propuesta atiende un problema estructural que ha afectado durante años la viabilidad financiera de nuestros municipios y en buena medida; también de las Entidades Federativas.</w:t>
      </w:r>
    </w:p>
    <w:p w14:paraId="75427658" w14:textId="7A682F1A"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Hablamos de adeudos históricos con la comisión Federal de Electricidad que a nivel nacional, superan los 53 </w:t>
      </w:r>
      <w:r w:rsidR="000562F5" w:rsidRPr="0012597A">
        <w:rPr>
          <w:rFonts w:ascii="Times New Roman" w:hAnsi="Times New Roman" w:cs="Times New Roman"/>
          <w:sz w:val="24"/>
          <w:szCs w:val="24"/>
        </w:rPr>
        <w:t xml:space="preserve">mil </w:t>
      </w:r>
      <w:r w:rsidRPr="0012597A">
        <w:rPr>
          <w:rFonts w:ascii="Times New Roman" w:hAnsi="Times New Roman" w:cs="Times New Roman"/>
          <w:sz w:val="24"/>
          <w:szCs w:val="24"/>
        </w:rPr>
        <w:t>millones de pesos y que en el Estado de México, hoy alcanzan alrededor de 32 mil 500 millones de pesos; pero más allá de cifras, hablamos de recursos que dejan de destinarse a seguridad, a obra pública y al acceso al agua, de servicios que se ven comprometidos y de Gobiernos locales que enfrentan deudas que en muchos casos no generaron, porque no podemos perder de vista que buena parte de estos pasivos se originaron en la responsabilidad solidaria de los municipios para garantizar derechos fundamentales como la educación, la salud y el acceso al agua.</w:t>
      </w:r>
    </w:p>
    <w:p w14:paraId="0231A940" w14:textId="7482F89D"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Por ello, esta iniciativa propone una solución de fondo, facultar a la Comisión Federal de Electricidad para celebrar convenios de regularización y establecer mecanismos de condonación de adeudos históricos en instituciones educativas y de salud</w:t>
      </w:r>
      <w:r w:rsidR="000562F5" w:rsidRPr="0012597A">
        <w:rPr>
          <w:rFonts w:ascii="Times New Roman" w:hAnsi="Times New Roman" w:cs="Times New Roman"/>
          <w:sz w:val="24"/>
          <w:szCs w:val="24"/>
        </w:rPr>
        <w:t>, e</w:t>
      </w:r>
      <w:r w:rsidRPr="0012597A">
        <w:rPr>
          <w:rFonts w:ascii="Times New Roman" w:hAnsi="Times New Roman" w:cs="Times New Roman"/>
          <w:sz w:val="24"/>
          <w:szCs w:val="24"/>
        </w:rPr>
        <w:t>s un acto de justicia financiera; pero también de justicia social y en este sentido quiero reconocer ampliamente el trabajo colectivo que hizo posible avanzar en esta ruta.</w:t>
      </w:r>
    </w:p>
    <w:p w14:paraId="4636B725" w14:textId="5F888490"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Agradezco de manera muy especial a la Junta de Coordinación Política y a nuestro Presidente, el diputado Francisco Vázquez, coordinador de mi grupo parlamentario y amigo, por su disposición para incorporar este tema en la Agenda Legislativa y facilitar los acuerdos necesarios para su análisis, reconozco a las comisiones unidas</w:t>
      </w:r>
      <w:r w:rsidR="000562F5" w:rsidRPr="0012597A">
        <w:rPr>
          <w:rFonts w:ascii="Times New Roman" w:hAnsi="Times New Roman" w:cs="Times New Roman"/>
          <w:sz w:val="24"/>
          <w:szCs w:val="24"/>
        </w:rPr>
        <w:t>,</w:t>
      </w:r>
      <w:r w:rsidRPr="0012597A">
        <w:rPr>
          <w:rFonts w:ascii="Times New Roman" w:hAnsi="Times New Roman" w:cs="Times New Roman"/>
          <w:sz w:val="24"/>
          <w:szCs w:val="24"/>
        </w:rPr>
        <w:t xml:space="preserve"> dictaminadoras, a sus Presidentes y a todas y a todos sus integrantes por el estudio serio, responsable y comprometido de esta iniciativa y de manera particular, expreso mi reconocimiento a los diputados Octavio Martínez Vargas y Alejandro Castro Hernández, por sus aportaciones, su acompañamiento y su visión que enriquecieron sustancialmente este proyecto, durante su discusión en las comisiones.</w:t>
      </w:r>
    </w:p>
    <w:p w14:paraId="3981E218" w14:textId="373DC9B8"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Compañeras y compañeros diputados, este dictamen no sólo representa un proceso legislativo más, representa una definición política clara, poner la energía eléctrica al servicio del bienestar del pueblo mexiquense, significa comenzar a corregir una carga histórica que ha limitado el desarrollo de nuestros Estados, municipios y ha afectado directamente al bienestar de nuestra gente y significa avanzar hacia un modelo más justo, donde el cumplimiento de derechos fundamentales, no se traduzca en deudas impagables.</w:t>
      </w:r>
      <w:r w:rsidR="000562F5" w:rsidRPr="0012597A">
        <w:rPr>
          <w:rFonts w:ascii="Times New Roman" w:hAnsi="Times New Roman" w:cs="Times New Roman"/>
          <w:sz w:val="24"/>
          <w:szCs w:val="24"/>
        </w:rPr>
        <w:t xml:space="preserve"> </w:t>
      </w:r>
      <w:r w:rsidRPr="0012597A">
        <w:rPr>
          <w:rFonts w:ascii="Times New Roman" w:hAnsi="Times New Roman" w:cs="Times New Roman"/>
          <w:sz w:val="24"/>
          <w:szCs w:val="24"/>
        </w:rPr>
        <w:t>Hoy damos un paso importante, un paso hacia la justicia financiera, un paso hacia el fortalecimiento municipal y sobre todo, un paso hacia el bienestar de nuestra gente.</w:t>
      </w:r>
    </w:p>
    <w:p w14:paraId="46CB769B" w14:textId="77777777"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Por lo anteriormente expuesto, procederé, si me lo permiten a dar lectura al dictamen correspondiente.</w:t>
      </w:r>
    </w:p>
    <w:p w14:paraId="0691E184" w14:textId="40523B60"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Dictamen formulado a la 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p>
    <w:p w14:paraId="25854A30" w14:textId="77777777"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HONORABLE ASAMBLEA </w:t>
      </w:r>
    </w:p>
    <w:p w14:paraId="057BE6FD" w14:textId="56752F2C"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La Presidencia de la “LXII” Legislatura, encomendó a las Comisiones Legislativas de Gobernación y Puntos Constitucionales y de Desarrollo Económico, Industrial, Comercial y Minero al estudio y dictamen de la </w:t>
      </w:r>
      <w:r w:rsidR="000562F5" w:rsidRPr="0012597A">
        <w:rPr>
          <w:rFonts w:ascii="Times New Roman" w:hAnsi="Times New Roman" w:cs="Times New Roman"/>
          <w:sz w:val="24"/>
          <w:szCs w:val="24"/>
        </w:rPr>
        <w:t xml:space="preserve">Iniciativa </w:t>
      </w:r>
      <w:r w:rsidRPr="0012597A">
        <w:rPr>
          <w:rFonts w:ascii="Times New Roman" w:hAnsi="Times New Roman" w:cs="Times New Roman"/>
          <w:sz w:val="24"/>
          <w:szCs w:val="24"/>
        </w:rPr>
        <w:t xml:space="preserve">del Congreso de la Unión con </w:t>
      </w:r>
      <w:r w:rsidR="000562F5" w:rsidRPr="0012597A">
        <w:rPr>
          <w:rFonts w:ascii="Times New Roman" w:hAnsi="Times New Roman" w:cs="Times New Roman"/>
          <w:sz w:val="24"/>
          <w:szCs w:val="24"/>
        </w:rPr>
        <w:t xml:space="preserve">Proyecto </w:t>
      </w:r>
      <w:r w:rsidRPr="0012597A">
        <w:rPr>
          <w:rFonts w:ascii="Times New Roman" w:hAnsi="Times New Roman" w:cs="Times New Roman"/>
          <w:sz w:val="24"/>
          <w:szCs w:val="24"/>
        </w:rPr>
        <w:t xml:space="preserve">de </w:t>
      </w:r>
      <w:r w:rsidR="000562F5" w:rsidRPr="0012597A">
        <w:rPr>
          <w:rFonts w:ascii="Times New Roman" w:hAnsi="Times New Roman" w:cs="Times New Roman"/>
          <w:sz w:val="24"/>
          <w:szCs w:val="24"/>
        </w:rPr>
        <w:t>Decreto</w:t>
      </w:r>
      <w:r w:rsidRPr="0012597A">
        <w:rPr>
          <w:rFonts w:ascii="Times New Roman" w:hAnsi="Times New Roman" w:cs="Times New Roman"/>
          <w:sz w:val="24"/>
          <w:szCs w:val="24"/>
        </w:rPr>
        <w:t>, por el que se adiciona un párrafo IV al artículo 10 de la Ley de la Empresa Pública del Estado Comisión Federal de Electricidad, presentada por el diputado Valentín Martínez Castillo, en nombre del Grupo Parlamentario del Partido morena.</w:t>
      </w:r>
    </w:p>
    <w:p w14:paraId="7D591953" w14:textId="77777777" w:rsidR="00B5179E" w:rsidRPr="0012597A" w:rsidRDefault="00B5179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Realizado el estudio de la iniciativa y discutido plenamente en las comisiones legislativas, nos permitimos con fundamento en lo establecido en el artículo 68, 70 y 82 de la Ley Orgánica del Poder Legislativo del Estado Libre y Soberano de México, en relación con señalado en los artículos 13 A, 70, 73, 75, 78, 79 y 80 del Reglamento del Poder Legislativo del Estado Libre y Soberano de México, emitir el siguiente:</w:t>
      </w:r>
    </w:p>
    <w:p w14:paraId="5E2D85CD" w14:textId="77777777" w:rsidR="00B5179E" w:rsidRPr="0012597A" w:rsidRDefault="00B5179E" w:rsidP="00EF1C7F">
      <w:pPr>
        <w:pStyle w:val="Sinespaciado"/>
        <w:jc w:val="center"/>
        <w:rPr>
          <w:rFonts w:ascii="Times New Roman" w:hAnsi="Times New Roman" w:cs="Times New Roman"/>
          <w:sz w:val="24"/>
          <w:szCs w:val="24"/>
        </w:rPr>
      </w:pPr>
      <w:r w:rsidRPr="0012597A">
        <w:rPr>
          <w:rFonts w:ascii="Times New Roman" w:hAnsi="Times New Roman" w:cs="Times New Roman"/>
          <w:sz w:val="24"/>
          <w:szCs w:val="24"/>
        </w:rPr>
        <w:t>DICTAMEN</w:t>
      </w:r>
    </w:p>
    <w:p w14:paraId="13730508" w14:textId="77777777" w:rsidR="00B5179E" w:rsidRPr="0012597A" w:rsidRDefault="00B5179E"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ANTECEDENTES Y CONCLUSIÓN DEL ESTUDIO.</w:t>
      </w:r>
    </w:p>
    <w:p w14:paraId="3E94CB8A" w14:textId="77777777" w:rsidR="00817432" w:rsidRPr="0012597A" w:rsidRDefault="0085084C"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1. </w:t>
      </w:r>
      <w:r w:rsidR="00817432" w:rsidRPr="0012597A">
        <w:rPr>
          <w:rFonts w:ascii="Times New Roman" w:hAnsi="Times New Roman" w:cs="Times New Roman"/>
          <w:sz w:val="24"/>
          <w:szCs w:val="24"/>
        </w:rPr>
        <w:t>En la sesión de la LXII Legislatura, realizada el día 10 septiembre del 2025, el diputado Valentín Martínez Castillo, en nombre del Grupo Parlamentario del Partido morena, de conformidad con lo dispuesto en los artículos 71 fracción III y 116 de la Constitución Política de los Estados Unidos Mexicanos, 51 fracción II, 57 y 61 fracción VII de la Constitución Política del Estado Libre y Soberano de México y 28, 30 y 38 fracción III de la Ley Orgánica del Poder Legislativo del Estado Libre y Soberano de México, sometió a la consideración de la Legislatura la Iniciativa al Congreso de la Unión con Proyecto de Decreto por el que se adiciona un párrafo cuarto al artículo 10 de la Ley de la Empresa Pública del Estado, Comisión Federal de Electricidad.</w:t>
      </w:r>
    </w:p>
    <w:p w14:paraId="6D51397B"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lastRenderedPageBreak/>
        <w:t>Con sujeción al estudio realizado, derivamos que la iniciativa tiene como finalidad formular la Iniciativa al Congreso de la Unión para facultar a la Comisión Federal de Electricidad y a establecer convenios de regularización de adeudos con los gobiernos estatales y municipales.</w:t>
      </w:r>
    </w:p>
    <w:p w14:paraId="60172768"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2.- En acatamiento al proceso legislativo aplicable el día 10 marzo del 2026, las Comisiones Legislativas de Gobernación y Puntos Constitucionales y de Desarrollo Económico, Industrial, Comercial y Minero celebraron reunión de estudio con la participación del diputado Valentín Martínez Castillo, quien expuso aspectos relevantes sobre la justificación, contenido y alcance de su propuesta legislativa.</w:t>
      </w:r>
    </w:p>
    <w:p w14:paraId="734FA735" w14:textId="50306DA4"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En observancia del proceso legislativo correspondiente, las comisiones legislativas el día 17 de </w:t>
      </w:r>
      <w:r w:rsidR="000562F5" w:rsidRPr="0012597A">
        <w:rPr>
          <w:rFonts w:ascii="Times New Roman" w:hAnsi="Times New Roman" w:cs="Times New Roman"/>
          <w:sz w:val="24"/>
          <w:szCs w:val="24"/>
        </w:rPr>
        <w:t>Marzo</w:t>
      </w:r>
      <w:r w:rsidRPr="0012597A">
        <w:rPr>
          <w:rFonts w:ascii="Times New Roman" w:hAnsi="Times New Roman" w:cs="Times New Roman"/>
          <w:sz w:val="24"/>
          <w:szCs w:val="24"/>
        </w:rPr>
        <w:t xml:space="preserve"> del año en curso, dictaminaron la propuesta legislativa.</w:t>
      </w:r>
    </w:p>
    <w:p w14:paraId="51CE81B5" w14:textId="11FCEA8B"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3.- En consonancia con el estudio realizado, determinamos procedente la presentación de la Iniciativa al Congreso de la Unión para adicionar un párrafo cuarto al artículo 10 de la Ley de la Empresa Pública del Estado, Comisión Federal de Electricidad; en tal sentido, la Comisión Federal de Electricidad estará facultada para suscribir convenios de regularización de adeudos con los gobiernos estatales y municipales, así como sus respectivas entidades públicas, con el propósito de asegurar la continuidad de servicios y de los de la prestación de los servicios públicos; asimismo, podrá establecer mediante lineamientos internos, mecanismos para la condonación parcial o total de adeudos derivados del suministro de energía eléctrica a instituciones de educación pública o de salud</w:t>
      </w:r>
      <w:r w:rsidR="000562F5" w:rsidRPr="0012597A">
        <w:rPr>
          <w:rFonts w:ascii="Times New Roman" w:hAnsi="Times New Roman" w:cs="Times New Roman"/>
          <w:sz w:val="24"/>
          <w:szCs w:val="24"/>
        </w:rPr>
        <w:t>,</w:t>
      </w:r>
      <w:r w:rsidRPr="0012597A">
        <w:rPr>
          <w:rFonts w:ascii="Times New Roman" w:hAnsi="Times New Roman" w:cs="Times New Roman"/>
          <w:sz w:val="24"/>
          <w:szCs w:val="24"/>
        </w:rPr>
        <w:t xml:space="preserve"> ya sean de carácter federal, estatal o municipal, o bien, cuando dichos adeudos formen parte del pasivo histórico de los gobiernos estatales y municipales.</w:t>
      </w:r>
    </w:p>
    <w:p w14:paraId="7A52D47E"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Finalmente.</w:t>
      </w:r>
    </w:p>
    <w:p w14:paraId="56AEDA83" w14:textId="77777777" w:rsidR="00817432" w:rsidRPr="0012597A" w:rsidRDefault="00817432" w:rsidP="00EF1C7F">
      <w:pPr>
        <w:pStyle w:val="Sinespaciado"/>
        <w:ind w:firstLine="708"/>
        <w:jc w:val="center"/>
        <w:rPr>
          <w:rFonts w:ascii="Times New Roman" w:hAnsi="Times New Roman" w:cs="Times New Roman"/>
          <w:sz w:val="24"/>
          <w:szCs w:val="24"/>
        </w:rPr>
      </w:pPr>
      <w:r w:rsidRPr="0012597A">
        <w:rPr>
          <w:rFonts w:ascii="Times New Roman" w:hAnsi="Times New Roman" w:cs="Times New Roman"/>
          <w:sz w:val="24"/>
          <w:szCs w:val="24"/>
        </w:rPr>
        <w:t>RESOLUTIVOS.</w:t>
      </w:r>
    </w:p>
    <w:p w14:paraId="0D01AD6F"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PRIMERO. Es de aprobarse en lo conducente conforme al proyecto de iniciativa y decreto que ha sido elaborado la iniciativa al Congreso de la Unión con un proyecto de decreto por el que se adiciona un párrafo cuarto al artículo 10 de la Ley de la Empresa Pública del Estado, Comisión Federal de Electricidad, presentada por un servidor, Valentín Martínez Castillo, en nombre del Grupo Parlamentario morena.</w:t>
      </w:r>
    </w:p>
    <w:p w14:paraId="146726A3"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SEGUNDO. Previa discusión y aprobación correspondiente, remítase la Iniciativa con Proyecto de Decreto a la Cámara de Diputados del Congreso de la Unión para los efectos necesarios.</w:t>
      </w:r>
    </w:p>
    <w:p w14:paraId="5441EE3D"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TERCERO. Publíquese la Iniciativa en Proyecto de Decreto en el Periódico Oficial “Gaceta de</w:t>
      </w:r>
      <w:r w:rsidR="000B60A6" w:rsidRPr="0012597A">
        <w:rPr>
          <w:rFonts w:ascii="Times New Roman" w:hAnsi="Times New Roman" w:cs="Times New Roman"/>
          <w:sz w:val="24"/>
          <w:szCs w:val="24"/>
        </w:rPr>
        <w:t>l</w:t>
      </w:r>
      <w:r w:rsidRPr="0012597A">
        <w:rPr>
          <w:rFonts w:ascii="Times New Roman" w:hAnsi="Times New Roman" w:cs="Times New Roman"/>
          <w:sz w:val="24"/>
          <w:szCs w:val="24"/>
        </w:rPr>
        <w:t xml:space="preserve"> Gobierno”.</w:t>
      </w:r>
    </w:p>
    <w:p w14:paraId="005D8EC1"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Dado en el Palacio Legislativo en la ciudad de Toluca de Lerdo, capital del Estado de México, a los diecisiete días del mes de marzo del año dos mil veintiséis.</w:t>
      </w:r>
    </w:p>
    <w:p w14:paraId="203A2781" w14:textId="3FB3F53B"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Querida diputada Presidenta y a la Mesa Directiva muchas gracias, también por su atención; querido diputado Presidente, Francisco Vázquez, gracias también</w:t>
      </w:r>
      <w:r w:rsidR="000562F5" w:rsidRPr="0012597A">
        <w:rPr>
          <w:rFonts w:ascii="Times New Roman" w:hAnsi="Times New Roman" w:cs="Times New Roman"/>
          <w:sz w:val="24"/>
          <w:szCs w:val="24"/>
        </w:rPr>
        <w:t>, y</w:t>
      </w:r>
      <w:r w:rsidRPr="0012597A">
        <w:rPr>
          <w:rFonts w:ascii="Times New Roman" w:hAnsi="Times New Roman" w:cs="Times New Roman"/>
          <w:sz w:val="24"/>
          <w:szCs w:val="24"/>
        </w:rPr>
        <w:t xml:space="preserve"> esperamos la respuesta del Congreso de la Unión y esperamos que su respuesta también sea favorable; sabemos que liberará de una carga importante que es histórica a todos los municipios y Estados, como ya lo mencioné.</w:t>
      </w:r>
    </w:p>
    <w:p w14:paraId="720A4BD7" w14:textId="77777777" w:rsidR="00817432"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Desde este lugar, de manera respetuosa, mando un saludo también a la región y más por los acontecimientos del Municipio de Juchitepec, que son lamentables finalmente y que han puesto o que pusieron de dos personas fallecidas solamente por ir a vender una mercancía.</w:t>
      </w:r>
    </w:p>
    <w:p w14:paraId="100C6661" w14:textId="77777777" w:rsidR="00BD1949" w:rsidRPr="0012597A" w:rsidRDefault="00817432"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Y bueno, entendemos cuál es el dolor que hay para la</w:t>
      </w:r>
      <w:r w:rsidR="008712A8" w:rsidRPr="0012597A">
        <w:rPr>
          <w:rFonts w:ascii="Times New Roman" w:hAnsi="Times New Roman" w:cs="Times New Roman"/>
          <w:sz w:val="24"/>
          <w:szCs w:val="24"/>
        </w:rPr>
        <w:t xml:space="preserve">s familias </w:t>
      </w:r>
      <w:r w:rsidR="00BD1949" w:rsidRPr="0012597A">
        <w:rPr>
          <w:rFonts w:ascii="Times New Roman" w:hAnsi="Times New Roman" w:cs="Times New Roman"/>
          <w:sz w:val="24"/>
          <w:szCs w:val="24"/>
        </w:rPr>
        <w:t xml:space="preserve"> de Veracruz que trajeron mercancía a vender a ese municipio, infortunadamente, tenemos una tragedia, pero bueno, estamos muy pendientes, estamos atentos de lo que se desarrolle y también aprovechar finalmente para mandar un saludo a mis padres que me acompañan este este día. </w:t>
      </w:r>
    </w:p>
    <w:p w14:paraId="46C040AC"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Muchas gracias, Es </w:t>
      </w:r>
      <w:proofErr w:type="spellStart"/>
      <w:r w:rsidRPr="0012597A">
        <w:rPr>
          <w:rFonts w:ascii="Times New Roman" w:hAnsi="Times New Roman" w:cs="Times New Roman"/>
          <w:sz w:val="24"/>
          <w:szCs w:val="24"/>
        </w:rPr>
        <w:t>cuanto</w:t>
      </w:r>
      <w:proofErr w:type="spellEnd"/>
      <w:r w:rsidRPr="0012597A">
        <w:rPr>
          <w:rFonts w:ascii="Times New Roman" w:hAnsi="Times New Roman" w:cs="Times New Roman"/>
          <w:sz w:val="24"/>
          <w:szCs w:val="24"/>
        </w:rPr>
        <w:t xml:space="preserve">. </w:t>
      </w:r>
    </w:p>
    <w:p w14:paraId="6AB66F68" w14:textId="77777777" w:rsidR="00E45EB9" w:rsidRPr="0012597A" w:rsidRDefault="00E45EB9" w:rsidP="00CB1E0A">
      <w:pPr>
        <w:pStyle w:val="Sinespaciado"/>
        <w:jc w:val="both"/>
        <w:rPr>
          <w:rFonts w:ascii="Times New Roman" w:hAnsi="Times New Roman" w:cs="Times New Roman"/>
          <w:sz w:val="24"/>
          <w:szCs w:val="24"/>
        </w:rPr>
      </w:pPr>
    </w:p>
    <w:p w14:paraId="73DCD187" w14:textId="77777777" w:rsidR="00E45EB9" w:rsidRPr="0012597A" w:rsidRDefault="00E45EB9" w:rsidP="00CB1E0A">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(Se inserta documento)</w:t>
      </w:r>
    </w:p>
    <w:p w14:paraId="795F25B2" w14:textId="77777777" w:rsidR="00E45EB9" w:rsidRPr="0012597A" w:rsidRDefault="00E45EB9" w:rsidP="00CB1E0A">
      <w:pPr>
        <w:spacing w:after="0" w:line="240" w:lineRule="auto"/>
        <w:jc w:val="center"/>
        <w:rPr>
          <w:rFonts w:ascii="Times New Roman" w:hAnsi="Times New Roman" w:cs="Times New Roman"/>
          <w:sz w:val="24"/>
          <w:szCs w:val="24"/>
        </w:rPr>
      </w:pPr>
    </w:p>
    <w:p w14:paraId="74F8A9B7" w14:textId="77777777" w:rsidR="009A572E" w:rsidRPr="0012597A" w:rsidRDefault="009A572E" w:rsidP="00CB1E0A">
      <w:pPr>
        <w:spacing w:after="0" w:line="240" w:lineRule="auto"/>
        <w:contextualSpacing/>
        <w:jc w:val="both"/>
        <w:rPr>
          <w:rFonts w:ascii="Times New Roman" w:eastAsia="Calibri" w:hAnsi="Times New Roman" w:cs="Times New Roman"/>
          <w:b/>
          <w:sz w:val="24"/>
          <w:szCs w:val="24"/>
          <w:lang w:val="es-ES"/>
        </w:rPr>
      </w:pPr>
      <w:bookmarkStart w:id="9" w:name="_Hlk193995048"/>
      <w:bookmarkStart w:id="10" w:name="_Hlk224212709"/>
      <w:r w:rsidRPr="0012597A">
        <w:rPr>
          <w:rFonts w:ascii="Times New Roman" w:eastAsia="Calibri" w:hAnsi="Times New Roman" w:cs="Times New Roman"/>
          <w:b/>
          <w:sz w:val="24"/>
          <w:szCs w:val="24"/>
        </w:rPr>
        <w:lastRenderedPageBreak/>
        <w:t xml:space="preserve">DICTAMEN FORMULADO A LA </w:t>
      </w:r>
      <w:r w:rsidRPr="0012597A">
        <w:rPr>
          <w:rFonts w:ascii="Times New Roman" w:eastAsia="Calibri" w:hAnsi="Times New Roman" w:cs="Times New Roman"/>
          <w:b/>
          <w:sz w:val="24"/>
          <w:szCs w:val="24"/>
          <w:lang w:val="es-ES"/>
        </w:rPr>
        <w:t>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bookmarkEnd w:id="10"/>
      <w:r w:rsidRPr="0012597A">
        <w:rPr>
          <w:rFonts w:ascii="Times New Roman" w:eastAsia="Calibri" w:hAnsi="Times New Roman" w:cs="Times New Roman"/>
          <w:b/>
          <w:sz w:val="24"/>
          <w:szCs w:val="24"/>
          <w:lang w:val="es-ES"/>
        </w:rPr>
        <w:t>.</w:t>
      </w:r>
    </w:p>
    <w:p w14:paraId="78A13DC5"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5CCB979E" w14:textId="77777777" w:rsidR="009A572E" w:rsidRPr="0012597A" w:rsidRDefault="009A572E" w:rsidP="00CB1E0A">
      <w:pPr>
        <w:spacing w:after="0" w:line="240" w:lineRule="auto"/>
        <w:contextualSpacing/>
        <w:jc w:val="both"/>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HONORABLE ASAMBLEA:</w:t>
      </w:r>
    </w:p>
    <w:p w14:paraId="09846C48"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383ABE81"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La Presidencia de la "LXII" Legislatura encomendó a las Comisiones Legislativas de Gobernación y Puntos Constitucionales y de Desarrollo Económico, Industrial, Comercial y Minero</w:t>
      </w:r>
      <w:r w:rsidRPr="0012597A">
        <w:rPr>
          <w:rFonts w:ascii="Times New Roman" w:eastAsia="Calibri" w:hAnsi="Times New Roman" w:cs="Times New Roman"/>
          <w:sz w:val="24"/>
          <w:szCs w:val="24"/>
          <w:lang w:val="es-ES"/>
        </w:rPr>
        <w:t>, el estudio</w:t>
      </w:r>
      <w:r w:rsidRPr="0012597A">
        <w:rPr>
          <w:rFonts w:ascii="Times New Roman" w:eastAsia="Calibri" w:hAnsi="Times New Roman" w:cs="Times New Roman"/>
          <w:sz w:val="24"/>
          <w:szCs w:val="24"/>
        </w:rPr>
        <w:t xml:space="preserve"> y dictamen, de la 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p>
    <w:p w14:paraId="40AB251E"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00BBC9F7"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Realizado el estudio de la Iniciativa y discutido plenamente en las comisiones legislativas,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14:paraId="3F3FC8F2"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3C1FD05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DICTAMEN</w:t>
      </w:r>
    </w:p>
    <w:p w14:paraId="2B895F52"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501A96F8" w14:textId="77777777" w:rsidR="009A572E" w:rsidRPr="0012597A" w:rsidRDefault="009A572E" w:rsidP="00CB1E0A">
      <w:pPr>
        <w:spacing w:after="0" w:line="240" w:lineRule="auto"/>
        <w:contextualSpacing/>
        <w:jc w:val="both"/>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ANTECEDENTES Y CONCLUSIÓN DEL ESTUDIO.</w:t>
      </w:r>
    </w:p>
    <w:p w14:paraId="271E7B31"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5768CB22"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r w:rsidRPr="0012597A">
        <w:rPr>
          <w:rFonts w:ascii="Times New Roman" w:eastAsia="Calibri" w:hAnsi="Times New Roman" w:cs="Times New Roman"/>
          <w:b/>
          <w:sz w:val="24"/>
          <w:szCs w:val="24"/>
          <w:lang w:val="es-ES"/>
        </w:rPr>
        <w:t>1.-</w:t>
      </w:r>
      <w:r w:rsidRPr="0012597A">
        <w:rPr>
          <w:rFonts w:ascii="Times New Roman" w:eastAsia="Calibri" w:hAnsi="Times New Roman" w:cs="Times New Roman"/>
          <w:sz w:val="24"/>
          <w:szCs w:val="24"/>
        </w:rPr>
        <w:t xml:space="preserve"> </w:t>
      </w:r>
      <w:r w:rsidRPr="0012597A">
        <w:rPr>
          <w:rFonts w:ascii="Times New Roman" w:eastAsia="Calibri" w:hAnsi="Times New Roman" w:cs="Times New Roman"/>
          <w:sz w:val="24"/>
          <w:szCs w:val="24"/>
          <w:lang w:val="es-ES"/>
        </w:rPr>
        <w:t>En sesión de la “LXII” Legislatura realizada el día diez de septiembre de dos mil veinticinco, el Diputado Valentín Martínez Castillo</w:t>
      </w:r>
      <w:r w:rsidRPr="0012597A">
        <w:rPr>
          <w:rFonts w:ascii="Times New Roman" w:eastAsia="Calibri" w:hAnsi="Times New Roman" w:cs="Times New Roman"/>
          <w:bCs/>
          <w:sz w:val="24"/>
          <w:szCs w:val="24"/>
          <w:lang w:val="es-ES"/>
        </w:rPr>
        <w:t>, en nombre del Grupo Parlamentario del Partido morena,</w:t>
      </w:r>
      <w:r w:rsidRPr="0012597A">
        <w:rPr>
          <w:rFonts w:ascii="Times New Roman" w:eastAsia="Calibri" w:hAnsi="Times New Roman" w:cs="Times New Roman"/>
          <w:sz w:val="24"/>
          <w:szCs w:val="24"/>
          <w:lang w:val="es-ES"/>
        </w:rPr>
        <w:t xml:space="preserve"> de conformidad con lo dispuesto en los </w:t>
      </w:r>
      <w:r w:rsidRPr="0012597A">
        <w:rPr>
          <w:rFonts w:ascii="Times New Roman" w:eastAsia="Calibri" w:hAnsi="Times New Roman" w:cs="Times New Roman"/>
          <w:sz w:val="24"/>
          <w:szCs w:val="24"/>
        </w:rPr>
        <w:t xml:space="preserve">artículos 71 fracción III y 116 de la Constitución Política de los Estados Unidos Mexicanos, 51 fracción II, 57 y 61 fracción VII de la Constitución Política del Estado Libre y Soberano de México, y 28, 30 y 38 fracción III de la Ley Orgánica del Poder Legislativo del Estado Libre y Soberano de México, </w:t>
      </w:r>
      <w:r w:rsidRPr="0012597A">
        <w:rPr>
          <w:rFonts w:ascii="Times New Roman" w:eastAsia="Calibri" w:hAnsi="Times New Roman" w:cs="Times New Roman"/>
          <w:sz w:val="24"/>
          <w:szCs w:val="24"/>
          <w:lang w:val="es-ES"/>
        </w:rPr>
        <w:t xml:space="preserve">sometió a la consideración de la Legislatura, la </w:t>
      </w:r>
      <w:r w:rsidRPr="0012597A">
        <w:rPr>
          <w:rFonts w:ascii="Times New Roman" w:eastAsia="Calibri" w:hAnsi="Times New Roman" w:cs="Times New Roman"/>
          <w:sz w:val="24"/>
          <w:szCs w:val="24"/>
        </w:rPr>
        <w:t>Iniciativa al Congreso de la Unión con Proyecto de Decreto por el que se adiciona un párrafo cuarto al artículo 10 de la Ley de la Empresa Pública del Estado, Comisión Federal de Electricidad</w:t>
      </w:r>
      <w:r w:rsidRPr="0012597A">
        <w:rPr>
          <w:rFonts w:ascii="Times New Roman" w:eastAsia="Calibri" w:hAnsi="Times New Roman" w:cs="Times New Roman"/>
          <w:sz w:val="24"/>
          <w:szCs w:val="24"/>
          <w:lang w:val="es-ES"/>
        </w:rPr>
        <w:t>.</w:t>
      </w:r>
    </w:p>
    <w:p w14:paraId="6A45CA5D"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12714B06"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Con sujeción al estudio realizado, derivamos que la iniciativa tiene como finalidad, formular la Iniciativa al Congreso de la Unión para facultar a la Comisión Federal de Electricidad a establecer convenios de regularización de adeudos con los gobiernos estatales y municipales.</w:t>
      </w:r>
    </w:p>
    <w:p w14:paraId="1F57D49D"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07843DB1"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sz w:val="24"/>
          <w:szCs w:val="24"/>
        </w:rPr>
        <w:t>2.-</w:t>
      </w:r>
      <w:r w:rsidRPr="0012597A">
        <w:rPr>
          <w:rFonts w:ascii="Times New Roman" w:eastAsia="Calibri" w:hAnsi="Times New Roman" w:cs="Times New Roman"/>
          <w:sz w:val="24"/>
          <w:szCs w:val="24"/>
        </w:rPr>
        <w:t xml:space="preserve"> En acatamiento del proceso legislativo aplicable, el día diez de marzo de dos mil veintiséis, las Comisiones Legislativas de Gobernación y Puntos Constitucionales y de Desarrollo Económico, Industrial, Comercial y Minero, celebraron reunión de estudio con la participación del Diputado Valentín Martínez Castillo, quien expuso aspectos relevantes sobre la justificación, contenido y alcances de su propuesta legislativa.</w:t>
      </w:r>
    </w:p>
    <w:p w14:paraId="773F5AAE"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5486CBEE"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En observancia del proceso legislativo correspondiente, las comisiones legislativas, el día diecisiete de marzo del año en curso, dictaminaron la propuesta legislativa.</w:t>
      </w:r>
    </w:p>
    <w:p w14:paraId="524A5A14"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096E8B55"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sz w:val="24"/>
          <w:szCs w:val="24"/>
        </w:rPr>
        <w:lastRenderedPageBreak/>
        <w:t>3.-</w:t>
      </w:r>
      <w:r w:rsidRPr="0012597A">
        <w:rPr>
          <w:rFonts w:ascii="Times New Roman" w:eastAsia="Calibri" w:hAnsi="Times New Roman" w:cs="Times New Roman"/>
          <w:sz w:val="24"/>
          <w:szCs w:val="24"/>
        </w:rPr>
        <w:t xml:space="preserve"> En consonancia con el estudio realizado determinamos procedente la presentación de la Iniciativa al Congreso de la Unión para adicionar un párrafo cuarto al artículo 10 de la Ley de la Empresa Pública del Estado, Comisión Federal de Electricidad.</w:t>
      </w:r>
    </w:p>
    <w:p w14:paraId="70E3FC17"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754AF1BE" w14:textId="77777777" w:rsidR="009A572E" w:rsidRPr="0012597A" w:rsidRDefault="009A572E" w:rsidP="00CB1E0A">
      <w:pPr>
        <w:spacing w:after="0" w:line="240" w:lineRule="auto"/>
        <w:contextualSpacing/>
        <w:jc w:val="both"/>
        <w:rPr>
          <w:rFonts w:ascii="Times New Roman" w:eastAsia="Calibri" w:hAnsi="Times New Roman" w:cs="Times New Roman"/>
          <w:b/>
          <w:bCs/>
          <w:sz w:val="24"/>
          <w:szCs w:val="24"/>
        </w:rPr>
      </w:pPr>
      <w:r w:rsidRPr="0012597A">
        <w:rPr>
          <w:rFonts w:ascii="Times New Roman" w:eastAsia="Calibri" w:hAnsi="Times New Roman" w:cs="Times New Roman"/>
          <w:bCs/>
          <w:sz w:val="24"/>
          <w:szCs w:val="24"/>
        </w:rPr>
        <w:t>En tal sentido, la Comisión Federal de Electricidad estará facultada para suscribir convenios de regularización de adeudos con los gobiernos estatales y municipales, así como con sus respectivas entidades públicas, con el propósito de asegurar la continuidad en la prestación de los servicios públicos. Asimismo, podrá establecer, mediante lineamientos internos, mecanismos para la condonación parcial o total de adeudos derivados del suministro de energía eléctrica a instituciones de educación pública o de salud, ya sean de carácter federal, estatal o municipal, o bien cuando dichos adeudos formen parte del pasivo histórico de los gobiernos estatales o municipales.</w:t>
      </w:r>
      <w:r w:rsidRPr="0012597A">
        <w:rPr>
          <w:rFonts w:ascii="Times New Roman" w:eastAsia="Calibri" w:hAnsi="Times New Roman" w:cs="Times New Roman"/>
          <w:b/>
          <w:bCs/>
          <w:sz w:val="24"/>
          <w:szCs w:val="24"/>
        </w:rPr>
        <w:t xml:space="preserve"> </w:t>
      </w:r>
    </w:p>
    <w:p w14:paraId="5728FBBC"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5A4E42EC" w14:textId="77777777" w:rsidR="009A572E" w:rsidRPr="0012597A" w:rsidRDefault="009A572E" w:rsidP="00CB1E0A">
      <w:pPr>
        <w:spacing w:after="0" w:line="240" w:lineRule="auto"/>
        <w:contextualSpacing/>
        <w:jc w:val="both"/>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CONSIDERACIONES.</w:t>
      </w:r>
    </w:p>
    <w:p w14:paraId="076A3998"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1130383D" w14:textId="77777777" w:rsidR="009A572E" w:rsidRPr="0012597A" w:rsidRDefault="009A572E" w:rsidP="00CB1E0A">
      <w:pPr>
        <w:spacing w:after="0" w:line="240" w:lineRule="auto"/>
        <w:contextualSpacing/>
        <w:jc w:val="both"/>
        <w:rPr>
          <w:rFonts w:ascii="Times New Roman" w:eastAsia="Calibri" w:hAnsi="Times New Roman" w:cs="Times New Roman"/>
          <w:bCs/>
          <w:sz w:val="24"/>
          <w:szCs w:val="24"/>
        </w:rPr>
      </w:pPr>
      <w:r w:rsidRPr="0012597A">
        <w:rPr>
          <w:rFonts w:ascii="Times New Roman" w:eastAsia="Calibri" w:hAnsi="Times New Roman" w:cs="Times New Roman"/>
          <w:bCs/>
          <w:sz w:val="24"/>
          <w:szCs w:val="24"/>
        </w:rPr>
        <w:t>La “LXII” Legislatura es competente para conocer y resolver la Iniciativa con Proyecto de Decreto, de acuerdo con lo previsto en los artículos 71 fracción III de la Constitución Política de los Estados Unidos Mexicanos, y 61 fracción VII de la Constitución Política del Estado Libre y Soberano de México, que la facultan para ejercer el derecho de Iniciativa Legislativa ante el Congreso de la Unión.</w:t>
      </w:r>
    </w:p>
    <w:p w14:paraId="01EA4299"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1309912C" w14:textId="77777777" w:rsidR="009A572E" w:rsidRPr="0012597A" w:rsidRDefault="009A572E" w:rsidP="00CB1E0A">
      <w:pPr>
        <w:spacing w:after="0" w:line="240" w:lineRule="auto"/>
        <w:contextualSpacing/>
        <w:jc w:val="both"/>
        <w:rPr>
          <w:rFonts w:ascii="Times New Roman" w:eastAsia="Calibri" w:hAnsi="Times New Roman" w:cs="Times New Roman"/>
          <w:b/>
          <w:sz w:val="24"/>
          <w:szCs w:val="24"/>
        </w:rPr>
      </w:pPr>
      <w:r w:rsidRPr="0012597A">
        <w:rPr>
          <w:rFonts w:ascii="Times New Roman" w:eastAsia="Calibri" w:hAnsi="Times New Roman" w:cs="Times New Roman"/>
          <w:b/>
          <w:sz w:val="24"/>
          <w:szCs w:val="24"/>
        </w:rPr>
        <w:t>ANÁLISIS Y VALORACIÓN DE LOS ARGUMENTOS.</w:t>
      </w:r>
    </w:p>
    <w:p w14:paraId="7112F131"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7EBBDC15"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Resaltamos con la iniciativa que la Comisión Federal de Electricidad (CFE) es una empresa pública de carácter social que provee energía eléctrica, servicio fundamental para el desarrollo de una nación. Es una empresa productiva del Estado, propiedad exclusiva del gobierno federal, con personalidad jurídica y patrimonio propio. Goza de autonomía técnica, operativa y de gestión conforme a lo dispuesto en la Ley de la Empresa Pública del Estado, Comisión Federal de Electricidad.</w:t>
      </w:r>
    </w:p>
    <w:p w14:paraId="07F7186E"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2D70DEBF"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Advertimos que la CFE fue establecida por el gobierno federal el 14 de agosto de 1937, durante la presidencia de Lázaro Cárdenas, con el objetivo de organizar y dirigir un sistema nacional de generación, transmisión y distribución de energía eléctrica, basado en principios técnicos y económicos, sin propósitos de lucro y con la finalidad de obtener, con un costo mínimo, el mayor rendimiento posible en beneficio de los intereses generales.</w:t>
      </w:r>
    </w:p>
    <w:p w14:paraId="5E1E145C"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42FFF87F"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Asimismo, que, la extinción de Luz y Fuerza del Centro (</w:t>
      </w:r>
      <w:proofErr w:type="spellStart"/>
      <w:r w:rsidRPr="0012597A">
        <w:rPr>
          <w:rFonts w:ascii="Times New Roman" w:eastAsia="Calibri" w:hAnsi="Times New Roman" w:cs="Times New Roman"/>
          <w:sz w:val="24"/>
          <w:szCs w:val="24"/>
        </w:rPr>
        <w:t>LyFC</w:t>
      </w:r>
      <w:proofErr w:type="spellEnd"/>
      <w:r w:rsidRPr="0012597A">
        <w:rPr>
          <w:rFonts w:ascii="Times New Roman" w:eastAsia="Calibri" w:hAnsi="Times New Roman" w:cs="Times New Roman"/>
          <w:sz w:val="24"/>
          <w:szCs w:val="24"/>
        </w:rPr>
        <w:t>) en octubre de 2009 conllevó la transferencia de sus operaciones y pasivos a la Comisión Federal de Electricidad (CFE) y que al momento de esta extinción, Luz y Fuerza del Centro tenía una cartera de morosos que ascendía a aproximadamente 7,000 millones de pesos, incluyendo adeudos de empresas privadas, instituciones gubernamentales y usuarios domésticos.</w:t>
      </w:r>
    </w:p>
    <w:p w14:paraId="70ECE944"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4BBDBA55"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Reconocemos que, actualmente, la CFE abastece de energía eléctrica a aproximadamente 48.8 millones de usuarios, lo que representa una cobertura del 99.6% de la población mexicana. Sin embargo, diversos municipios y gobiernos estatales enfrentan adeudos históricos derivados del consumo de energía eléctrica en instalaciones públicas como escuelas, hospitales, centros de salud y oficinas gubernamentales y que estos adeudos, muchas veces acumulados por causas ajenas a las administraciones actuales, afectan la relación financiera entre los tres niveles de gobierno e incluso comprometen la prestación de servicios esenciales a la población.</w:t>
      </w:r>
    </w:p>
    <w:p w14:paraId="48A2269F"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0FB07024"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lastRenderedPageBreak/>
        <w:t>La iniciativa expone diversos datos y amplía información sobre los adeudos acumulados por estados, municipios y dependencias federales con la CFE, incluyendo, el Estado de México, donde da a conocer un panorama complejo.</w:t>
      </w:r>
    </w:p>
    <w:p w14:paraId="7ECAC867"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44770184"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Por ello, estamos de acuerdo en que, resulta indispensable dotar a la CFE de facultades explícitas que le permitan suscribir convenios de regularización con municipios y entidades estatales, así como establecer mecanismos que faciliten la condonación de adeudos originados en el suministro de energía a instituciones públicas educativas y de salud. Esta propuesta no implica un costo presupuestario directo adicional para la Federación, ya que no crea nuevas obligaciones de gasto ni requiere la creación de nuevos órganos administrativos. Por el contrario, al facultar a la CFE para suscribir convenios de regularización y condonar adeudos específicos, se fomenta la recuperación de cartera vencida y se promueve una mayor sostenibilidad financiera a mediano plazo.</w:t>
      </w:r>
    </w:p>
    <w:p w14:paraId="24820696"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2B4375F8"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Advertimos con la iniciativa diversas disposiciones que traería esta reforma, destacando los siguientes: Alivio financiero para gobiernos locales; fortalecimiento de la educación y la salud pública; modernización energética. Uno de los beneficios más estratégicos de facultar a la CFE para suscribir convenios con municipios y gobiernos estatales es la posibilidad de impulsar un proceso estructurado de modernización energética en el sector público local. Este proceso no se limitaría al simple saneamiento de deudas, sino que permitiría establecer acuerdos condicionados a la adopción de tecnologías más eficientes y sustentables, con impacto directo en el gasto público, el medio ambiente y la calidad de los servicios; impulso al federalismo cooperativo; beneficio fiscal y presupuestario para la CFE. En lugar de mantener cuentas incobrables, la empresa podrá sanear su cartera y concentrar sus esfuerzos en fortalecer la infraestructura y mejorar el servicio.</w:t>
      </w:r>
    </w:p>
    <w:p w14:paraId="781762A6"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34307DCE"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Coincidimos en que, la posibilidad de condonar adeudos a instituciones educativas y de salud públicas permitirá sanear cuentas históricas que, en la práctica, son incobrables debido a las limitaciones presupuestarias de las entidades subnacionales. Esta medida contribuirá a una mayor transparencia financiera, permitirá a la CFE enfocar sus recursos en servicios estratégicos y facilitará la colaboración intergubernamental en beneficio del interés público.</w:t>
      </w:r>
    </w:p>
    <w:p w14:paraId="43571948"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7F71CA00"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Es muy ilustrativo el ejemplo del Estado de Tabasco, que apenas hace unos meses, en octubre del año pasado, logró un acuerdo con la Comisión Federal de Electricidad (CFE) para eliminar, por segunda ocasión, la deuda del gobierno del estado con la empresa, misma que consistía en un subsidio al adeudo histórico de los tabasqueños por el no pago del servicio de energía eléctrica. En esa entidad se ha logrado condonar además, el adeudo de más de 600 mil usuarios domésticos.</w:t>
      </w:r>
    </w:p>
    <w:p w14:paraId="4B5F62F4"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2563F559"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Resulta oportuna la propuesta que va orientada a facultar a la CFE a establecer convenios que permitan reestructurar los adeudos históricos y, en el caso particular de los que provienen de instituciones públicas de educación y de salud, lograr la condonación total, a partir de la obligación que tiene el Estado Mexicano para garantizar el acceso a la educación y a la salud a todas y todos los mexicanos, y que hoy en día la educación y la salud tienen una gran dependencia tecnológica y energética.</w:t>
      </w:r>
    </w:p>
    <w:p w14:paraId="06C80E7C"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43E05289"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Compartimos el argumento de que, se trata de una medida de impacto presupuestal neutral en el corto plazo, con beneficios positivos en el largo plazo tanto para la administración pública como para los usuarios finales. Pero, sobre todo, permitirá sanear financieramente a los municipios del país y descargarles el peso que representa el adeudo histórico, especialmente el derivado del </w:t>
      </w:r>
      <w:r w:rsidRPr="0012597A">
        <w:rPr>
          <w:rFonts w:ascii="Times New Roman" w:eastAsia="Calibri" w:hAnsi="Times New Roman" w:cs="Times New Roman"/>
          <w:sz w:val="24"/>
          <w:szCs w:val="24"/>
        </w:rPr>
        <w:lastRenderedPageBreak/>
        <w:t>consumo de energía en instituciones educativas y de salud - servicios fundamentales cuya responsabilidad principal recae en la Federación y los Estados -.</w:t>
      </w:r>
    </w:p>
    <w:p w14:paraId="0FCB210C"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7EBF8393" w14:textId="77777777" w:rsidR="009A572E" w:rsidRPr="0012597A" w:rsidRDefault="009A572E" w:rsidP="00CB1E0A">
      <w:pPr>
        <w:spacing w:after="0" w:line="240" w:lineRule="auto"/>
        <w:contextualSpacing/>
        <w:jc w:val="both"/>
        <w:rPr>
          <w:rFonts w:ascii="Times New Roman" w:eastAsia="Calibri" w:hAnsi="Times New Roman" w:cs="Times New Roman"/>
          <w:b/>
          <w:sz w:val="24"/>
          <w:szCs w:val="24"/>
        </w:rPr>
      </w:pPr>
      <w:r w:rsidRPr="0012597A">
        <w:rPr>
          <w:rFonts w:ascii="Times New Roman" w:eastAsia="Calibri" w:hAnsi="Times New Roman" w:cs="Times New Roman"/>
          <w:b/>
          <w:sz w:val="24"/>
          <w:szCs w:val="24"/>
        </w:rPr>
        <w:t>ANÁLISIS Y ESTUDIO TÉCNICO DEL TEXTO NORMATIVO.</w:t>
      </w:r>
    </w:p>
    <w:p w14:paraId="1427A3C7"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4FC2C90E"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Con sujeción al estudio que llevamos a cabo es procedente presentar Iniciativa al Congreso de la Unión para adicionar un párrafo cuarto al artículo 10 de la Ley de la Empresa Pública del Estado, Comisión Federal de Electricidad, conforme el tenor siguiente:</w:t>
      </w:r>
    </w:p>
    <w:p w14:paraId="7EA80E06"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102F0A9F"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“Único. </w:t>
      </w:r>
      <w:r w:rsidRPr="0012597A">
        <w:rPr>
          <w:rFonts w:ascii="Times New Roman" w:eastAsia="Calibri" w:hAnsi="Times New Roman" w:cs="Times New Roman"/>
          <w:sz w:val="24"/>
          <w:szCs w:val="24"/>
        </w:rPr>
        <w:t xml:space="preserve">Se adiciona un párrafo cuarto al artículo 10 de la Ley de la Empresa Pública del Estado, Comisión Federal de Electricidad, para quedar como sigue: </w:t>
      </w:r>
    </w:p>
    <w:p w14:paraId="77B734C6"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b/>
          <w:bCs/>
          <w:sz w:val="24"/>
          <w:szCs w:val="24"/>
        </w:rPr>
      </w:pPr>
    </w:p>
    <w:p w14:paraId="4A7086EA"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Artículo 10.- </w:t>
      </w:r>
      <w:r w:rsidRPr="0012597A">
        <w:rPr>
          <w:rFonts w:ascii="Times New Roman" w:eastAsia="Calibri" w:hAnsi="Times New Roman" w:cs="Times New Roman"/>
          <w:bCs/>
          <w:sz w:val="24"/>
          <w:szCs w:val="24"/>
        </w:rPr>
        <w:t>…</w:t>
      </w:r>
      <w:r w:rsidRPr="0012597A">
        <w:rPr>
          <w:rFonts w:ascii="Times New Roman" w:eastAsia="Calibri" w:hAnsi="Times New Roman" w:cs="Times New Roman"/>
          <w:b/>
          <w:bCs/>
          <w:sz w:val="24"/>
          <w:szCs w:val="24"/>
        </w:rPr>
        <w:t xml:space="preserve"> </w:t>
      </w:r>
    </w:p>
    <w:p w14:paraId="59F4A9EE"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p>
    <w:p w14:paraId="1A27F105"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 </w:t>
      </w:r>
    </w:p>
    <w:p w14:paraId="09561354"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p>
    <w:p w14:paraId="46302E12"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 </w:t>
      </w:r>
    </w:p>
    <w:p w14:paraId="416436FD"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b/>
          <w:bCs/>
          <w:sz w:val="24"/>
          <w:szCs w:val="24"/>
        </w:rPr>
      </w:pPr>
    </w:p>
    <w:p w14:paraId="3C9E6891"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 xml:space="preserve">La Comisión Federal de Electricidad estará facultada para suscribir convenios de regularización de adeudos con los gobiernos estatales y municipales, así como con sus respectivas entidades públicas, con el propósito de asegurar la continuidad en la prestación de los servicios públicos. Asimismo, podrá establecer, mediante lineamientos internos, mecanismos para la condonación parcial o total de adeudos derivados del suministro de energía eléctrica a instituciones de educación pública o de salud, ya sean de carácter federal, estatal o municipal, o bien cuando dichos adeudos formen parte del pasivo histórico de los gobiernos estatales o municipales. </w:t>
      </w:r>
    </w:p>
    <w:p w14:paraId="241E68A8"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p>
    <w:p w14:paraId="3DA1B0AD" w14:textId="77777777" w:rsidR="009A572E" w:rsidRPr="0012597A" w:rsidRDefault="009A572E" w:rsidP="00CB1E0A">
      <w:pPr>
        <w:spacing w:after="0" w:line="240" w:lineRule="auto"/>
        <w:ind w:left="284" w:right="474"/>
        <w:contextualSpacing/>
        <w:jc w:val="center"/>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TRANSITORIO</w:t>
      </w:r>
    </w:p>
    <w:p w14:paraId="7F03A6CC" w14:textId="77777777" w:rsidR="009A572E" w:rsidRPr="0012597A" w:rsidRDefault="009A572E" w:rsidP="00CB1E0A">
      <w:pPr>
        <w:spacing w:after="0" w:line="240" w:lineRule="auto"/>
        <w:ind w:left="284" w:right="474"/>
        <w:contextualSpacing/>
        <w:jc w:val="center"/>
        <w:rPr>
          <w:rFonts w:ascii="Times New Roman" w:eastAsia="Calibri" w:hAnsi="Times New Roman" w:cs="Times New Roman"/>
          <w:sz w:val="24"/>
          <w:szCs w:val="24"/>
        </w:rPr>
      </w:pPr>
    </w:p>
    <w:p w14:paraId="4A22EB07"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Único. </w:t>
      </w:r>
      <w:r w:rsidRPr="0012597A">
        <w:rPr>
          <w:rFonts w:ascii="Times New Roman" w:eastAsia="Calibri" w:hAnsi="Times New Roman" w:cs="Times New Roman"/>
          <w:sz w:val="24"/>
          <w:szCs w:val="24"/>
        </w:rPr>
        <w:t xml:space="preserve">El presente decreto entrará en vigor al día siguiente de su publicación en el Diario Oficial de la Federación. </w:t>
      </w:r>
    </w:p>
    <w:p w14:paraId="389F3C64"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p>
    <w:p w14:paraId="4FDCA1CB" w14:textId="77777777" w:rsidR="009A572E" w:rsidRPr="0012597A" w:rsidRDefault="009A572E" w:rsidP="00CB1E0A">
      <w:pPr>
        <w:spacing w:after="0" w:line="240" w:lineRule="auto"/>
        <w:ind w:left="284" w:right="474"/>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SALÓN DE SESIONES DE LA CÁMARA DE DIPUTADOS DEL HONORABLE CONGRESO DE LA UNIÓN.- Ciudad de México, a </w:t>
      </w:r>
      <w:r w:rsidRPr="0012597A">
        <w:rPr>
          <w:rFonts w:ascii="Times New Roman" w:eastAsia="Calibri" w:hAnsi="Times New Roman" w:cs="Times New Roman"/>
          <w:sz w:val="24"/>
          <w:szCs w:val="24"/>
        </w:rPr>
        <w:tab/>
        <w:t xml:space="preserve">de </w:t>
      </w:r>
      <w:r w:rsidRPr="0012597A">
        <w:rPr>
          <w:rFonts w:ascii="Times New Roman" w:eastAsia="Calibri" w:hAnsi="Times New Roman" w:cs="Times New Roman"/>
          <w:sz w:val="24"/>
          <w:szCs w:val="24"/>
        </w:rPr>
        <w:tab/>
        <w:t>de 2026.”</w:t>
      </w:r>
    </w:p>
    <w:p w14:paraId="5E37BDF0"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1B7E8E2F"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Consecuentes con lo expuesto, </w:t>
      </w:r>
      <w:r w:rsidRPr="0012597A">
        <w:rPr>
          <w:rFonts w:ascii="Times New Roman" w:eastAsia="Arial" w:hAnsi="Times New Roman" w:cs="Times New Roman"/>
          <w:iCs/>
          <w:sz w:val="24"/>
          <w:szCs w:val="24"/>
        </w:rPr>
        <w:t xml:space="preserve">valorados los argumentos y sustanciado el estudio técnico del Proyecto de Decreto, demostrado el beneficio social de la iniciativa y satisfechos los </w:t>
      </w:r>
      <w:r w:rsidRPr="0012597A">
        <w:rPr>
          <w:rFonts w:ascii="Times New Roman" w:eastAsia="Calibri" w:hAnsi="Times New Roman" w:cs="Times New Roman"/>
          <w:sz w:val="24"/>
          <w:szCs w:val="24"/>
        </w:rPr>
        <w:t xml:space="preserve">requisitos de fondo y forma, nos permitimos concluir con los siguientes: </w:t>
      </w:r>
    </w:p>
    <w:p w14:paraId="5A6FCBF5"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0DF05C4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lang w:val="es-ES"/>
        </w:rPr>
      </w:pPr>
      <w:r w:rsidRPr="0012597A">
        <w:rPr>
          <w:rFonts w:ascii="Times New Roman" w:eastAsia="Calibri" w:hAnsi="Times New Roman" w:cs="Times New Roman"/>
          <w:b/>
          <w:sz w:val="24"/>
          <w:szCs w:val="24"/>
          <w:lang w:val="es-ES"/>
        </w:rPr>
        <w:t>RESOLUTIVOS</w:t>
      </w:r>
    </w:p>
    <w:p w14:paraId="59110DAC"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7E465F50"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b/>
          <w:sz w:val="24"/>
          <w:szCs w:val="24"/>
        </w:rPr>
        <w:t>PRIMERO.-</w:t>
      </w:r>
      <w:r w:rsidRPr="0012597A">
        <w:rPr>
          <w:rFonts w:ascii="Times New Roman" w:eastAsia="Calibri" w:hAnsi="Times New Roman" w:cs="Times New Roman"/>
          <w:sz w:val="24"/>
          <w:szCs w:val="24"/>
        </w:rPr>
        <w:t xml:space="preserve"> Es de aprobarse, en lo conducente, conforme al Proyecto de Iniciativa y Decreto que ha sido elaborado, la </w:t>
      </w:r>
      <w:r w:rsidRPr="0012597A">
        <w:rPr>
          <w:rFonts w:ascii="Times New Roman" w:eastAsia="Calibri" w:hAnsi="Times New Roman" w:cs="Times New Roman"/>
          <w:bCs/>
          <w:sz w:val="24"/>
          <w:szCs w:val="24"/>
        </w:rPr>
        <w:t>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r w:rsidRPr="0012597A">
        <w:rPr>
          <w:rFonts w:ascii="Times New Roman" w:eastAsia="Calibri" w:hAnsi="Times New Roman" w:cs="Times New Roman"/>
          <w:bCs/>
          <w:sz w:val="24"/>
          <w:szCs w:val="24"/>
          <w:lang w:val="es-ES"/>
        </w:rPr>
        <w:t>.</w:t>
      </w:r>
    </w:p>
    <w:p w14:paraId="6CC38C7A" w14:textId="77777777" w:rsidR="009A572E" w:rsidRPr="0012597A" w:rsidRDefault="009A572E" w:rsidP="00CB1E0A">
      <w:pPr>
        <w:spacing w:after="0" w:line="240" w:lineRule="auto"/>
        <w:contextualSpacing/>
        <w:jc w:val="both"/>
        <w:rPr>
          <w:rFonts w:ascii="Times New Roman" w:eastAsia="Calibri" w:hAnsi="Times New Roman" w:cs="Times New Roman"/>
          <w:bCs/>
          <w:sz w:val="24"/>
          <w:szCs w:val="24"/>
        </w:rPr>
      </w:pPr>
    </w:p>
    <w:p w14:paraId="24F10D72"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r w:rsidRPr="0012597A">
        <w:rPr>
          <w:rFonts w:ascii="Times New Roman" w:eastAsia="Calibri" w:hAnsi="Times New Roman" w:cs="Times New Roman"/>
          <w:b/>
          <w:bCs/>
          <w:sz w:val="24"/>
          <w:szCs w:val="24"/>
        </w:rPr>
        <w:t>SEGUNDO.-</w:t>
      </w:r>
      <w:r w:rsidRPr="0012597A">
        <w:rPr>
          <w:rFonts w:ascii="Times New Roman" w:eastAsia="Calibri" w:hAnsi="Times New Roman" w:cs="Times New Roman"/>
          <w:bCs/>
          <w:sz w:val="24"/>
          <w:szCs w:val="24"/>
        </w:rPr>
        <w:t xml:space="preserve"> </w:t>
      </w:r>
      <w:r w:rsidRPr="0012597A">
        <w:rPr>
          <w:rFonts w:ascii="Times New Roman" w:eastAsia="Calibri" w:hAnsi="Times New Roman" w:cs="Times New Roman"/>
          <w:sz w:val="24"/>
          <w:szCs w:val="24"/>
          <w:lang w:val="es-ES"/>
        </w:rPr>
        <w:t>Previa discusión y aprobación correspondiente, remítase la Iniciativa con Proyecto de Decreto a la Cámara de Diputados del Congreso de la Unión, para los efectos necesarios.</w:t>
      </w:r>
    </w:p>
    <w:p w14:paraId="4E9DA242"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p>
    <w:p w14:paraId="1066A1A2"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lang w:val="es-ES"/>
        </w:rPr>
      </w:pPr>
      <w:r w:rsidRPr="0012597A">
        <w:rPr>
          <w:rFonts w:ascii="Times New Roman" w:eastAsia="Calibri" w:hAnsi="Times New Roman" w:cs="Times New Roman"/>
          <w:b/>
          <w:sz w:val="24"/>
          <w:szCs w:val="24"/>
          <w:lang w:val="es-ES"/>
        </w:rPr>
        <w:t>TERCERO.-</w:t>
      </w:r>
      <w:r w:rsidRPr="0012597A">
        <w:rPr>
          <w:rFonts w:ascii="Times New Roman" w:eastAsia="Calibri" w:hAnsi="Times New Roman" w:cs="Times New Roman"/>
          <w:sz w:val="24"/>
          <w:szCs w:val="24"/>
          <w:lang w:val="es-ES"/>
        </w:rPr>
        <w:t xml:space="preserve"> Publíquese la Iniciativa con Proyecto de Decreto en el Periódico Oficial “Gaceta del Gobierno”.</w:t>
      </w:r>
    </w:p>
    <w:p w14:paraId="4C538DA8"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p w14:paraId="3C6E3CA6"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Dado en el Palacio del Poder Legislativo, en la ciudad de Toluca de Lerdo, capital del Estado de México, a los diecisiete días del mes de marzo de dos mil veintiséis.</w:t>
      </w:r>
    </w:p>
    <w:p w14:paraId="6C19853E" w14:textId="77777777" w:rsidR="009A572E" w:rsidRPr="0012597A" w:rsidRDefault="009A572E" w:rsidP="00CB1E0A">
      <w:pPr>
        <w:spacing w:after="0" w:line="240" w:lineRule="auto"/>
        <w:contextualSpacing/>
        <w:jc w:val="both"/>
        <w:rPr>
          <w:rFonts w:ascii="Times New Roman" w:eastAsia="Calibri" w:hAnsi="Times New Roman" w:cs="Times New Roman"/>
          <w:sz w:val="24"/>
          <w:szCs w:val="24"/>
        </w:rPr>
      </w:pPr>
    </w:p>
    <w:bookmarkEnd w:id="9"/>
    <w:p w14:paraId="2A198CAB" w14:textId="721E5B35"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LISTA DE VOTACIÓN</w:t>
      </w:r>
    </w:p>
    <w:p w14:paraId="31363A63" w14:textId="77777777" w:rsidR="009A572E" w:rsidRPr="0012597A" w:rsidRDefault="009A572E" w:rsidP="00CB1E0A">
      <w:pPr>
        <w:spacing w:after="0" w:line="240" w:lineRule="auto"/>
        <w:contextualSpacing/>
        <w:rPr>
          <w:rFonts w:ascii="Times New Roman" w:eastAsia="Calibri" w:hAnsi="Times New Roman" w:cs="Times New Roman"/>
          <w:b/>
          <w:sz w:val="24"/>
          <w:szCs w:val="24"/>
        </w:rPr>
      </w:pPr>
    </w:p>
    <w:p w14:paraId="086ABFA2" w14:textId="77777777" w:rsidR="009A572E" w:rsidRPr="0012597A" w:rsidRDefault="009A572E" w:rsidP="00CB1E0A">
      <w:pPr>
        <w:spacing w:after="0" w:line="240" w:lineRule="auto"/>
        <w:contextualSpacing/>
        <w:rPr>
          <w:rFonts w:ascii="Times New Roman" w:eastAsia="Calibri" w:hAnsi="Times New Roman" w:cs="Times New Roman"/>
          <w:sz w:val="24"/>
          <w:szCs w:val="24"/>
        </w:rPr>
      </w:pPr>
      <w:r w:rsidRPr="0012597A">
        <w:rPr>
          <w:rFonts w:ascii="Times New Roman" w:eastAsia="Calibri" w:hAnsi="Times New Roman" w:cs="Times New Roman"/>
          <w:b/>
          <w:sz w:val="24"/>
          <w:szCs w:val="24"/>
        </w:rPr>
        <w:t>FECHA:</w:t>
      </w:r>
      <w:r w:rsidRPr="0012597A">
        <w:rPr>
          <w:rFonts w:ascii="Times New Roman" w:eastAsia="Calibri" w:hAnsi="Times New Roman" w:cs="Times New Roman"/>
          <w:sz w:val="24"/>
          <w:szCs w:val="24"/>
        </w:rPr>
        <w:t>17/MARZO/2026.</w:t>
      </w:r>
    </w:p>
    <w:p w14:paraId="02467143" w14:textId="77777777" w:rsidR="009A572E" w:rsidRPr="0012597A" w:rsidRDefault="009A572E" w:rsidP="00CB1E0A">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12597A">
        <w:rPr>
          <w:rFonts w:ascii="Times New Roman" w:eastAsia="Arial" w:hAnsi="Times New Roman" w:cs="Times New Roman"/>
          <w:b/>
          <w:bCs/>
          <w:sz w:val="24"/>
          <w:szCs w:val="24"/>
          <w:lang w:val="es-ES"/>
        </w:rPr>
        <w:t xml:space="preserve">ASUNTO: </w:t>
      </w:r>
      <w:r w:rsidRPr="0012597A">
        <w:rPr>
          <w:rFonts w:ascii="Times New Roman" w:eastAsia="Arial" w:hAnsi="Times New Roman" w:cs="Times New Roman"/>
          <w:bCs/>
          <w:sz w:val="24"/>
          <w:szCs w:val="24"/>
          <w:lang w:val="es-ES"/>
        </w:rPr>
        <w:t>DICTAMEN FORMULADO A LA 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p>
    <w:p w14:paraId="6373CEC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p w14:paraId="6CD0DEBE"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COMISIÓN LEGISLATIVA DE</w:t>
      </w:r>
    </w:p>
    <w:p w14:paraId="23FE1B2F"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GOBERNACIÓN Y PUNTOS CONSTITUCIONALES </w:t>
      </w:r>
    </w:p>
    <w:p w14:paraId="66658CCC"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2331"/>
        <w:gridCol w:w="2331"/>
        <w:gridCol w:w="2333"/>
      </w:tblGrid>
      <w:tr w:rsidR="009A572E" w:rsidRPr="0012597A" w14:paraId="52FB0553" w14:textId="77777777" w:rsidTr="00116883">
        <w:trPr>
          <w:trHeight w:val="20"/>
          <w:tblHeader/>
          <w:jc w:val="center"/>
        </w:trPr>
        <w:tc>
          <w:tcPr>
            <w:tcW w:w="2514" w:type="dxa"/>
            <w:vMerge w:val="restart"/>
            <w:shd w:val="clear" w:color="auto" w:fill="D9D9D9"/>
            <w:vAlign w:val="center"/>
          </w:tcPr>
          <w:p w14:paraId="60D76D30"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DIPUTADA(O)</w:t>
            </w:r>
          </w:p>
        </w:tc>
        <w:tc>
          <w:tcPr>
            <w:tcW w:w="6995" w:type="dxa"/>
            <w:gridSpan w:val="3"/>
            <w:shd w:val="clear" w:color="auto" w:fill="D9D9D9"/>
          </w:tcPr>
          <w:p w14:paraId="4384A6A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FIRMA</w:t>
            </w:r>
          </w:p>
        </w:tc>
      </w:tr>
      <w:tr w:rsidR="009A572E" w:rsidRPr="0012597A" w14:paraId="5C2E406B" w14:textId="77777777" w:rsidTr="00116883">
        <w:trPr>
          <w:trHeight w:val="20"/>
          <w:tblHeader/>
          <w:jc w:val="center"/>
        </w:trPr>
        <w:tc>
          <w:tcPr>
            <w:tcW w:w="2514" w:type="dxa"/>
            <w:vMerge/>
            <w:shd w:val="clear" w:color="auto" w:fill="D9D9D9"/>
          </w:tcPr>
          <w:p w14:paraId="03083020" w14:textId="77777777" w:rsidR="009A572E" w:rsidRPr="0012597A" w:rsidRDefault="009A572E" w:rsidP="00CB1E0A">
            <w:pPr>
              <w:spacing w:after="0" w:line="240" w:lineRule="auto"/>
              <w:jc w:val="center"/>
              <w:rPr>
                <w:rFonts w:ascii="Times New Roman" w:eastAsia="Calibri" w:hAnsi="Times New Roman" w:cs="Times New Roman"/>
                <w:b/>
                <w:sz w:val="24"/>
                <w:szCs w:val="24"/>
              </w:rPr>
            </w:pPr>
          </w:p>
        </w:tc>
        <w:tc>
          <w:tcPr>
            <w:tcW w:w="2331" w:type="dxa"/>
            <w:shd w:val="clear" w:color="auto" w:fill="D9D9D9"/>
          </w:tcPr>
          <w:p w14:paraId="6C2AEF7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A FAVOR</w:t>
            </w:r>
          </w:p>
        </w:tc>
        <w:tc>
          <w:tcPr>
            <w:tcW w:w="2331" w:type="dxa"/>
            <w:shd w:val="clear" w:color="auto" w:fill="D9D9D9"/>
          </w:tcPr>
          <w:p w14:paraId="4631E97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EN CONTRA</w:t>
            </w:r>
          </w:p>
        </w:tc>
        <w:tc>
          <w:tcPr>
            <w:tcW w:w="2331" w:type="dxa"/>
            <w:shd w:val="clear" w:color="auto" w:fill="D9D9D9"/>
          </w:tcPr>
          <w:p w14:paraId="03D6A2C0"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ABSTENCIÓN</w:t>
            </w:r>
          </w:p>
        </w:tc>
      </w:tr>
      <w:tr w:rsidR="009A572E" w:rsidRPr="0012597A" w14:paraId="1E5A82A0" w14:textId="77777777" w:rsidTr="00116883">
        <w:trPr>
          <w:trHeight w:val="20"/>
          <w:jc w:val="center"/>
        </w:trPr>
        <w:tc>
          <w:tcPr>
            <w:tcW w:w="2514" w:type="dxa"/>
            <w:shd w:val="clear" w:color="auto" w:fill="auto"/>
            <w:vAlign w:val="center"/>
          </w:tcPr>
          <w:p w14:paraId="756A2A33"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Presidente</w:t>
            </w:r>
          </w:p>
          <w:p w14:paraId="04E1E4DC"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Dip. Carlos Antonio Martínez Zurita Trejo</w:t>
            </w:r>
          </w:p>
        </w:tc>
        <w:tc>
          <w:tcPr>
            <w:tcW w:w="2331" w:type="dxa"/>
            <w:shd w:val="clear" w:color="auto" w:fill="auto"/>
            <w:vAlign w:val="center"/>
          </w:tcPr>
          <w:p w14:paraId="691588FC"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7A352D2B"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6512D3F6"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3FF4F546" w14:textId="77777777" w:rsidTr="00116883">
        <w:trPr>
          <w:trHeight w:val="20"/>
          <w:jc w:val="center"/>
        </w:trPr>
        <w:tc>
          <w:tcPr>
            <w:tcW w:w="2514" w:type="dxa"/>
            <w:shd w:val="clear" w:color="auto" w:fill="auto"/>
            <w:vAlign w:val="center"/>
          </w:tcPr>
          <w:p w14:paraId="1151EA14"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Secretaria</w:t>
            </w:r>
          </w:p>
          <w:p w14:paraId="0E8DAC5A"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Paola </w:t>
            </w:r>
          </w:p>
          <w:p w14:paraId="6C19BD2D"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 xml:space="preserve">Jiménez Hernández </w:t>
            </w:r>
          </w:p>
        </w:tc>
        <w:tc>
          <w:tcPr>
            <w:tcW w:w="2331" w:type="dxa"/>
            <w:shd w:val="clear" w:color="auto" w:fill="auto"/>
            <w:vAlign w:val="center"/>
          </w:tcPr>
          <w:p w14:paraId="327B684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435D1CA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6621F65B"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1A9D7F14" w14:textId="77777777" w:rsidTr="00116883">
        <w:trPr>
          <w:trHeight w:val="20"/>
          <w:jc w:val="center"/>
        </w:trPr>
        <w:tc>
          <w:tcPr>
            <w:tcW w:w="2514" w:type="dxa"/>
            <w:shd w:val="clear" w:color="auto" w:fill="auto"/>
            <w:vAlign w:val="center"/>
          </w:tcPr>
          <w:p w14:paraId="33724DB4" w14:textId="77777777" w:rsidR="009A572E" w:rsidRPr="0012597A" w:rsidRDefault="009A572E" w:rsidP="00CB1E0A">
            <w:pPr>
              <w:spacing w:after="0" w:line="240" w:lineRule="auto"/>
              <w:jc w:val="center"/>
              <w:rPr>
                <w:rFonts w:ascii="Times New Roman" w:eastAsia="Calibri" w:hAnsi="Times New Roman" w:cs="Times New Roman"/>
                <w:sz w:val="24"/>
                <w:szCs w:val="24"/>
                <w:lang w:eastAsia="es-MX"/>
              </w:rPr>
            </w:pPr>
            <w:r w:rsidRPr="0012597A">
              <w:rPr>
                <w:rFonts w:ascii="Times New Roman" w:eastAsia="Calibri" w:hAnsi="Times New Roman" w:cs="Times New Roman"/>
                <w:b/>
                <w:sz w:val="24"/>
                <w:szCs w:val="24"/>
              </w:rPr>
              <w:t>Prosecretario</w:t>
            </w:r>
          </w:p>
          <w:p w14:paraId="431BD2F9"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 xml:space="preserve">Dip. Gabriel </w:t>
            </w:r>
            <w:proofErr w:type="spellStart"/>
            <w:r w:rsidRPr="0012597A">
              <w:rPr>
                <w:rFonts w:ascii="Times New Roman" w:eastAsia="Calibri" w:hAnsi="Times New Roman" w:cs="Times New Roman"/>
                <w:sz w:val="24"/>
                <w:szCs w:val="24"/>
              </w:rPr>
              <w:t>Kalid</w:t>
            </w:r>
            <w:proofErr w:type="spellEnd"/>
            <w:r w:rsidRPr="0012597A">
              <w:rPr>
                <w:rFonts w:ascii="Times New Roman" w:eastAsia="Calibri" w:hAnsi="Times New Roman" w:cs="Times New Roman"/>
                <w:sz w:val="24"/>
                <w:szCs w:val="24"/>
              </w:rPr>
              <w:t xml:space="preserve"> Mohamed Báez</w:t>
            </w:r>
          </w:p>
        </w:tc>
        <w:tc>
          <w:tcPr>
            <w:tcW w:w="2331" w:type="dxa"/>
            <w:shd w:val="clear" w:color="auto" w:fill="auto"/>
            <w:vAlign w:val="center"/>
          </w:tcPr>
          <w:p w14:paraId="1D797978"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5835B05B"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1EBB830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2502F846" w14:textId="77777777" w:rsidTr="00116883">
        <w:trPr>
          <w:trHeight w:val="20"/>
          <w:jc w:val="center"/>
        </w:trPr>
        <w:tc>
          <w:tcPr>
            <w:tcW w:w="2514" w:type="dxa"/>
            <w:shd w:val="clear" w:color="auto" w:fill="auto"/>
            <w:vAlign w:val="center"/>
          </w:tcPr>
          <w:p w14:paraId="2720E135"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Dip. Vladimir Hernández Villegas</w:t>
            </w:r>
          </w:p>
        </w:tc>
        <w:tc>
          <w:tcPr>
            <w:tcW w:w="2331" w:type="dxa"/>
            <w:shd w:val="clear" w:color="auto" w:fill="auto"/>
            <w:vAlign w:val="center"/>
          </w:tcPr>
          <w:p w14:paraId="336C77E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6340EE53"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4D03C755"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5EA38AF8" w14:textId="77777777" w:rsidTr="00116883">
        <w:trPr>
          <w:trHeight w:val="20"/>
          <w:jc w:val="center"/>
        </w:trPr>
        <w:tc>
          <w:tcPr>
            <w:tcW w:w="2514" w:type="dxa"/>
            <w:shd w:val="clear" w:color="auto" w:fill="auto"/>
            <w:vAlign w:val="center"/>
          </w:tcPr>
          <w:p w14:paraId="7DFB5A96"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Dip. Héctor Karim Carvallo Delfín</w:t>
            </w:r>
          </w:p>
        </w:tc>
        <w:tc>
          <w:tcPr>
            <w:tcW w:w="2331" w:type="dxa"/>
            <w:shd w:val="clear" w:color="auto" w:fill="auto"/>
            <w:vAlign w:val="center"/>
          </w:tcPr>
          <w:p w14:paraId="2ECF1F6F"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5AF5B160"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1EA297BA"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04B8430B" w14:textId="77777777" w:rsidTr="00116883">
        <w:trPr>
          <w:trHeight w:val="20"/>
          <w:jc w:val="center"/>
        </w:trPr>
        <w:tc>
          <w:tcPr>
            <w:tcW w:w="2514" w:type="dxa"/>
            <w:shd w:val="clear" w:color="auto" w:fill="auto"/>
            <w:vAlign w:val="center"/>
          </w:tcPr>
          <w:p w14:paraId="4317221D"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Octavio </w:t>
            </w:r>
          </w:p>
          <w:p w14:paraId="69847A17"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Martínez Vargas</w:t>
            </w:r>
          </w:p>
        </w:tc>
        <w:tc>
          <w:tcPr>
            <w:tcW w:w="2331" w:type="dxa"/>
            <w:shd w:val="clear" w:color="auto" w:fill="auto"/>
            <w:vAlign w:val="center"/>
          </w:tcPr>
          <w:p w14:paraId="1A4CB01B"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0B0CB6EE"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01D2880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3CA3A927" w14:textId="77777777" w:rsidTr="00116883">
        <w:trPr>
          <w:trHeight w:val="20"/>
          <w:jc w:val="center"/>
        </w:trPr>
        <w:tc>
          <w:tcPr>
            <w:tcW w:w="2514" w:type="dxa"/>
            <w:shd w:val="clear" w:color="auto" w:fill="auto"/>
            <w:vAlign w:val="center"/>
          </w:tcPr>
          <w:p w14:paraId="2BF0A4B6"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Susana </w:t>
            </w:r>
          </w:p>
          <w:p w14:paraId="49EBAEED"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Estrada Rojas</w:t>
            </w:r>
          </w:p>
        </w:tc>
        <w:tc>
          <w:tcPr>
            <w:tcW w:w="2331" w:type="dxa"/>
            <w:shd w:val="clear" w:color="auto" w:fill="auto"/>
            <w:vAlign w:val="center"/>
          </w:tcPr>
          <w:p w14:paraId="71A29C5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06559147"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1BB2FD1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5FD7744E" w14:textId="77777777" w:rsidTr="00116883">
        <w:trPr>
          <w:trHeight w:val="20"/>
          <w:jc w:val="center"/>
        </w:trPr>
        <w:tc>
          <w:tcPr>
            <w:tcW w:w="2514" w:type="dxa"/>
            <w:shd w:val="clear" w:color="auto" w:fill="auto"/>
            <w:vAlign w:val="center"/>
          </w:tcPr>
          <w:p w14:paraId="6D9D228B"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Dip. Arleth Stephanie Grimaldo Osorio</w:t>
            </w:r>
          </w:p>
        </w:tc>
        <w:tc>
          <w:tcPr>
            <w:tcW w:w="2331" w:type="dxa"/>
            <w:shd w:val="clear" w:color="auto" w:fill="auto"/>
            <w:vAlign w:val="center"/>
          </w:tcPr>
          <w:p w14:paraId="4043257C"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6B01CA9B"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3EC67DDE"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4D1747AE" w14:textId="77777777" w:rsidTr="00116883">
        <w:trPr>
          <w:trHeight w:val="20"/>
          <w:jc w:val="center"/>
        </w:trPr>
        <w:tc>
          <w:tcPr>
            <w:tcW w:w="2514" w:type="dxa"/>
            <w:shd w:val="clear" w:color="auto" w:fill="auto"/>
            <w:vAlign w:val="center"/>
          </w:tcPr>
          <w:p w14:paraId="6795B930"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Ángel Adriel Negrete </w:t>
            </w:r>
            <w:proofErr w:type="spellStart"/>
            <w:r w:rsidRPr="0012597A">
              <w:rPr>
                <w:rFonts w:ascii="Times New Roman" w:eastAsia="Calibri" w:hAnsi="Times New Roman" w:cs="Times New Roman"/>
                <w:sz w:val="24"/>
                <w:szCs w:val="24"/>
              </w:rPr>
              <w:t>Avonce</w:t>
            </w:r>
            <w:proofErr w:type="spellEnd"/>
          </w:p>
        </w:tc>
        <w:tc>
          <w:tcPr>
            <w:tcW w:w="2331" w:type="dxa"/>
            <w:shd w:val="clear" w:color="auto" w:fill="auto"/>
            <w:vAlign w:val="center"/>
          </w:tcPr>
          <w:p w14:paraId="75EE530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52F35522"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5C15D84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73D9D7F4" w14:textId="77777777" w:rsidTr="00116883">
        <w:trPr>
          <w:trHeight w:val="20"/>
          <w:jc w:val="center"/>
        </w:trPr>
        <w:tc>
          <w:tcPr>
            <w:tcW w:w="2514" w:type="dxa"/>
            <w:shd w:val="clear" w:color="auto" w:fill="auto"/>
            <w:vAlign w:val="center"/>
          </w:tcPr>
          <w:p w14:paraId="1125ABEA"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Eduardo </w:t>
            </w:r>
          </w:p>
          <w:p w14:paraId="6D40F158"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Zarzosa Sánchez</w:t>
            </w:r>
          </w:p>
        </w:tc>
        <w:tc>
          <w:tcPr>
            <w:tcW w:w="2331" w:type="dxa"/>
            <w:shd w:val="clear" w:color="auto" w:fill="auto"/>
            <w:vAlign w:val="center"/>
          </w:tcPr>
          <w:p w14:paraId="6F77A5CA"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5C203B1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5B87627A"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407A8987" w14:textId="77777777" w:rsidTr="00116883">
        <w:trPr>
          <w:trHeight w:val="20"/>
          <w:jc w:val="center"/>
        </w:trPr>
        <w:tc>
          <w:tcPr>
            <w:tcW w:w="2514" w:type="dxa"/>
            <w:shd w:val="clear" w:color="auto" w:fill="auto"/>
            <w:vAlign w:val="center"/>
          </w:tcPr>
          <w:p w14:paraId="073EB297"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Dip. Pablo Fernández de Cevallos González</w:t>
            </w:r>
          </w:p>
        </w:tc>
        <w:tc>
          <w:tcPr>
            <w:tcW w:w="2331" w:type="dxa"/>
            <w:shd w:val="clear" w:color="auto" w:fill="auto"/>
            <w:vAlign w:val="center"/>
          </w:tcPr>
          <w:p w14:paraId="0B56039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7DD40B7F"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4AC9F2F5"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29B3A59D" w14:textId="77777777" w:rsidTr="00116883">
        <w:trPr>
          <w:trHeight w:val="20"/>
          <w:jc w:val="center"/>
        </w:trPr>
        <w:tc>
          <w:tcPr>
            <w:tcW w:w="2514" w:type="dxa"/>
            <w:shd w:val="clear" w:color="auto" w:fill="auto"/>
            <w:vAlign w:val="center"/>
          </w:tcPr>
          <w:p w14:paraId="37FAE8CB"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Ruth </w:t>
            </w:r>
          </w:p>
          <w:p w14:paraId="2FC18B0A"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lastRenderedPageBreak/>
              <w:t>Salinas Reyes</w:t>
            </w:r>
          </w:p>
        </w:tc>
        <w:tc>
          <w:tcPr>
            <w:tcW w:w="2331" w:type="dxa"/>
            <w:shd w:val="clear" w:color="auto" w:fill="auto"/>
            <w:vAlign w:val="center"/>
          </w:tcPr>
          <w:p w14:paraId="2EFFC990"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lastRenderedPageBreak/>
              <w:t>√</w:t>
            </w:r>
          </w:p>
        </w:tc>
        <w:tc>
          <w:tcPr>
            <w:tcW w:w="2331" w:type="dxa"/>
            <w:shd w:val="clear" w:color="auto" w:fill="auto"/>
            <w:vAlign w:val="center"/>
          </w:tcPr>
          <w:p w14:paraId="25E4655E"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461188A3"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45F63D6E" w14:textId="77777777" w:rsidTr="00116883">
        <w:trPr>
          <w:trHeight w:val="20"/>
          <w:jc w:val="center"/>
        </w:trPr>
        <w:tc>
          <w:tcPr>
            <w:tcW w:w="2514" w:type="dxa"/>
            <w:shd w:val="clear" w:color="auto" w:fill="auto"/>
            <w:vAlign w:val="center"/>
          </w:tcPr>
          <w:p w14:paraId="6BE54E0D"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Omar </w:t>
            </w:r>
          </w:p>
          <w:p w14:paraId="56F036A4"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Ortega Álvarez</w:t>
            </w:r>
          </w:p>
        </w:tc>
        <w:tc>
          <w:tcPr>
            <w:tcW w:w="2331" w:type="dxa"/>
            <w:shd w:val="clear" w:color="auto" w:fill="auto"/>
            <w:vAlign w:val="center"/>
          </w:tcPr>
          <w:p w14:paraId="586D1D66"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6D0DBA8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42B8C8A5"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18F1ED1B" w14:textId="77777777" w:rsidTr="00116883">
        <w:trPr>
          <w:trHeight w:val="20"/>
          <w:jc w:val="center"/>
        </w:trPr>
        <w:tc>
          <w:tcPr>
            <w:tcW w:w="2514" w:type="dxa"/>
            <w:shd w:val="clear" w:color="auto" w:fill="auto"/>
            <w:vAlign w:val="center"/>
          </w:tcPr>
          <w:p w14:paraId="129F767C"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Dip. Itzel Guadalupe Pérez Correa</w:t>
            </w:r>
          </w:p>
        </w:tc>
        <w:tc>
          <w:tcPr>
            <w:tcW w:w="2331" w:type="dxa"/>
            <w:shd w:val="clear" w:color="auto" w:fill="auto"/>
            <w:vAlign w:val="center"/>
          </w:tcPr>
          <w:p w14:paraId="0A913E8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01178AF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7F3B1718"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1B4EBCB4" w14:textId="77777777" w:rsidTr="00116883">
        <w:trPr>
          <w:trHeight w:val="20"/>
          <w:jc w:val="center"/>
        </w:trPr>
        <w:tc>
          <w:tcPr>
            <w:tcW w:w="2514" w:type="dxa"/>
            <w:shd w:val="clear" w:color="auto" w:fill="auto"/>
            <w:vAlign w:val="center"/>
          </w:tcPr>
          <w:p w14:paraId="1421EDB8"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Maurilio Hernández González </w:t>
            </w:r>
          </w:p>
        </w:tc>
        <w:tc>
          <w:tcPr>
            <w:tcW w:w="2331" w:type="dxa"/>
            <w:shd w:val="clear" w:color="auto" w:fill="auto"/>
            <w:vAlign w:val="center"/>
          </w:tcPr>
          <w:p w14:paraId="74A9553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31" w:type="dxa"/>
            <w:shd w:val="clear" w:color="auto" w:fill="auto"/>
            <w:vAlign w:val="center"/>
          </w:tcPr>
          <w:p w14:paraId="1F368FEC"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31" w:type="dxa"/>
            <w:shd w:val="clear" w:color="auto" w:fill="auto"/>
            <w:vAlign w:val="center"/>
          </w:tcPr>
          <w:p w14:paraId="0B3C1718"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bl>
    <w:p w14:paraId="36A9F5B8" w14:textId="77777777" w:rsidR="009A572E" w:rsidRPr="0012597A" w:rsidRDefault="009A572E" w:rsidP="00CB1E0A">
      <w:pPr>
        <w:spacing w:after="0" w:line="240" w:lineRule="auto"/>
        <w:contextualSpacing/>
        <w:rPr>
          <w:rFonts w:ascii="Times New Roman" w:eastAsia="Calibri" w:hAnsi="Times New Roman" w:cs="Times New Roman"/>
          <w:sz w:val="24"/>
          <w:szCs w:val="24"/>
          <w:lang w:val="es-ES"/>
        </w:rPr>
      </w:pPr>
    </w:p>
    <w:p w14:paraId="31BD6C88" w14:textId="77777777" w:rsidR="00116883" w:rsidRPr="0012597A" w:rsidRDefault="00116883" w:rsidP="00CB1E0A">
      <w:pPr>
        <w:spacing w:after="0" w:line="240" w:lineRule="auto"/>
        <w:contextualSpacing/>
        <w:jc w:val="center"/>
        <w:rPr>
          <w:rFonts w:ascii="Times New Roman" w:eastAsia="Calibri" w:hAnsi="Times New Roman" w:cs="Times New Roman"/>
          <w:sz w:val="24"/>
          <w:szCs w:val="24"/>
        </w:rPr>
      </w:pPr>
    </w:p>
    <w:p w14:paraId="314473C1" w14:textId="4AF96783"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LISTA DE VOTACIÓN</w:t>
      </w:r>
    </w:p>
    <w:p w14:paraId="2A1979C6" w14:textId="77777777" w:rsidR="009A572E" w:rsidRPr="0012597A" w:rsidRDefault="009A572E" w:rsidP="00CB1E0A">
      <w:pPr>
        <w:spacing w:after="0" w:line="240" w:lineRule="auto"/>
        <w:contextualSpacing/>
        <w:rPr>
          <w:rFonts w:ascii="Times New Roman" w:eastAsia="Calibri" w:hAnsi="Times New Roman" w:cs="Times New Roman"/>
          <w:b/>
          <w:sz w:val="24"/>
          <w:szCs w:val="24"/>
        </w:rPr>
      </w:pPr>
    </w:p>
    <w:p w14:paraId="2E615F6C" w14:textId="77777777" w:rsidR="009A572E" w:rsidRPr="0012597A" w:rsidRDefault="009A572E" w:rsidP="00CB1E0A">
      <w:pPr>
        <w:spacing w:after="0" w:line="240" w:lineRule="auto"/>
        <w:contextualSpacing/>
        <w:rPr>
          <w:rFonts w:ascii="Times New Roman" w:eastAsia="Calibri" w:hAnsi="Times New Roman" w:cs="Times New Roman"/>
          <w:sz w:val="24"/>
          <w:szCs w:val="24"/>
        </w:rPr>
      </w:pPr>
      <w:r w:rsidRPr="0012597A">
        <w:rPr>
          <w:rFonts w:ascii="Times New Roman" w:eastAsia="Calibri" w:hAnsi="Times New Roman" w:cs="Times New Roman"/>
          <w:b/>
          <w:sz w:val="24"/>
          <w:szCs w:val="24"/>
        </w:rPr>
        <w:t>FECHA:</w:t>
      </w:r>
      <w:r w:rsidRPr="0012597A">
        <w:rPr>
          <w:rFonts w:ascii="Times New Roman" w:eastAsia="Calibri" w:hAnsi="Times New Roman" w:cs="Times New Roman"/>
          <w:sz w:val="24"/>
          <w:szCs w:val="24"/>
        </w:rPr>
        <w:t>17/MARZO/2026.</w:t>
      </w:r>
    </w:p>
    <w:p w14:paraId="68967871" w14:textId="77777777" w:rsidR="009A572E" w:rsidRPr="0012597A" w:rsidRDefault="009A572E" w:rsidP="00CB1E0A">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12597A">
        <w:rPr>
          <w:rFonts w:ascii="Times New Roman" w:eastAsia="Arial" w:hAnsi="Times New Roman" w:cs="Times New Roman"/>
          <w:b/>
          <w:bCs/>
          <w:sz w:val="24"/>
          <w:szCs w:val="24"/>
          <w:lang w:val="es-ES"/>
        </w:rPr>
        <w:t xml:space="preserve">ASUNTO: </w:t>
      </w:r>
      <w:r w:rsidRPr="0012597A">
        <w:rPr>
          <w:rFonts w:ascii="Times New Roman" w:eastAsia="Arial" w:hAnsi="Times New Roman" w:cs="Times New Roman"/>
          <w:bCs/>
          <w:sz w:val="24"/>
          <w:szCs w:val="24"/>
          <w:lang w:val="es-ES"/>
        </w:rPr>
        <w:t>DICTAMEN FORMULADO A LA INICIATIVA AL CONGRESO DE LA UNIÓN CON PROYECTO DE DECRETO POR EL QUE SE ADICIONA UN PÁRRAFO CUARTO AL ARTÍCULO 10 DE LA LEY DE LA EMPRESA PÚBLICA DEL ESTADO, COMISIÓN FEDERAL DE ELECTRICIDAD, PRESENTADA POR EL DIPUTADO VALENTÍN MARTÍNEZ CASTILLO, EN NOMBRE DEL GRUPO PARLAMENTARIO DEL PARTIDO MORENA.</w:t>
      </w:r>
    </w:p>
    <w:p w14:paraId="7EC76B87" w14:textId="77777777" w:rsidR="00883467" w:rsidRPr="0012597A" w:rsidRDefault="00883467" w:rsidP="00CB1E0A">
      <w:pPr>
        <w:spacing w:after="0" w:line="240" w:lineRule="auto"/>
        <w:contextualSpacing/>
        <w:jc w:val="center"/>
        <w:rPr>
          <w:rFonts w:ascii="Times New Roman" w:eastAsia="Calibri" w:hAnsi="Times New Roman" w:cs="Times New Roman"/>
          <w:b/>
          <w:sz w:val="24"/>
          <w:szCs w:val="24"/>
        </w:rPr>
      </w:pPr>
    </w:p>
    <w:p w14:paraId="1E8F2F7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COMISIÓN LEGISLATIVA DE</w:t>
      </w:r>
    </w:p>
    <w:p w14:paraId="761BBAEB"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DESARROLLO ECONÓMICO, INDUSTRIAL, COMERCIAL Y MINERO </w:t>
      </w:r>
    </w:p>
    <w:p w14:paraId="20DEC468"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2323"/>
        <w:gridCol w:w="2323"/>
        <w:gridCol w:w="2323"/>
      </w:tblGrid>
      <w:tr w:rsidR="009A572E" w:rsidRPr="0012597A" w14:paraId="09263944" w14:textId="77777777" w:rsidTr="00883467">
        <w:trPr>
          <w:trHeight w:val="20"/>
          <w:tblHeader/>
          <w:jc w:val="center"/>
        </w:trPr>
        <w:tc>
          <w:tcPr>
            <w:tcW w:w="2727" w:type="dxa"/>
            <w:vMerge w:val="restart"/>
            <w:shd w:val="clear" w:color="auto" w:fill="D9D9D9"/>
            <w:vAlign w:val="center"/>
          </w:tcPr>
          <w:p w14:paraId="1D218726"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DIPUTADA(O)</w:t>
            </w:r>
          </w:p>
        </w:tc>
        <w:tc>
          <w:tcPr>
            <w:tcW w:w="6969" w:type="dxa"/>
            <w:gridSpan w:val="3"/>
            <w:shd w:val="clear" w:color="auto" w:fill="D9D9D9"/>
          </w:tcPr>
          <w:p w14:paraId="2A4A8D9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FIRMA</w:t>
            </w:r>
          </w:p>
        </w:tc>
      </w:tr>
      <w:tr w:rsidR="009A572E" w:rsidRPr="0012597A" w14:paraId="7A6BFBAB" w14:textId="77777777" w:rsidTr="00883467">
        <w:trPr>
          <w:trHeight w:val="20"/>
          <w:tblHeader/>
          <w:jc w:val="center"/>
        </w:trPr>
        <w:tc>
          <w:tcPr>
            <w:tcW w:w="2727" w:type="dxa"/>
            <w:vMerge/>
            <w:shd w:val="clear" w:color="auto" w:fill="D9D9D9"/>
          </w:tcPr>
          <w:p w14:paraId="1A6F98A8" w14:textId="77777777" w:rsidR="009A572E" w:rsidRPr="0012597A" w:rsidRDefault="009A572E" w:rsidP="00CB1E0A">
            <w:pPr>
              <w:spacing w:after="0" w:line="240" w:lineRule="auto"/>
              <w:jc w:val="center"/>
              <w:rPr>
                <w:rFonts w:ascii="Times New Roman" w:eastAsia="Calibri" w:hAnsi="Times New Roman" w:cs="Times New Roman"/>
                <w:b/>
                <w:sz w:val="24"/>
                <w:szCs w:val="24"/>
              </w:rPr>
            </w:pPr>
          </w:p>
        </w:tc>
        <w:tc>
          <w:tcPr>
            <w:tcW w:w="2323" w:type="dxa"/>
            <w:shd w:val="clear" w:color="auto" w:fill="D9D9D9"/>
          </w:tcPr>
          <w:p w14:paraId="46402C4A"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A FAVOR</w:t>
            </w:r>
          </w:p>
        </w:tc>
        <w:tc>
          <w:tcPr>
            <w:tcW w:w="2323" w:type="dxa"/>
            <w:shd w:val="clear" w:color="auto" w:fill="D9D9D9"/>
          </w:tcPr>
          <w:p w14:paraId="26EFE2C2"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EN CONTRA</w:t>
            </w:r>
          </w:p>
        </w:tc>
        <w:tc>
          <w:tcPr>
            <w:tcW w:w="2323" w:type="dxa"/>
            <w:shd w:val="clear" w:color="auto" w:fill="D9D9D9"/>
          </w:tcPr>
          <w:p w14:paraId="5BDAF81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ABSTENCIÓN</w:t>
            </w:r>
          </w:p>
        </w:tc>
      </w:tr>
      <w:tr w:rsidR="009A572E" w:rsidRPr="0012597A" w14:paraId="34BACAB0" w14:textId="77777777" w:rsidTr="00883467">
        <w:trPr>
          <w:trHeight w:val="20"/>
          <w:jc w:val="center"/>
        </w:trPr>
        <w:tc>
          <w:tcPr>
            <w:tcW w:w="2727" w:type="dxa"/>
            <w:shd w:val="clear" w:color="auto" w:fill="auto"/>
            <w:vAlign w:val="center"/>
          </w:tcPr>
          <w:p w14:paraId="1BA2B83F"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Presidente</w:t>
            </w:r>
          </w:p>
          <w:p w14:paraId="4C831CBB"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Alejandro </w:t>
            </w:r>
          </w:p>
          <w:p w14:paraId="5CF21596"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Castro Hernández</w:t>
            </w:r>
          </w:p>
        </w:tc>
        <w:tc>
          <w:tcPr>
            <w:tcW w:w="2323" w:type="dxa"/>
            <w:shd w:val="clear" w:color="auto" w:fill="auto"/>
            <w:vAlign w:val="center"/>
          </w:tcPr>
          <w:p w14:paraId="4E330BA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1753290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6C593107"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61126493" w14:textId="77777777" w:rsidTr="00883467">
        <w:trPr>
          <w:trHeight w:val="20"/>
          <w:jc w:val="center"/>
        </w:trPr>
        <w:tc>
          <w:tcPr>
            <w:tcW w:w="2727" w:type="dxa"/>
            <w:shd w:val="clear" w:color="auto" w:fill="auto"/>
            <w:vAlign w:val="center"/>
          </w:tcPr>
          <w:p w14:paraId="7CFE8033"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Secretaria</w:t>
            </w:r>
          </w:p>
          <w:p w14:paraId="4A89228E"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María José </w:t>
            </w:r>
          </w:p>
          <w:p w14:paraId="09FF8F82"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Pérez Domínguez</w:t>
            </w:r>
          </w:p>
        </w:tc>
        <w:tc>
          <w:tcPr>
            <w:tcW w:w="2323" w:type="dxa"/>
            <w:shd w:val="clear" w:color="auto" w:fill="auto"/>
            <w:vAlign w:val="center"/>
          </w:tcPr>
          <w:p w14:paraId="2C31339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7695C927"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6B52C31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7E74D218" w14:textId="77777777" w:rsidTr="00883467">
        <w:trPr>
          <w:trHeight w:val="20"/>
          <w:jc w:val="center"/>
        </w:trPr>
        <w:tc>
          <w:tcPr>
            <w:tcW w:w="2727" w:type="dxa"/>
            <w:shd w:val="clear" w:color="auto" w:fill="auto"/>
            <w:vAlign w:val="center"/>
          </w:tcPr>
          <w:p w14:paraId="19A94FEB" w14:textId="77777777" w:rsidR="009A572E" w:rsidRPr="0012597A" w:rsidRDefault="009A572E" w:rsidP="00CB1E0A">
            <w:pPr>
              <w:spacing w:after="0" w:line="240" w:lineRule="auto"/>
              <w:jc w:val="center"/>
              <w:rPr>
                <w:rFonts w:ascii="Times New Roman" w:eastAsia="Calibri" w:hAnsi="Times New Roman" w:cs="Times New Roman"/>
                <w:sz w:val="24"/>
                <w:szCs w:val="24"/>
                <w:lang w:eastAsia="es-MX"/>
              </w:rPr>
            </w:pPr>
            <w:r w:rsidRPr="0012597A">
              <w:rPr>
                <w:rFonts w:ascii="Times New Roman" w:eastAsia="Calibri" w:hAnsi="Times New Roman" w:cs="Times New Roman"/>
                <w:b/>
                <w:sz w:val="24"/>
                <w:szCs w:val="24"/>
              </w:rPr>
              <w:t>Prosecretaria</w:t>
            </w:r>
          </w:p>
          <w:p w14:paraId="0F6BAF29"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sz w:val="24"/>
                <w:szCs w:val="24"/>
              </w:rPr>
              <w:t>Dip. Sara Alicia Ramírez de la O</w:t>
            </w:r>
          </w:p>
        </w:tc>
        <w:tc>
          <w:tcPr>
            <w:tcW w:w="2323" w:type="dxa"/>
            <w:shd w:val="clear" w:color="auto" w:fill="auto"/>
            <w:vAlign w:val="center"/>
          </w:tcPr>
          <w:p w14:paraId="312B61A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684D3DFE"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765037A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2536B171" w14:textId="77777777" w:rsidTr="00883467">
        <w:trPr>
          <w:trHeight w:val="20"/>
          <w:jc w:val="center"/>
        </w:trPr>
        <w:tc>
          <w:tcPr>
            <w:tcW w:w="2727" w:type="dxa"/>
            <w:shd w:val="clear" w:color="auto" w:fill="auto"/>
            <w:vAlign w:val="center"/>
          </w:tcPr>
          <w:p w14:paraId="62ACD26F" w14:textId="77777777" w:rsidR="009A572E" w:rsidRPr="0012597A" w:rsidRDefault="009A572E" w:rsidP="00CB1E0A">
            <w:pPr>
              <w:spacing w:after="0" w:line="240" w:lineRule="auto"/>
              <w:jc w:val="center"/>
              <w:rPr>
                <w:rFonts w:ascii="Times New Roman" w:eastAsia="Calibri" w:hAnsi="Times New Roman" w:cs="Times New Roman"/>
                <w:bCs/>
                <w:sz w:val="24"/>
                <w:szCs w:val="24"/>
              </w:rPr>
            </w:pPr>
            <w:r w:rsidRPr="0012597A">
              <w:rPr>
                <w:rFonts w:ascii="Times New Roman" w:eastAsia="Calibri" w:hAnsi="Times New Roman" w:cs="Times New Roman"/>
                <w:bCs/>
                <w:sz w:val="24"/>
                <w:szCs w:val="24"/>
              </w:rPr>
              <w:t xml:space="preserve">Dip. Octavio </w:t>
            </w:r>
          </w:p>
          <w:p w14:paraId="1B11E5EF" w14:textId="77777777" w:rsidR="009A572E" w:rsidRPr="0012597A" w:rsidRDefault="009A572E"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Cs/>
                <w:sz w:val="24"/>
                <w:szCs w:val="24"/>
              </w:rPr>
              <w:t>Martínez Vargas</w:t>
            </w:r>
          </w:p>
        </w:tc>
        <w:tc>
          <w:tcPr>
            <w:tcW w:w="2323" w:type="dxa"/>
            <w:shd w:val="clear" w:color="auto" w:fill="auto"/>
            <w:vAlign w:val="center"/>
          </w:tcPr>
          <w:p w14:paraId="18AED419"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060B877F"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0359C066"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7202DAAA" w14:textId="77777777" w:rsidTr="00883467">
        <w:trPr>
          <w:trHeight w:val="20"/>
          <w:jc w:val="center"/>
        </w:trPr>
        <w:tc>
          <w:tcPr>
            <w:tcW w:w="2727" w:type="dxa"/>
            <w:shd w:val="clear" w:color="auto" w:fill="auto"/>
            <w:vAlign w:val="center"/>
          </w:tcPr>
          <w:p w14:paraId="3E421238"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Susana </w:t>
            </w:r>
          </w:p>
          <w:p w14:paraId="07C1C3D7"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Estrada Rojas</w:t>
            </w:r>
          </w:p>
        </w:tc>
        <w:tc>
          <w:tcPr>
            <w:tcW w:w="2323" w:type="dxa"/>
            <w:shd w:val="clear" w:color="auto" w:fill="auto"/>
            <w:vAlign w:val="center"/>
          </w:tcPr>
          <w:p w14:paraId="2F82CC40"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47E26F1E"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54CDB0C2"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00FB92DB" w14:textId="77777777" w:rsidTr="00883467">
        <w:trPr>
          <w:trHeight w:val="20"/>
          <w:jc w:val="center"/>
        </w:trPr>
        <w:tc>
          <w:tcPr>
            <w:tcW w:w="2727" w:type="dxa"/>
            <w:shd w:val="clear" w:color="auto" w:fill="auto"/>
            <w:vAlign w:val="center"/>
          </w:tcPr>
          <w:p w14:paraId="728BA3F1"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Selina </w:t>
            </w:r>
          </w:p>
          <w:p w14:paraId="721D3BE0"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Trujillo Arizmendi</w:t>
            </w:r>
          </w:p>
        </w:tc>
        <w:tc>
          <w:tcPr>
            <w:tcW w:w="2323" w:type="dxa"/>
            <w:shd w:val="clear" w:color="auto" w:fill="auto"/>
            <w:vAlign w:val="center"/>
          </w:tcPr>
          <w:p w14:paraId="668EECCB"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141F21A8"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095AF1D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4942FD38" w14:textId="77777777" w:rsidTr="00883467">
        <w:trPr>
          <w:trHeight w:val="20"/>
          <w:jc w:val="center"/>
        </w:trPr>
        <w:tc>
          <w:tcPr>
            <w:tcW w:w="2727" w:type="dxa"/>
            <w:shd w:val="clear" w:color="auto" w:fill="auto"/>
            <w:vAlign w:val="center"/>
          </w:tcPr>
          <w:p w14:paraId="4E3D8A50"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Dip. María del Carmen de la Rosa Mendoza</w:t>
            </w:r>
          </w:p>
        </w:tc>
        <w:tc>
          <w:tcPr>
            <w:tcW w:w="2323" w:type="dxa"/>
            <w:shd w:val="clear" w:color="auto" w:fill="auto"/>
            <w:vAlign w:val="center"/>
          </w:tcPr>
          <w:p w14:paraId="29F00617"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78267C4A"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777B1E36"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6772B36C" w14:textId="77777777" w:rsidTr="00883467">
        <w:trPr>
          <w:trHeight w:val="20"/>
          <w:jc w:val="center"/>
        </w:trPr>
        <w:tc>
          <w:tcPr>
            <w:tcW w:w="2727" w:type="dxa"/>
            <w:shd w:val="clear" w:color="auto" w:fill="auto"/>
            <w:vAlign w:val="center"/>
          </w:tcPr>
          <w:p w14:paraId="29F93412"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Rigoberto </w:t>
            </w:r>
          </w:p>
          <w:p w14:paraId="584F7180"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Vargas Cervantes</w:t>
            </w:r>
          </w:p>
        </w:tc>
        <w:tc>
          <w:tcPr>
            <w:tcW w:w="2323" w:type="dxa"/>
            <w:shd w:val="clear" w:color="auto" w:fill="auto"/>
            <w:vAlign w:val="center"/>
          </w:tcPr>
          <w:p w14:paraId="7AC228F8"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05AA9A66"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7CF1E888"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54AF75E8" w14:textId="77777777" w:rsidTr="00883467">
        <w:trPr>
          <w:trHeight w:val="20"/>
          <w:jc w:val="center"/>
        </w:trPr>
        <w:tc>
          <w:tcPr>
            <w:tcW w:w="2727" w:type="dxa"/>
            <w:shd w:val="clear" w:color="auto" w:fill="auto"/>
            <w:vAlign w:val="center"/>
          </w:tcPr>
          <w:p w14:paraId="365A268E"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t xml:space="preserve">Dip. Krishna Karina Romero Velázquez </w:t>
            </w:r>
          </w:p>
        </w:tc>
        <w:tc>
          <w:tcPr>
            <w:tcW w:w="2323" w:type="dxa"/>
            <w:shd w:val="clear" w:color="auto" w:fill="auto"/>
            <w:vAlign w:val="center"/>
          </w:tcPr>
          <w:p w14:paraId="3B85D3C7"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181A49FE"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439560CD"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354A3979" w14:textId="77777777" w:rsidTr="00883467">
        <w:trPr>
          <w:trHeight w:val="20"/>
          <w:jc w:val="center"/>
        </w:trPr>
        <w:tc>
          <w:tcPr>
            <w:tcW w:w="2727" w:type="dxa"/>
            <w:shd w:val="clear" w:color="auto" w:fill="auto"/>
            <w:vAlign w:val="center"/>
          </w:tcPr>
          <w:p w14:paraId="6A4B3286"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Ruth </w:t>
            </w:r>
          </w:p>
          <w:p w14:paraId="61DE3870" w14:textId="77777777" w:rsidR="009A572E" w:rsidRPr="0012597A" w:rsidRDefault="009A572E" w:rsidP="00CB1E0A">
            <w:pPr>
              <w:spacing w:after="0" w:line="240" w:lineRule="auto"/>
              <w:jc w:val="center"/>
              <w:rPr>
                <w:rFonts w:ascii="Times New Roman" w:eastAsia="Calibri" w:hAnsi="Times New Roman" w:cs="Times New Roman"/>
                <w:sz w:val="24"/>
                <w:szCs w:val="24"/>
                <w:lang w:val="es-ES_tradnl"/>
              </w:rPr>
            </w:pPr>
            <w:r w:rsidRPr="0012597A">
              <w:rPr>
                <w:rFonts w:ascii="Times New Roman" w:eastAsia="Calibri" w:hAnsi="Times New Roman" w:cs="Times New Roman"/>
                <w:sz w:val="24"/>
                <w:szCs w:val="24"/>
              </w:rPr>
              <w:lastRenderedPageBreak/>
              <w:t>Salinas Reyes</w:t>
            </w:r>
          </w:p>
        </w:tc>
        <w:tc>
          <w:tcPr>
            <w:tcW w:w="2323" w:type="dxa"/>
            <w:shd w:val="clear" w:color="auto" w:fill="auto"/>
            <w:vAlign w:val="center"/>
          </w:tcPr>
          <w:p w14:paraId="252800E6"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lastRenderedPageBreak/>
              <w:t>√</w:t>
            </w:r>
          </w:p>
        </w:tc>
        <w:tc>
          <w:tcPr>
            <w:tcW w:w="2323" w:type="dxa"/>
            <w:shd w:val="clear" w:color="auto" w:fill="auto"/>
            <w:vAlign w:val="center"/>
          </w:tcPr>
          <w:p w14:paraId="0AB733BA"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31481494"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r w:rsidR="009A572E" w:rsidRPr="0012597A" w14:paraId="32B80535" w14:textId="77777777" w:rsidTr="00883467">
        <w:trPr>
          <w:trHeight w:val="20"/>
          <w:jc w:val="center"/>
        </w:trPr>
        <w:tc>
          <w:tcPr>
            <w:tcW w:w="2727" w:type="dxa"/>
            <w:shd w:val="clear" w:color="auto" w:fill="auto"/>
            <w:vAlign w:val="center"/>
          </w:tcPr>
          <w:p w14:paraId="7B8BAA46"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Dip. Omar </w:t>
            </w:r>
          </w:p>
          <w:p w14:paraId="38103F09" w14:textId="77777777" w:rsidR="009A572E" w:rsidRPr="0012597A" w:rsidRDefault="009A572E" w:rsidP="00CB1E0A">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sz w:val="24"/>
                <w:szCs w:val="24"/>
              </w:rPr>
              <w:t>Ortega Álvarez</w:t>
            </w:r>
          </w:p>
        </w:tc>
        <w:tc>
          <w:tcPr>
            <w:tcW w:w="2323" w:type="dxa"/>
            <w:shd w:val="clear" w:color="auto" w:fill="auto"/>
            <w:vAlign w:val="center"/>
          </w:tcPr>
          <w:p w14:paraId="624EFCA2"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w:t>
            </w:r>
          </w:p>
        </w:tc>
        <w:tc>
          <w:tcPr>
            <w:tcW w:w="2323" w:type="dxa"/>
            <w:shd w:val="clear" w:color="auto" w:fill="auto"/>
            <w:vAlign w:val="center"/>
          </w:tcPr>
          <w:p w14:paraId="0B3EADD1"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c>
          <w:tcPr>
            <w:tcW w:w="2323" w:type="dxa"/>
            <w:shd w:val="clear" w:color="auto" w:fill="auto"/>
            <w:vAlign w:val="center"/>
          </w:tcPr>
          <w:p w14:paraId="7E9EF207" w14:textId="77777777" w:rsidR="009A572E" w:rsidRPr="0012597A" w:rsidRDefault="009A572E" w:rsidP="00CB1E0A">
            <w:pPr>
              <w:spacing w:after="0" w:line="240" w:lineRule="auto"/>
              <w:contextualSpacing/>
              <w:jc w:val="center"/>
              <w:rPr>
                <w:rFonts w:ascii="Times New Roman" w:eastAsia="Calibri" w:hAnsi="Times New Roman" w:cs="Times New Roman"/>
                <w:b/>
                <w:sz w:val="24"/>
                <w:szCs w:val="24"/>
              </w:rPr>
            </w:pPr>
          </w:p>
        </w:tc>
      </w:tr>
    </w:tbl>
    <w:p w14:paraId="58AC9619" w14:textId="77777777" w:rsidR="009A572E" w:rsidRPr="0012597A" w:rsidRDefault="009A572E" w:rsidP="00CB1E0A">
      <w:pPr>
        <w:spacing w:after="0" w:line="240" w:lineRule="auto"/>
        <w:contextualSpacing/>
        <w:rPr>
          <w:rFonts w:ascii="Times New Roman" w:eastAsia="Calibri" w:hAnsi="Times New Roman" w:cs="Times New Roman"/>
          <w:sz w:val="24"/>
          <w:szCs w:val="24"/>
          <w:lang w:val="es-ES"/>
        </w:rPr>
      </w:pPr>
    </w:p>
    <w:p w14:paraId="52360F08" w14:textId="700720BC" w:rsidR="00E45EB9" w:rsidRPr="0012597A" w:rsidRDefault="00E45EB9" w:rsidP="00CB1E0A">
      <w:pPr>
        <w:spacing w:after="0" w:line="240" w:lineRule="auto"/>
        <w:jc w:val="center"/>
        <w:rPr>
          <w:rFonts w:ascii="Times New Roman" w:hAnsi="Times New Roman" w:cs="Times New Roman"/>
          <w:sz w:val="24"/>
          <w:szCs w:val="24"/>
        </w:rPr>
      </w:pPr>
    </w:p>
    <w:p w14:paraId="5C7FBC77" w14:textId="2B6DF7ED" w:rsidR="009A572E" w:rsidRPr="0012597A" w:rsidRDefault="009A572E" w:rsidP="00CB1E0A">
      <w:pPr>
        <w:spacing w:after="0" w:line="240" w:lineRule="auto"/>
        <w:jc w:val="center"/>
        <w:rPr>
          <w:rFonts w:ascii="Times New Roman" w:hAnsi="Times New Roman" w:cs="Times New Roman"/>
          <w:sz w:val="24"/>
          <w:szCs w:val="24"/>
        </w:rPr>
      </w:pPr>
    </w:p>
    <w:p w14:paraId="34FB1391" w14:textId="77777777" w:rsidR="00B53F8D" w:rsidRPr="0012597A" w:rsidRDefault="00B53F8D" w:rsidP="00CB1E0A">
      <w:pPr>
        <w:adjustRightInd w:val="0"/>
        <w:spacing w:after="0" w:line="240" w:lineRule="auto"/>
        <w:jc w:val="center"/>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 xml:space="preserve">"LXII" LEGISLATURA DEL CONGRESO DEL ESTADO </w:t>
      </w:r>
    </w:p>
    <w:p w14:paraId="1F2A7586" w14:textId="77777777" w:rsidR="00B53F8D" w:rsidRPr="0012597A" w:rsidRDefault="00B53F8D" w:rsidP="00CB1E0A">
      <w:pPr>
        <w:adjustRightInd w:val="0"/>
        <w:spacing w:after="0" w:line="240" w:lineRule="auto"/>
        <w:jc w:val="center"/>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LIBRE Y SOBERANO DE MÉXICO</w:t>
      </w:r>
    </w:p>
    <w:p w14:paraId="3AEB52F9" w14:textId="77777777" w:rsidR="00B53F8D" w:rsidRPr="0012597A" w:rsidRDefault="00B53F8D" w:rsidP="00CB1E0A">
      <w:pPr>
        <w:adjustRightInd w:val="0"/>
        <w:spacing w:after="0" w:line="240" w:lineRule="auto"/>
        <w:jc w:val="center"/>
        <w:rPr>
          <w:rFonts w:ascii="Times New Roman" w:eastAsia="Calibri" w:hAnsi="Times New Roman" w:cs="Times New Roman"/>
          <w:b/>
          <w:bCs/>
          <w:sz w:val="24"/>
          <w:szCs w:val="24"/>
        </w:rPr>
      </w:pPr>
      <w:r w:rsidRPr="0012597A">
        <w:rPr>
          <w:rFonts w:ascii="Times New Roman" w:eastAsia="Calibri" w:hAnsi="Times New Roman" w:cs="Times New Roman"/>
          <w:b/>
          <w:bCs/>
          <w:sz w:val="24"/>
          <w:szCs w:val="24"/>
        </w:rPr>
        <w:t>INICIATIVA AL CONGRESO DE LA UNIÓN</w:t>
      </w:r>
    </w:p>
    <w:p w14:paraId="70DAE442" w14:textId="77777777" w:rsidR="00B53F8D" w:rsidRPr="0012597A" w:rsidRDefault="00B53F8D" w:rsidP="00CB1E0A">
      <w:pPr>
        <w:adjustRightInd w:val="0"/>
        <w:spacing w:after="0" w:line="240" w:lineRule="auto"/>
        <w:jc w:val="both"/>
        <w:rPr>
          <w:rFonts w:ascii="Times New Roman" w:eastAsia="Calibri" w:hAnsi="Times New Roman" w:cs="Times New Roman"/>
          <w:b/>
          <w:bCs/>
          <w:sz w:val="24"/>
          <w:szCs w:val="24"/>
        </w:rPr>
      </w:pPr>
    </w:p>
    <w:p w14:paraId="1873B4F6" w14:textId="77777777" w:rsidR="00B53F8D" w:rsidRPr="0012597A" w:rsidRDefault="00B53F8D" w:rsidP="00CB1E0A">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b/>
          <w:bCs/>
          <w:sz w:val="24"/>
          <w:szCs w:val="24"/>
        </w:rPr>
        <w:t xml:space="preserve">ÚNICO. </w:t>
      </w:r>
      <w:r w:rsidRPr="0012597A">
        <w:rPr>
          <w:rFonts w:ascii="Times New Roman" w:eastAsia="Calibri" w:hAnsi="Times New Roman" w:cs="Times New Roman"/>
          <w:sz w:val="24"/>
          <w:szCs w:val="24"/>
        </w:rPr>
        <w:t>En ejercicio del derecho de iniciativa previsto en el artículo 71 fracción III de la Constitución Política de los Estados Unidos Mexicanos, 61 fracción VII de la Constitución Política del Estado Libre y Soberano de México y en su correlativo 38 fracción III de la Ley Orgánica del Poder Legislativo del Estado Libre y Soberano de México, preséntese ante el H. Congreso de la Unión, Iniciativa con Proyecto de Decreto por el que se adiciona un párrafo cuarto al artículo 10 de la Ley de la Empresa Pública del Estado, Comisión Federal de Electricidad, conforme a la siguiente:</w:t>
      </w:r>
    </w:p>
    <w:p w14:paraId="29F1F3F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22855B1"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r w:rsidRPr="0012597A">
        <w:rPr>
          <w:rFonts w:ascii="Times New Roman" w:eastAsia="Arial MT" w:hAnsi="Times New Roman" w:cs="Times New Roman"/>
          <w:b/>
          <w:sz w:val="24"/>
          <w:szCs w:val="24"/>
          <w:lang w:val="es-ES"/>
        </w:rPr>
        <w:t>“DIPUTADA KENIA LÓPEZ RABADÁN</w:t>
      </w:r>
    </w:p>
    <w:p w14:paraId="206C4BC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r w:rsidRPr="0012597A">
        <w:rPr>
          <w:rFonts w:ascii="Times New Roman" w:eastAsia="Arial MT" w:hAnsi="Times New Roman" w:cs="Times New Roman"/>
          <w:b/>
          <w:sz w:val="24"/>
          <w:szCs w:val="24"/>
          <w:lang w:val="es-ES"/>
        </w:rPr>
        <w:t xml:space="preserve">PRESIDENTA DE LA MESA DIRECTIVA </w:t>
      </w:r>
    </w:p>
    <w:p w14:paraId="75A4016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r w:rsidRPr="0012597A">
        <w:rPr>
          <w:rFonts w:ascii="Times New Roman" w:eastAsia="Arial MT" w:hAnsi="Times New Roman" w:cs="Times New Roman"/>
          <w:b/>
          <w:sz w:val="24"/>
          <w:szCs w:val="24"/>
          <w:lang w:val="es-ES"/>
        </w:rPr>
        <w:t xml:space="preserve">DE LA CÁMARA DE DIPUTADOS DEL </w:t>
      </w:r>
    </w:p>
    <w:p w14:paraId="2FD6029D"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r w:rsidRPr="0012597A">
        <w:rPr>
          <w:rFonts w:ascii="Times New Roman" w:eastAsia="Arial MT" w:hAnsi="Times New Roman" w:cs="Times New Roman"/>
          <w:b/>
          <w:sz w:val="24"/>
          <w:szCs w:val="24"/>
          <w:lang w:val="es-ES"/>
        </w:rPr>
        <w:t>CONGRESO DE LA UNIÓN</w:t>
      </w:r>
    </w:p>
    <w:p w14:paraId="402F1E2C"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r w:rsidRPr="0012597A">
        <w:rPr>
          <w:rFonts w:ascii="Times New Roman" w:eastAsia="Arial MT" w:hAnsi="Times New Roman" w:cs="Times New Roman"/>
          <w:b/>
          <w:sz w:val="24"/>
          <w:szCs w:val="24"/>
          <w:lang w:val="es-ES"/>
        </w:rPr>
        <w:t>P R E S E N T E.</w:t>
      </w:r>
    </w:p>
    <w:p w14:paraId="6AA54F5B"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2E239F0" w14:textId="77777777" w:rsidR="00B53F8D" w:rsidRPr="0012597A" w:rsidRDefault="00B53F8D" w:rsidP="00CB1E0A">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 xml:space="preserve">Con fundamento en lo dispuesto en los artículos 71 fracción III de la Constitución Política de los Estados Unidos Mexicanos, 57 y 61 fracción VII de la Constitución Política del Estado Libre y Soberano de México, y 38 fracción III de la Ley Orgánica del Poder Legislativo del Estado Libre y Soberano de México, presenta </w:t>
      </w:r>
      <w:r w:rsidRPr="0012597A">
        <w:rPr>
          <w:rFonts w:ascii="Times New Roman" w:eastAsia="Calibri" w:hAnsi="Times New Roman" w:cs="Times New Roman"/>
          <w:b/>
          <w:sz w:val="24"/>
          <w:szCs w:val="24"/>
        </w:rPr>
        <w:t>INICIATIVA CON PROYECTO DE DECRETO POR EL QUE SE ADICIONA UN PÁRRAFO CUARTO AL ARTÍCULO 10 DE LA LEY DE LA EMPRESA PÚBLICA DEL ESTADO, COMISIÓN FEDERAL DE ELECTRICIDAD</w:t>
      </w:r>
      <w:r w:rsidRPr="0012597A">
        <w:rPr>
          <w:rFonts w:ascii="Times New Roman" w:eastAsia="Calibri" w:hAnsi="Times New Roman" w:cs="Times New Roman"/>
          <w:sz w:val="24"/>
          <w:szCs w:val="24"/>
        </w:rPr>
        <w:t>, de conformidad con la siguiente:</w:t>
      </w:r>
    </w:p>
    <w:p w14:paraId="1BD58AE6"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A3E63CE"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EXPOSICIÓN DE MOTIVOS</w:t>
      </w:r>
    </w:p>
    <w:p w14:paraId="7687D64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5433AEE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La Comisión Federal de Electricidad (CFE) es una empresa pública de carácter social que provee energía eléctrica, servicio fundamental para el desarrollo de una nación. Es una empresa productiva del Estado, propiedad exclusiva del gobierno federal, con personalidad jurídica y patrimonio propio. Goza de autonomía técnica, operativa y de gestión conforme a lo dispuesto en la Ley de la Empresa Pública del Estado, Comisión Federal de Electricidad.</w:t>
      </w:r>
    </w:p>
    <w:p w14:paraId="5DCA3A79"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2320A47"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La CFE fue establecida por el gobierno federal el 14 de agosto de 1937, durante la presidencia de Lázaro Cárdenas, con el objetivo de organizar y dirigir un sistema nacional de generación, transmisión y distribución de energía eléctrica, basado en principios técnicos y económicos, sin propósitos de lucro y con la finalidad de obtener, con un costo mínimo, el mayor rendimiento posible en beneficio de los intereses generales.</w:t>
      </w:r>
    </w:p>
    <w:p w14:paraId="44C102DC"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B978D2F"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lastRenderedPageBreak/>
        <w:t>La extinción de Luz y Fuerza del Centro (</w:t>
      </w:r>
      <w:proofErr w:type="spellStart"/>
      <w:r w:rsidRPr="0012597A">
        <w:rPr>
          <w:rFonts w:ascii="Times New Roman" w:eastAsia="Arial MT" w:hAnsi="Times New Roman" w:cs="Times New Roman"/>
          <w:sz w:val="24"/>
          <w:szCs w:val="24"/>
          <w:lang w:val="es-ES"/>
        </w:rPr>
        <w:t>LyFC</w:t>
      </w:r>
      <w:proofErr w:type="spellEnd"/>
      <w:r w:rsidRPr="0012597A">
        <w:rPr>
          <w:rFonts w:ascii="Times New Roman" w:eastAsia="Arial MT" w:hAnsi="Times New Roman" w:cs="Times New Roman"/>
          <w:sz w:val="24"/>
          <w:szCs w:val="24"/>
          <w:lang w:val="es-ES"/>
        </w:rPr>
        <w:t>) en octubre de 2009 conllevó la transferencia de sus operaciones y pasivos a la Comisión Federal de Electricidad (CFE).</w:t>
      </w:r>
    </w:p>
    <w:p w14:paraId="4010270E"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6B71BE7"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9B6424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Al momento de esta extinción Luz y Fuerza del Centro tenía una cartera de morosos que ascendía a aproximadamente 7,000 millones de pesos, incluyendo adeudos de empresas privadas, instituciones gubernamentales y usuarios domésticos.</w:t>
      </w:r>
    </w:p>
    <w:p w14:paraId="6018D9E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46C83E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Actualmente, la CFE abastece de energía eléctrica a aproximadamente 48.8 millones de usuarios, lo que representa una cobertura del 99.6% de la población mexicana. Sin embargo, diversos municipios y gobiernos estatales enfrentan adeudos históricos derivados del consumo de energía eléctrica en instalaciones públicas como escuelas, hospitales, centros de salud y oficinas gubernamentales. Estos adeudos, muchas veces acumulados por causas ajenas a las administraciones actuales, afectan la relación financiera entre los tres niveles de gobierno e incluso comprometen la prestación de servicios esenciales a la población.</w:t>
      </w:r>
    </w:p>
    <w:p w14:paraId="420D20F7"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0CB67AB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A nivel nacional, los adeudos acumulados por estados, municipios y dependencias federales con la CFE ascienden a más de 53,000 millones de pesos, de los cuales 46,189.8 millones corresponden a gobiernos estatales y municipales. El Estado de México destaca con un adeudo superior a 26,463.7 millones de pesos, representando el 57.2% del total adeudado por los gobiernos estatales.</w:t>
      </w:r>
      <w:r w:rsidRPr="0012597A">
        <w:rPr>
          <w:rFonts w:ascii="Times New Roman" w:eastAsia="Arial MT" w:hAnsi="Times New Roman" w:cs="Times New Roman"/>
          <w:sz w:val="24"/>
          <w:szCs w:val="24"/>
          <w:vertAlign w:val="superscript"/>
          <w:lang w:val="es-ES"/>
        </w:rPr>
        <w:footnoteReference w:id="1"/>
      </w:r>
    </w:p>
    <w:p w14:paraId="4F8EE0A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74C36A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En la zona oriente del Estado de México, al menos 10 municipios acumulan adeudos por más de 2,118 millones de pesos con la CFE, afectando servicios como alumbrado público y bombeo de agua. Por ejemplo, Nezahualcóyotl adeuda 214 millones de pesos, y ha solicitado autorización al Congreso del Estado para firmar un convenio que le permita saldar su adeudo en parcialidades y con un descuento del 50%.</w:t>
      </w:r>
    </w:p>
    <w:p w14:paraId="01D9D7C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1D3698E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En cuanto a los edificios públicos, un caso destacado es el de las escuelas. En el Estado de México, más de 8,000 escuelas de educación básica (aproximadamente el 40% del total en la entidad) tienen adeudos con la CFE, lo que refleja la magnitud del problema en el sector educativo.</w:t>
      </w:r>
    </w:p>
    <w:p w14:paraId="52937EB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F717CA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Ante este panorama, resulta indispensable dotar a la CFE de facultades explícitas que le permitan suscribir convenios de regularización con municipios y entidades estatales, así como establecer mecanismos que faciliten la condonación de adeudos originados en el suministro de energía a instituciones públicas educativas y de salud. Esta propuesta no implica un costo presupuestario directo adicional para la Federación, ya que no crea nuevas obligaciones de gasto ni requiere la creación de nuevos órganos administrativos. Por el contrario, al facultar a la CFE para suscribir convenios de regularización y condonar adeudos específicos, se fomenta la recuperación de cartera vencida y se promueve una mayor sostenibilidad financiera a mediano plazo.</w:t>
      </w:r>
    </w:p>
    <w:p w14:paraId="3FC7559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8E7DBA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Entre los beneficios que traería esta reforma destacan los siguientes:</w:t>
      </w:r>
    </w:p>
    <w:p w14:paraId="01E2A9F5"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F9EBB06" w14:textId="77777777" w:rsidR="00B53F8D" w:rsidRPr="0012597A" w:rsidRDefault="00B53F8D" w:rsidP="0012453E">
      <w:pPr>
        <w:widowControl w:val="0"/>
        <w:numPr>
          <w:ilvl w:val="0"/>
          <w:numId w:val="48"/>
        </w:numPr>
        <w:autoSpaceDE w:val="0"/>
        <w:autoSpaceDN w:val="0"/>
        <w:spacing w:after="0" w:line="240" w:lineRule="auto"/>
        <w:ind w:left="709" w:hanging="709"/>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 xml:space="preserve">Alivio financiero para gobiernos locales: Permitirá a municipios y entidades federativas liberar recursos para invertir en infraestructura, servicios públicos y programas sociales, al dejar de arrastrar deudas impagables, muchas veces heredadas. Si estimamos que entre el 30% y 40% de ese adeudo corresponde al consumo en instituciones educativas, de salud, el alivio financiero de los Estados y los Municipios estaría entre 13 mil y 18 mil millones de </w:t>
      </w:r>
      <w:r w:rsidRPr="0012597A">
        <w:rPr>
          <w:rFonts w:ascii="Times New Roman" w:eastAsia="Arial MT" w:hAnsi="Times New Roman" w:cs="Times New Roman"/>
          <w:sz w:val="24"/>
          <w:szCs w:val="24"/>
          <w:lang w:val="es-ES"/>
        </w:rPr>
        <w:lastRenderedPageBreak/>
        <w:t>pesos.</w:t>
      </w:r>
    </w:p>
    <w:p w14:paraId="3779B6AA" w14:textId="77777777" w:rsidR="00B53F8D" w:rsidRPr="0012597A" w:rsidRDefault="00B53F8D" w:rsidP="00CB1E0A">
      <w:pPr>
        <w:widowControl w:val="0"/>
        <w:autoSpaceDE w:val="0"/>
        <w:autoSpaceDN w:val="0"/>
        <w:spacing w:after="0" w:line="240" w:lineRule="auto"/>
        <w:ind w:left="709" w:hanging="709"/>
        <w:jc w:val="both"/>
        <w:rPr>
          <w:rFonts w:ascii="Times New Roman" w:eastAsia="Arial MT" w:hAnsi="Times New Roman" w:cs="Times New Roman"/>
          <w:sz w:val="24"/>
          <w:szCs w:val="24"/>
          <w:lang w:val="es-ES"/>
        </w:rPr>
      </w:pPr>
    </w:p>
    <w:p w14:paraId="53616E4D" w14:textId="77777777" w:rsidR="00B53F8D" w:rsidRPr="0012597A" w:rsidRDefault="00B53F8D" w:rsidP="0012453E">
      <w:pPr>
        <w:widowControl w:val="0"/>
        <w:numPr>
          <w:ilvl w:val="0"/>
          <w:numId w:val="48"/>
        </w:numPr>
        <w:autoSpaceDE w:val="0"/>
        <w:autoSpaceDN w:val="0"/>
        <w:spacing w:after="0" w:line="240" w:lineRule="auto"/>
        <w:ind w:left="709" w:hanging="709"/>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Fortalecimiento de la educación y la salud pública: Las escuelas y clínicas que actualmente enfrentan cortes o servicios interrumpidos por falta de pago podrán operar de manera continua, en beneficio directo de la población más vulnerable.</w:t>
      </w:r>
    </w:p>
    <w:p w14:paraId="5BD151F1" w14:textId="77777777" w:rsidR="00B53F8D" w:rsidRPr="0012597A" w:rsidRDefault="00B53F8D" w:rsidP="00CB1E0A">
      <w:pPr>
        <w:widowControl w:val="0"/>
        <w:autoSpaceDE w:val="0"/>
        <w:autoSpaceDN w:val="0"/>
        <w:spacing w:after="0" w:line="240" w:lineRule="auto"/>
        <w:ind w:left="709" w:hanging="709"/>
        <w:jc w:val="both"/>
        <w:rPr>
          <w:rFonts w:ascii="Times New Roman" w:eastAsia="Arial MT" w:hAnsi="Times New Roman" w:cs="Times New Roman"/>
          <w:sz w:val="24"/>
          <w:szCs w:val="24"/>
          <w:lang w:val="es-ES"/>
        </w:rPr>
      </w:pPr>
    </w:p>
    <w:p w14:paraId="08417FD1" w14:textId="77777777" w:rsidR="00B53F8D" w:rsidRPr="0012597A" w:rsidRDefault="00B53F8D" w:rsidP="0012453E">
      <w:pPr>
        <w:widowControl w:val="0"/>
        <w:numPr>
          <w:ilvl w:val="0"/>
          <w:numId w:val="48"/>
        </w:numPr>
        <w:autoSpaceDE w:val="0"/>
        <w:autoSpaceDN w:val="0"/>
        <w:spacing w:after="0" w:line="240" w:lineRule="auto"/>
        <w:ind w:left="709" w:hanging="709"/>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Modernización energética: Uno de los beneficios más estratégicos de facultar a la CFE para suscribir convenios con municipios y gobiernos estatales es la posibilidad de impulsar un proceso estructurado de modernización energética en el sector público local. Este proceso no se limitaría al simple saneamiento de deudas, sino que permitiría establecer acuerdos condicionados a la adopción de tecnologías más eficientes y sustentables, con impacto directo en el gasto público, el medio ambiente y la calidad de los servicios.</w:t>
      </w:r>
    </w:p>
    <w:p w14:paraId="53D132A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1B919760" w14:textId="77777777" w:rsidR="00B53F8D" w:rsidRPr="0012597A" w:rsidRDefault="00B53F8D" w:rsidP="00CB1E0A">
      <w:pPr>
        <w:widowControl w:val="0"/>
        <w:autoSpaceDE w:val="0"/>
        <w:autoSpaceDN w:val="0"/>
        <w:spacing w:after="0" w:line="240" w:lineRule="auto"/>
        <w:ind w:left="709"/>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Mediante estos convenios, se podría promover la instalación de paneles solares en escuelas, clínicas y oficinas públicas, permitiendo reducir el consumo de energía convencional y disminuir significativamente las facturas eléctricas.</w:t>
      </w:r>
    </w:p>
    <w:p w14:paraId="3B68FBC4" w14:textId="77777777" w:rsidR="00B53F8D" w:rsidRPr="0012597A" w:rsidRDefault="00B53F8D" w:rsidP="00CB1E0A">
      <w:pPr>
        <w:widowControl w:val="0"/>
        <w:autoSpaceDE w:val="0"/>
        <w:autoSpaceDN w:val="0"/>
        <w:spacing w:after="0" w:line="240" w:lineRule="auto"/>
        <w:ind w:left="709"/>
        <w:jc w:val="both"/>
        <w:rPr>
          <w:rFonts w:ascii="Times New Roman" w:eastAsia="Arial MT" w:hAnsi="Times New Roman" w:cs="Times New Roman"/>
          <w:sz w:val="24"/>
          <w:szCs w:val="24"/>
          <w:lang w:val="es-ES"/>
        </w:rPr>
      </w:pPr>
    </w:p>
    <w:p w14:paraId="458F6964" w14:textId="77777777" w:rsidR="00B53F8D" w:rsidRPr="0012597A" w:rsidRDefault="00B53F8D" w:rsidP="00CB1E0A">
      <w:pPr>
        <w:widowControl w:val="0"/>
        <w:autoSpaceDE w:val="0"/>
        <w:autoSpaceDN w:val="0"/>
        <w:spacing w:after="0" w:line="240" w:lineRule="auto"/>
        <w:ind w:left="709"/>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Asimismo, se fomentaría el reemplazo de luminarias tradicionales por sistemas de alumbrado público con tecnología LED, que además de consumir menos energía, requieren menos mantenimiento y ofrecen mejor iluminación en zonas urbanas y rurales.</w:t>
      </w:r>
    </w:p>
    <w:p w14:paraId="29CAFD57"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B65CE8A" w14:textId="77777777" w:rsidR="00B53F8D" w:rsidRPr="0012597A" w:rsidRDefault="00B53F8D" w:rsidP="0012453E">
      <w:pPr>
        <w:widowControl w:val="0"/>
        <w:numPr>
          <w:ilvl w:val="0"/>
          <w:numId w:val="48"/>
        </w:numPr>
        <w:autoSpaceDE w:val="0"/>
        <w:autoSpaceDN w:val="0"/>
        <w:spacing w:after="0" w:line="240" w:lineRule="auto"/>
        <w:ind w:left="709" w:hanging="709"/>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Impulso al federalismo cooperativo: Se establecería una relación más equitativa entre los niveles de gobierno, privilegiando la solución concertada de problemas estructurales por encima de mecanismos punitivos.</w:t>
      </w:r>
    </w:p>
    <w:p w14:paraId="3BB17F77"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2373D179" w14:textId="77777777" w:rsidR="00B53F8D" w:rsidRPr="0012597A" w:rsidRDefault="00B53F8D" w:rsidP="0012453E">
      <w:pPr>
        <w:widowControl w:val="0"/>
        <w:numPr>
          <w:ilvl w:val="0"/>
          <w:numId w:val="48"/>
        </w:numPr>
        <w:autoSpaceDE w:val="0"/>
        <w:autoSpaceDN w:val="0"/>
        <w:spacing w:after="0" w:line="240" w:lineRule="auto"/>
        <w:ind w:left="709" w:hanging="709"/>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Beneficio fiscal y presupuestario para la CFE: En lugar de mantener cuentas incobrables, la empresa podrá sanear su cartera y concentrar sus esfuerzos en fortalecer la infraestructura y mejorar el servicio.</w:t>
      </w:r>
    </w:p>
    <w:p w14:paraId="2D37CF3F"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511677E1"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La posibilidad de condonar adeudos a instituciones educativas y de salud públicas permitirá sanear cuentas históricas que, en la práctica, son incobrables debido a las limitaciones presupuestarias de las entidades subnacionales. Esta medida contribuirá a una mayor transparencia financiera, permitirá a la CFE enfocar sus recursos en servicios estratégicos y facilitará la colaboración intergubernamental en beneficio del interés público.</w:t>
      </w:r>
    </w:p>
    <w:p w14:paraId="6601E454"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1A1527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Apenas hace unos meses, en octubre del año pasado, Tabasco logró un acuerdo con la Comisión Federal de Electricidad (CFE) para eliminar, por segunda ocasión, la deuda del gobierno del estado con la empresa, mismo que consistía en un subsidio al adeudo histórico de los tabasqueños por el no pago del servicio de energía eléctrica. En esa entidad se han logrado condonar además el adeudo de más de 600 mil usuarios domésticos.</w:t>
      </w:r>
    </w:p>
    <w:p w14:paraId="54E4906B"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5F852AE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En este caso, nuestra propuesta va orientada a facultar a la CFE a establecer convenios que permitan reestructurar los adeudos históricos y, en el caso particular de los que provienen de instituciones públicas de educación y de salud, lograr la condonación total, a partir de la obligación que tiene el Estado mexicano para garantizar el acceso a la educación y a la salud a todas y todos los mexicanos, y que hoy en día la educación y la salud tienen una gran dependencia tecnológica y energética.</w:t>
      </w:r>
    </w:p>
    <w:p w14:paraId="12CC4F3E"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308B725"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 xml:space="preserve">En resumen, se trata de una medida de impacto presupuestal neutral en el corto plazo, con beneficios positivos en el largo plazo tanto para la administración pública como para los usuarios </w:t>
      </w:r>
      <w:r w:rsidRPr="0012597A">
        <w:rPr>
          <w:rFonts w:ascii="Times New Roman" w:eastAsia="Arial MT" w:hAnsi="Times New Roman" w:cs="Times New Roman"/>
          <w:sz w:val="24"/>
          <w:szCs w:val="24"/>
          <w:lang w:val="es-ES"/>
        </w:rPr>
        <w:lastRenderedPageBreak/>
        <w:t>finales. Pero, sobre todo, permitirá sanear financieramente a los municipios del país y descargarles el peso que representa el adeudo histórico, especialmente el derivado del consumo de energía en instituciones educativas y de salud —servicios fundamentales cuya responsabilidad principal recae en la Federación y los Estados –.</w:t>
      </w:r>
    </w:p>
    <w:p w14:paraId="4066D411"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3E270E9"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A continuación, se muestra un cuadro comparativo del texto vigente, y las adiciones correspondientes:</w:t>
      </w:r>
    </w:p>
    <w:p w14:paraId="6112613A" w14:textId="77777777" w:rsidR="00B53F8D" w:rsidRPr="0012597A" w:rsidRDefault="00B53F8D" w:rsidP="00CB1E0A">
      <w:pPr>
        <w:widowControl w:val="0"/>
        <w:autoSpaceDE w:val="0"/>
        <w:autoSpaceDN w:val="0"/>
        <w:spacing w:after="0" w:line="240" w:lineRule="auto"/>
        <w:jc w:val="center"/>
        <w:rPr>
          <w:rFonts w:ascii="Times New Roman" w:eastAsia="Arial MT" w:hAnsi="Times New Roman" w:cs="Times New Roman"/>
          <w:sz w:val="24"/>
          <w:szCs w:val="24"/>
          <w:lang w:val="es-ES"/>
        </w:rPr>
      </w:pPr>
    </w:p>
    <w:p w14:paraId="1928CBF5"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546"/>
      </w:tblGrid>
      <w:tr w:rsidR="00B53F8D" w:rsidRPr="0012597A" w14:paraId="134B161A" w14:textId="77777777" w:rsidTr="00883467">
        <w:trPr>
          <w:jc w:val="center"/>
        </w:trPr>
        <w:tc>
          <w:tcPr>
            <w:tcW w:w="4928" w:type="dxa"/>
            <w:shd w:val="clear" w:color="auto" w:fill="auto"/>
          </w:tcPr>
          <w:p w14:paraId="4D254055" w14:textId="77777777" w:rsidR="00B53F8D" w:rsidRPr="0012597A" w:rsidRDefault="00B53F8D" w:rsidP="00CB1E0A">
            <w:pPr>
              <w:widowControl w:val="0"/>
              <w:autoSpaceDE w:val="0"/>
              <w:autoSpaceDN w:val="0"/>
              <w:spacing w:after="0" w:line="240" w:lineRule="auto"/>
              <w:jc w:val="center"/>
              <w:rPr>
                <w:rFonts w:ascii="Times New Roman" w:eastAsia="Arial MT" w:hAnsi="Times New Roman" w:cs="Times New Roman"/>
                <w:sz w:val="24"/>
                <w:szCs w:val="24"/>
                <w:lang w:val="es-ES"/>
              </w:rPr>
            </w:pPr>
            <w:r w:rsidRPr="0012597A">
              <w:rPr>
                <w:rFonts w:ascii="Times New Roman" w:eastAsia="Arial MT" w:hAnsi="Times New Roman" w:cs="Times New Roman"/>
                <w:b/>
                <w:sz w:val="24"/>
                <w:szCs w:val="24"/>
                <w:lang w:val="es-ES"/>
              </w:rPr>
              <w:t>Texto Actual</w:t>
            </w:r>
          </w:p>
        </w:tc>
        <w:tc>
          <w:tcPr>
            <w:tcW w:w="4616" w:type="dxa"/>
            <w:shd w:val="clear" w:color="auto" w:fill="auto"/>
          </w:tcPr>
          <w:p w14:paraId="2921DDEA" w14:textId="77777777" w:rsidR="00B53F8D" w:rsidRPr="0012597A" w:rsidRDefault="00B53F8D" w:rsidP="00CB1E0A">
            <w:pPr>
              <w:widowControl w:val="0"/>
              <w:autoSpaceDE w:val="0"/>
              <w:autoSpaceDN w:val="0"/>
              <w:spacing w:after="0" w:line="240" w:lineRule="auto"/>
              <w:jc w:val="center"/>
              <w:rPr>
                <w:rFonts w:ascii="Times New Roman" w:eastAsia="Arial MT" w:hAnsi="Times New Roman" w:cs="Times New Roman"/>
                <w:sz w:val="24"/>
                <w:szCs w:val="24"/>
                <w:lang w:val="es-ES"/>
              </w:rPr>
            </w:pPr>
            <w:r w:rsidRPr="0012597A">
              <w:rPr>
                <w:rFonts w:ascii="Times New Roman" w:eastAsia="Arial MT" w:hAnsi="Times New Roman" w:cs="Times New Roman"/>
                <w:b/>
                <w:sz w:val="24"/>
                <w:szCs w:val="24"/>
                <w:lang w:val="es-ES"/>
              </w:rPr>
              <w:t>Adición propuesta</w:t>
            </w:r>
          </w:p>
        </w:tc>
      </w:tr>
      <w:tr w:rsidR="00B53F8D" w:rsidRPr="0012597A" w14:paraId="54B29BE4" w14:textId="77777777" w:rsidTr="00883467">
        <w:trPr>
          <w:jc w:val="center"/>
        </w:trPr>
        <w:tc>
          <w:tcPr>
            <w:tcW w:w="4928" w:type="dxa"/>
            <w:shd w:val="clear" w:color="auto" w:fill="auto"/>
          </w:tcPr>
          <w:p w14:paraId="429BB0D9"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b/>
                <w:sz w:val="24"/>
                <w:szCs w:val="24"/>
                <w:lang w:val="es-ES"/>
              </w:rPr>
              <w:t>Artículo 10.-</w:t>
            </w:r>
            <w:r w:rsidRPr="0012597A">
              <w:rPr>
                <w:rFonts w:ascii="Times New Roman" w:eastAsia="Arial MT" w:hAnsi="Times New Roman" w:cs="Times New Roman"/>
                <w:sz w:val="24"/>
                <w:szCs w:val="24"/>
                <w:lang w:val="es-ES"/>
              </w:rPr>
              <w:t xml:space="preserve"> Para cumplir con su objeto, la Comisión Federal de Electricidad puede celebrar con el Gobierno Federal, Estatal, municipal y con personas físicas o morales toda clase de actos, convenios, contratos, suscribir títulos de crédito y otorgar todo tipo de garantías reales y personales para las obligaciones contraídas por sí o por sus empresas filiales, con sujeción a las disposiciones legales aplicables.</w:t>
            </w:r>
          </w:p>
          <w:p w14:paraId="69DC40A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1A96657"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La Comisión Federal de Electricidad está facultada para realizar las operaciones relacionadas directa o indirectamente con su objeto.</w:t>
            </w:r>
          </w:p>
          <w:p w14:paraId="1AC7F45F"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03F68F0C"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24DA6B1F"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Los contratos y, en general, todos los actos jurídicos que celebre la Comisión Federal de Electricidad para el cumplimiento de su objeto pueden incluir cualquiera de los términos permitidos por la legislación aplicable en las materias que corresponda.</w:t>
            </w:r>
          </w:p>
        </w:tc>
        <w:tc>
          <w:tcPr>
            <w:tcW w:w="4616" w:type="dxa"/>
            <w:shd w:val="clear" w:color="auto" w:fill="auto"/>
          </w:tcPr>
          <w:p w14:paraId="6A4C3ABB"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b/>
                <w:sz w:val="24"/>
                <w:szCs w:val="24"/>
                <w:lang w:val="es-ES"/>
              </w:rPr>
              <w:t xml:space="preserve">Artículo 10. </w:t>
            </w:r>
            <w:r w:rsidRPr="0012597A">
              <w:rPr>
                <w:rFonts w:ascii="Times New Roman" w:eastAsia="Arial MT" w:hAnsi="Times New Roman" w:cs="Times New Roman"/>
                <w:sz w:val="24"/>
                <w:szCs w:val="24"/>
                <w:lang w:val="es-ES"/>
              </w:rPr>
              <w:t>(…)</w:t>
            </w:r>
          </w:p>
          <w:p w14:paraId="09761A2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12D664E6"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5E98267"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2A3C81C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E4ACF3B"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6FD0FE1"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55717E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293D121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26EB20DF"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2558C6CE"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59CFA4B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0DEF4FE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w:t>
            </w:r>
          </w:p>
          <w:p w14:paraId="30D8628D"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8497FB4"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6B51D5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5D3383AC"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1C4F3AFF"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2697167D"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w:t>
            </w:r>
          </w:p>
          <w:p w14:paraId="0D4688B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5F6822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CEC178A"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84FEF4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D9AA6EB"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1026D7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052D93B9"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4088C38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r w:rsidRPr="0012597A">
              <w:rPr>
                <w:rFonts w:ascii="Times New Roman" w:eastAsia="Arial MT" w:hAnsi="Times New Roman" w:cs="Times New Roman"/>
                <w:b/>
                <w:sz w:val="24"/>
                <w:szCs w:val="24"/>
                <w:lang w:val="es-ES"/>
              </w:rPr>
              <w:t xml:space="preserve">La Comisión Federal de Electricidad estará facultada para suscribir convenios de regularización de adeudos con los gobiernos estatales y municipales, así como con sus respectivas entidades públicas, con el propósito de asegurar la continuidad en la prestación de los servicios públicos. Asimismo, podrá establecer, mediante lineamientos internos, mecanismos para la condonación parcial o total de adeudos derivados del suministro de energía eléctrica a instituciones de educación pública o de salud, ya sean de carácter </w:t>
            </w:r>
            <w:r w:rsidRPr="0012597A">
              <w:rPr>
                <w:rFonts w:ascii="Times New Roman" w:eastAsia="Arial MT" w:hAnsi="Times New Roman" w:cs="Times New Roman"/>
                <w:b/>
                <w:sz w:val="24"/>
                <w:szCs w:val="24"/>
                <w:lang w:val="es-ES"/>
              </w:rPr>
              <w:lastRenderedPageBreak/>
              <w:t>federal, estatal o municipal, o bien cuando dichos adeudos formen parte del pasivo  histórico  de  los gobiernos estatales o municipales.</w:t>
            </w:r>
          </w:p>
          <w:p w14:paraId="59C0CE2E"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tc>
      </w:tr>
    </w:tbl>
    <w:p w14:paraId="63136A3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ADED1DD"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Por lo anteriormente expuesto y fundado, se somete a la consideración de esta H. Legislatura la presente Iniciativa con Proyecto de Decreto, para que, de estimarla correcta, se apruebe en sus términos para ser presentada ante el H. Congreso de la Unión.</w:t>
      </w:r>
    </w:p>
    <w:p w14:paraId="5125FE39"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996C32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Por lo antes expuesto, se somete a la consideración el siguiente:</w:t>
      </w:r>
    </w:p>
    <w:p w14:paraId="67C8641C" w14:textId="77777777" w:rsidR="00B53F8D" w:rsidRPr="0012597A" w:rsidRDefault="00B53F8D" w:rsidP="00CB1E0A">
      <w:pPr>
        <w:widowControl w:val="0"/>
        <w:autoSpaceDE w:val="0"/>
        <w:autoSpaceDN w:val="0"/>
        <w:spacing w:after="0" w:line="240" w:lineRule="auto"/>
        <w:rPr>
          <w:rFonts w:ascii="Times New Roman" w:eastAsia="Arial MT" w:hAnsi="Times New Roman" w:cs="Times New Roman"/>
          <w:sz w:val="24"/>
          <w:szCs w:val="24"/>
          <w:lang w:val="es-ES"/>
        </w:rPr>
      </w:pPr>
    </w:p>
    <w:p w14:paraId="0DB57CF0"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PROYECTO DE DECRETO</w:t>
      </w:r>
    </w:p>
    <w:p w14:paraId="0686B2D9" w14:textId="77777777" w:rsidR="00B53F8D" w:rsidRPr="0012597A" w:rsidRDefault="00B53F8D" w:rsidP="00CB1E0A">
      <w:pPr>
        <w:widowControl w:val="0"/>
        <w:autoSpaceDE w:val="0"/>
        <w:autoSpaceDN w:val="0"/>
        <w:spacing w:after="0" w:line="240" w:lineRule="auto"/>
        <w:rPr>
          <w:rFonts w:ascii="Times New Roman" w:eastAsia="Arial MT" w:hAnsi="Times New Roman" w:cs="Times New Roman"/>
          <w:b/>
          <w:sz w:val="24"/>
          <w:szCs w:val="24"/>
          <w:lang w:val="es-ES"/>
        </w:rPr>
      </w:pPr>
    </w:p>
    <w:p w14:paraId="7887D006" w14:textId="77777777" w:rsidR="00B53F8D" w:rsidRPr="0012597A" w:rsidRDefault="00B53F8D" w:rsidP="00CB1E0A">
      <w:pPr>
        <w:spacing w:after="0" w:line="240" w:lineRule="auto"/>
        <w:jc w:val="both"/>
        <w:rPr>
          <w:rFonts w:ascii="Times New Roman" w:eastAsia="Calibri" w:hAnsi="Times New Roman" w:cs="Times New Roman"/>
          <w:b/>
          <w:sz w:val="24"/>
          <w:szCs w:val="24"/>
          <w:lang w:eastAsia="es-ES"/>
        </w:rPr>
      </w:pPr>
      <w:r w:rsidRPr="0012597A">
        <w:rPr>
          <w:rFonts w:ascii="Times New Roman" w:eastAsia="Calibri" w:hAnsi="Times New Roman" w:cs="Times New Roman"/>
          <w:b/>
          <w:sz w:val="24"/>
          <w:szCs w:val="24"/>
          <w:lang w:eastAsia="es-ES"/>
        </w:rPr>
        <w:t>DECRETO NÚMERO</w:t>
      </w:r>
    </w:p>
    <w:p w14:paraId="0D4461EE" w14:textId="77777777" w:rsidR="00B53F8D" w:rsidRPr="0012597A" w:rsidRDefault="00B53F8D" w:rsidP="00CB1E0A">
      <w:pPr>
        <w:spacing w:after="0" w:line="240" w:lineRule="auto"/>
        <w:jc w:val="both"/>
        <w:rPr>
          <w:rFonts w:ascii="Times New Roman" w:eastAsia="Calibri" w:hAnsi="Times New Roman" w:cs="Times New Roman"/>
          <w:b/>
          <w:sz w:val="24"/>
          <w:szCs w:val="24"/>
          <w:lang w:eastAsia="es-ES"/>
        </w:rPr>
      </w:pPr>
      <w:r w:rsidRPr="0012597A">
        <w:rPr>
          <w:rFonts w:ascii="Times New Roman" w:eastAsia="Calibri" w:hAnsi="Times New Roman" w:cs="Times New Roman"/>
          <w:b/>
          <w:sz w:val="24"/>
          <w:szCs w:val="24"/>
          <w:lang w:eastAsia="es-ES"/>
        </w:rPr>
        <w:t>LA CÁMARA DE DIPUTADOS DEL</w:t>
      </w:r>
    </w:p>
    <w:p w14:paraId="136DA2BB" w14:textId="77777777" w:rsidR="00B53F8D" w:rsidRPr="0012597A" w:rsidRDefault="00B53F8D" w:rsidP="00CB1E0A">
      <w:pPr>
        <w:spacing w:after="0" w:line="240" w:lineRule="auto"/>
        <w:jc w:val="both"/>
        <w:rPr>
          <w:rFonts w:ascii="Times New Roman" w:eastAsia="Calibri" w:hAnsi="Times New Roman" w:cs="Times New Roman"/>
          <w:b/>
          <w:sz w:val="24"/>
          <w:szCs w:val="24"/>
          <w:lang w:eastAsia="es-ES"/>
        </w:rPr>
      </w:pPr>
      <w:r w:rsidRPr="0012597A">
        <w:rPr>
          <w:rFonts w:ascii="Times New Roman" w:eastAsia="Calibri" w:hAnsi="Times New Roman" w:cs="Times New Roman"/>
          <w:b/>
          <w:sz w:val="24"/>
          <w:szCs w:val="24"/>
          <w:lang w:eastAsia="es-ES"/>
        </w:rPr>
        <w:t>H. CONGRESO DE LA UNIÓN</w:t>
      </w:r>
    </w:p>
    <w:p w14:paraId="7008AD68" w14:textId="77777777" w:rsidR="00B53F8D" w:rsidRPr="0012597A" w:rsidRDefault="00B53F8D" w:rsidP="00CB1E0A">
      <w:pPr>
        <w:spacing w:after="0" w:line="240" w:lineRule="auto"/>
        <w:jc w:val="both"/>
        <w:rPr>
          <w:rFonts w:ascii="Times New Roman" w:eastAsia="Calibri" w:hAnsi="Times New Roman" w:cs="Times New Roman"/>
          <w:b/>
          <w:sz w:val="24"/>
          <w:szCs w:val="24"/>
          <w:lang w:eastAsia="es-ES"/>
        </w:rPr>
      </w:pPr>
      <w:r w:rsidRPr="0012597A">
        <w:rPr>
          <w:rFonts w:ascii="Times New Roman" w:eastAsia="Calibri" w:hAnsi="Times New Roman" w:cs="Times New Roman"/>
          <w:b/>
          <w:sz w:val="24"/>
          <w:szCs w:val="24"/>
          <w:lang w:eastAsia="es-ES"/>
        </w:rPr>
        <w:t>DECRETA:</w:t>
      </w:r>
    </w:p>
    <w:p w14:paraId="17F167F1"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232D5774"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b/>
          <w:sz w:val="24"/>
          <w:szCs w:val="24"/>
          <w:lang w:val="es-ES"/>
        </w:rPr>
        <w:t xml:space="preserve">Único. </w:t>
      </w:r>
      <w:r w:rsidRPr="0012597A">
        <w:rPr>
          <w:rFonts w:ascii="Times New Roman" w:eastAsia="Arial MT" w:hAnsi="Times New Roman" w:cs="Times New Roman"/>
          <w:sz w:val="24"/>
          <w:szCs w:val="24"/>
          <w:lang w:val="es-ES"/>
        </w:rPr>
        <w:t>Se adiciona un párrafo cuarto al artículo 10 de la Ley de la Empresa Pública del Estado, Comisión Federal de Electricidad, para quedar como sigue:</w:t>
      </w:r>
    </w:p>
    <w:p w14:paraId="1D80BAE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E8E3D5A" w14:textId="77777777" w:rsidR="00B53F8D" w:rsidRPr="0012597A" w:rsidRDefault="00B53F8D" w:rsidP="00CB1E0A">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b/>
          <w:sz w:val="24"/>
          <w:szCs w:val="24"/>
        </w:rPr>
        <w:t xml:space="preserve">Artículo 10.- </w:t>
      </w:r>
      <w:r w:rsidRPr="0012597A">
        <w:rPr>
          <w:rFonts w:ascii="Times New Roman" w:eastAsia="Calibri" w:hAnsi="Times New Roman" w:cs="Times New Roman"/>
          <w:sz w:val="24"/>
          <w:szCs w:val="24"/>
        </w:rPr>
        <w:t>…</w:t>
      </w:r>
    </w:p>
    <w:p w14:paraId="61D489F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31BD0A9E" w14:textId="77777777" w:rsidR="00B53F8D" w:rsidRPr="0012597A" w:rsidRDefault="00B53F8D" w:rsidP="00CB1E0A">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w:t>
      </w:r>
    </w:p>
    <w:p w14:paraId="3C4D12FC"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3DE213D" w14:textId="77777777" w:rsidR="00B53F8D" w:rsidRPr="0012597A" w:rsidRDefault="00B53F8D" w:rsidP="00CB1E0A">
      <w:pPr>
        <w:spacing w:after="0" w:line="240" w:lineRule="auto"/>
        <w:jc w:val="both"/>
        <w:rPr>
          <w:rFonts w:ascii="Times New Roman" w:eastAsia="Calibri" w:hAnsi="Times New Roman" w:cs="Times New Roman"/>
          <w:sz w:val="24"/>
          <w:szCs w:val="24"/>
        </w:rPr>
      </w:pPr>
      <w:r w:rsidRPr="0012597A">
        <w:rPr>
          <w:rFonts w:ascii="Times New Roman" w:eastAsia="Calibri" w:hAnsi="Times New Roman" w:cs="Times New Roman"/>
          <w:sz w:val="24"/>
          <w:szCs w:val="24"/>
        </w:rPr>
        <w:t>(...)</w:t>
      </w:r>
    </w:p>
    <w:p w14:paraId="2BAE1D3E"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51A4A59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La Comisión Federal de Electricidad estará facultada para suscribir convenios de regularización de adeudos con los gobiernos estatales y municipales, así como con sus respectivas entidades públicas, con el propósito de asegurar la continuidad en la prestación de los servicios públicos. Asimismo, podrá establecer, mediante lineamientos internos, mecanismos para la condonación parcial o total de adeudos derivados del suministro de energía eléctrica a instituciones de educación pública o de salud, ya sean de carácter federal, estatal o municipal, o bien cuando dichos adeudos formen parte del pasivo histórico de los gobiernos estatales o municipales.</w:t>
      </w:r>
    </w:p>
    <w:p w14:paraId="3470A7E8" w14:textId="77777777" w:rsidR="00B53F8D" w:rsidRPr="0012597A" w:rsidRDefault="00B53F8D" w:rsidP="00CB1E0A">
      <w:pPr>
        <w:spacing w:after="0" w:line="240" w:lineRule="auto"/>
        <w:jc w:val="both"/>
        <w:rPr>
          <w:rFonts w:ascii="Times New Roman" w:eastAsia="Calibri" w:hAnsi="Times New Roman" w:cs="Times New Roman"/>
          <w:b/>
          <w:sz w:val="24"/>
          <w:szCs w:val="24"/>
        </w:rPr>
      </w:pPr>
    </w:p>
    <w:p w14:paraId="60E64F43"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TRANSITORIO</w:t>
      </w:r>
    </w:p>
    <w:p w14:paraId="7E7BB15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A4EC43F"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b/>
          <w:sz w:val="24"/>
          <w:szCs w:val="24"/>
          <w:lang w:val="es-ES"/>
        </w:rPr>
        <w:t xml:space="preserve">Único. </w:t>
      </w:r>
      <w:r w:rsidRPr="0012597A">
        <w:rPr>
          <w:rFonts w:ascii="Times New Roman" w:eastAsia="Arial MT" w:hAnsi="Times New Roman" w:cs="Times New Roman"/>
          <w:sz w:val="24"/>
          <w:szCs w:val="24"/>
          <w:lang w:val="es-ES"/>
        </w:rPr>
        <w:t>El presente decreto entrará en vigor al día siguiente de su publicación en el Diario Oficial de la Federación.</w:t>
      </w:r>
    </w:p>
    <w:p w14:paraId="6ACB91E8"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1EA95623"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color w:val="2F2F2F"/>
          <w:sz w:val="24"/>
          <w:szCs w:val="24"/>
          <w:shd w:val="clear" w:color="auto" w:fill="FFFFFF"/>
          <w:lang w:val="es-ES"/>
        </w:rPr>
      </w:pPr>
      <w:r w:rsidRPr="0012597A">
        <w:rPr>
          <w:rFonts w:ascii="Times New Roman" w:eastAsia="Arial MT" w:hAnsi="Times New Roman" w:cs="Times New Roman"/>
          <w:color w:val="2F2F2F"/>
          <w:sz w:val="24"/>
          <w:szCs w:val="24"/>
          <w:shd w:val="clear" w:color="auto" w:fill="FFFFFF"/>
          <w:lang w:val="es-ES"/>
        </w:rPr>
        <w:t xml:space="preserve">SALÓN DE SESIONES DE LA CÁMARA DE DIPUTADOS DEL HONORABLE CONGRESO DE LA UNIÓN.- Ciudad de México, a </w:t>
      </w:r>
      <w:r w:rsidRPr="0012597A">
        <w:rPr>
          <w:rFonts w:ascii="Times New Roman" w:eastAsia="Arial MT" w:hAnsi="Times New Roman" w:cs="Times New Roman"/>
          <w:color w:val="2F2F2F"/>
          <w:sz w:val="24"/>
          <w:szCs w:val="24"/>
          <w:shd w:val="clear" w:color="auto" w:fill="FFFFFF"/>
          <w:lang w:val="es-ES"/>
        </w:rPr>
        <w:tab/>
        <w:t xml:space="preserve">de </w:t>
      </w:r>
      <w:r w:rsidRPr="0012597A">
        <w:rPr>
          <w:rFonts w:ascii="Times New Roman" w:eastAsia="Arial MT" w:hAnsi="Times New Roman" w:cs="Times New Roman"/>
          <w:color w:val="2F2F2F"/>
          <w:sz w:val="24"/>
          <w:szCs w:val="24"/>
          <w:shd w:val="clear" w:color="auto" w:fill="FFFFFF"/>
          <w:lang w:val="es-ES"/>
        </w:rPr>
        <w:tab/>
        <w:t>de 2026.”</w:t>
      </w:r>
    </w:p>
    <w:p w14:paraId="615A431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5ECBF8E2" w14:textId="77777777" w:rsidR="00B53F8D" w:rsidRPr="0012597A" w:rsidRDefault="00B53F8D" w:rsidP="00CB1E0A">
      <w:pPr>
        <w:spacing w:after="0" w:line="240" w:lineRule="auto"/>
        <w:jc w:val="center"/>
        <w:rPr>
          <w:rFonts w:ascii="Times New Roman" w:eastAsia="Calibri" w:hAnsi="Times New Roman" w:cs="Times New Roman"/>
          <w:b/>
          <w:sz w:val="24"/>
          <w:szCs w:val="24"/>
        </w:rPr>
      </w:pPr>
    </w:p>
    <w:p w14:paraId="5217CCCB"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T R A N S I T O R I O S</w:t>
      </w:r>
    </w:p>
    <w:p w14:paraId="761867A7" w14:textId="77777777" w:rsidR="00B53F8D" w:rsidRPr="0012597A" w:rsidRDefault="00B53F8D" w:rsidP="00CB1E0A">
      <w:pPr>
        <w:widowControl w:val="0"/>
        <w:autoSpaceDE w:val="0"/>
        <w:autoSpaceDN w:val="0"/>
        <w:spacing w:after="0" w:line="240" w:lineRule="auto"/>
        <w:rPr>
          <w:rFonts w:ascii="Times New Roman" w:eastAsia="Arial MT" w:hAnsi="Times New Roman" w:cs="Times New Roman"/>
          <w:b/>
          <w:sz w:val="24"/>
          <w:szCs w:val="24"/>
          <w:lang w:val="es-ES"/>
        </w:rPr>
      </w:pPr>
    </w:p>
    <w:p w14:paraId="214D5EB1"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b/>
          <w:sz w:val="24"/>
          <w:szCs w:val="24"/>
          <w:lang w:val="es-ES"/>
        </w:rPr>
        <w:t xml:space="preserve">PRIMERO. </w:t>
      </w:r>
      <w:r w:rsidRPr="0012597A">
        <w:rPr>
          <w:rFonts w:ascii="Times New Roman" w:eastAsia="Arial MT" w:hAnsi="Times New Roman" w:cs="Times New Roman"/>
          <w:sz w:val="24"/>
          <w:szCs w:val="24"/>
          <w:lang w:val="es-ES"/>
        </w:rPr>
        <w:t>Publíquese la presente Iniciativa al Congreso de la Unión en el Periódico Oficial “Gaceta del Gobierno”.</w:t>
      </w:r>
    </w:p>
    <w:p w14:paraId="30366ADE" w14:textId="77777777" w:rsidR="00B53F8D" w:rsidRPr="0012597A" w:rsidRDefault="00B53F8D" w:rsidP="00CB1E0A">
      <w:pPr>
        <w:widowControl w:val="0"/>
        <w:autoSpaceDE w:val="0"/>
        <w:autoSpaceDN w:val="0"/>
        <w:spacing w:after="0" w:line="240" w:lineRule="auto"/>
        <w:rPr>
          <w:rFonts w:ascii="Times New Roman" w:eastAsia="Arial MT" w:hAnsi="Times New Roman" w:cs="Times New Roman"/>
          <w:sz w:val="24"/>
          <w:szCs w:val="24"/>
          <w:lang w:val="es-ES"/>
        </w:rPr>
      </w:pPr>
    </w:p>
    <w:p w14:paraId="32AE93D3" w14:textId="77777777" w:rsidR="00B53F8D" w:rsidRPr="0012597A" w:rsidRDefault="00B53F8D" w:rsidP="0012453E">
      <w:pPr>
        <w:numPr>
          <w:ilvl w:val="0"/>
          <w:numId w:val="48"/>
        </w:numPr>
        <w:autoSpaceDE w:val="0"/>
        <w:autoSpaceDN w:val="0"/>
        <w:adjustRightInd w:val="0"/>
        <w:spacing w:after="0" w:line="240" w:lineRule="auto"/>
        <w:ind w:left="0" w:firstLine="0"/>
        <w:rPr>
          <w:rFonts w:ascii="Times New Roman" w:eastAsia="Calibri" w:hAnsi="Times New Roman" w:cs="Times New Roman"/>
          <w:color w:val="000000"/>
          <w:sz w:val="24"/>
          <w:szCs w:val="24"/>
        </w:rPr>
      </w:pPr>
      <w:r w:rsidRPr="0012597A">
        <w:rPr>
          <w:rFonts w:ascii="Times New Roman" w:eastAsia="Calibri" w:hAnsi="Times New Roman" w:cs="Times New Roman"/>
          <w:b/>
          <w:bCs/>
          <w:color w:val="000000"/>
          <w:sz w:val="24"/>
          <w:szCs w:val="24"/>
        </w:rPr>
        <w:t xml:space="preserve">SEGUNDO.- </w:t>
      </w:r>
      <w:r w:rsidRPr="0012597A">
        <w:rPr>
          <w:rFonts w:ascii="Times New Roman" w:eastAsia="Calibri" w:hAnsi="Times New Roman" w:cs="Times New Roman"/>
          <w:color w:val="000000"/>
          <w:sz w:val="24"/>
          <w:szCs w:val="24"/>
        </w:rPr>
        <w:t xml:space="preserve">Remítase a la Cámara de Diputados del Congreso de la Unión. </w:t>
      </w:r>
    </w:p>
    <w:p w14:paraId="6E69E2F0"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6F33F07E"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r w:rsidRPr="0012597A">
        <w:rPr>
          <w:rFonts w:ascii="Times New Roman" w:eastAsia="Arial MT" w:hAnsi="Times New Roman" w:cs="Times New Roman"/>
          <w:sz w:val="24"/>
          <w:szCs w:val="24"/>
          <w:lang w:val="es-ES"/>
        </w:rPr>
        <w:t xml:space="preserve">Dado en el Palacio del Poder Legislativo, en la ciudad de Toluca de Lerdo, Capital del Estado de México, a los dieciocho días del mes de marzo del dos mil veintiséis. </w:t>
      </w:r>
    </w:p>
    <w:p w14:paraId="69697276" w14:textId="77777777" w:rsidR="00B53F8D" w:rsidRPr="0012597A" w:rsidRDefault="00B53F8D" w:rsidP="00CB1E0A">
      <w:pPr>
        <w:spacing w:after="0" w:line="240" w:lineRule="auto"/>
        <w:jc w:val="center"/>
        <w:rPr>
          <w:rFonts w:ascii="Times New Roman" w:eastAsia="Calibri" w:hAnsi="Times New Roman" w:cs="Times New Roman"/>
          <w:b/>
          <w:sz w:val="24"/>
          <w:szCs w:val="24"/>
        </w:rPr>
      </w:pPr>
    </w:p>
    <w:p w14:paraId="0D59096A"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PRESIDENTA</w:t>
      </w:r>
    </w:p>
    <w:p w14:paraId="2800C339"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 MARTHA AZUCENA CAMACHO REYNOSO</w:t>
      </w:r>
    </w:p>
    <w:p w14:paraId="142F9CF5" w14:textId="77777777" w:rsidR="00B53F8D" w:rsidRPr="0012597A" w:rsidRDefault="00B53F8D" w:rsidP="00CB1E0A">
      <w:pPr>
        <w:spacing w:after="0" w:line="240" w:lineRule="auto"/>
        <w:jc w:val="center"/>
        <w:rPr>
          <w:rFonts w:ascii="Times New Roman" w:eastAsia="Calibri" w:hAnsi="Times New Roman" w:cs="Times New Roman"/>
          <w:b/>
          <w:sz w:val="24"/>
          <w:szCs w:val="24"/>
        </w:rPr>
      </w:pPr>
    </w:p>
    <w:p w14:paraId="01A51D01"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SECRETARIO</w:t>
      </w:r>
    </w:p>
    <w:p w14:paraId="25241F02"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 EDMUNDO LUIS VALDEÑA BASTIDA</w:t>
      </w:r>
    </w:p>
    <w:p w14:paraId="575F7643" w14:textId="77777777" w:rsidR="00B53F8D" w:rsidRPr="0012597A" w:rsidRDefault="00B53F8D" w:rsidP="00CB1E0A">
      <w:pPr>
        <w:spacing w:after="0" w:line="240" w:lineRule="auto"/>
        <w:jc w:val="center"/>
        <w:rPr>
          <w:rFonts w:ascii="Times New Roman" w:eastAsia="Calibri" w:hAnsi="Times New Roman" w:cs="Times New Roman"/>
          <w:b/>
          <w:sz w:val="24"/>
          <w:szCs w:val="24"/>
        </w:rPr>
      </w:pPr>
    </w:p>
    <w:p w14:paraId="0448C4E1"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705"/>
        <w:gridCol w:w="4700"/>
      </w:tblGrid>
      <w:tr w:rsidR="00B53F8D" w:rsidRPr="0012597A" w14:paraId="56A0749F" w14:textId="77777777" w:rsidTr="00883467">
        <w:tc>
          <w:tcPr>
            <w:tcW w:w="4705" w:type="dxa"/>
            <w:shd w:val="clear" w:color="auto" w:fill="auto"/>
          </w:tcPr>
          <w:p w14:paraId="093D541E"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DIP. KRISHNA KARINA</w:t>
            </w:r>
          </w:p>
          <w:p w14:paraId="10D0B481"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 ROMERO VELÁZQUEZ </w:t>
            </w:r>
          </w:p>
        </w:tc>
        <w:tc>
          <w:tcPr>
            <w:tcW w:w="4700" w:type="dxa"/>
            <w:shd w:val="clear" w:color="auto" w:fill="auto"/>
          </w:tcPr>
          <w:p w14:paraId="31A98148"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DIP. MARICELA </w:t>
            </w:r>
          </w:p>
          <w:p w14:paraId="4ED18321" w14:textId="77777777" w:rsidR="00B53F8D" w:rsidRPr="0012597A" w:rsidRDefault="00B53F8D" w:rsidP="00CB1E0A">
            <w:pPr>
              <w:spacing w:after="0" w:line="240" w:lineRule="auto"/>
              <w:jc w:val="center"/>
              <w:rPr>
                <w:rFonts w:ascii="Times New Roman" w:eastAsia="Calibri" w:hAnsi="Times New Roman" w:cs="Times New Roman"/>
                <w:b/>
                <w:sz w:val="24"/>
                <w:szCs w:val="24"/>
              </w:rPr>
            </w:pPr>
            <w:r w:rsidRPr="0012597A">
              <w:rPr>
                <w:rFonts w:ascii="Times New Roman" w:eastAsia="Calibri" w:hAnsi="Times New Roman" w:cs="Times New Roman"/>
                <w:b/>
                <w:sz w:val="24"/>
                <w:szCs w:val="24"/>
              </w:rPr>
              <w:t xml:space="preserve">BELTRÁN SÁNCHEZ </w:t>
            </w:r>
          </w:p>
        </w:tc>
      </w:tr>
    </w:tbl>
    <w:p w14:paraId="64A6E202" w14:textId="77777777" w:rsidR="00B53F8D" w:rsidRPr="0012597A" w:rsidRDefault="00B53F8D" w:rsidP="00CB1E0A">
      <w:pPr>
        <w:widowControl w:val="0"/>
        <w:autoSpaceDE w:val="0"/>
        <w:autoSpaceDN w:val="0"/>
        <w:spacing w:after="0" w:line="240" w:lineRule="auto"/>
        <w:jc w:val="both"/>
        <w:rPr>
          <w:rFonts w:ascii="Times New Roman" w:eastAsia="Arial MT" w:hAnsi="Times New Roman" w:cs="Times New Roman"/>
          <w:sz w:val="24"/>
          <w:szCs w:val="24"/>
          <w:lang w:val="es-ES"/>
        </w:rPr>
      </w:pPr>
    </w:p>
    <w:p w14:paraId="7EEB7900" w14:textId="77777777" w:rsidR="00E45EB9" w:rsidRPr="0012597A" w:rsidRDefault="00E45EB9" w:rsidP="00116883">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2A8DDFB3" w14:textId="77777777" w:rsidR="00E45EB9" w:rsidRPr="0012597A" w:rsidRDefault="00E45EB9" w:rsidP="00116883">
      <w:pPr>
        <w:spacing w:after="0" w:line="240" w:lineRule="auto"/>
        <w:jc w:val="center"/>
        <w:rPr>
          <w:rFonts w:ascii="Times New Roman" w:hAnsi="Times New Roman"/>
          <w:sz w:val="24"/>
          <w:szCs w:val="24"/>
        </w:rPr>
      </w:pPr>
    </w:p>
    <w:p w14:paraId="587DF17B" w14:textId="0BD1EA38"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Diputado Valentín Martínez Castillo.</w:t>
      </w:r>
    </w:p>
    <w:p w14:paraId="72A5E435" w14:textId="37197DAB"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DIP. ITZEL </w:t>
      </w:r>
      <w:r w:rsidR="00C7605A" w:rsidRPr="0012597A">
        <w:rPr>
          <w:rFonts w:ascii="Times New Roman" w:hAnsi="Times New Roman" w:cs="Times New Roman"/>
          <w:sz w:val="24"/>
          <w:szCs w:val="24"/>
        </w:rPr>
        <w:t xml:space="preserve">GUADALPE PEREZ CORREA </w:t>
      </w:r>
      <w:r w:rsidRPr="0012597A">
        <w:rPr>
          <w:rFonts w:ascii="Times New Roman" w:hAnsi="Times New Roman" w:cs="Times New Roman"/>
          <w:sz w:val="24"/>
          <w:szCs w:val="24"/>
        </w:rPr>
        <w:t>(Desde su curul). Presidenta ¿Me permite el uso de la voz por hechos, por favor.</w:t>
      </w:r>
    </w:p>
    <w:p w14:paraId="6130AE01" w14:textId="67F6E2CF"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Adelante.</w:t>
      </w:r>
    </w:p>
    <w:p w14:paraId="239033CF" w14:textId="2D6281C7" w:rsidR="00BD1949" w:rsidRPr="0012597A" w:rsidRDefault="00E9427A"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ITZEL GUADALPE PEREZ CORREA (Desde su curul).</w:t>
      </w:r>
      <w:r w:rsidR="00BD1949" w:rsidRPr="0012597A">
        <w:rPr>
          <w:rFonts w:ascii="Times New Roman" w:hAnsi="Times New Roman" w:cs="Times New Roman"/>
          <w:sz w:val="24"/>
          <w:szCs w:val="24"/>
        </w:rPr>
        <w:t xml:space="preserve"> Felicitarle Diputado Valentín, por esta iniciativa que está presentando, toda vez que, como ya lo dice usted, hay un pasivo histórico que bueno, pues se ha visto en la región no más lejano, en el municipio de Ozumba, en donde se deben alrededor de 33 millones de pesos, de los cuales 20, pues se atribuyen a su periodo. </w:t>
      </w:r>
      <w:r w:rsidR="00BD1949" w:rsidRPr="0012597A">
        <w:rPr>
          <w:rFonts w:ascii="Times New Roman" w:hAnsi="Times New Roman" w:cs="Times New Roman"/>
          <w:sz w:val="24"/>
          <w:szCs w:val="24"/>
        </w:rPr>
        <w:tab/>
        <w:t>Muchas felicidades.</w:t>
      </w:r>
    </w:p>
    <w:p w14:paraId="6E203EB3"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Porque sí, efectivamente, las ciudadanas, los mexiquenses le vamos a agradecer mucho que, pues ahora sí se puede invertir en agua, en servicios públicos, en seguridad pública, aunque pues en su periodo no se hizo de ninguna, en ninguna de las dos vertientes. Es cuanto Presidenta.</w:t>
      </w:r>
    </w:p>
    <w:p w14:paraId="66124333"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Muchas gracias.</w:t>
      </w:r>
    </w:p>
    <w:p w14:paraId="65A8E433"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Leído el dictamen con sus antecedentes, pido a quienes estén por su turno a discusión, se sirve a levantar la mano. </w:t>
      </w:r>
    </w:p>
    <w:p w14:paraId="1B476F37"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SECRETARIA DIP. KRISHNA ROMERO VELÁZQUEZ. La propuesta ha sido aprobada por unanimidad de votos. </w:t>
      </w:r>
    </w:p>
    <w:p w14:paraId="1E826008"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Gracias, Secretaria. </w:t>
      </w:r>
      <w:r w:rsidRPr="0012597A">
        <w:rPr>
          <w:rFonts w:ascii="Times New Roman" w:hAnsi="Times New Roman" w:cs="Times New Roman"/>
          <w:sz w:val="24"/>
          <w:szCs w:val="24"/>
        </w:rPr>
        <w:tab/>
        <w:t>Abro la discusión en lo general y pregunto a las y los diputados si desean hacer uso de la palabra.</w:t>
      </w:r>
    </w:p>
    <w:p w14:paraId="0AAADE96"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Para recabar la votación en lo general, pido a la Secretaría abra el sistema de votación hasta por dos minutos, si alguien desea separar algún artículo en lo particular, sírvase comunicarlo. </w:t>
      </w:r>
    </w:p>
    <w:p w14:paraId="5829E580"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SECRETARIA DIP. KRISHNA ROMERO VELÁZQUEZ. Ábrase el sistema de votación hasta por dos minutos. </w:t>
      </w:r>
    </w:p>
    <w:p w14:paraId="5A564481" w14:textId="77777777" w:rsidR="00BD1949" w:rsidRPr="0012597A" w:rsidRDefault="00BD1949"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3A8EDD02" w14:textId="77777777" w:rsidR="00BD1949" w:rsidRPr="0012597A" w:rsidRDefault="00D9083E"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SECRETARIA DIP. KRISHNA ROMERO VELÁZQUEZ. ¿</w:t>
      </w:r>
      <w:r w:rsidR="00BD1949" w:rsidRPr="0012597A">
        <w:rPr>
          <w:rFonts w:ascii="Times New Roman" w:hAnsi="Times New Roman" w:cs="Times New Roman"/>
          <w:sz w:val="24"/>
          <w:szCs w:val="24"/>
        </w:rPr>
        <w:t>Falta alguien por emitir su voto</w:t>
      </w:r>
      <w:r w:rsidRPr="0012597A">
        <w:rPr>
          <w:rFonts w:ascii="Times New Roman" w:hAnsi="Times New Roman" w:cs="Times New Roman"/>
          <w:sz w:val="24"/>
          <w:szCs w:val="24"/>
        </w:rPr>
        <w:t>?</w:t>
      </w:r>
      <w:r w:rsidR="00BD1949" w:rsidRPr="0012597A">
        <w:rPr>
          <w:rFonts w:ascii="Times New Roman" w:hAnsi="Times New Roman" w:cs="Times New Roman"/>
          <w:sz w:val="24"/>
          <w:szCs w:val="24"/>
        </w:rPr>
        <w:t xml:space="preserve"> Presidenta, le informo que el dictamen y el proyecto de decreto han sido aprobados en lo general por unanimidad de votos. </w:t>
      </w:r>
    </w:p>
    <w:p w14:paraId="15C16EE5" w14:textId="77777777" w:rsidR="00BD1949" w:rsidRPr="0012597A" w:rsidRDefault="00BD1949"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 xml:space="preserve">PRESIDENTA DIP. MARTHA AZUCENA CAMACHO REYNOSO. Gracias, Secretaria. </w:t>
      </w:r>
      <w:r w:rsidRPr="0012597A">
        <w:rPr>
          <w:rFonts w:ascii="Times New Roman" w:hAnsi="Times New Roman" w:cs="Times New Roman"/>
          <w:sz w:val="24"/>
          <w:szCs w:val="24"/>
        </w:rPr>
        <w:tab/>
        <w:t xml:space="preserve">Se tiene por aprobado en lo general el dictamen y el Proyecto de Decreto, se declara también su aprobación en lo particular. </w:t>
      </w:r>
    </w:p>
    <w:p w14:paraId="635042B3" w14:textId="34368810"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00B050"/>
          <w:sz w:val="24"/>
          <w:szCs w:val="24"/>
        </w:rPr>
        <w:tab/>
      </w:r>
      <w:r w:rsidRPr="0012597A">
        <w:rPr>
          <w:rFonts w:ascii="Times New Roman" w:hAnsi="Times New Roman" w:cs="Times New Roman"/>
          <w:color w:val="FF0000"/>
          <w:sz w:val="24"/>
          <w:szCs w:val="24"/>
        </w:rPr>
        <w:t xml:space="preserve">En cuanto al punto número 6, el diputado Secretario Edmundo Luis Valdeña Bastida leerá la Iniciativa de Decreto por el que se reforman y derogan diversas disposiciones de la Ley de Justicia Cívica del Estado de México y sus municipios en materia de Registro Municipal de Infracciones, presentada por la Titular del Ejecutivo Estatal. </w:t>
      </w:r>
    </w:p>
    <w:p w14:paraId="191BADD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SECRETARIO DIP. EDMUNDO LUIS VALDEÑA BASTIDA. Gracias Presidenta.</w:t>
      </w:r>
    </w:p>
    <w:p w14:paraId="55E8B84B"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Con permiso de la Mesa. </w:t>
      </w:r>
    </w:p>
    <w:p w14:paraId="5BF2EF02" w14:textId="77777777" w:rsidR="00791E2D" w:rsidRPr="0012597A" w:rsidRDefault="00791E2D" w:rsidP="00EF1C7F">
      <w:pPr>
        <w:pStyle w:val="Sinespaciado"/>
        <w:jc w:val="right"/>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Toluca de Lerdo, México, a 9 de febrero de 2026. </w:t>
      </w:r>
    </w:p>
    <w:p w14:paraId="11C810CC"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DIPUTADA </w:t>
      </w:r>
    </w:p>
    <w:p w14:paraId="43391942"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MARTHA AZUCENA CAMACHO REYNOSO</w:t>
      </w:r>
    </w:p>
    <w:p w14:paraId="008AC6D5"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PRESIDENTA DE LA MESA DIRECTIVA DE LA HONORABLE </w:t>
      </w:r>
    </w:p>
    <w:p w14:paraId="66FA824A"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“LXII” LEGISLATURA DEL ESTADO DE MÉXICO</w:t>
      </w:r>
    </w:p>
    <w:p w14:paraId="33653178"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PRESENTE. </w:t>
      </w:r>
    </w:p>
    <w:p w14:paraId="4C278CB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00B050"/>
          <w:sz w:val="24"/>
          <w:szCs w:val="24"/>
        </w:rPr>
        <w:tab/>
      </w:r>
      <w:r w:rsidRPr="0012597A">
        <w:rPr>
          <w:rFonts w:ascii="Times New Roman" w:hAnsi="Times New Roman" w:cs="Times New Roman"/>
          <w:color w:val="FF0000"/>
          <w:sz w:val="24"/>
          <w:szCs w:val="24"/>
        </w:rPr>
        <w:t>Delfina Gómez Álvarez, Gobernadora Constitucional del Estado Libre y Soberano de México, en el ejercicio de la facultad que me confieren los artículos 51 fracción I y 77 fracción V de la Constitución Política del Estado Libre y Soberano de México, y con fundamento en el numeral 56 del mismo ordenamiento, se somete a la consideración de esta Honorable Legislatura, por el digno conducto de usted, la presente Iniciativa de Decreto por el que se reforman y derogan diversas disposiciones de la Ley de Justicia Cívica del Estado de México y sus Municipios, con sustento en la siguiente:</w:t>
      </w:r>
    </w:p>
    <w:p w14:paraId="244DB381" w14:textId="77777777" w:rsidR="00791E2D" w:rsidRPr="0012597A" w:rsidRDefault="00791E2D" w:rsidP="00EF1C7F">
      <w:pPr>
        <w:pStyle w:val="Sinespaciado"/>
        <w:jc w:val="center"/>
        <w:rPr>
          <w:rFonts w:ascii="Times New Roman" w:hAnsi="Times New Roman" w:cs="Times New Roman"/>
          <w:color w:val="FF0000"/>
          <w:sz w:val="24"/>
          <w:szCs w:val="24"/>
        </w:rPr>
      </w:pPr>
      <w:r w:rsidRPr="0012597A">
        <w:rPr>
          <w:rFonts w:ascii="Times New Roman" w:hAnsi="Times New Roman" w:cs="Times New Roman"/>
          <w:color w:val="FF0000"/>
          <w:sz w:val="24"/>
          <w:szCs w:val="24"/>
        </w:rPr>
        <w:t>EXPOSICIÓN DE MOTIVOS</w:t>
      </w:r>
    </w:p>
    <w:p w14:paraId="53EC14BC"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La Comisión Nacional de Derechos Humanos promovió en fecha 5 de diciembre de 2023 la Acción de Inconstitucionalidad 228/2023, resuelta por el Pleno de la Suprema Corte de Justicia de la Nación, en sesión pública del día 20 de octubre de 2025, en la que determinó la invalidez de los artículos 62, fracción VIII, 74, 75, 76 y 77 de la Ley de Justicia Cívica del Estado de México y Sus Municipios, al tenor de lo siguiente:</w:t>
      </w:r>
    </w:p>
    <w:p w14:paraId="22E444F8"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Invalidez de infracciones que causan inseguridad jurídica. Se declaró, por unanimidad de votos la inconstitucional del artículo 62, fracción VIII de la Ley impugnada. </w:t>
      </w:r>
    </w:p>
    <w:p w14:paraId="2A369B50"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Artículo 62. Son infracciones que atentan contra la integridad y dignidad de las personas o de las familias:</w:t>
      </w:r>
    </w:p>
    <w:p w14:paraId="0BF10EE7"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w:t>
      </w:r>
    </w:p>
    <w:p w14:paraId="39D5684B"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VIII. Faltar al respeto al público que asiste a eventos o espectáculos, con agresiones verbales, por parte de las personas propietarias del establecimiento, de las personas organizadoras, de las personas trabajadoras, artistas o deportistas o de las propias personas asistentes. </w:t>
      </w:r>
    </w:p>
    <w:p w14:paraId="4B0EDDD0"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Lo anterior, por transgredir el derecho de seguridad jurídica y el principio de legalidad en su vertiente de taxatividad, considerado que, la expresión “faltar al respeto” y “agresiones verbales” son ambiguas, resulta en un amplio margen de apreciación para que la autoridad determine, de manera discrecional, qué tipo de falta de respeto o agresión verbal encuadraría en el supuesto para que el presunto infractor sea acreedor a una sanción, lo que genera incertidumbre en los gobernados.</w:t>
      </w:r>
    </w:p>
    <w:p w14:paraId="146042DE"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Invalidez de las normas que prevén establecer un Registro Municipal de Personas Infractoras en materia de justicia cívica. Se declaró por mayoría de 6 votos, con votos en contra de los ministros Giovanni Azael Figueroa Mejía y Arístides Rodrigo Guerrero García, en los artículos 74, 75, 76 y 77 de la ley impugnada.</w:t>
      </w:r>
    </w:p>
    <w:p w14:paraId="4BF1EB01"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Los artículos se declararon inconstitucionales al señalar que el Congreso del Estado de México no contaba con la facultad para establecer un registro para llevar un control de las detenciones por la Comisión de Infractores en materia de justicia cívica; ya que es facultad </w:t>
      </w:r>
      <w:r w:rsidRPr="0012597A">
        <w:rPr>
          <w:rFonts w:ascii="Times New Roman" w:hAnsi="Times New Roman" w:cs="Times New Roman"/>
          <w:color w:val="FF0000"/>
          <w:sz w:val="24"/>
          <w:szCs w:val="24"/>
        </w:rPr>
        <w:lastRenderedPageBreak/>
        <w:t xml:space="preserve">exclusiva del Congreso de la Unión en términos de lo dispuesto en el artículo 73, fracción XXIII, de la Constitución Federal, a través de la Ley Nacional de Registro de Detenciones. </w:t>
      </w:r>
    </w:p>
    <w:p w14:paraId="1AD1739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Precisando lo anterior, es atinadamente mencionar que la Constitución Política de los Estados Unidos Mexicanos prevé en su artículo 21 la atribución de las autoridades administrativas respecto a la aplicación de sanciones por infracciones a los reglamentos gubernativos y de policía, mismas que forman parte de la seguridad pública, mientras que en el artículo 61, fracción XXVII, norma la facultad de la Legislatura local para legislar en materia municipal, así como en el artículo 115 fracción II, se establece la potestad de los municipios para emitir los instrumentos normativos Bandos de Policía y de Gobierno reglamentados, circulares y disposiciones administrativas de observancia general dentro de sus respectivas jurisdicciones, que regulen, entre otros, las materias y servicios públicos de su competencia. </w:t>
      </w:r>
    </w:p>
    <w:p w14:paraId="704BFC62"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De igual forma, el propio artículo 115, fracción III se dispone la atribución de los municipios para la prestación de servicios de seguridad pública.</w:t>
      </w:r>
    </w:p>
    <w:p w14:paraId="2E1E32F7"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De conformidad con lo previsto en el artículo 122 de la Constitución Política del Estado Libre y Soberano de México, para el ejercido de las facultades de los municipios contenidas en la Constitución General de la República y de la propia Constitución Estatal, se requiere la coordinación con el Gobierno del Estado, de acuerdo con los planes y programas federales, estatales, regionales y metropolitanos.</w:t>
      </w:r>
    </w:p>
    <w:p w14:paraId="5795EED8"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En ese sentido, el Plan de Desarrollo del Estado de México 2023-2029 prevé el Eje Transversal “2. Construcción de la paz y seguridad”, en cuyo objetivo "T 2.1 Identificar los factores generadores de la violencia y reparar el tejido social de forma transversal y coordinada”, destacando la estrategia “T 2.1.2 Resolver problemas de la comunidad por medio de la justicia cívica; así como coadyuvar en el acceso a la justicia de las víctimas del delito y violencia de género" y la línea de acción "T 2.1.2.1 Promover la resolución oportuna de las infracciones administrativas y conflictos comunitarios a través de la justicia cívica”.</w:t>
      </w:r>
    </w:p>
    <w:p w14:paraId="2DF8A864"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 efecto de que los municipios cumplan con sus obligaciones constitucionales, es de trascendental importancia que cuentan con un marco normativo sólido y que en pleno respeto a los derechos humanos regule las atribuciones municipales en materia de seguridad pública, en lo que nos atañe, respecto a las infracciones administrativas; así como en mecanismo para su control y seguimiento, que indican en la seguridad de las personas y sus bienes, al concentrar información de utilidad para la prevención de los delitos y faltas administrativas y contribuya a que se mantenga el orden público y la paz social a través del cumplimiento de la normatividad aplicable; ello permitirá generar condiciones para una convivencia armónica y el fortalecimiento de los lazos comunitarios.</w:t>
      </w:r>
    </w:p>
    <w:p w14:paraId="3760C897"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Es oportuno señalar que, el Congreso de la Unión, en ejercicio de la facultad exclusiva para la emisión de la Ley Nacional del Registro de Detenciones, reguló la integración y funcionamiento del Registro Nacional de Detenciones y estableció los procedimientos para garantizar el control y seguimiento de las detenciones de personas por autoridades integrantes de las instituciones de seguridad pública, tanto en supuestos relacionados con la comisión, investigación o sanción de los delitos por arresto administrativo, es decir con motivo de una infracción administrativa.</w:t>
      </w:r>
    </w:p>
    <w:p w14:paraId="16FC0E8B"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Sin embargo, de no contar los municipios con herramientas necesarias para la seguridad pública, como lo es un registro de infracciones, se dificultará la aplicación de la normatividad, lo que incidirá negativamente en la percepción de inseguridad en la población, que a su vez genera falta de cohesión social, gentrificación y aumento de las brechas sociales, problemas que dificultan el bienestar social.</w:t>
      </w:r>
    </w:p>
    <w:p w14:paraId="5EC69B1F"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En este contexto y a efecto de garantizar la protección de los derechos de las personas, cobra especial relevancia el principio de seguridad Jurídica, en su vertiente de legalidad, que se encuentra previsto en los artículos 14 y 16 de la Constitución Política dé los Estados Unidos Mexicanos, que </w:t>
      </w:r>
      <w:r w:rsidRPr="0012597A">
        <w:rPr>
          <w:rFonts w:ascii="Times New Roman" w:hAnsi="Times New Roman" w:cs="Times New Roman"/>
          <w:color w:val="FF0000"/>
          <w:sz w:val="24"/>
          <w:szCs w:val="24"/>
        </w:rPr>
        <w:lastRenderedPageBreak/>
        <w:t>tiene por objetivo imponer límites a las autoridades y de este modo evitar abusos en el ejercicio de los poderes públicos de todos los niveles, por lo que, en lo que nos atañe, exige:</w:t>
      </w:r>
    </w:p>
    <w:p w14:paraId="0439F00C"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 El cumplimiento al principio de taxatividad, que implica que la ley defina las conductas sancionables, de manera clara, precisa, sin ambigüedades que den lugar a interpretaciones discrecionales; al respecto, cabe precisar que, si bien este principio tiene su origen en materia</w:t>
      </w:r>
    </w:p>
    <w:p w14:paraId="3DBAB288"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penal, es aplicable al derecho administrativo sancionador.</w:t>
      </w:r>
    </w:p>
    <w:p w14:paraId="3E5FF1C2"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b) Que las autoridades sólo realicen aquello para lo que estén expresamente facultadas, con lo que se asegura que el ejercido de la autoridad se basa en la ley y no en la voluntad de quienes ejercen el servicio público.</w:t>
      </w:r>
    </w:p>
    <w:p w14:paraId="01CA7DF7"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c) La obligación de fundar y motivar los actos de autoridad, la primera implica expresar con precisión los preceptos legales aplicables al caso concreto y la segunda, señalar las circunstancias, razones particulares o causas inmediatas que se hayan tenido en consideración para la emisión del acto; además de la subsunción de los motivos y las normas invocadas para la aplicación de las consecuencias jurídicas.</w:t>
      </w:r>
    </w:p>
    <w:p w14:paraId="504F2214"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Por lo anterior y a efecto de evitar vulnerabilidad a los derechos humanos y dotar a las autoridades municipales de un instrumento que contribuya al cumplimiento de los fines de seguridad pública, se ha fundamentado, sea fuente de información estadística que permita el diseño e implementación de políticas públicas en la materia, sin que en ello implique invasión de competencias ni duplicidad de figuras y se propone una armonización legislativa de la Ley de Justicia Cívica con 2 ejes claros.</w:t>
      </w:r>
    </w:p>
    <w:p w14:paraId="06DB3FB3"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1. Asegurar el cumplimiento de la taxatividad de modo que la descripción típica no sea vaga, imprecisa, abierta y excesivamente amplia al punto de permitir las arbitrariedades.</w:t>
      </w:r>
    </w:p>
    <w:p w14:paraId="242765C2"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2. Reconfigurar el tratamiento del registro de las infracciones conforme al marco nacional aplicable, conservando un registro para las infracciones que sean exclusivamente un instrumento de administración, vinculando a resoluciones firmes en materia de justicia cívica y eliminar las referencias expresas de las detenciones en virtud de que éstas deben registrarse íntegramente por la Ley Nacional de Registro de Detenciones.</w:t>
      </w:r>
    </w:p>
    <w:p w14:paraId="16779201"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mérito de lo expuesto, se somete a la consideración de esta Honorable Legislatura la presente iniciativa.</w:t>
      </w:r>
    </w:p>
    <w:p w14:paraId="0428F1A1"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Reitero a usted, la seguridad de mi atenta y distinguida consideración.</w:t>
      </w:r>
    </w:p>
    <w:p w14:paraId="31CA68FC"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Palacio del Poder Ejecutivo, en la ciudad de Toluca, capital del Estado de México, a los nueve días del mes de febrero del año dos mil veintiséis.</w:t>
      </w:r>
    </w:p>
    <w:p w14:paraId="3D2A4791"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La Gobernadora Constitucional del Estado de México, Maestra Delfina Gómez Álvarez.</w:t>
      </w:r>
    </w:p>
    <w:p w14:paraId="1A084C1C"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Es </w:t>
      </w:r>
      <w:proofErr w:type="spellStart"/>
      <w:r w:rsidRPr="0012597A">
        <w:rPr>
          <w:rFonts w:ascii="Times New Roman" w:hAnsi="Times New Roman" w:cs="Times New Roman"/>
          <w:color w:val="FF0000"/>
          <w:sz w:val="24"/>
          <w:szCs w:val="24"/>
        </w:rPr>
        <w:t>cuanto</w:t>
      </w:r>
      <w:proofErr w:type="spellEnd"/>
      <w:r w:rsidRPr="0012597A">
        <w:rPr>
          <w:rFonts w:ascii="Times New Roman" w:hAnsi="Times New Roman" w:cs="Times New Roman"/>
          <w:color w:val="FF0000"/>
          <w:sz w:val="24"/>
          <w:szCs w:val="24"/>
        </w:rPr>
        <w:t>.</w:t>
      </w:r>
    </w:p>
    <w:p w14:paraId="396A442F" w14:textId="77777777" w:rsidR="00250B5E" w:rsidRPr="0012597A" w:rsidRDefault="00250B5E" w:rsidP="00EF1C7F">
      <w:pPr>
        <w:pStyle w:val="Sinespaciado"/>
        <w:jc w:val="both"/>
        <w:rPr>
          <w:rFonts w:ascii="Times New Roman" w:hAnsi="Times New Roman" w:cs="Times New Roman"/>
          <w:sz w:val="24"/>
          <w:szCs w:val="24"/>
        </w:rPr>
      </w:pPr>
    </w:p>
    <w:p w14:paraId="3CC692C5" w14:textId="77777777" w:rsidR="00250B5E" w:rsidRPr="0012597A" w:rsidRDefault="00250B5E"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28F96549" w14:textId="77777777" w:rsidR="00250B5E" w:rsidRPr="0012597A" w:rsidRDefault="00250B5E" w:rsidP="00EF1C7F">
      <w:pPr>
        <w:spacing w:after="0" w:line="240" w:lineRule="auto"/>
        <w:jc w:val="center"/>
        <w:rPr>
          <w:rFonts w:ascii="Times New Roman" w:hAnsi="Times New Roman"/>
          <w:sz w:val="24"/>
          <w:szCs w:val="24"/>
        </w:rPr>
      </w:pPr>
    </w:p>
    <w:p w14:paraId="6267FEC3" w14:textId="77777777" w:rsidR="00250B5E" w:rsidRPr="0012597A" w:rsidRDefault="00250B5E" w:rsidP="00EF1C7F">
      <w:pPr>
        <w:spacing w:after="0" w:line="240" w:lineRule="auto"/>
        <w:jc w:val="center"/>
        <w:rPr>
          <w:rFonts w:ascii="Times New Roman" w:eastAsia="Arial" w:hAnsi="Times New Roman" w:cs="Times New Roman"/>
          <w:b/>
          <w:sz w:val="24"/>
          <w:szCs w:val="24"/>
        </w:rPr>
      </w:pPr>
      <w:r w:rsidRPr="0012597A">
        <w:rPr>
          <w:rFonts w:ascii="Times New Roman" w:eastAsia="Arial" w:hAnsi="Times New Roman" w:cs="Times New Roman"/>
          <w:b/>
          <w:sz w:val="24"/>
          <w:szCs w:val="24"/>
        </w:rPr>
        <w:t>"2026. Año del Humanismo Mexicano en el Estado de México".</w:t>
      </w:r>
    </w:p>
    <w:p w14:paraId="4AA57779"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48E547BB" w14:textId="77777777" w:rsidR="00250B5E" w:rsidRPr="0012597A" w:rsidRDefault="00250B5E" w:rsidP="00EF1C7F">
      <w:pPr>
        <w:spacing w:after="0" w:line="240" w:lineRule="auto"/>
        <w:ind w:firstLine="43"/>
        <w:jc w:val="right"/>
        <w:rPr>
          <w:rFonts w:ascii="Times New Roman" w:eastAsia="Arial" w:hAnsi="Times New Roman" w:cs="Times New Roman"/>
          <w:b/>
          <w:sz w:val="24"/>
          <w:szCs w:val="24"/>
        </w:rPr>
      </w:pPr>
      <w:r w:rsidRPr="0012597A">
        <w:rPr>
          <w:rFonts w:ascii="Times New Roman" w:eastAsia="Arial" w:hAnsi="Times New Roman" w:cs="Times New Roman"/>
          <w:b/>
          <w:sz w:val="24"/>
          <w:szCs w:val="24"/>
        </w:rPr>
        <w:t xml:space="preserve">Oficina de la Gobernadora </w:t>
      </w:r>
    </w:p>
    <w:p w14:paraId="1EFDA48E" w14:textId="77777777" w:rsidR="00250B5E" w:rsidRPr="0012597A" w:rsidRDefault="00250B5E" w:rsidP="00EF1C7F">
      <w:pPr>
        <w:spacing w:after="0" w:line="240" w:lineRule="auto"/>
        <w:ind w:firstLine="43"/>
        <w:jc w:val="right"/>
        <w:rPr>
          <w:rFonts w:ascii="Times New Roman" w:eastAsia="Arial" w:hAnsi="Times New Roman" w:cs="Times New Roman"/>
          <w:sz w:val="24"/>
          <w:szCs w:val="24"/>
        </w:rPr>
      </w:pPr>
      <w:r w:rsidRPr="0012597A">
        <w:rPr>
          <w:rFonts w:ascii="Times New Roman" w:eastAsia="Arial" w:hAnsi="Times New Roman" w:cs="Times New Roman"/>
          <w:sz w:val="24"/>
          <w:szCs w:val="24"/>
        </w:rPr>
        <w:t>Toluca de Lerdo, México</w:t>
      </w:r>
    </w:p>
    <w:p w14:paraId="039EAA57" w14:textId="77777777" w:rsidR="00250B5E" w:rsidRPr="0012597A" w:rsidRDefault="00250B5E" w:rsidP="00EF1C7F">
      <w:pPr>
        <w:spacing w:after="0" w:line="240" w:lineRule="auto"/>
        <w:ind w:firstLine="43"/>
        <w:jc w:val="right"/>
        <w:rPr>
          <w:rFonts w:ascii="Times New Roman" w:eastAsia="Arial" w:hAnsi="Times New Roman" w:cs="Times New Roman"/>
          <w:sz w:val="24"/>
          <w:szCs w:val="24"/>
        </w:rPr>
      </w:pPr>
      <w:r w:rsidRPr="0012597A">
        <w:rPr>
          <w:rFonts w:ascii="Times New Roman" w:eastAsia="Arial" w:hAnsi="Times New Roman" w:cs="Times New Roman"/>
          <w:sz w:val="24"/>
          <w:szCs w:val="24"/>
        </w:rPr>
        <w:t>a 9 de febrero de 2026.</w:t>
      </w:r>
    </w:p>
    <w:p w14:paraId="78F97B68"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60040A4"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DIPUTADA</w:t>
      </w:r>
    </w:p>
    <w:p w14:paraId="22BC90CC" w14:textId="77777777" w:rsidR="00250B5E" w:rsidRPr="0012597A" w:rsidRDefault="00250B5E" w:rsidP="00EF1C7F">
      <w:pPr>
        <w:spacing w:after="0" w:line="240" w:lineRule="auto"/>
        <w:ind w:firstLine="5"/>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MARTHA AZUCENA CAMACHO REYNOSO</w:t>
      </w:r>
    </w:p>
    <w:p w14:paraId="370BA4F2" w14:textId="77777777" w:rsidR="00250B5E" w:rsidRPr="0012597A" w:rsidRDefault="00250B5E" w:rsidP="00EF1C7F">
      <w:pPr>
        <w:spacing w:after="0" w:line="240" w:lineRule="auto"/>
        <w:ind w:firstLine="5"/>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PRESIDENTA DE LA MESA DIRECTIVA</w:t>
      </w:r>
    </w:p>
    <w:p w14:paraId="54C3B2A7" w14:textId="77777777" w:rsidR="00250B5E" w:rsidRPr="0012597A" w:rsidRDefault="00250B5E" w:rsidP="00EF1C7F">
      <w:pPr>
        <w:spacing w:after="0" w:line="240" w:lineRule="auto"/>
        <w:ind w:firstLine="5"/>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DE LA H. "LXII" LEGISLATURA DEL ESTADO DE MÉXICO</w:t>
      </w:r>
    </w:p>
    <w:p w14:paraId="72A9893B" w14:textId="77777777" w:rsidR="00250B5E" w:rsidRPr="0012597A" w:rsidRDefault="00250B5E" w:rsidP="00EF1C7F">
      <w:pPr>
        <w:spacing w:after="0" w:line="240" w:lineRule="auto"/>
        <w:ind w:firstLine="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PRESENTE</w:t>
      </w:r>
    </w:p>
    <w:p w14:paraId="6D029118"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6853EE1" w14:textId="77777777" w:rsidR="00250B5E" w:rsidRPr="0012597A" w:rsidRDefault="00250B5E" w:rsidP="00EF1C7F">
      <w:pPr>
        <w:spacing w:after="0" w:line="240" w:lineRule="auto"/>
        <w:ind w:firstLine="14"/>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lastRenderedPageBreak/>
        <w:t xml:space="preserve">DELFINA GÓMEZ ÁLVAREZ, Gobernadora Constitucional del Estado Libre y Soberano de México, </w:t>
      </w:r>
      <w:r w:rsidRPr="0012597A">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12597A">
        <w:rPr>
          <w:rFonts w:ascii="Times New Roman" w:eastAsia="Arial" w:hAnsi="Times New Roman" w:cs="Times New Roman"/>
          <w:b/>
          <w:sz w:val="24"/>
          <w:szCs w:val="24"/>
        </w:rPr>
        <w:t xml:space="preserve">Iniciativa de Decreto por el que se reforman y derogan diversas disposiciones de la Ley de Justicia Cívica del Estado de México y sus Municipios, </w:t>
      </w:r>
      <w:r w:rsidRPr="0012597A">
        <w:rPr>
          <w:rFonts w:ascii="Times New Roman" w:eastAsia="Arial" w:hAnsi="Times New Roman" w:cs="Times New Roman"/>
          <w:sz w:val="24"/>
          <w:szCs w:val="24"/>
        </w:rPr>
        <w:t>con sustento en la siguiente:</w:t>
      </w:r>
    </w:p>
    <w:p w14:paraId="10CA0CA4"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3253AD52" w14:textId="77777777" w:rsidR="00250B5E" w:rsidRPr="0012597A" w:rsidRDefault="00250B5E" w:rsidP="00EF1C7F">
      <w:pPr>
        <w:spacing w:after="0" w:line="240" w:lineRule="auto"/>
        <w:jc w:val="center"/>
        <w:rPr>
          <w:rFonts w:ascii="Times New Roman" w:eastAsia="Arial" w:hAnsi="Times New Roman" w:cs="Times New Roman"/>
          <w:sz w:val="24"/>
          <w:szCs w:val="24"/>
        </w:rPr>
      </w:pPr>
      <w:r w:rsidRPr="0012597A">
        <w:rPr>
          <w:rFonts w:ascii="Times New Roman" w:eastAsia="Arial" w:hAnsi="Times New Roman" w:cs="Times New Roman"/>
          <w:b/>
          <w:sz w:val="24"/>
          <w:szCs w:val="24"/>
        </w:rPr>
        <w:t>EXPOSICIÓN DE MOTIVOS</w:t>
      </w:r>
    </w:p>
    <w:p w14:paraId="4F2CF00A"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A0193E4" w14:textId="77777777" w:rsidR="00250B5E" w:rsidRPr="0012597A" w:rsidRDefault="00250B5E" w:rsidP="00EF1C7F">
      <w:pPr>
        <w:spacing w:after="0" w:line="240" w:lineRule="auto"/>
        <w:ind w:firstLine="1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El 5 de febrero de 2017 se publicó en el Diario Oficial de la Federación el Decreto por el que se reformaron y adicionaron diversas disposiciones de la Constitución Política de los Estados Unidos Mexicanos, relativas a los Mecanismos Alternativos de Solución de Controversias, la Mejora Regulatoria, la Justicia Cívica e Itinerante, así como a los Registros Civiles.</w:t>
      </w:r>
    </w:p>
    <w:p w14:paraId="799346A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220A50AF" w14:textId="77777777" w:rsidR="00250B5E" w:rsidRPr="0012597A" w:rsidRDefault="00250B5E" w:rsidP="00EF1C7F">
      <w:pPr>
        <w:spacing w:after="0" w:line="240" w:lineRule="auto"/>
        <w:ind w:firstLine="34"/>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En virtud de dicha reforma constitucional, se otorgó al Congreso de la Unión la atribución para expedir una ley general que determine los principios y las bases a las que deberán sujetarse los distintos órdenes de gobierno, dentro del ámbito de sus respectivas competencias, en materia de justicia cívica e itinerante, facultad que quedó expresamente prevista en la fracción XXIX-Z del artículo 73 de la Constitución Política de los Estados Unidos Mexicanos, sin que a la fecha se haya emitido la legislación general de referencia que deberá uniformar y homologar en el país tal materia, por lo que las entidades mantienen la libertad configurativa para determinar sobre la materia hasta en tanto se deba homologar conforme al marco jurídico que determine el Congreso General.</w:t>
      </w:r>
    </w:p>
    <w:p w14:paraId="00C5FF27"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46DA29C6" w14:textId="77777777" w:rsidR="00250B5E" w:rsidRPr="0012597A" w:rsidRDefault="00250B5E" w:rsidP="00EF1C7F">
      <w:pPr>
        <w:spacing w:after="0" w:line="240" w:lineRule="auto"/>
        <w:ind w:hanging="5"/>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A partir de la anterior situación, la "LXI" Legislatura del Estado aprobó la Ley de Justicia Cívica del Estado de México y sus Municipios, publicada en el Periódico Oficial "Gaceta del Gobierno" el 22 de noviembre de 2023 mediante Decreto Número 212; misma que estableció la clasificación básica de las conductas que constituyen infracciones administrativas, las sanciones correspondientes y los procedimientos para su imposición, regular el marco de actuación de las personas servidoras públicas responsables de su aplicación, así como garantizar el respeto a las personas y sus bienes, mejorar la convivencia social y mantener el orden público.</w:t>
      </w:r>
    </w:p>
    <w:p w14:paraId="3A816A0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1CD2600" w14:textId="77777777" w:rsidR="00250B5E" w:rsidRPr="0012597A" w:rsidRDefault="00250B5E" w:rsidP="00EF1C7F">
      <w:pPr>
        <w:spacing w:after="0" w:line="240" w:lineRule="auto"/>
        <w:ind w:firstLine="1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La Comisión Nacional de los Derechos Humanos promovió en fecha 15 de diciembre de 2023 la Acción de inconstitucionalidad 228/2023, resuelta por el Pleno de la Suprema Corte de Justicia de la Nación, en sesión pública del día 20 de octubre de 2025, en la que determinó la invalidez de los artículos 62, fracción VIII, 74, 75, 76 y 77, de la Ley de Justicia Cívica del Estado de México y sus Municipios, al tenor de lo siguiente:</w:t>
      </w:r>
    </w:p>
    <w:p w14:paraId="06377BDC"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99760B2"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w:t>
      </w:r>
      <w:r w:rsidRPr="0012597A">
        <w:rPr>
          <w:rFonts w:ascii="Times New Roman" w:eastAsia="Arial" w:hAnsi="Times New Roman" w:cs="Times New Roman"/>
          <w:b/>
          <w:sz w:val="24"/>
          <w:szCs w:val="24"/>
        </w:rPr>
        <w:tab/>
        <w:t xml:space="preserve">Invalidez de infracciones que causan inseguridad jurídica. </w:t>
      </w:r>
      <w:r w:rsidRPr="0012597A">
        <w:rPr>
          <w:rFonts w:ascii="Times New Roman" w:eastAsia="Arial" w:hAnsi="Times New Roman" w:cs="Times New Roman"/>
          <w:sz w:val="24"/>
          <w:szCs w:val="24"/>
        </w:rPr>
        <w:t>Se declaró, por unanimidad de votos, la inconstitucionalidad del artículo 62, fracción VIII, de la ley impugnada:</w:t>
      </w:r>
    </w:p>
    <w:p w14:paraId="5F6541DD"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4A9C93C6"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i/>
          <w:sz w:val="24"/>
          <w:szCs w:val="24"/>
        </w:rPr>
        <w:t xml:space="preserve">"Artículo </w:t>
      </w:r>
      <w:r w:rsidRPr="0012597A">
        <w:rPr>
          <w:rFonts w:ascii="Times New Roman" w:eastAsia="Arial" w:hAnsi="Times New Roman" w:cs="Times New Roman"/>
          <w:sz w:val="24"/>
          <w:szCs w:val="24"/>
        </w:rPr>
        <w:t xml:space="preserve">62.- </w:t>
      </w:r>
      <w:r w:rsidRPr="0012597A">
        <w:rPr>
          <w:rFonts w:ascii="Times New Roman" w:eastAsia="Arial" w:hAnsi="Times New Roman" w:cs="Times New Roman"/>
          <w:i/>
          <w:sz w:val="24"/>
          <w:szCs w:val="24"/>
        </w:rPr>
        <w:t xml:space="preserve">Son infracciones que atentan contra lo integridad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i/>
          <w:sz w:val="24"/>
          <w:szCs w:val="24"/>
        </w:rPr>
        <w:t xml:space="preserve">dignidad de los personas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i/>
          <w:sz w:val="24"/>
          <w:szCs w:val="24"/>
        </w:rPr>
        <w:t>de lo familia:</w:t>
      </w:r>
    </w:p>
    <w:p w14:paraId="73DE009F"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26CAD0F8" w14:textId="77777777" w:rsidR="00250B5E" w:rsidRPr="0012597A" w:rsidRDefault="00250B5E" w:rsidP="00EF1C7F">
      <w:pPr>
        <w:spacing w:after="0" w:line="240" w:lineRule="auto"/>
        <w:jc w:val="both"/>
        <w:rPr>
          <w:rFonts w:ascii="Times New Roman" w:eastAsia="Times New Roman" w:hAnsi="Times New Roman" w:cs="Times New Roman"/>
          <w:i/>
          <w:sz w:val="24"/>
          <w:szCs w:val="24"/>
        </w:rPr>
      </w:pPr>
      <w:r w:rsidRPr="0012597A">
        <w:rPr>
          <w:rFonts w:ascii="Times New Roman" w:eastAsia="Arial" w:hAnsi="Times New Roman" w:cs="Times New Roman"/>
          <w:b/>
          <w:i/>
          <w:sz w:val="24"/>
          <w:szCs w:val="24"/>
        </w:rPr>
        <w:t xml:space="preserve">VIII. </w:t>
      </w:r>
      <w:r w:rsidRPr="0012597A">
        <w:rPr>
          <w:rFonts w:ascii="Times New Roman" w:eastAsia="Arial" w:hAnsi="Times New Roman" w:cs="Times New Roman"/>
          <w:i/>
          <w:sz w:val="24"/>
          <w:szCs w:val="24"/>
        </w:rPr>
        <w:t xml:space="preserve">Faltar al respeto al público que asiste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i/>
          <w:sz w:val="24"/>
          <w:szCs w:val="24"/>
        </w:rPr>
        <w:t xml:space="preserve">eventos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i/>
          <w:sz w:val="24"/>
          <w:szCs w:val="24"/>
        </w:rPr>
        <w:t xml:space="preserve">espectáculos. con agresiones verbales. por porte de lo persono propietario del establecimiento, de los personas organizadoras. de los personas trabajadoras, artistas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i/>
          <w:sz w:val="24"/>
          <w:szCs w:val="24"/>
        </w:rPr>
        <w:t xml:space="preserve">deportistas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i/>
          <w:sz w:val="24"/>
          <w:szCs w:val="24"/>
        </w:rPr>
        <w:t>de las propios personas a</w:t>
      </w:r>
      <w:r w:rsidRPr="0012597A">
        <w:rPr>
          <w:rFonts w:ascii="Times New Roman" w:eastAsia="Times New Roman" w:hAnsi="Times New Roman" w:cs="Times New Roman"/>
          <w:i/>
          <w:sz w:val="24"/>
          <w:szCs w:val="24"/>
        </w:rPr>
        <w:t>sistentes;</w:t>
      </w:r>
    </w:p>
    <w:p w14:paraId="4DBF81A6" w14:textId="77777777" w:rsidR="00250B5E" w:rsidRPr="0012597A" w:rsidRDefault="00250B5E" w:rsidP="00EF1C7F">
      <w:pPr>
        <w:spacing w:after="0" w:line="240" w:lineRule="auto"/>
        <w:jc w:val="both"/>
        <w:rPr>
          <w:rFonts w:ascii="Times New Roman" w:eastAsia="Times New Roman" w:hAnsi="Times New Roman" w:cs="Times New Roman"/>
          <w:i/>
          <w:sz w:val="24"/>
          <w:szCs w:val="24"/>
        </w:rPr>
      </w:pPr>
    </w:p>
    <w:p w14:paraId="46DDA90D"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i/>
          <w:sz w:val="24"/>
          <w:szCs w:val="24"/>
        </w:rPr>
        <w:lastRenderedPageBreak/>
        <w:t>(...)</w:t>
      </w:r>
    </w:p>
    <w:p w14:paraId="40AB3934"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3BE65CC"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Lo anterior, por transgredir el derecho de seguridad jurídica y el principio de legalidad en su vertiente de taxatividad, considerando que, las expresiones "faltar al respeto" y "agresiones verbales" son ambiguas, resultando en un amplio margen de apreciación para que la autoridad determine, de manera discrecional, qué tipo de falta de respeto o agresión verbal encuadraría en el supuesto para que el presunto infractor sea acreedor a una sanción, lo que genera incertidumbre en los gobernados.</w:t>
      </w:r>
    </w:p>
    <w:p w14:paraId="3A53F7C9"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4255A818"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w:t>
      </w:r>
      <w:r w:rsidRPr="0012597A">
        <w:rPr>
          <w:rFonts w:ascii="Times New Roman" w:eastAsia="Arial" w:hAnsi="Times New Roman" w:cs="Times New Roman"/>
          <w:b/>
          <w:sz w:val="24"/>
          <w:szCs w:val="24"/>
        </w:rPr>
        <w:tab/>
        <w:t xml:space="preserve">Invalidez de las normas que prevén establecer un Registro Municipal de Personas Infractoras en materia de justicia cívica. </w:t>
      </w:r>
      <w:r w:rsidRPr="0012597A">
        <w:rPr>
          <w:rFonts w:ascii="Times New Roman" w:eastAsia="Arial" w:hAnsi="Times New Roman" w:cs="Times New Roman"/>
          <w:sz w:val="24"/>
          <w:szCs w:val="24"/>
        </w:rPr>
        <w:t>Se declaró, por mayoría de 6 votos, con voto en contra de los ministros Giovanni Azael Figueroa Mejía y Arístides Rodrigo Guerrero García, de los artículos 74, 75, 76 y 77 de la ley impugnada:</w:t>
      </w:r>
    </w:p>
    <w:p w14:paraId="6B1E84E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CDD3FC7"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i/>
          <w:sz w:val="24"/>
          <w:szCs w:val="24"/>
        </w:rPr>
        <w:t>"</w:t>
      </w:r>
      <w:r w:rsidRPr="0012597A">
        <w:rPr>
          <w:rFonts w:ascii="Times New Roman" w:eastAsia="Arial" w:hAnsi="Times New Roman" w:cs="Times New Roman"/>
          <w:b/>
          <w:sz w:val="24"/>
          <w:szCs w:val="24"/>
        </w:rPr>
        <w:t>Artículo</w:t>
      </w:r>
      <w:r w:rsidRPr="0012597A">
        <w:rPr>
          <w:rFonts w:ascii="Times New Roman" w:eastAsia="Arial" w:hAnsi="Times New Roman" w:cs="Times New Roman"/>
          <w:sz w:val="24"/>
          <w:szCs w:val="24"/>
        </w:rPr>
        <w:t xml:space="preserve"> </w:t>
      </w:r>
      <w:r w:rsidRPr="0012597A">
        <w:rPr>
          <w:rFonts w:ascii="Times New Roman" w:eastAsia="Arial" w:hAnsi="Times New Roman" w:cs="Times New Roman"/>
          <w:b/>
          <w:sz w:val="24"/>
          <w:szCs w:val="24"/>
        </w:rPr>
        <w:t xml:space="preserve">74.- </w:t>
      </w:r>
      <w:r w:rsidRPr="0012597A">
        <w:rPr>
          <w:rFonts w:ascii="Times New Roman" w:eastAsia="Arial" w:hAnsi="Times New Roman" w:cs="Times New Roman"/>
          <w:sz w:val="24"/>
          <w:szCs w:val="24"/>
        </w:rPr>
        <w:t xml:space="preserve">El Ayuntamiento contará con un Registro de Personas Infractoras, el cual será operado por la Dirección de Seguridad Pública y Tránsito Municipal </w:t>
      </w:r>
      <w:r w:rsidRPr="0012597A">
        <w:rPr>
          <w:rFonts w:ascii="Times New Roman" w:eastAsia="Times New Roman" w:hAnsi="Times New Roman" w:cs="Times New Roman"/>
          <w:sz w:val="24"/>
          <w:szCs w:val="24"/>
        </w:rPr>
        <w:t xml:space="preserve">o su </w:t>
      </w:r>
      <w:r w:rsidRPr="0012597A">
        <w:rPr>
          <w:rFonts w:ascii="Times New Roman" w:eastAsia="Arial" w:hAnsi="Times New Roman" w:cs="Times New Roman"/>
          <w:sz w:val="24"/>
          <w:szCs w:val="24"/>
        </w:rPr>
        <w:t xml:space="preserve">equivalente, </w:t>
      </w:r>
      <w:r w:rsidRPr="0012597A">
        <w:rPr>
          <w:rFonts w:ascii="Times New Roman" w:eastAsia="Times New Roman" w:hAnsi="Times New Roman" w:cs="Times New Roman"/>
          <w:sz w:val="24"/>
          <w:szCs w:val="24"/>
        </w:rPr>
        <w:t xml:space="preserve">que </w:t>
      </w:r>
      <w:r w:rsidRPr="0012597A">
        <w:rPr>
          <w:rFonts w:ascii="Times New Roman" w:eastAsia="Arial" w:hAnsi="Times New Roman" w:cs="Times New Roman"/>
          <w:sz w:val="24"/>
          <w:szCs w:val="24"/>
        </w:rPr>
        <w:t>actualizará, en coordinación con el Juzgado Cívico, a</w:t>
      </w:r>
      <w:r w:rsidRPr="0012597A">
        <w:rPr>
          <w:rFonts w:ascii="Times New Roman" w:eastAsia="Times New Roman" w:hAnsi="Times New Roman" w:cs="Times New Roman"/>
          <w:sz w:val="24"/>
          <w:szCs w:val="24"/>
        </w:rPr>
        <w:t xml:space="preserve"> </w:t>
      </w:r>
      <w:r w:rsidRPr="0012597A">
        <w:rPr>
          <w:rFonts w:ascii="Times New Roman" w:eastAsia="Arial" w:hAnsi="Times New Roman" w:cs="Times New Roman"/>
          <w:sz w:val="24"/>
          <w:szCs w:val="24"/>
        </w:rPr>
        <w:t xml:space="preserve">efecto </w:t>
      </w:r>
      <w:r w:rsidRPr="0012597A">
        <w:rPr>
          <w:rFonts w:ascii="Times New Roman" w:eastAsia="Times New Roman" w:hAnsi="Times New Roman" w:cs="Times New Roman"/>
          <w:sz w:val="24"/>
          <w:szCs w:val="24"/>
        </w:rPr>
        <w:t xml:space="preserve">de que </w:t>
      </w:r>
      <w:r w:rsidRPr="0012597A">
        <w:rPr>
          <w:rFonts w:ascii="Times New Roman" w:eastAsia="Arial" w:hAnsi="Times New Roman" w:cs="Times New Roman"/>
          <w:sz w:val="24"/>
          <w:szCs w:val="24"/>
        </w:rPr>
        <w:t xml:space="preserve">se asiente la información de </w:t>
      </w:r>
      <w:r w:rsidRPr="0012597A">
        <w:rPr>
          <w:rFonts w:ascii="Times New Roman" w:eastAsia="Times New Roman" w:hAnsi="Times New Roman" w:cs="Times New Roman"/>
          <w:sz w:val="24"/>
          <w:szCs w:val="24"/>
        </w:rPr>
        <w:t xml:space="preserve">las </w:t>
      </w:r>
      <w:r w:rsidRPr="0012597A">
        <w:rPr>
          <w:rFonts w:ascii="Times New Roman" w:eastAsia="Arial" w:hAnsi="Times New Roman" w:cs="Times New Roman"/>
          <w:sz w:val="24"/>
          <w:szCs w:val="24"/>
        </w:rPr>
        <w:t>personas que hubieran sido detenidas y a</w:t>
      </w:r>
      <w:r w:rsidRPr="0012597A">
        <w:rPr>
          <w:rFonts w:ascii="Times New Roman" w:eastAsia="Times New Roman" w:hAnsi="Times New Roman" w:cs="Times New Roman"/>
          <w:sz w:val="24"/>
          <w:szCs w:val="24"/>
        </w:rPr>
        <w:t xml:space="preserve"> las </w:t>
      </w:r>
      <w:r w:rsidRPr="0012597A">
        <w:rPr>
          <w:rFonts w:ascii="Times New Roman" w:eastAsia="Arial" w:hAnsi="Times New Roman" w:cs="Times New Roman"/>
          <w:sz w:val="24"/>
          <w:szCs w:val="24"/>
        </w:rPr>
        <w:t xml:space="preserve">que se les haya comprobado la comisión de las infracciones en materia de </w:t>
      </w:r>
      <w:r w:rsidRPr="0012597A">
        <w:rPr>
          <w:rFonts w:ascii="Times New Roman" w:eastAsia="Times New Roman" w:hAnsi="Times New Roman" w:cs="Times New Roman"/>
          <w:sz w:val="24"/>
          <w:szCs w:val="24"/>
        </w:rPr>
        <w:t xml:space="preserve">Justicia </w:t>
      </w:r>
      <w:r w:rsidRPr="0012597A">
        <w:rPr>
          <w:rFonts w:ascii="Times New Roman" w:eastAsia="Arial" w:hAnsi="Times New Roman" w:cs="Times New Roman"/>
          <w:sz w:val="24"/>
          <w:szCs w:val="24"/>
        </w:rPr>
        <w:t>Cívica.</w:t>
      </w:r>
    </w:p>
    <w:p w14:paraId="1EE46F11" w14:textId="77777777" w:rsidR="00250B5E" w:rsidRPr="0012597A" w:rsidRDefault="00250B5E" w:rsidP="00EF1C7F">
      <w:pPr>
        <w:spacing w:after="0" w:line="240" w:lineRule="auto"/>
        <w:ind w:firstLine="5"/>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Dicho registro </w:t>
      </w:r>
      <w:r w:rsidRPr="0012597A">
        <w:rPr>
          <w:rFonts w:ascii="Times New Roman" w:eastAsia="Times New Roman" w:hAnsi="Times New Roman" w:cs="Times New Roman"/>
          <w:sz w:val="24"/>
          <w:szCs w:val="24"/>
        </w:rPr>
        <w:t xml:space="preserve">se </w:t>
      </w:r>
      <w:r w:rsidRPr="0012597A">
        <w:rPr>
          <w:rFonts w:ascii="Times New Roman" w:eastAsia="Arial" w:hAnsi="Times New Roman" w:cs="Times New Roman"/>
          <w:sz w:val="24"/>
          <w:szCs w:val="24"/>
        </w:rPr>
        <w:t xml:space="preserve">realizará conforme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sz w:val="24"/>
          <w:szCs w:val="24"/>
        </w:rPr>
        <w:t xml:space="preserve">los lineamientos observados en la Ley Nocional del Registro de Detenciones. Las y </w:t>
      </w:r>
      <w:r w:rsidRPr="0012597A">
        <w:rPr>
          <w:rFonts w:ascii="Times New Roman" w:eastAsia="Times New Roman" w:hAnsi="Times New Roman" w:cs="Times New Roman"/>
          <w:sz w:val="24"/>
          <w:szCs w:val="24"/>
        </w:rPr>
        <w:t xml:space="preserve">los </w:t>
      </w:r>
      <w:r w:rsidRPr="0012597A">
        <w:rPr>
          <w:rFonts w:ascii="Times New Roman" w:eastAsia="Arial" w:hAnsi="Times New Roman" w:cs="Times New Roman"/>
          <w:sz w:val="24"/>
          <w:szCs w:val="24"/>
        </w:rPr>
        <w:t>servidores públicos que tengan acceso al Registro de Personas infractoras estarán obligados a</w:t>
      </w:r>
      <w:r w:rsidRPr="0012597A">
        <w:rPr>
          <w:rFonts w:ascii="Times New Roman" w:eastAsia="Times New Roman" w:hAnsi="Times New Roman" w:cs="Times New Roman"/>
          <w:sz w:val="24"/>
          <w:szCs w:val="24"/>
        </w:rPr>
        <w:t xml:space="preserve"> </w:t>
      </w:r>
      <w:r w:rsidRPr="0012597A">
        <w:rPr>
          <w:rFonts w:ascii="Times New Roman" w:eastAsia="Arial" w:hAnsi="Times New Roman" w:cs="Times New Roman"/>
          <w:sz w:val="24"/>
          <w:szCs w:val="24"/>
        </w:rPr>
        <w:t xml:space="preserve">mantener </w:t>
      </w:r>
      <w:r w:rsidRPr="0012597A">
        <w:rPr>
          <w:rFonts w:ascii="Times New Roman" w:eastAsia="Times New Roman" w:hAnsi="Times New Roman" w:cs="Times New Roman"/>
          <w:sz w:val="24"/>
          <w:szCs w:val="24"/>
        </w:rPr>
        <w:t xml:space="preserve">su </w:t>
      </w:r>
      <w:r w:rsidRPr="0012597A">
        <w:rPr>
          <w:rFonts w:ascii="Times New Roman" w:eastAsia="Arial" w:hAnsi="Times New Roman" w:cs="Times New Roman"/>
          <w:sz w:val="24"/>
          <w:szCs w:val="24"/>
        </w:rPr>
        <w:t>confidencialidad y reserva. por contener datos sensibles en términos de la normatividad de la materia aplicable.</w:t>
      </w:r>
    </w:p>
    <w:p w14:paraId="3C859460"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Artículo 75.-</w:t>
      </w:r>
      <w:r w:rsidRPr="0012597A">
        <w:rPr>
          <w:rFonts w:ascii="Times New Roman" w:eastAsia="Arial" w:hAnsi="Times New Roman" w:cs="Times New Roman"/>
          <w:sz w:val="24"/>
          <w:szCs w:val="24"/>
        </w:rPr>
        <w:t xml:space="preserve"> El Registro de Personas Infractoras será de consulta obligatoria para las y los Jueces Cívicos a</w:t>
      </w:r>
      <w:r w:rsidRPr="0012597A">
        <w:rPr>
          <w:rFonts w:ascii="Times New Roman" w:eastAsia="Times New Roman" w:hAnsi="Times New Roman" w:cs="Times New Roman"/>
          <w:sz w:val="24"/>
          <w:szCs w:val="24"/>
        </w:rPr>
        <w:t xml:space="preserve"> </w:t>
      </w:r>
      <w:r w:rsidRPr="0012597A">
        <w:rPr>
          <w:rFonts w:ascii="Times New Roman" w:eastAsia="Arial" w:hAnsi="Times New Roman" w:cs="Times New Roman"/>
          <w:sz w:val="24"/>
          <w:szCs w:val="24"/>
        </w:rPr>
        <w:t xml:space="preserve">efecto de obtener los elementos necesarios para la individualización de las sanciones. Aquellas autoridades que no tengan acceso al registro podrán solicitar información que conste en el mismo, únicamente cuando </w:t>
      </w:r>
      <w:r w:rsidRPr="0012597A">
        <w:rPr>
          <w:rFonts w:ascii="Times New Roman" w:eastAsia="Times New Roman" w:hAnsi="Times New Roman" w:cs="Times New Roman"/>
          <w:sz w:val="24"/>
          <w:szCs w:val="24"/>
        </w:rPr>
        <w:t xml:space="preserve">exista </w:t>
      </w:r>
      <w:r w:rsidRPr="0012597A">
        <w:rPr>
          <w:rFonts w:ascii="Times New Roman" w:eastAsia="Arial" w:hAnsi="Times New Roman" w:cs="Times New Roman"/>
          <w:sz w:val="24"/>
          <w:szCs w:val="24"/>
        </w:rPr>
        <w:t>mandamiento de autoridad competente que funde y motive su requerimiento.</w:t>
      </w:r>
    </w:p>
    <w:p w14:paraId="6B99FF5D" w14:textId="77777777" w:rsidR="00250B5E" w:rsidRPr="0012597A" w:rsidRDefault="00250B5E" w:rsidP="00EF1C7F">
      <w:pPr>
        <w:spacing w:after="0" w:line="240" w:lineRule="auto"/>
        <w:ind w:hanging="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Artículo</w:t>
      </w:r>
      <w:r w:rsidRPr="0012597A">
        <w:rPr>
          <w:rFonts w:ascii="Times New Roman" w:eastAsia="Arial" w:hAnsi="Times New Roman" w:cs="Times New Roman"/>
          <w:sz w:val="24"/>
          <w:szCs w:val="24"/>
        </w:rPr>
        <w:t xml:space="preserve"> </w:t>
      </w:r>
      <w:r w:rsidRPr="0012597A">
        <w:rPr>
          <w:rFonts w:ascii="Times New Roman" w:eastAsia="Arial" w:hAnsi="Times New Roman" w:cs="Times New Roman"/>
          <w:b/>
          <w:sz w:val="24"/>
          <w:szCs w:val="24"/>
        </w:rPr>
        <w:t xml:space="preserve">76.- </w:t>
      </w:r>
      <w:r w:rsidRPr="0012597A">
        <w:rPr>
          <w:rFonts w:ascii="Times New Roman" w:eastAsia="Arial" w:hAnsi="Times New Roman" w:cs="Times New Roman"/>
          <w:sz w:val="24"/>
          <w:szCs w:val="24"/>
        </w:rPr>
        <w:t xml:space="preserve">La información contenida en el Registro de Personas Infractoras tendrá como objeto el diseño de las estrategias y acciones tendientes </w:t>
      </w:r>
      <w:r w:rsidRPr="0012597A">
        <w:rPr>
          <w:rFonts w:ascii="Times New Roman" w:eastAsia="Times New Roman" w:hAnsi="Times New Roman" w:cs="Times New Roman"/>
          <w:sz w:val="24"/>
          <w:szCs w:val="24"/>
        </w:rPr>
        <w:t xml:space="preserve">o la </w:t>
      </w:r>
      <w:r w:rsidRPr="0012597A">
        <w:rPr>
          <w:rFonts w:ascii="Times New Roman" w:eastAsia="Arial" w:hAnsi="Times New Roman" w:cs="Times New Roman"/>
          <w:sz w:val="24"/>
          <w:szCs w:val="24"/>
        </w:rPr>
        <w:t xml:space="preserve">preservación del orden y </w:t>
      </w:r>
      <w:r w:rsidRPr="0012597A">
        <w:rPr>
          <w:rFonts w:ascii="Times New Roman" w:eastAsia="Times New Roman" w:hAnsi="Times New Roman" w:cs="Times New Roman"/>
          <w:sz w:val="24"/>
          <w:szCs w:val="24"/>
        </w:rPr>
        <w:t xml:space="preserve">la </w:t>
      </w:r>
      <w:r w:rsidRPr="0012597A">
        <w:rPr>
          <w:rFonts w:ascii="Times New Roman" w:eastAsia="Arial" w:hAnsi="Times New Roman" w:cs="Times New Roman"/>
          <w:sz w:val="24"/>
          <w:szCs w:val="24"/>
        </w:rPr>
        <w:t xml:space="preserve">paz pública en los municipios del Estado de México, así como </w:t>
      </w:r>
      <w:r w:rsidRPr="0012597A">
        <w:rPr>
          <w:rFonts w:ascii="Times New Roman" w:eastAsia="Times New Roman" w:hAnsi="Times New Roman" w:cs="Times New Roman"/>
          <w:sz w:val="24"/>
          <w:szCs w:val="24"/>
        </w:rPr>
        <w:t xml:space="preserve">lo </w:t>
      </w:r>
      <w:r w:rsidRPr="0012597A">
        <w:rPr>
          <w:rFonts w:ascii="Times New Roman" w:eastAsia="Arial" w:hAnsi="Times New Roman" w:cs="Times New Roman"/>
          <w:sz w:val="24"/>
          <w:szCs w:val="24"/>
        </w:rPr>
        <w:t>instrumentación de programas de desarrollo social y de prevención de adicciones, entre otros.</w:t>
      </w:r>
    </w:p>
    <w:p w14:paraId="0DE6807C" w14:textId="77777777" w:rsidR="00250B5E" w:rsidRPr="0012597A" w:rsidRDefault="00250B5E" w:rsidP="00EF1C7F">
      <w:pPr>
        <w:spacing w:after="0" w:line="240" w:lineRule="auto"/>
        <w:ind w:hanging="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Artículo</w:t>
      </w:r>
      <w:r w:rsidRPr="0012597A">
        <w:rPr>
          <w:rFonts w:ascii="Times New Roman" w:eastAsia="Arial" w:hAnsi="Times New Roman" w:cs="Times New Roman"/>
          <w:sz w:val="24"/>
          <w:szCs w:val="24"/>
        </w:rPr>
        <w:t xml:space="preserve"> </w:t>
      </w:r>
      <w:r w:rsidRPr="0012597A">
        <w:rPr>
          <w:rFonts w:ascii="Times New Roman" w:eastAsia="Times New Roman" w:hAnsi="Times New Roman" w:cs="Times New Roman"/>
          <w:b/>
          <w:sz w:val="24"/>
          <w:szCs w:val="24"/>
        </w:rPr>
        <w:t>77</w:t>
      </w:r>
      <w:r w:rsidRPr="0012597A">
        <w:rPr>
          <w:rFonts w:ascii="Times New Roman" w:eastAsia="Times New Roman" w:hAnsi="Times New Roman" w:cs="Times New Roman"/>
          <w:sz w:val="24"/>
          <w:szCs w:val="24"/>
        </w:rPr>
        <w:t xml:space="preserve">.- </w:t>
      </w:r>
      <w:r w:rsidRPr="0012597A">
        <w:rPr>
          <w:rFonts w:ascii="Times New Roman" w:eastAsia="Arial" w:hAnsi="Times New Roman" w:cs="Times New Roman"/>
          <w:sz w:val="24"/>
          <w:szCs w:val="24"/>
        </w:rPr>
        <w:t xml:space="preserve">Con el fin de asegurar las condiciones de seguridad sobre manejo y acceso </w:t>
      </w:r>
      <w:r w:rsidRPr="0012597A">
        <w:rPr>
          <w:rFonts w:ascii="Times New Roman" w:eastAsia="Times New Roman" w:hAnsi="Times New Roman" w:cs="Times New Roman"/>
          <w:sz w:val="24"/>
          <w:szCs w:val="24"/>
        </w:rPr>
        <w:t xml:space="preserve">o </w:t>
      </w:r>
      <w:r w:rsidRPr="0012597A">
        <w:rPr>
          <w:rFonts w:ascii="Times New Roman" w:eastAsia="Arial" w:hAnsi="Times New Roman" w:cs="Times New Roman"/>
          <w:sz w:val="24"/>
          <w:szCs w:val="24"/>
        </w:rPr>
        <w:t>la información del Registro de Personas Infractoras, los responsables de inscribir, proporcionar y administrar la información deberán tener claves confidenciales a</w:t>
      </w:r>
      <w:r w:rsidRPr="0012597A">
        <w:rPr>
          <w:rFonts w:ascii="Times New Roman" w:eastAsia="Times New Roman" w:hAnsi="Times New Roman" w:cs="Times New Roman"/>
          <w:sz w:val="24"/>
          <w:szCs w:val="24"/>
        </w:rPr>
        <w:t xml:space="preserve"> </w:t>
      </w:r>
      <w:r w:rsidRPr="0012597A">
        <w:rPr>
          <w:rFonts w:ascii="Times New Roman" w:eastAsia="Arial" w:hAnsi="Times New Roman" w:cs="Times New Roman"/>
          <w:sz w:val="24"/>
          <w:szCs w:val="24"/>
        </w:rPr>
        <w:t>fin de que quede debida constancia de cualquier movimiento de asientos, consultas y otorgamiento de información."</w:t>
      </w:r>
    </w:p>
    <w:p w14:paraId="5EDBC58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30359387"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Los artículos se declararon inconstitucionales al señalar que el Congreso del Estado de México no contaba con la facultad para establecer un registro para llevar un control de las detenciones por la comisión de infracciones en materia de Justicia Cívica, ya que es facultad exclusiva del Congreso de la Unión en términos de lo dispuesto en el artículo 73, fracción XXIII</w:t>
      </w:r>
      <w:r w:rsidRPr="0012597A">
        <w:rPr>
          <w:rFonts w:ascii="Times New Roman" w:eastAsia="Arial" w:hAnsi="Times New Roman" w:cs="Times New Roman"/>
          <w:b/>
          <w:sz w:val="24"/>
          <w:szCs w:val="24"/>
        </w:rPr>
        <w:t xml:space="preserve">, </w:t>
      </w:r>
      <w:r w:rsidRPr="0012597A">
        <w:rPr>
          <w:rFonts w:ascii="Times New Roman" w:eastAsia="Arial" w:hAnsi="Times New Roman" w:cs="Times New Roman"/>
          <w:sz w:val="24"/>
          <w:szCs w:val="24"/>
        </w:rPr>
        <w:t>de la Constitución Federal, a través de la Ley Nacional del Registro de Detenciones.</w:t>
      </w:r>
    </w:p>
    <w:p w14:paraId="1269607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6FA64E1B"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Es menester precisar que el Ministro Giovanni Azael Figueroa Mejía propuso considerar el principio de conservación del derecho para preservar la voluntad del legislador local y en tal virtud suprimir únicamente las porciones normativas que aluden a las detenciones, conservando la figura del registro para las infracciones administrativas que no impliquen detenciones; no obstante dicho criterio no fue acompañado por la mayoría, bajo el argumento de que se observaba que la intención del legislador se limitaba a las detenciones y no a las infracciones en general, ello en atención a la </w:t>
      </w:r>
      <w:r w:rsidRPr="0012597A">
        <w:rPr>
          <w:rFonts w:ascii="Times New Roman" w:eastAsia="Arial" w:hAnsi="Times New Roman" w:cs="Times New Roman"/>
          <w:sz w:val="24"/>
          <w:szCs w:val="24"/>
        </w:rPr>
        <w:lastRenderedPageBreak/>
        <w:t>definición contenida en el artículo 4, fracción XXI</w:t>
      </w:r>
      <w:r w:rsidRPr="0012597A">
        <w:rPr>
          <w:rFonts w:ascii="Times New Roman" w:eastAsia="Arial" w:hAnsi="Times New Roman" w:cs="Times New Roman"/>
          <w:b/>
          <w:sz w:val="24"/>
          <w:szCs w:val="24"/>
        </w:rPr>
        <w:t xml:space="preserve">, </w:t>
      </w:r>
      <w:r w:rsidRPr="0012597A">
        <w:rPr>
          <w:rFonts w:ascii="Times New Roman" w:eastAsia="Arial" w:hAnsi="Times New Roman" w:cs="Times New Roman"/>
          <w:sz w:val="24"/>
          <w:szCs w:val="24"/>
        </w:rPr>
        <w:t xml:space="preserve">relativa al Registro Municipal de Personas Infractoras en el que señala como su objeto "llevar un control de detenciones". De igual manera, el Ministro Arístides Rodrigo Guerrero García coincidió en la falta de necesidad para invalidar por completo dichas disposiciones, permitiendo que se mantuviera un registro estatal, sólo eliminando lo referente a detenciones, por lo que presentó un voto concurrente. </w:t>
      </w:r>
    </w:p>
    <w:p w14:paraId="5A0F475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7308CE1"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En lo tocante al artículo 62, fracción VIII, de la multicitada ley, es oportuno mencionar que se integró al marco jurídico estatal en congruencia con la Ley de Eventos Públicos del Estado de México, que establece como obligación de los asistentes de eventos públicos no alterar el orden público, ni agredir o insultar a los participantes, asistentes, organizadores, autoridades y demás personas que intervengan en el evento público, así como, que la persona verificadora en jefe vigile que los asistentes no insulten a otros. No obstante lo anterior, se estima que la falta de respeto y la agresión verbal son un parámetro muy amplio para poder determinar qué expresión es o no injuriosa para las personas.</w:t>
      </w:r>
    </w:p>
    <w:p w14:paraId="3C99570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61AC5F5D" w14:textId="77777777" w:rsidR="00250B5E" w:rsidRPr="0012597A" w:rsidRDefault="00250B5E" w:rsidP="00EF1C7F">
      <w:pPr>
        <w:spacing w:after="0" w:line="240" w:lineRule="auto"/>
        <w:ind w:firstLine="34"/>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Respecto a la invalidez de los artículos 74, 75, 76 y 77 de la Ley de Justicia Cívica del Estado de México y sus Municipios se puede advertir que los Ayuntamientos podrían quedar indefensos, ya que no contarán con fundamento jurídico para hacer un registro sobre las infracciones que se sancionan en materia de justicia cívica, que contribuya al cumplimiento del objeto de la ley, al servir de base para la individualización de sanciones, el diseño de las estrategias y acciones tendientes a la preservación del orden y la paz pública en los municipios del Estado de México, así como la instrumentación de programas de desarrollo social y de prevención de adicciones.</w:t>
      </w:r>
    </w:p>
    <w:p w14:paraId="2CD358FD"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4309B275" w14:textId="77777777" w:rsidR="00250B5E" w:rsidRPr="0012597A" w:rsidRDefault="00250B5E" w:rsidP="00EF1C7F">
      <w:pPr>
        <w:spacing w:after="0" w:line="240" w:lineRule="auto"/>
        <w:ind w:firstLine="14"/>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Precisado lo anterior. es atinente mencionar que la Constitución Política de los Estados Unidos Mexicanos prevé, en su artículo 21, la atribución de las autoridades administrativas respecto a la aplicación de sanciones por infracciones a los reglamentos gubernativos y de policía, mismas que forman parte de la seguridad pública; mientras que, en el artículo 61, fracción XXVII, norma la facultad de la legislatura local para legislar en la materia municipal; así como en el artículo 115, fracción II se establece la potestad de los municipios para emitir los instrumentos normativos (bandos de policía y gobierno, reglamentos, circulares y disposiciones administrativas de observancia general dentro de sus respectivas jurisdicciones) que regulen entre otros, las materias y servicios públicos de su competencia; de igual forma, en el propio artículo 115, fracción III</w:t>
      </w:r>
      <w:r w:rsidRPr="0012597A">
        <w:rPr>
          <w:rFonts w:ascii="Times New Roman" w:eastAsia="Times New Roman" w:hAnsi="Times New Roman" w:cs="Times New Roman"/>
          <w:sz w:val="24"/>
          <w:szCs w:val="24"/>
        </w:rPr>
        <w:t xml:space="preserve">, </w:t>
      </w:r>
      <w:r w:rsidRPr="0012597A">
        <w:rPr>
          <w:rFonts w:ascii="Times New Roman" w:eastAsia="Arial" w:hAnsi="Times New Roman" w:cs="Times New Roman"/>
          <w:sz w:val="24"/>
          <w:szCs w:val="24"/>
        </w:rPr>
        <w:t>se dispone la atribución de los municipios para la prestación del servicio de seguridad pública.</w:t>
      </w:r>
    </w:p>
    <w:p w14:paraId="6610167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23A6C2F" w14:textId="77777777" w:rsidR="00250B5E" w:rsidRPr="0012597A" w:rsidRDefault="00250B5E" w:rsidP="00EF1C7F">
      <w:pPr>
        <w:spacing w:after="0" w:line="240" w:lineRule="auto"/>
        <w:ind w:firstLine="14"/>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De conformidad con lo previsto por el artículo 122 de la Constitución Política del Estado Libre y Soberano de México, para el ejercicio de las facultades de los municipios contenidas en la Constitución General de la República y de la propia Constitución Estatal, se requiere la coordinación con el Gobierno del Estado, de acuerdo con los planes y programas federales, estatales, regionales y metropolitanos.</w:t>
      </w:r>
    </w:p>
    <w:p w14:paraId="66550D3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67E884B1" w14:textId="77777777" w:rsidR="00250B5E" w:rsidRPr="0012597A" w:rsidRDefault="00250B5E" w:rsidP="00EF1C7F">
      <w:pPr>
        <w:spacing w:after="0" w:line="240" w:lineRule="auto"/>
        <w:ind w:firstLine="14"/>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En ese sentido, el Plan de Desarrollo del Estado de México </w:t>
      </w:r>
      <w:r w:rsidRPr="0012597A">
        <w:rPr>
          <w:rFonts w:ascii="Times New Roman" w:eastAsia="Times New Roman" w:hAnsi="Times New Roman" w:cs="Times New Roman"/>
          <w:sz w:val="24"/>
          <w:szCs w:val="24"/>
        </w:rPr>
        <w:t xml:space="preserve">2023-2029 </w:t>
      </w:r>
      <w:r w:rsidRPr="0012597A">
        <w:rPr>
          <w:rFonts w:ascii="Times New Roman" w:eastAsia="Arial" w:hAnsi="Times New Roman" w:cs="Times New Roman"/>
          <w:sz w:val="24"/>
          <w:szCs w:val="24"/>
        </w:rPr>
        <w:t xml:space="preserve">prevé el Eje Transversal </w:t>
      </w:r>
      <w:r w:rsidRPr="0012597A">
        <w:rPr>
          <w:rFonts w:ascii="Times New Roman" w:eastAsia="Times New Roman" w:hAnsi="Times New Roman" w:cs="Times New Roman"/>
          <w:sz w:val="24"/>
          <w:szCs w:val="24"/>
        </w:rPr>
        <w:t xml:space="preserve">"2. </w:t>
      </w:r>
      <w:r w:rsidRPr="0012597A">
        <w:rPr>
          <w:rFonts w:ascii="Times New Roman" w:eastAsia="Arial" w:hAnsi="Times New Roman" w:cs="Times New Roman"/>
          <w:sz w:val="24"/>
          <w:szCs w:val="24"/>
        </w:rPr>
        <w:t xml:space="preserve">Construcción de la paz y seguridad", en cuyo objetivo "T 2.1 Identificar los factores generadores de la violencia y reparar el tejido social de forma transversal y coordinada", destacan la estrategia "T </w:t>
      </w:r>
      <w:r w:rsidRPr="0012597A">
        <w:rPr>
          <w:rFonts w:ascii="Times New Roman" w:eastAsia="Times New Roman" w:hAnsi="Times New Roman" w:cs="Times New Roman"/>
          <w:sz w:val="24"/>
          <w:szCs w:val="24"/>
        </w:rPr>
        <w:t xml:space="preserve">2.1.2 </w:t>
      </w:r>
      <w:r w:rsidRPr="0012597A">
        <w:rPr>
          <w:rFonts w:ascii="Times New Roman" w:eastAsia="Arial" w:hAnsi="Times New Roman" w:cs="Times New Roman"/>
          <w:sz w:val="24"/>
          <w:szCs w:val="24"/>
        </w:rPr>
        <w:t xml:space="preserve">"Resolver problemas de la comunidad por medio de la justicia cívica, así como coadyuvar en el acceso a la justicia de las víctimas del delito y violencia de género." y la línea de acción </w:t>
      </w:r>
      <w:r w:rsidRPr="0012597A">
        <w:rPr>
          <w:rFonts w:ascii="Times New Roman" w:eastAsia="Times New Roman" w:hAnsi="Times New Roman" w:cs="Times New Roman"/>
          <w:sz w:val="24"/>
          <w:szCs w:val="24"/>
        </w:rPr>
        <w:t xml:space="preserve">"T 2.1.2.l </w:t>
      </w:r>
      <w:r w:rsidRPr="0012597A">
        <w:rPr>
          <w:rFonts w:ascii="Times New Roman" w:eastAsia="Arial" w:hAnsi="Times New Roman" w:cs="Times New Roman"/>
          <w:sz w:val="24"/>
          <w:szCs w:val="24"/>
        </w:rPr>
        <w:t>Promover la resolución oportuna de las infracciones administrativas y conflictos comunitarios a través de la justicia cívica".</w:t>
      </w:r>
    </w:p>
    <w:p w14:paraId="5E375D5B"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D054AD9"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lastRenderedPageBreak/>
        <w:t>A efecto de que los municipios cumplan con sus obligaciones constitucionales, es de trascendental importancia que cuenten con un marco normativo sólido, que en pleno respeto a los derechos humanos, regule las atribuciones municipales en materia de seguridad pública, en lo que nos atañe, respecto a las infracciones administrativas; así como, un mecanismo para su control y seguimiento, que incida en la seguridad de las personas y sus bienes, al concentrar información de utilidad para la prevención de los delitos y faltas administrativas, y contribuya a que se mantenga el orden público y la paz social a través del cumplimiento de la normatividad aplicable; ello permitirá generar condiciones para una convivencia armónica y el fortalecimiento de los lazos comunitarios.</w:t>
      </w:r>
    </w:p>
    <w:p w14:paraId="1F1511B1"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654893F"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Es oportuno señalar que, el Congreso de la Unión, en ejercicio de la facultad exclusiva para la emisión de la Ley Nacional del Registro de Detenciones, reguló la integración y funcionamiento del Registro Nacional de Detenciones, y estableció los procedimientos para garantizar el control y seguimiento de las detenciones de personas por autoridades integrantes de las instituciones de seguridad pública, tanto en supuestos relacionados con la comisión, investigación o sanción de los delitos, como por arresto administrativo, es decir con motivo de una infracción administrativa.</w:t>
      </w:r>
    </w:p>
    <w:p w14:paraId="7421F679"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55F96FD3" w14:textId="77777777" w:rsidR="00250B5E" w:rsidRPr="0012597A" w:rsidRDefault="00250B5E" w:rsidP="00EF1C7F">
      <w:pPr>
        <w:spacing w:after="0" w:line="240" w:lineRule="auto"/>
        <w:ind w:firstLine="5"/>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Sin embargo, de no contar los municipios con herramientas necesarias para la seguridad pública, como lo es un registro de infracciones, se dificultará la aplicación de la normatividad, lo que incidirá negativamente en la percepción de inseguridad en la población, que a su vez genera falta de cohesión social, gentrificación y aumento de las brechas sociales, problemas que dificultan el bienestar social.</w:t>
      </w:r>
    </w:p>
    <w:p w14:paraId="5D43D2D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DFC25C6" w14:textId="77777777" w:rsidR="00250B5E" w:rsidRPr="0012597A" w:rsidRDefault="00250B5E" w:rsidP="00EF1C7F">
      <w:pPr>
        <w:spacing w:after="0" w:line="240" w:lineRule="auto"/>
        <w:ind w:firstLine="5"/>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En este contexto, a efecto de garantizar la protección de los derechos de las personas, cobra especial relevancia el principio de seguridad jurídica, en su vertiente de legalidad, que se encuentra previsto en los artículos 14</w:t>
      </w:r>
      <w:r w:rsidRPr="0012597A">
        <w:rPr>
          <w:rFonts w:ascii="Times New Roman" w:eastAsia="Times New Roman" w:hAnsi="Times New Roman" w:cs="Times New Roman"/>
          <w:sz w:val="24"/>
          <w:szCs w:val="24"/>
        </w:rPr>
        <w:t xml:space="preserve"> </w:t>
      </w:r>
      <w:r w:rsidRPr="0012597A">
        <w:rPr>
          <w:rFonts w:ascii="Times New Roman" w:eastAsia="Arial" w:hAnsi="Times New Roman" w:cs="Times New Roman"/>
          <w:sz w:val="24"/>
          <w:szCs w:val="24"/>
        </w:rPr>
        <w:t>y 1</w:t>
      </w:r>
      <w:r w:rsidRPr="0012597A">
        <w:rPr>
          <w:rFonts w:ascii="Times New Roman" w:eastAsia="Times New Roman" w:hAnsi="Times New Roman" w:cs="Times New Roman"/>
          <w:sz w:val="24"/>
          <w:szCs w:val="24"/>
        </w:rPr>
        <w:t xml:space="preserve">6 </w:t>
      </w:r>
      <w:r w:rsidRPr="0012597A">
        <w:rPr>
          <w:rFonts w:ascii="Times New Roman" w:eastAsia="Arial" w:hAnsi="Times New Roman" w:cs="Times New Roman"/>
          <w:sz w:val="24"/>
          <w:szCs w:val="24"/>
        </w:rPr>
        <w:t>de la Constitución Política de los Estados Unidos Mexicanos, que tiene por objeto imponer límites a las autoridades y de este modo evitar abusos en el ejercicio de los poderes públicos de todos los niveles, por lo que, en lo que nos atañe, exige:</w:t>
      </w:r>
    </w:p>
    <w:p w14:paraId="1D41E217"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38B58F0"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a) El cumplimiento al principio de taxatividad, que implica que la ley defina las conductas sancionables, de manera clara, precisa, sin ambigüedades que den lugar a interpretaciones discrecionales; al respecto, cabe precisar que, si bien este principio tiene su origen en materia penal, es aplicable al derecho administrativo sancionador.</w:t>
      </w:r>
    </w:p>
    <w:p w14:paraId="13DF94BB"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3597D7D"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b) Que las autoridades sólo realicen aquello para lo que están expresamente facultadas, con lo que se asegura que el ejercicio de la autoridad se base en la ley y no en la voluntad de quienes ejercen el servicio público.</w:t>
      </w:r>
    </w:p>
    <w:p w14:paraId="1B2FD6B1"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54BF335"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c) La obligación de fundar y motivar los actos de autoridad, la primera implica expresar con precisión los preceptos legales aplicables al caso concreto y la segunda, señalar las circunstancias, razones particulares o causas inmediatas que se hayan tenido en consideración para la emisión del acto; además de la subsunción entre los motivos y las normas invocadas para la aplicación de las consecuencias jurídicas.</w:t>
      </w:r>
    </w:p>
    <w:p w14:paraId="1DBE06DB"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E19C7CB"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Por lo anterior, a efecto de evitar vulneraciones a los derechos humanos y dotar a las autoridades municipales de un instrumento que contribuya al cumplimiento de los fines de seguridad pública y sea fuente de información estadística que permita el diseño e implementación de políticas públicas en la materia, sin que ello implique invasión de competencias ni duplicidad de figuras, se propone una armonización legislativa de la Ley de Justicia Cívica, con dos ejes claros:</w:t>
      </w:r>
    </w:p>
    <w:p w14:paraId="5E126E1E"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41757A8" w14:textId="77777777" w:rsidR="00250B5E" w:rsidRPr="0012597A" w:rsidRDefault="00250B5E" w:rsidP="00EF1C7F">
      <w:pPr>
        <w:spacing w:after="0" w:line="240" w:lineRule="auto"/>
        <w:ind w:hanging="10"/>
        <w:jc w:val="both"/>
        <w:rPr>
          <w:rFonts w:ascii="Times New Roman" w:eastAsia="Arial" w:hAnsi="Times New Roman" w:cs="Times New Roman"/>
          <w:sz w:val="24"/>
          <w:szCs w:val="24"/>
        </w:rPr>
      </w:pPr>
      <w:r w:rsidRPr="0012597A">
        <w:rPr>
          <w:rFonts w:ascii="Times New Roman" w:eastAsia="Times New Roman" w:hAnsi="Times New Roman" w:cs="Times New Roman"/>
          <w:sz w:val="24"/>
          <w:szCs w:val="24"/>
        </w:rPr>
        <w:lastRenderedPageBreak/>
        <w:t xml:space="preserve">l. </w:t>
      </w:r>
      <w:r w:rsidRPr="0012597A">
        <w:rPr>
          <w:rFonts w:ascii="Times New Roman" w:eastAsia="Arial" w:hAnsi="Times New Roman" w:cs="Times New Roman"/>
          <w:sz w:val="24"/>
          <w:szCs w:val="24"/>
        </w:rPr>
        <w:t>Asegurar el cumplimiento de la taxatividad, de modo que la descripción típica no sea vaga, imprecisa, abierta o excesivamente amplia al punto de permitir la arbitrariedad, y</w:t>
      </w:r>
    </w:p>
    <w:p w14:paraId="0E8A8AF2"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74012141"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Times New Roman" w:hAnsi="Times New Roman" w:cs="Times New Roman"/>
          <w:sz w:val="24"/>
          <w:szCs w:val="24"/>
        </w:rPr>
        <w:t xml:space="preserve">2. </w:t>
      </w:r>
      <w:r w:rsidRPr="0012597A">
        <w:rPr>
          <w:rFonts w:ascii="Times New Roman" w:eastAsia="Arial" w:hAnsi="Times New Roman" w:cs="Times New Roman"/>
          <w:sz w:val="24"/>
          <w:szCs w:val="24"/>
        </w:rPr>
        <w:t>Reconfigurar el tratamiento del registro de las infracciones conforme al marco nacional aplicable, conservando un registro para las infracciones, que sea exclusivamente un instrumento administrativo vinculado a resoluciones firmes en materia de justicia cívica, y eliminar las referencias expresas a las detenciones, en virtud de que estas deben regirse íntegramente por la Ley Nacional del Registro de Detenciones.</w:t>
      </w:r>
    </w:p>
    <w:p w14:paraId="6A65B56B"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5AEDBEFC"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En mérito de lo expuesto, se somete a la consideración de esa </w:t>
      </w:r>
      <w:r w:rsidRPr="0012597A">
        <w:rPr>
          <w:rFonts w:ascii="Times New Roman" w:eastAsia="Times New Roman" w:hAnsi="Times New Roman" w:cs="Times New Roman"/>
          <w:sz w:val="24"/>
          <w:szCs w:val="24"/>
        </w:rPr>
        <w:t xml:space="preserve">H. </w:t>
      </w:r>
      <w:r w:rsidRPr="0012597A">
        <w:rPr>
          <w:rFonts w:ascii="Times New Roman" w:eastAsia="Arial" w:hAnsi="Times New Roman" w:cs="Times New Roman"/>
          <w:sz w:val="24"/>
          <w:szCs w:val="24"/>
        </w:rPr>
        <w:t>Legislatura, la presente Iniciativa de Decreto.</w:t>
      </w:r>
    </w:p>
    <w:p w14:paraId="6DC49FB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2B3004FA"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6C3BA809"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DECRETO NÚMERO:</w:t>
      </w:r>
    </w:p>
    <w:p w14:paraId="47AA4A78" w14:textId="77777777" w:rsidR="00250B5E" w:rsidRPr="0012597A" w:rsidRDefault="00250B5E" w:rsidP="00EF1C7F">
      <w:pPr>
        <w:spacing w:after="0" w:line="240" w:lineRule="auto"/>
        <w:ind w:hanging="5"/>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LA H. "LXII" LEGISLATURA</w:t>
      </w:r>
    </w:p>
    <w:p w14:paraId="6AF7B854" w14:textId="77777777" w:rsidR="00250B5E" w:rsidRPr="0012597A" w:rsidRDefault="00250B5E" w:rsidP="00EF1C7F">
      <w:pPr>
        <w:spacing w:after="0" w:line="240" w:lineRule="auto"/>
        <w:ind w:hanging="5"/>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DEL ESTADO DE MÉXICO</w:t>
      </w:r>
    </w:p>
    <w:p w14:paraId="3C676D72" w14:textId="77777777" w:rsidR="00250B5E" w:rsidRPr="0012597A" w:rsidRDefault="00250B5E" w:rsidP="00EF1C7F">
      <w:pPr>
        <w:spacing w:after="0" w:line="240" w:lineRule="auto"/>
        <w:ind w:hanging="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DECRETA:</w:t>
      </w:r>
    </w:p>
    <w:p w14:paraId="66DE7CDD"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0690AF2" w14:textId="77777777" w:rsidR="00250B5E" w:rsidRPr="0012597A" w:rsidRDefault="00250B5E" w:rsidP="00EF1C7F">
      <w:pPr>
        <w:spacing w:after="0" w:line="240" w:lineRule="auto"/>
        <w:ind w:hanging="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ARTÍCULO ÚNICO. </w:t>
      </w:r>
      <w:r w:rsidRPr="0012597A">
        <w:rPr>
          <w:rFonts w:ascii="Times New Roman" w:eastAsia="Arial" w:hAnsi="Times New Roman" w:cs="Times New Roman"/>
          <w:sz w:val="24"/>
          <w:szCs w:val="24"/>
        </w:rPr>
        <w:t xml:space="preserve">Se reforma la fracción XXI del artículo 4, la fracción VI del artículo 19, el párrafo tercero del artículo 71, la denominación del Título Quinto </w:t>
      </w:r>
      <w:r w:rsidRPr="0012597A">
        <w:rPr>
          <w:rFonts w:ascii="Times New Roman" w:eastAsia="Times New Roman" w:hAnsi="Times New Roman" w:cs="Times New Roman"/>
          <w:sz w:val="24"/>
          <w:szCs w:val="24"/>
        </w:rPr>
        <w:t xml:space="preserve">y </w:t>
      </w:r>
      <w:r w:rsidRPr="0012597A">
        <w:rPr>
          <w:rFonts w:ascii="Times New Roman" w:eastAsia="Arial" w:hAnsi="Times New Roman" w:cs="Times New Roman"/>
          <w:sz w:val="24"/>
          <w:szCs w:val="24"/>
        </w:rPr>
        <w:t>el Capítulo Único, el artículo 74, el párrafo primero del artículo 75, los artículos 76, 77 y 124; y se deroga la fracción VIII del artículo 62 y el párrafo tercero del artículo 106 de la Ley de Justicia Cívica del Estado de México y sus Municipios, para quedar como sigue:</w:t>
      </w:r>
    </w:p>
    <w:p w14:paraId="58D5A587"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73C0E0E" w14:textId="77777777" w:rsidR="00250B5E" w:rsidRPr="0012597A" w:rsidRDefault="00250B5E" w:rsidP="00EF1C7F">
      <w:pPr>
        <w:spacing w:after="0" w:line="240" w:lineRule="auto"/>
        <w:ind w:hanging="14"/>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Artículo 4.- ...</w:t>
      </w:r>
    </w:p>
    <w:p w14:paraId="75F3E10F" w14:textId="77777777" w:rsidR="00250B5E" w:rsidRPr="0012597A" w:rsidRDefault="00250B5E" w:rsidP="00EF1C7F">
      <w:pPr>
        <w:spacing w:after="0" w:line="240" w:lineRule="auto"/>
        <w:ind w:hanging="14"/>
        <w:jc w:val="both"/>
        <w:rPr>
          <w:rFonts w:ascii="Times New Roman" w:eastAsia="Arial" w:hAnsi="Times New Roman" w:cs="Times New Roman"/>
          <w:b/>
          <w:sz w:val="24"/>
          <w:szCs w:val="24"/>
        </w:rPr>
      </w:pPr>
    </w:p>
    <w:p w14:paraId="280E0293" w14:textId="77777777" w:rsidR="00250B5E" w:rsidRPr="0012597A" w:rsidRDefault="00250B5E" w:rsidP="00EF1C7F">
      <w:pPr>
        <w:spacing w:after="0" w:line="240" w:lineRule="auto"/>
        <w:ind w:hanging="14"/>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I. </w:t>
      </w:r>
      <w:r w:rsidRPr="0012597A">
        <w:rPr>
          <w:rFonts w:ascii="Times New Roman" w:eastAsia="Times New Roman" w:hAnsi="Times New Roman" w:cs="Times New Roman"/>
          <w:sz w:val="24"/>
          <w:szCs w:val="24"/>
        </w:rPr>
        <w:t xml:space="preserve">a </w:t>
      </w:r>
      <w:r w:rsidRPr="0012597A">
        <w:rPr>
          <w:rFonts w:ascii="Times New Roman" w:eastAsia="Arial" w:hAnsi="Times New Roman" w:cs="Times New Roman"/>
          <w:b/>
          <w:sz w:val="24"/>
          <w:szCs w:val="24"/>
        </w:rPr>
        <w:t>XX. ...</w:t>
      </w:r>
    </w:p>
    <w:p w14:paraId="3C857A46" w14:textId="77777777" w:rsidR="00250B5E" w:rsidRPr="0012597A" w:rsidRDefault="00250B5E" w:rsidP="00EF1C7F">
      <w:pPr>
        <w:spacing w:after="0" w:line="240" w:lineRule="auto"/>
        <w:jc w:val="both"/>
        <w:rPr>
          <w:rFonts w:ascii="Times New Roman" w:eastAsia="Arial" w:hAnsi="Times New Roman" w:cs="Times New Roman"/>
          <w:b/>
          <w:sz w:val="24"/>
          <w:szCs w:val="24"/>
        </w:rPr>
      </w:pPr>
    </w:p>
    <w:p w14:paraId="67B0A419"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XXI. </w:t>
      </w:r>
      <w:r w:rsidRPr="0012597A">
        <w:rPr>
          <w:rFonts w:ascii="Times New Roman" w:eastAsia="Arial" w:hAnsi="Times New Roman" w:cs="Times New Roman"/>
          <w:sz w:val="24"/>
          <w:szCs w:val="24"/>
        </w:rPr>
        <w:t xml:space="preserve">Registro Municipal de </w:t>
      </w:r>
      <w:r w:rsidRPr="0012597A">
        <w:rPr>
          <w:rFonts w:ascii="Times New Roman" w:eastAsia="Arial" w:hAnsi="Times New Roman" w:cs="Times New Roman"/>
          <w:b/>
          <w:sz w:val="24"/>
          <w:szCs w:val="24"/>
        </w:rPr>
        <w:t xml:space="preserve">Infracciones: </w:t>
      </w:r>
      <w:r w:rsidRPr="0012597A">
        <w:rPr>
          <w:rFonts w:ascii="Times New Roman" w:eastAsia="Arial" w:hAnsi="Times New Roman" w:cs="Times New Roman"/>
          <w:sz w:val="24"/>
          <w:szCs w:val="24"/>
        </w:rPr>
        <w:t xml:space="preserve">Al registro de infracciones </w:t>
      </w:r>
      <w:r w:rsidRPr="0012597A">
        <w:rPr>
          <w:rFonts w:ascii="Times New Roman" w:eastAsia="Arial" w:hAnsi="Times New Roman" w:cs="Times New Roman"/>
          <w:b/>
          <w:sz w:val="24"/>
          <w:szCs w:val="24"/>
        </w:rPr>
        <w:t>determinadas por la jueza o juez cívico;</w:t>
      </w:r>
    </w:p>
    <w:p w14:paraId="7E9436A9"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701DA99" w14:textId="77777777" w:rsidR="00250B5E" w:rsidRPr="0012597A" w:rsidRDefault="00250B5E" w:rsidP="00EF1C7F">
      <w:pPr>
        <w:spacing w:after="0" w:line="240" w:lineRule="auto"/>
        <w:ind w:firstLine="5"/>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 xml:space="preserve">XXII. </w:t>
      </w:r>
      <w:r w:rsidRPr="0012597A">
        <w:rPr>
          <w:rFonts w:ascii="Times New Roman" w:eastAsia="Times New Roman" w:hAnsi="Times New Roman" w:cs="Times New Roman"/>
          <w:sz w:val="24"/>
          <w:szCs w:val="24"/>
        </w:rPr>
        <w:t xml:space="preserve">y </w:t>
      </w:r>
      <w:r w:rsidRPr="0012597A">
        <w:rPr>
          <w:rFonts w:ascii="Times New Roman" w:eastAsia="Arial" w:hAnsi="Times New Roman" w:cs="Times New Roman"/>
          <w:b/>
          <w:sz w:val="24"/>
          <w:szCs w:val="24"/>
        </w:rPr>
        <w:t>XXIII. …</w:t>
      </w:r>
    </w:p>
    <w:p w14:paraId="3D2BD3F5" w14:textId="77777777" w:rsidR="00250B5E" w:rsidRPr="0012597A" w:rsidRDefault="00250B5E" w:rsidP="00EF1C7F">
      <w:pPr>
        <w:spacing w:after="0" w:line="240" w:lineRule="auto"/>
        <w:ind w:firstLine="5"/>
        <w:jc w:val="both"/>
        <w:rPr>
          <w:rFonts w:ascii="Times New Roman" w:eastAsia="Arial" w:hAnsi="Times New Roman" w:cs="Times New Roman"/>
          <w:b/>
          <w:sz w:val="24"/>
          <w:szCs w:val="24"/>
        </w:rPr>
      </w:pPr>
    </w:p>
    <w:p w14:paraId="556F3691" w14:textId="77777777" w:rsidR="00250B5E" w:rsidRPr="0012597A" w:rsidRDefault="00250B5E" w:rsidP="00EF1C7F">
      <w:pPr>
        <w:spacing w:after="0" w:line="240" w:lineRule="auto"/>
        <w:ind w:firstLine="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Artículo 19.- …</w:t>
      </w:r>
    </w:p>
    <w:p w14:paraId="268D4D57"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5DCD554"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I. a V. ...</w:t>
      </w:r>
    </w:p>
    <w:p w14:paraId="53F0BF5F"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55EA80C5" w14:textId="77777777" w:rsidR="00250B5E" w:rsidRPr="0012597A" w:rsidRDefault="00250B5E" w:rsidP="00EF1C7F">
      <w:pPr>
        <w:spacing w:after="0" w:line="240" w:lineRule="auto"/>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 xml:space="preserve">VI. </w:t>
      </w:r>
      <w:r w:rsidRPr="0012597A">
        <w:rPr>
          <w:rFonts w:ascii="Times New Roman" w:eastAsia="Arial" w:hAnsi="Times New Roman" w:cs="Times New Roman"/>
          <w:sz w:val="24"/>
          <w:szCs w:val="24"/>
        </w:rPr>
        <w:t xml:space="preserve">Vigilar la integración y actualización del Registro </w:t>
      </w:r>
      <w:r w:rsidRPr="0012597A">
        <w:rPr>
          <w:rFonts w:ascii="Times New Roman" w:eastAsia="Arial" w:hAnsi="Times New Roman" w:cs="Times New Roman"/>
          <w:b/>
          <w:sz w:val="24"/>
          <w:szCs w:val="24"/>
        </w:rPr>
        <w:t xml:space="preserve">Municipal </w:t>
      </w:r>
      <w:r w:rsidRPr="0012597A">
        <w:rPr>
          <w:rFonts w:ascii="Times New Roman" w:eastAsia="Arial" w:hAnsi="Times New Roman" w:cs="Times New Roman"/>
          <w:sz w:val="24"/>
          <w:szCs w:val="24"/>
        </w:rPr>
        <w:t xml:space="preserve">de </w:t>
      </w:r>
      <w:r w:rsidRPr="0012597A">
        <w:rPr>
          <w:rFonts w:ascii="Times New Roman" w:eastAsia="Arial" w:hAnsi="Times New Roman" w:cs="Times New Roman"/>
          <w:b/>
          <w:sz w:val="24"/>
          <w:szCs w:val="24"/>
        </w:rPr>
        <w:t>Infracciones;</w:t>
      </w:r>
    </w:p>
    <w:p w14:paraId="205AD691" w14:textId="77777777" w:rsidR="00250B5E" w:rsidRPr="0012597A" w:rsidRDefault="00250B5E" w:rsidP="00EF1C7F">
      <w:pPr>
        <w:spacing w:after="0" w:line="240" w:lineRule="auto"/>
        <w:jc w:val="both"/>
        <w:rPr>
          <w:rFonts w:ascii="Times New Roman" w:eastAsia="Arial" w:hAnsi="Times New Roman" w:cs="Times New Roman"/>
          <w:b/>
          <w:sz w:val="24"/>
          <w:szCs w:val="24"/>
        </w:rPr>
      </w:pPr>
    </w:p>
    <w:p w14:paraId="57E639B6"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VII. y VIII. ...</w:t>
      </w:r>
    </w:p>
    <w:p w14:paraId="3640EE6F" w14:textId="77777777" w:rsidR="00250B5E" w:rsidRPr="0012597A" w:rsidRDefault="00250B5E" w:rsidP="00EF1C7F">
      <w:pPr>
        <w:spacing w:after="0" w:line="240" w:lineRule="auto"/>
        <w:ind w:hanging="10"/>
        <w:jc w:val="both"/>
        <w:rPr>
          <w:rFonts w:ascii="Times New Roman" w:eastAsia="Arial" w:hAnsi="Times New Roman" w:cs="Times New Roman"/>
          <w:b/>
          <w:sz w:val="24"/>
          <w:szCs w:val="24"/>
        </w:rPr>
      </w:pPr>
    </w:p>
    <w:p w14:paraId="7407E0B4" w14:textId="77777777" w:rsidR="00250B5E" w:rsidRPr="0012597A" w:rsidRDefault="00250B5E" w:rsidP="00EF1C7F">
      <w:pPr>
        <w:spacing w:after="0" w:line="240" w:lineRule="auto"/>
        <w:ind w:hanging="1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Artículo 62.- ...</w:t>
      </w:r>
    </w:p>
    <w:p w14:paraId="6D44450F" w14:textId="77777777" w:rsidR="00250B5E" w:rsidRPr="0012597A" w:rsidRDefault="00250B5E" w:rsidP="00EF1C7F">
      <w:pPr>
        <w:spacing w:after="0" w:line="240" w:lineRule="auto"/>
        <w:ind w:hanging="10"/>
        <w:jc w:val="both"/>
        <w:rPr>
          <w:rFonts w:ascii="Times New Roman" w:eastAsia="Arial" w:hAnsi="Times New Roman" w:cs="Times New Roman"/>
          <w:b/>
          <w:sz w:val="24"/>
          <w:szCs w:val="24"/>
        </w:rPr>
      </w:pPr>
    </w:p>
    <w:p w14:paraId="6F1A5166" w14:textId="77777777" w:rsidR="00250B5E" w:rsidRPr="0012597A" w:rsidRDefault="00250B5E" w:rsidP="00EF1C7F">
      <w:pPr>
        <w:spacing w:after="0" w:line="240" w:lineRule="auto"/>
        <w:ind w:hanging="10"/>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I. a VII. ...</w:t>
      </w:r>
    </w:p>
    <w:p w14:paraId="5FB1A71F" w14:textId="77777777" w:rsidR="00250B5E" w:rsidRPr="0012597A" w:rsidRDefault="00250B5E" w:rsidP="00EF1C7F">
      <w:pPr>
        <w:spacing w:after="0" w:line="240" w:lineRule="auto"/>
        <w:ind w:hanging="10"/>
        <w:jc w:val="both"/>
        <w:rPr>
          <w:rFonts w:ascii="Times New Roman" w:eastAsia="Arial" w:hAnsi="Times New Roman" w:cs="Times New Roman"/>
          <w:b/>
          <w:sz w:val="24"/>
          <w:szCs w:val="24"/>
        </w:rPr>
      </w:pPr>
    </w:p>
    <w:p w14:paraId="3D652DD9" w14:textId="77777777" w:rsidR="00250B5E" w:rsidRPr="0012597A" w:rsidRDefault="00250B5E" w:rsidP="00EF1C7F">
      <w:pPr>
        <w:spacing w:after="0" w:line="240" w:lineRule="auto"/>
        <w:ind w:hanging="1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VIII. Derogada.</w:t>
      </w:r>
    </w:p>
    <w:p w14:paraId="6D9CB2A6" w14:textId="77777777" w:rsidR="00250B5E" w:rsidRPr="0012597A" w:rsidRDefault="00250B5E" w:rsidP="00EF1C7F">
      <w:pPr>
        <w:spacing w:after="0" w:line="240" w:lineRule="auto"/>
        <w:ind w:hanging="10"/>
        <w:jc w:val="both"/>
        <w:rPr>
          <w:rFonts w:ascii="Times New Roman" w:eastAsia="Arial" w:hAnsi="Times New Roman" w:cs="Times New Roman"/>
          <w:b/>
          <w:sz w:val="24"/>
          <w:szCs w:val="24"/>
        </w:rPr>
      </w:pPr>
    </w:p>
    <w:p w14:paraId="2F7E7BD3" w14:textId="77777777" w:rsidR="00250B5E" w:rsidRPr="0012597A" w:rsidRDefault="00250B5E" w:rsidP="00EF1C7F">
      <w:pPr>
        <w:spacing w:after="0" w:line="240" w:lineRule="auto"/>
        <w:ind w:hanging="10"/>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IX. y X . ...</w:t>
      </w:r>
    </w:p>
    <w:p w14:paraId="22610853"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7F89143E"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lastRenderedPageBreak/>
        <w:t>…</w:t>
      </w:r>
    </w:p>
    <w:p w14:paraId="48DA824A"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1C51CCA"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w:t>
      </w:r>
    </w:p>
    <w:p w14:paraId="01EE24F0"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280BBD78"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Artículo 71.- ...</w:t>
      </w:r>
    </w:p>
    <w:p w14:paraId="65706A7F"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24B26E6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w:t>
      </w:r>
    </w:p>
    <w:p w14:paraId="6C41CD83"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33761CF7"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A efecto de determinar la reincidencia, la </w:t>
      </w:r>
      <w:r w:rsidRPr="0012597A">
        <w:rPr>
          <w:rFonts w:ascii="Times New Roman" w:eastAsia="Arial" w:hAnsi="Times New Roman" w:cs="Times New Roman"/>
          <w:b/>
          <w:sz w:val="24"/>
          <w:szCs w:val="24"/>
        </w:rPr>
        <w:t xml:space="preserve">Jueza o </w:t>
      </w:r>
      <w:r w:rsidRPr="0012597A">
        <w:rPr>
          <w:rFonts w:ascii="Times New Roman" w:eastAsia="Arial" w:hAnsi="Times New Roman" w:cs="Times New Roman"/>
          <w:sz w:val="24"/>
          <w:szCs w:val="24"/>
        </w:rPr>
        <w:t xml:space="preserve">el Juez Cívico deberá consultar el Registro </w:t>
      </w:r>
      <w:r w:rsidRPr="0012597A">
        <w:rPr>
          <w:rFonts w:ascii="Times New Roman" w:eastAsia="Arial" w:hAnsi="Times New Roman" w:cs="Times New Roman"/>
          <w:b/>
          <w:sz w:val="24"/>
          <w:szCs w:val="24"/>
        </w:rPr>
        <w:t xml:space="preserve">Municipal </w:t>
      </w:r>
      <w:r w:rsidRPr="0012597A">
        <w:rPr>
          <w:rFonts w:ascii="Times New Roman" w:eastAsia="Arial" w:hAnsi="Times New Roman" w:cs="Times New Roman"/>
          <w:sz w:val="24"/>
          <w:szCs w:val="24"/>
        </w:rPr>
        <w:t xml:space="preserve">de </w:t>
      </w:r>
      <w:r w:rsidRPr="0012597A">
        <w:rPr>
          <w:rFonts w:ascii="Times New Roman" w:eastAsia="Arial" w:hAnsi="Times New Roman" w:cs="Times New Roman"/>
          <w:b/>
          <w:sz w:val="24"/>
          <w:szCs w:val="24"/>
        </w:rPr>
        <w:t xml:space="preserve">Infracciones y en su caso, </w:t>
      </w:r>
      <w:r w:rsidRPr="0012597A">
        <w:rPr>
          <w:rFonts w:ascii="Times New Roman" w:eastAsia="Arial" w:hAnsi="Times New Roman" w:cs="Times New Roman"/>
          <w:sz w:val="24"/>
          <w:szCs w:val="24"/>
        </w:rPr>
        <w:t xml:space="preserve">hacer referencia o anexar el antecedente </w:t>
      </w:r>
      <w:r w:rsidRPr="0012597A">
        <w:rPr>
          <w:rFonts w:ascii="Times New Roman" w:eastAsia="Arial" w:hAnsi="Times New Roman" w:cs="Times New Roman"/>
          <w:b/>
          <w:sz w:val="24"/>
          <w:szCs w:val="24"/>
        </w:rPr>
        <w:t xml:space="preserve">de la persona infractora </w:t>
      </w:r>
      <w:r w:rsidRPr="0012597A">
        <w:rPr>
          <w:rFonts w:ascii="Times New Roman" w:eastAsia="Arial" w:hAnsi="Times New Roman" w:cs="Times New Roman"/>
          <w:sz w:val="24"/>
          <w:szCs w:val="24"/>
        </w:rPr>
        <w:t>en la resolución respectiva.</w:t>
      </w:r>
    </w:p>
    <w:p w14:paraId="55420BAB"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61C67417" w14:textId="77777777" w:rsidR="00250B5E" w:rsidRPr="0012597A" w:rsidRDefault="00250B5E" w:rsidP="00EF1C7F">
      <w:pPr>
        <w:spacing w:after="0" w:line="240" w:lineRule="auto"/>
        <w:jc w:val="center"/>
        <w:rPr>
          <w:rFonts w:ascii="Times New Roman" w:eastAsia="Arial" w:hAnsi="Times New Roman" w:cs="Times New Roman"/>
          <w:sz w:val="24"/>
          <w:szCs w:val="24"/>
        </w:rPr>
      </w:pPr>
      <w:r w:rsidRPr="0012597A">
        <w:rPr>
          <w:rFonts w:ascii="Times New Roman" w:eastAsia="Arial" w:hAnsi="Times New Roman" w:cs="Times New Roman"/>
          <w:sz w:val="24"/>
          <w:szCs w:val="24"/>
        </w:rPr>
        <w:t>TÍTULO QUINTO</w:t>
      </w:r>
    </w:p>
    <w:p w14:paraId="15606F73" w14:textId="77777777" w:rsidR="00250B5E" w:rsidRPr="0012597A" w:rsidRDefault="00250B5E" w:rsidP="00EF1C7F">
      <w:pPr>
        <w:spacing w:after="0" w:line="240" w:lineRule="auto"/>
        <w:jc w:val="center"/>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DEL REGISTRO </w:t>
      </w:r>
      <w:r w:rsidRPr="0012597A">
        <w:rPr>
          <w:rFonts w:ascii="Times New Roman" w:eastAsia="Arial" w:hAnsi="Times New Roman" w:cs="Times New Roman"/>
          <w:b/>
          <w:sz w:val="24"/>
          <w:szCs w:val="24"/>
        </w:rPr>
        <w:t xml:space="preserve">MUNICIPAL </w:t>
      </w:r>
      <w:r w:rsidRPr="0012597A">
        <w:rPr>
          <w:rFonts w:ascii="Times New Roman" w:eastAsia="Arial" w:hAnsi="Times New Roman" w:cs="Times New Roman"/>
          <w:sz w:val="24"/>
          <w:szCs w:val="24"/>
        </w:rPr>
        <w:t xml:space="preserve">DE </w:t>
      </w:r>
      <w:r w:rsidRPr="0012597A">
        <w:rPr>
          <w:rFonts w:ascii="Times New Roman" w:eastAsia="Arial" w:hAnsi="Times New Roman" w:cs="Times New Roman"/>
          <w:b/>
          <w:sz w:val="24"/>
          <w:szCs w:val="24"/>
        </w:rPr>
        <w:t>INFRACCIONES</w:t>
      </w:r>
    </w:p>
    <w:p w14:paraId="2FA04121" w14:textId="77777777" w:rsidR="00250B5E" w:rsidRPr="0012597A" w:rsidRDefault="00250B5E" w:rsidP="00EF1C7F">
      <w:pPr>
        <w:spacing w:after="0" w:line="240" w:lineRule="auto"/>
        <w:jc w:val="center"/>
        <w:rPr>
          <w:rFonts w:ascii="Times New Roman" w:eastAsia="Times New Roman" w:hAnsi="Times New Roman" w:cs="Times New Roman"/>
          <w:sz w:val="24"/>
          <w:szCs w:val="24"/>
        </w:rPr>
      </w:pPr>
    </w:p>
    <w:p w14:paraId="31EF6B3A" w14:textId="77777777" w:rsidR="00250B5E" w:rsidRPr="0012597A" w:rsidRDefault="00250B5E" w:rsidP="00EF1C7F">
      <w:pPr>
        <w:spacing w:after="0" w:line="240" w:lineRule="auto"/>
        <w:jc w:val="center"/>
        <w:rPr>
          <w:rFonts w:ascii="Times New Roman" w:eastAsia="Arial" w:hAnsi="Times New Roman" w:cs="Times New Roman"/>
          <w:sz w:val="24"/>
          <w:szCs w:val="24"/>
        </w:rPr>
      </w:pPr>
      <w:r w:rsidRPr="0012597A">
        <w:rPr>
          <w:rFonts w:ascii="Times New Roman" w:eastAsia="Arial" w:hAnsi="Times New Roman" w:cs="Times New Roman"/>
          <w:sz w:val="24"/>
          <w:szCs w:val="24"/>
        </w:rPr>
        <w:t>CAPÍTULO ÚNICO</w:t>
      </w:r>
    </w:p>
    <w:p w14:paraId="48F15A8C" w14:textId="77777777" w:rsidR="00250B5E" w:rsidRPr="0012597A" w:rsidRDefault="00250B5E" w:rsidP="00EF1C7F">
      <w:pPr>
        <w:spacing w:after="0" w:line="240" w:lineRule="auto"/>
        <w:jc w:val="center"/>
        <w:rPr>
          <w:rFonts w:ascii="Times New Roman" w:eastAsia="Arial" w:hAnsi="Times New Roman" w:cs="Times New Roman"/>
          <w:sz w:val="24"/>
          <w:szCs w:val="24"/>
        </w:rPr>
      </w:pPr>
      <w:r w:rsidRPr="0012597A">
        <w:rPr>
          <w:rFonts w:ascii="Times New Roman" w:eastAsia="Arial" w:hAnsi="Times New Roman" w:cs="Times New Roman"/>
          <w:sz w:val="24"/>
          <w:szCs w:val="24"/>
        </w:rPr>
        <w:t>DEL REGISTRO MUNICIPAL DE INFRACCIONES</w:t>
      </w:r>
    </w:p>
    <w:p w14:paraId="6E2B9BD3"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A05EE3B"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Artículo 74.- El Ayuntamiento contará con un Registro Municipal de Infracciones, el cual será operado por el Juzgado Cívico, a efecto de que se asiente la información de las personas a las que se les haya comprobado la comisión de infracciones en materia de Justicia Cívica. El Registro deberá contener, por lo menos:</w:t>
      </w:r>
    </w:p>
    <w:p w14:paraId="70911B9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9DC0E48"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I. Datos de identificación del expediente relativo al procedimiento del Juzgado Cívico;</w:t>
      </w:r>
    </w:p>
    <w:p w14:paraId="5A1C8A0A"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3E89015"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II. Datos de identificación de la persona infractora: nombre completo, Clave Única de Registro de Población, domicilio, y municipio de residencia, en su caso;</w:t>
      </w:r>
    </w:p>
    <w:p w14:paraId="5BEC1F10"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C7093D0"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III. Datos de la resolución, y</w:t>
      </w:r>
    </w:p>
    <w:p w14:paraId="55E354B9"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D3625F6"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IV. Sanción impuesta y forma de cumplimiento, o su conmutación.</w:t>
      </w:r>
    </w:p>
    <w:p w14:paraId="715AFF4B"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4B00D18A"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Las </w:t>
      </w:r>
      <w:r w:rsidRPr="0012597A">
        <w:rPr>
          <w:rFonts w:ascii="Times New Roman" w:eastAsia="Arial" w:hAnsi="Times New Roman" w:cs="Times New Roman"/>
          <w:b/>
          <w:sz w:val="24"/>
          <w:szCs w:val="24"/>
        </w:rPr>
        <w:t xml:space="preserve">personas </w:t>
      </w:r>
      <w:r w:rsidRPr="0012597A">
        <w:rPr>
          <w:rFonts w:ascii="Times New Roman" w:eastAsia="Arial" w:hAnsi="Times New Roman" w:cs="Times New Roman"/>
          <w:sz w:val="24"/>
          <w:szCs w:val="24"/>
        </w:rPr>
        <w:t xml:space="preserve">servidoras públicas que tengan acceso al Registro </w:t>
      </w:r>
      <w:r w:rsidRPr="0012597A">
        <w:rPr>
          <w:rFonts w:ascii="Times New Roman" w:eastAsia="Arial" w:hAnsi="Times New Roman" w:cs="Times New Roman"/>
          <w:b/>
          <w:sz w:val="24"/>
          <w:szCs w:val="24"/>
        </w:rPr>
        <w:t xml:space="preserve">Municipal </w:t>
      </w:r>
      <w:r w:rsidRPr="0012597A">
        <w:rPr>
          <w:rFonts w:ascii="Times New Roman" w:eastAsia="Arial" w:hAnsi="Times New Roman" w:cs="Times New Roman"/>
          <w:sz w:val="24"/>
          <w:szCs w:val="24"/>
        </w:rPr>
        <w:t xml:space="preserve">de </w:t>
      </w:r>
      <w:r w:rsidRPr="0012597A">
        <w:rPr>
          <w:rFonts w:ascii="Times New Roman" w:eastAsia="Arial" w:hAnsi="Times New Roman" w:cs="Times New Roman"/>
          <w:b/>
          <w:sz w:val="24"/>
          <w:szCs w:val="24"/>
        </w:rPr>
        <w:t xml:space="preserve">Infracciones </w:t>
      </w:r>
      <w:r w:rsidRPr="0012597A">
        <w:rPr>
          <w:rFonts w:ascii="Times New Roman" w:eastAsia="Arial" w:hAnsi="Times New Roman" w:cs="Times New Roman"/>
          <w:sz w:val="24"/>
          <w:szCs w:val="24"/>
        </w:rPr>
        <w:t>estarán obligadas a mantener su confidencialidad y reserva, por contener datos sensibles en términos de la normatividad de la materia aplicable.</w:t>
      </w:r>
    </w:p>
    <w:p w14:paraId="7973672F"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5B4A5DEC"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Artículo 75.- </w:t>
      </w:r>
      <w:r w:rsidRPr="0012597A">
        <w:rPr>
          <w:rFonts w:ascii="Times New Roman" w:eastAsia="Arial" w:hAnsi="Times New Roman" w:cs="Times New Roman"/>
          <w:sz w:val="24"/>
          <w:szCs w:val="24"/>
        </w:rPr>
        <w:t xml:space="preserve">El Registro </w:t>
      </w:r>
      <w:r w:rsidRPr="0012597A">
        <w:rPr>
          <w:rFonts w:ascii="Times New Roman" w:eastAsia="Arial" w:hAnsi="Times New Roman" w:cs="Times New Roman"/>
          <w:b/>
          <w:sz w:val="24"/>
          <w:szCs w:val="24"/>
        </w:rPr>
        <w:t xml:space="preserve">Municipal </w:t>
      </w:r>
      <w:r w:rsidRPr="0012597A">
        <w:rPr>
          <w:rFonts w:ascii="Times New Roman" w:eastAsia="Arial" w:hAnsi="Times New Roman" w:cs="Times New Roman"/>
          <w:sz w:val="24"/>
          <w:szCs w:val="24"/>
        </w:rPr>
        <w:t xml:space="preserve">de </w:t>
      </w:r>
      <w:r w:rsidRPr="0012597A">
        <w:rPr>
          <w:rFonts w:ascii="Times New Roman" w:eastAsia="Arial" w:hAnsi="Times New Roman" w:cs="Times New Roman"/>
          <w:b/>
          <w:sz w:val="24"/>
          <w:szCs w:val="24"/>
        </w:rPr>
        <w:t xml:space="preserve">Infracciones </w:t>
      </w:r>
      <w:r w:rsidRPr="0012597A">
        <w:rPr>
          <w:rFonts w:ascii="Times New Roman" w:eastAsia="Arial" w:hAnsi="Times New Roman" w:cs="Times New Roman"/>
          <w:sz w:val="24"/>
          <w:szCs w:val="24"/>
        </w:rPr>
        <w:t xml:space="preserve">será de consulta obligatoria para las </w:t>
      </w:r>
      <w:r w:rsidRPr="0012597A">
        <w:rPr>
          <w:rFonts w:ascii="Times New Roman" w:eastAsia="Arial" w:hAnsi="Times New Roman" w:cs="Times New Roman"/>
          <w:b/>
          <w:sz w:val="24"/>
          <w:szCs w:val="24"/>
        </w:rPr>
        <w:t xml:space="preserve">Juezas </w:t>
      </w:r>
      <w:r w:rsidRPr="0012597A">
        <w:rPr>
          <w:rFonts w:ascii="Times New Roman" w:eastAsia="Arial" w:hAnsi="Times New Roman" w:cs="Times New Roman"/>
          <w:sz w:val="24"/>
          <w:szCs w:val="24"/>
        </w:rPr>
        <w:t>y los Jueces Cívicos a efecto de obtener los elementos necesarios para la individualización de las sanciones.</w:t>
      </w:r>
    </w:p>
    <w:p w14:paraId="4F021DA5"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F3826E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w:t>
      </w:r>
    </w:p>
    <w:p w14:paraId="483904DE"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4E7CA525" w14:textId="77777777" w:rsidR="00250B5E" w:rsidRPr="0012597A" w:rsidRDefault="00250B5E" w:rsidP="00EF1C7F">
      <w:pPr>
        <w:spacing w:after="0" w:line="240" w:lineRule="auto"/>
        <w:ind w:hanging="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Artículo 76.- </w:t>
      </w:r>
      <w:r w:rsidRPr="0012597A">
        <w:rPr>
          <w:rFonts w:ascii="Times New Roman" w:eastAsia="Arial" w:hAnsi="Times New Roman" w:cs="Times New Roman"/>
          <w:sz w:val="24"/>
          <w:szCs w:val="24"/>
        </w:rPr>
        <w:t xml:space="preserve">La información contenida en el Registro </w:t>
      </w:r>
      <w:r w:rsidRPr="0012597A">
        <w:rPr>
          <w:rFonts w:ascii="Times New Roman" w:eastAsia="Arial" w:hAnsi="Times New Roman" w:cs="Times New Roman"/>
          <w:b/>
          <w:sz w:val="24"/>
          <w:szCs w:val="24"/>
        </w:rPr>
        <w:t xml:space="preserve">Municipal </w:t>
      </w:r>
      <w:r w:rsidRPr="0012597A">
        <w:rPr>
          <w:rFonts w:ascii="Times New Roman" w:eastAsia="Arial" w:hAnsi="Times New Roman" w:cs="Times New Roman"/>
          <w:sz w:val="24"/>
          <w:szCs w:val="24"/>
        </w:rPr>
        <w:t xml:space="preserve">de </w:t>
      </w:r>
      <w:r w:rsidRPr="0012597A">
        <w:rPr>
          <w:rFonts w:ascii="Times New Roman" w:eastAsia="Arial" w:hAnsi="Times New Roman" w:cs="Times New Roman"/>
          <w:b/>
          <w:sz w:val="24"/>
          <w:szCs w:val="24"/>
        </w:rPr>
        <w:t xml:space="preserve">Infracciones </w:t>
      </w:r>
      <w:r w:rsidRPr="0012597A">
        <w:rPr>
          <w:rFonts w:ascii="Times New Roman" w:eastAsia="Arial" w:hAnsi="Times New Roman" w:cs="Times New Roman"/>
          <w:sz w:val="24"/>
          <w:szCs w:val="24"/>
        </w:rPr>
        <w:t xml:space="preserve">tendrá como objeto el diseño de las estrategias y acciones tendientes a la preservación del orden y la paz pública en los municipios del Estado de México, así como la instrumentación de programas de </w:t>
      </w:r>
      <w:r w:rsidRPr="0012597A">
        <w:rPr>
          <w:rFonts w:ascii="Times New Roman" w:eastAsia="Arial" w:hAnsi="Times New Roman" w:cs="Times New Roman"/>
          <w:b/>
          <w:sz w:val="24"/>
          <w:szCs w:val="24"/>
        </w:rPr>
        <w:t xml:space="preserve">bienestar, </w:t>
      </w:r>
      <w:r w:rsidRPr="0012597A">
        <w:rPr>
          <w:rFonts w:ascii="Times New Roman" w:eastAsia="Arial" w:hAnsi="Times New Roman" w:cs="Times New Roman"/>
          <w:sz w:val="24"/>
          <w:szCs w:val="24"/>
        </w:rPr>
        <w:t xml:space="preserve">desarrollo social </w:t>
      </w:r>
      <w:r w:rsidRPr="0012597A">
        <w:rPr>
          <w:rFonts w:ascii="Times New Roman" w:eastAsia="Times New Roman" w:hAnsi="Times New Roman" w:cs="Times New Roman"/>
          <w:sz w:val="24"/>
          <w:szCs w:val="24"/>
        </w:rPr>
        <w:t xml:space="preserve">y </w:t>
      </w:r>
      <w:r w:rsidRPr="0012597A">
        <w:rPr>
          <w:rFonts w:ascii="Times New Roman" w:eastAsia="Arial" w:hAnsi="Times New Roman" w:cs="Times New Roman"/>
          <w:sz w:val="24"/>
          <w:szCs w:val="24"/>
        </w:rPr>
        <w:t>de prevención de adicciones, entre otros.</w:t>
      </w:r>
    </w:p>
    <w:p w14:paraId="1ED856E2"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6C89D8CB" w14:textId="77777777" w:rsidR="00250B5E" w:rsidRPr="0012597A" w:rsidRDefault="00250B5E" w:rsidP="00EF1C7F">
      <w:pPr>
        <w:spacing w:after="0" w:line="240" w:lineRule="auto"/>
        <w:ind w:hanging="5"/>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Artículo 77.- </w:t>
      </w:r>
      <w:r w:rsidRPr="0012597A">
        <w:rPr>
          <w:rFonts w:ascii="Times New Roman" w:eastAsia="Arial" w:hAnsi="Times New Roman" w:cs="Times New Roman"/>
          <w:sz w:val="24"/>
          <w:szCs w:val="24"/>
        </w:rPr>
        <w:t xml:space="preserve">Con el fin de asegurar las condiciones de seguridad sobre manejo </w:t>
      </w:r>
      <w:r w:rsidRPr="0012597A">
        <w:rPr>
          <w:rFonts w:ascii="Times New Roman" w:eastAsia="Times New Roman" w:hAnsi="Times New Roman" w:cs="Times New Roman"/>
          <w:sz w:val="24"/>
          <w:szCs w:val="24"/>
        </w:rPr>
        <w:t xml:space="preserve">y </w:t>
      </w:r>
      <w:r w:rsidRPr="0012597A">
        <w:rPr>
          <w:rFonts w:ascii="Times New Roman" w:eastAsia="Arial" w:hAnsi="Times New Roman" w:cs="Times New Roman"/>
          <w:sz w:val="24"/>
          <w:szCs w:val="24"/>
        </w:rPr>
        <w:t xml:space="preserve">acceso a la información del Registro </w:t>
      </w:r>
      <w:r w:rsidRPr="0012597A">
        <w:rPr>
          <w:rFonts w:ascii="Times New Roman" w:eastAsia="Arial" w:hAnsi="Times New Roman" w:cs="Times New Roman"/>
          <w:b/>
          <w:sz w:val="24"/>
          <w:szCs w:val="24"/>
        </w:rPr>
        <w:t xml:space="preserve">Municipal </w:t>
      </w:r>
      <w:r w:rsidRPr="0012597A">
        <w:rPr>
          <w:rFonts w:ascii="Times New Roman" w:eastAsia="Arial" w:hAnsi="Times New Roman" w:cs="Times New Roman"/>
          <w:sz w:val="24"/>
          <w:szCs w:val="24"/>
        </w:rPr>
        <w:t xml:space="preserve">de </w:t>
      </w:r>
      <w:r w:rsidRPr="0012597A">
        <w:rPr>
          <w:rFonts w:ascii="Times New Roman" w:eastAsia="Arial" w:hAnsi="Times New Roman" w:cs="Times New Roman"/>
          <w:b/>
          <w:sz w:val="24"/>
          <w:szCs w:val="24"/>
        </w:rPr>
        <w:t xml:space="preserve">Infracciones, las personas servidoras públicas </w:t>
      </w:r>
      <w:r w:rsidRPr="0012597A">
        <w:rPr>
          <w:rFonts w:ascii="Times New Roman" w:eastAsia="Arial" w:hAnsi="Times New Roman" w:cs="Times New Roman"/>
          <w:sz w:val="24"/>
          <w:szCs w:val="24"/>
        </w:rPr>
        <w:lastRenderedPageBreak/>
        <w:t xml:space="preserve">responsables de inscribir, proporcionar y administrar la información deberán tener claves confidenciales a fin de que quede debida constancia de cualquier movimiento de asientos, consultas </w:t>
      </w:r>
      <w:r w:rsidRPr="0012597A">
        <w:rPr>
          <w:rFonts w:ascii="Times New Roman" w:eastAsia="Times New Roman" w:hAnsi="Times New Roman" w:cs="Times New Roman"/>
          <w:sz w:val="24"/>
          <w:szCs w:val="24"/>
        </w:rPr>
        <w:t xml:space="preserve">y </w:t>
      </w:r>
      <w:r w:rsidRPr="0012597A">
        <w:rPr>
          <w:rFonts w:ascii="Times New Roman" w:eastAsia="Arial" w:hAnsi="Times New Roman" w:cs="Times New Roman"/>
          <w:sz w:val="24"/>
          <w:szCs w:val="24"/>
        </w:rPr>
        <w:t>otorgamiento de información.</w:t>
      </w:r>
    </w:p>
    <w:p w14:paraId="7F4EC287"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B89ACB5"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Artículo 106.- ...</w:t>
      </w:r>
    </w:p>
    <w:p w14:paraId="3BB35261" w14:textId="77777777" w:rsidR="00250B5E" w:rsidRPr="0012597A" w:rsidRDefault="00250B5E" w:rsidP="00EF1C7F">
      <w:pPr>
        <w:spacing w:after="0" w:line="240" w:lineRule="auto"/>
        <w:jc w:val="both"/>
        <w:rPr>
          <w:rFonts w:ascii="Times New Roman" w:eastAsia="Arial" w:hAnsi="Times New Roman" w:cs="Times New Roman"/>
          <w:b/>
          <w:sz w:val="24"/>
          <w:szCs w:val="24"/>
        </w:rPr>
      </w:pPr>
    </w:p>
    <w:p w14:paraId="696C16AC" w14:textId="77777777" w:rsidR="00250B5E" w:rsidRPr="0012597A" w:rsidRDefault="00250B5E" w:rsidP="00EF1C7F">
      <w:pPr>
        <w:spacing w:after="0" w:line="240" w:lineRule="auto"/>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w:t>
      </w:r>
    </w:p>
    <w:p w14:paraId="72AEB09A" w14:textId="77777777" w:rsidR="00250B5E" w:rsidRPr="0012597A" w:rsidRDefault="00250B5E" w:rsidP="00EF1C7F">
      <w:pPr>
        <w:spacing w:after="0" w:line="240" w:lineRule="auto"/>
        <w:jc w:val="both"/>
        <w:rPr>
          <w:rFonts w:ascii="Times New Roman" w:eastAsia="Arial" w:hAnsi="Times New Roman" w:cs="Times New Roman"/>
          <w:b/>
          <w:sz w:val="24"/>
          <w:szCs w:val="24"/>
        </w:rPr>
      </w:pPr>
    </w:p>
    <w:p w14:paraId="32BA0845"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Derogado.</w:t>
      </w:r>
    </w:p>
    <w:p w14:paraId="25DC1084"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06725C71"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Artículo 124.- </w:t>
      </w:r>
      <w:r w:rsidRPr="0012597A">
        <w:rPr>
          <w:rFonts w:ascii="Times New Roman" w:eastAsia="Arial" w:hAnsi="Times New Roman" w:cs="Times New Roman"/>
          <w:sz w:val="24"/>
          <w:szCs w:val="24"/>
        </w:rPr>
        <w:t xml:space="preserve">De los procedimientos que se desahoguen y resuelvan a través de mecanismos alternativos de solución de controversias a que se refiere la presente Ley, deberá quedar registro en los archivos del Juzgado Cívico y en el Registro de </w:t>
      </w:r>
      <w:r w:rsidRPr="0012597A">
        <w:rPr>
          <w:rFonts w:ascii="Times New Roman" w:eastAsia="Arial" w:hAnsi="Times New Roman" w:cs="Times New Roman"/>
          <w:b/>
          <w:sz w:val="24"/>
          <w:szCs w:val="24"/>
        </w:rPr>
        <w:t>Municipal de Infracciones.</w:t>
      </w:r>
    </w:p>
    <w:p w14:paraId="6C510F46"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7CC3E16B" w14:textId="77777777" w:rsidR="00250B5E" w:rsidRPr="0012597A" w:rsidRDefault="00250B5E" w:rsidP="00EF1C7F">
      <w:pPr>
        <w:spacing w:after="0" w:line="240" w:lineRule="auto"/>
        <w:jc w:val="center"/>
        <w:rPr>
          <w:rFonts w:ascii="Times New Roman" w:eastAsia="Arial" w:hAnsi="Times New Roman" w:cs="Times New Roman"/>
          <w:sz w:val="24"/>
          <w:szCs w:val="24"/>
        </w:rPr>
      </w:pPr>
      <w:r w:rsidRPr="0012597A">
        <w:rPr>
          <w:rFonts w:ascii="Times New Roman" w:eastAsia="Arial" w:hAnsi="Times New Roman" w:cs="Times New Roman"/>
          <w:b/>
          <w:sz w:val="24"/>
          <w:szCs w:val="24"/>
        </w:rPr>
        <w:t>TRANSITORIOS</w:t>
      </w:r>
    </w:p>
    <w:p w14:paraId="01ABC2C8"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355C1E57"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PRIMERO. </w:t>
      </w:r>
      <w:r w:rsidRPr="0012597A">
        <w:rPr>
          <w:rFonts w:ascii="Times New Roman" w:eastAsia="Arial" w:hAnsi="Times New Roman" w:cs="Times New Roman"/>
          <w:sz w:val="24"/>
          <w:szCs w:val="24"/>
        </w:rPr>
        <w:t>Publíquese el presente Decreto en el periódico oficial "Gaceta del Gobierno".</w:t>
      </w:r>
    </w:p>
    <w:p w14:paraId="2A04C57A"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418A9F2"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b/>
          <w:sz w:val="24"/>
          <w:szCs w:val="24"/>
        </w:rPr>
        <w:t xml:space="preserve">SEGUNDO. </w:t>
      </w:r>
      <w:r w:rsidRPr="0012597A">
        <w:rPr>
          <w:rFonts w:ascii="Times New Roman" w:eastAsia="Arial" w:hAnsi="Times New Roman" w:cs="Times New Roman"/>
          <w:sz w:val="24"/>
          <w:szCs w:val="24"/>
        </w:rPr>
        <w:t>El presente Decreto entrará en vigor al día siguiente de su publicación en el Periódico Oficial "Caceta del Gobierno".</w:t>
      </w:r>
    </w:p>
    <w:p w14:paraId="113C6D7A"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56409C83" w14:textId="77777777" w:rsidR="00250B5E" w:rsidRPr="0012597A" w:rsidRDefault="00250B5E" w:rsidP="00EF1C7F">
      <w:pPr>
        <w:spacing w:after="0" w:line="240" w:lineRule="auto"/>
        <w:ind w:left="2836"/>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HOJA DE FIRMA DE LA INICIATIVA DE DECRETO POR EL QUE SE REFOAMAN Y DEROGAN DIVERSAS DISPOSICIONES DE LA LEY DE JUSTICIA CÍVICA DEL ESTADO DE MÉXICO Y SUS MUNICIPIOS.</w:t>
      </w:r>
    </w:p>
    <w:p w14:paraId="07C13A77"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1AEC97C9" w14:textId="77777777" w:rsidR="00250B5E" w:rsidRPr="0012597A" w:rsidRDefault="00250B5E" w:rsidP="00EF1C7F">
      <w:pPr>
        <w:spacing w:after="0" w:line="240" w:lineRule="aut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Reitero a usted, la seguridad de mi atenta </w:t>
      </w:r>
      <w:r w:rsidRPr="0012597A">
        <w:rPr>
          <w:rFonts w:ascii="Times New Roman" w:eastAsia="Times New Roman" w:hAnsi="Times New Roman" w:cs="Times New Roman"/>
          <w:sz w:val="24"/>
          <w:szCs w:val="24"/>
        </w:rPr>
        <w:t xml:space="preserve">y </w:t>
      </w:r>
      <w:r w:rsidRPr="0012597A">
        <w:rPr>
          <w:rFonts w:ascii="Times New Roman" w:eastAsia="Arial" w:hAnsi="Times New Roman" w:cs="Times New Roman"/>
          <w:sz w:val="24"/>
          <w:szCs w:val="24"/>
        </w:rPr>
        <w:t>distinguida consideración.</w:t>
      </w:r>
    </w:p>
    <w:p w14:paraId="0187C879"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51228440" w14:textId="77777777" w:rsidR="00250B5E" w:rsidRPr="0012597A" w:rsidRDefault="00250B5E" w:rsidP="00EF1C7F">
      <w:pPr>
        <w:spacing w:after="0" w:line="240" w:lineRule="auto"/>
        <w:ind w:firstLine="10"/>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Palacio del Poder Ejecutivo, en la Ciudad de Toluca, capital del Estado de México, a los 9 días del mes de febrero del año 2026.</w:t>
      </w:r>
    </w:p>
    <w:p w14:paraId="3438713B" w14:textId="77777777" w:rsidR="00250B5E" w:rsidRPr="0012597A" w:rsidRDefault="00250B5E" w:rsidP="00EF1C7F">
      <w:pPr>
        <w:spacing w:after="0" w:line="240" w:lineRule="auto"/>
        <w:jc w:val="both"/>
        <w:rPr>
          <w:rFonts w:ascii="Times New Roman" w:eastAsia="Times New Roman" w:hAnsi="Times New Roman" w:cs="Times New Roman"/>
          <w:sz w:val="24"/>
          <w:szCs w:val="24"/>
        </w:rPr>
      </w:pPr>
    </w:p>
    <w:p w14:paraId="745CAB8A" w14:textId="77777777" w:rsidR="00250B5E" w:rsidRPr="0012597A" w:rsidRDefault="00250B5E" w:rsidP="00EF1C7F">
      <w:pPr>
        <w:spacing w:after="0" w:line="240" w:lineRule="auto"/>
        <w:ind w:right="49"/>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La Gobernadora Constitucional</w:t>
      </w:r>
    </w:p>
    <w:p w14:paraId="222DB56F" w14:textId="77777777" w:rsidR="00250B5E" w:rsidRPr="0012597A" w:rsidRDefault="00250B5E" w:rsidP="00EF1C7F">
      <w:pPr>
        <w:spacing w:after="0" w:line="240" w:lineRule="auto"/>
        <w:ind w:right="49"/>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del Estado de México</w:t>
      </w:r>
    </w:p>
    <w:p w14:paraId="4E96372B" w14:textId="77777777" w:rsidR="00250B5E" w:rsidRPr="0012597A" w:rsidRDefault="00250B5E" w:rsidP="00EF1C7F">
      <w:pPr>
        <w:spacing w:after="0" w:line="240" w:lineRule="auto"/>
        <w:ind w:right="49"/>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Mtra. Delfina Gómez Álvarez</w:t>
      </w:r>
    </w:p>
    <w:p w14:paraId="73CF5046" w14:textId="77777777" w:rsidR="00250B5E" w:rsidRPr="0012597A" w:rsidRDefault="00250B5E" w:rsidP="00EF1C7F">
      <w:pPr>
        <w:spacing w:after="0" w:line="240" w:lineRule="auto"/>
        <w:ind w:right="49"/>
        <w:jc w:val="center"/>
        <w:rPr>
          <w:rFonts w:ascii="Times New Roman" w:eastAsia="Times New Roman" w:hAnsi="Times New Roman" w:cs="Times New Roman"/>
          <w:sz w:val="24"/>
          <w:szCs w:val="24"/>
        </w:rPr>
      </w:pPr>
      <w:r w:rsidRPr="0012597A">
        <w:rPr>
          <w:rFonts w:ascii="Times New Roman" w:eastAsia="Times New Roman" w:hAnsi="Times New Roman" w:cs="Times New Roman"/>
          <w:b/>
          <w:sz w:val="24"/>
          <w:szCs w:val="24"/>
        </w:rPr>
        <w:t>(</w:t>
      </w:r>
      <w:r w:rsidRPr="0012597A">
        <w:rPr>
          <w:rFonts w:ascii="Times New Roman" w:eastAsia="Times New Roman" w:hAnsi="Times New Roman" w:cs="Times New Roman"/>
          <w:sz w:val="24"/>
          <w:szCs w:val="24"/>
        </w:rPr>
        <w:t>Rúbrica)</w:t>
      </w:r>
    </w:p>
    <w:p w14:paraId="73477D98" w14:textId="77777777" w:rsidR="00250B5E" w:rsidRPr="0012597A" w:rsidRDefault="00250B5E" w:rsidP="00EF1C7F">
      <w:pPr>
        <w:spacing w:after="0" w:line="240" w:lineRule="auto"/>
        <w:ind w:right="49"/>
        <w:jc w:val="both"/>
        <w:rPr>
          <w:rFonts w:ascii="Times New Roman" w:eastAsia="Times New Roman" w:hAnsi="Times New Roman" w:cs="Times New Roman"/>
          <w:sz w:val="24"/>
          <w:szCs w:val="24"/>
        </w:rPr>
      </w:pPr>
    </w:p>
    <w:p w14:paraId="18AA2D47" w14:textId="77777777" w:rsidR="00250B5E" w:rsidRPr="0012597A" w:rsidRDefault="00250B5E" w:rsidP="00EF1C7F">
      <w:pPr>
        <w:spacing w:after="0" w:line="240" w:lineRule="auto"/>
        <w:ind w:right="49"/>
        <w:jc w:val="both"/>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*JGZ</w:t>
      </w:r>
    </w:p>
    <w:p w14:paraId="5397B669" w14:textId="77777777" w:rsidR="00250B5E" w:rsidRPr="0012597A" w:rsidRDefault="00250B5E" w:rsidP="00EF1C7F">
      <w:pPr>
        <w:spacing w:after="0" w:line="240" w:lineRule="auto"/>
        <w:ind w:right="49"/>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Validación jurídica</w:t>
      </w:r>
    </w:p>
    <w:p w14:paraId="02AF7392" w14:textId="77777777" w:rsidR="00250B5E" w:rsidRPr="0012597A" w:rsidRDefault="00250B5E" w:rsidP="00EF1C7F">
      <w:pPr>
        <w:spacing w:after="0" w:line="240" w:lineRule="auto"/>
        <w:jc w:val="center"/>
        <w:rPr>
          <w:rFonts w:ascii="Times New Roman" w:hAnsi="Times New Roman"/>
          <w:sz w:val="24"/>
          <w:szCs w:val="24"/>
        </w:rPr>
      </w:pPr>
    </w:p>
    <w:p w14:paraId="1FF1578C" w14:textId="77777777" w:rsidR="00250B5E" w:rsidRPr="0012597A" w:rsidRDefault="00250B5E"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08B84F7C" w14:textId="77777777" w:rsidR="00250B5E" w:rsidRPr="0012597A" w:rsidRDefault="00250B5E" w:rsidP="00EF1C7F">
      <w:pPr>
        <w:spacing w:after="0" w:line="240" w:lineRule="auto"/>
        <w:jc w:val="center"/>
        <w:rPr>
          <w:rFonts w:ascii="Times New Roman" w:hAnsi="Times New Roman"/>
          <w:sz w:val="24"/>
          <w:szCs w:val="24"/>
        </w:rPr>
      </w:pPr>
    </w:p>
    <w:p w14:paraId="4B5C9E1F" w14:textId="10E09110"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DIP. MARTHA AZUCENA CAMACHO REYNOSO. Gracias diputado Edmundo Luis Valdeña Bastida.</w:t>
      </w:r>
    </w:p>
    <w:p w14:paraId="3B2ADDD5"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Se registra la iniciativa y se remite a las Comisiones Legislativas de Gobernación y Puntos Constitucionales, y de Procuración y Administración de Justicia, para su estudio y dictamen.</w:t>
      </w:r>
    </w:p>
    <w:p w14:paraId="768D14A9"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cuanto al punto número 7, la diputada Itzel Daniela Ballesteros Lule, presenta en nombre del Grupo Parlamentario del Partido morena, Iniciativa con Proyecto de Decreto, por el que se reforma el artículo 4.143 del Código Civil del Estado de México, en materia de fortalecimiento del aseguramiento del derecho a los alimentos.</w:t>
      </w:r>
    </w:p>
    <w:p w14:paraId="1D5E80E5"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DIP. ITZEL DANIELA BALLESTEROS LULE. Muchas gracias Presidenta.</w:t>
      </w:r>
    </w:p>
    <w:p w14:paraId="4D83A170"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Con la venia de la Presidenta de la Mesa Directiva, saludo con agrado a mis compañeras, compañere, compañeros diputados, a los medios de comunicación y al público en general que nos sintoniza por las diferentes plataformas digitales.</w:t>
      </w:r>
    </w:p>
    <w:p w14:paraId="4DD53422"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Hablar del derecho de alimentos de una niña, de un niño o de un adolescente es la certeza de que nadie debería enfrentar en la vida con carencias cuando existe una obligación legal y moral de garantizar su bienestar, detrás del concepto jurídico de alimentos hay realidades muy concretas, hay madres que todos los días hacen un esfuerzo enorme para sacar adelante a sus hijas e hijos, hay niñas y niños que esperan que la justicia llegue para poder tener acceso a lo más básico, hay familias enteras que depositan su confianza en nuestras instituciones para que la ley se cumpla y cuando el derecho de alimentos se garantiza protegemos el desarrollo de las personas, pero cuando ese derecho se incumple las consecuencias son profundas, porque no sólo se vulnera una norma jurídica, también se vulnera la dignidad de quienes dependen de este sustento para vivir.</w:t>
      </w:r>
    </w:p>
    <w:p w14:paraId="073DCC27"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el Estado de México esta realidad no nos es ajena, a lo largo de los últimos años se han registrado cientos de casos de deudores alimentarios y miles de personas que han tenido que acudir a los tribunales para reclamar algo que en realidad debería cumplirse de manera natural, la responsabilidad de proveer lo necesario para el bienestar de quienes dependen de nosotros.</w:t>
      </w:r>
    </w:p>
    <w:p w14:paraId="68CDB8CD"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Frente a esta realidad como legisladoras y legisladores tenemos la responsabilidad de fortalecer las herramientas jurídicas que permitan hacer efectivo este derecho, nuestro Código Civil contempla mecanismos importantes para garantizar el cumplimiento de la obligación alimentaria, entre ellos, se encuentra la figura del aseguramiento que permite establecer garantías como depósitos, hipotecas, fianzas o retenciones de ingresos para asegurar que la pensión alimenticia realmente se pague.</w:t>
      </w:r>
    </w:p>
    <w:p w14:paraId="37377900"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Sin embargo, la práctica jurídica nos ha demostrado que esta figura, aunque ya existe en nuestra legislación no siempre se aplica con la contundencia que la realidad social exige, en muchas ocasiones su implementación depende de la solicitud de las partes cuando en realidad debe de hacer una herramienta que permita actuar con mayor prevención y sobre todo eficacia.</w:t>
      </w:r>
    </w:p>
    <w:p w14:paraId="6629B762"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La propia Suprema Corte de Justicia de la Nación ha señalado que el aseguramiento tiene precisamente esa finalidad, prevenir el incumplimiento de la obligación alimentaria y proteger de manera efectiva el derecho de quienes dependen de ella, por ello la iniciativa que hoy se presenta ante esta soberanía tiene el propósito de fortalecer esta figura jurídica que el aseguramiento del derecho de alimentos pueda decretarse por la autoridad Judicial, garantizando así el cumplimiento oportuno y efectivo de esta obligación.</w:t>
      </w:r>
    </w:p>
    <w:p w14:paraId="696D2841"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No se trata de crear nuevas cargas, ni de complicar los procesos judiciales, se trata de darle mayor claridad y eficacia a una herramienta que ya existe en nuestra legislación para que se cumpla plenamente con su finalidad protectora, esta propuesta también se encuentra plenamente alineada con la visión social que hoy guía al Estado de México, el plan de desarrollo del Estado de México 2023-2029, impulsado por nuestra Gobernadora, la Maestra Delfina Gómez Álvarez, que establece en su eje 4, bienestar social, donde ha reiterado que el bienestar no puede medirse únicamente en indicadores, el bienestar debe sentirse en la vida cotidiana de las familias, en la tranquilidad de las madres y los padres y en las oportunidades que tienen nuestras niñas y niños para crecer, aprender y sobre todo desarrollarse.</w:t>
      </w:r>
    </w:p>
    <w:p w14:paraId="1BAE36E8"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Garantizar el derecho de alimentos significa el que una niña pueda asistir a la escuela con lo necesario, significa que un niño tenga el acceso a la salud y una vida digna, significa brindar a las familias la tranquilidad de saber que la Ley protege su derecho a vivir con justicia, que esta reforma sea entonces un paso firme para que ningún derecho se quede únicamente escrito en los Códigos y para que cada niña y cada niño y cada familia del Estado de México pueda tener la certeza de que la Ley esta para protegerles.</w:t>
      </w:r>
    </w:p>
    <w:p w14:paraId="057D2E56"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Presidenta, solicito respetuosamente que la presente iniciativa se inserte de manera íntegra en el Diario de los Debates y en la Gaceta Parlamentaria, es cuanto, gracias.</w:t>
      </w:r>
    </w:p>
    <w:p w14:paraId="48171935" w14:textId="77777777" w:rsidR="003745FD" w:rsidRPr="0012597A" w:rsidRDefault="003745FD" w:rsidP="00EF1C7F">
      <w:pPr>
        <w:pStyle w:val="Sinespaciado"/>
        <w:jc w:val="both"/>
        <w:rPr>
          <w:rFonts w:ascii="Times New Roman" w:hAnsi="Times New Roman" w:cs="Times New Roman"/>
          <w:sz w:val="24"/>
          <w:szCs w:val="24"/>
        </w:rPr>
      </w:pPr>
    </w:p>
    <w:p w14:paraId="392EE484" w14:textId="77777777" w:rsidR="003745FD" w:rsidRPr="0012597A" w:rsidRDefault="003745FD"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570162C2" w14:textId="77777777" w:rsidR="003745FD" w:rsidRPr="0012597A" w:rsidRDefault="003745FD" w:rsidP="00EF1C7F">
      <w:pPr>
        <w:spacing w:after="0" w:line="240" w:lineRule="auto"/>
        <w:jc w:val="center"/>
        <w:rPr>
          <w:rFonts w:ascii="Times New Roman" w:hAnsi="Times New Roman"/>
          <w:sz w:val="24"/>
          <w:szCs w:val="24"/>
        </w:rPr>
      </w:pPr>
    </w:p>
    <w:p w14:paraId="363BD5D3" w14:textId="77777777" w:rsidR="003745FD" w:rsidRPr="0012597A" w:rsidRDefault="003745FD" w:rsidP="00EF1C7F">
      <w:pPr>
        <w:widowControl w:val="0"/>
        <w:autoSpaceDE w:val="0"/>
        <w:autoSpaceDN w:val="0"/>
        <w:spacing w:after="0" w:line="240" w:lineRule="auto"/>
        <w:jc w:val="center"/>
        <w:rPr>
          <w:rFonts w:ascii="Times New Roman" w:eastAsia="Verdana" w:hAnsi="Times New Roman" w:cs="Times New Roman"/>
          <w:b/>
          <w:sz w:val="24"/>
          <w:szCs w:val="24"/>
        </w:rPr>
      </w:pPr>
      <w:r w:rsidRPr="0012597A">
        <w:rPr>
          <w:rFonts w:ascii="Times New Roman" w:eastAsia="Verdana" w:hAnsi="Times New Roman" w:cs="Times New Roman"/>
          <w:b/>
          <w:sz w:val="24"/>
          <w:szCs w:val="24"/>
        </w:rPr>
        <w:t>Dip. Daniela Ballesteros Lule</w:t>
      </w:r>
    </w:p>
    <w:p w14:paraId="3086C2B7" w14:textId="77777777" w:rsidR="003745FD" w:rsidRPr="0012597A" w:rsidRDefault="003745FD" w:rsidP="00EF1C7F">
      <w:pPr>
        <w:widowControl w:val="0"/>
        <w:autoSpaceDE w:val="0"/>
        <w:autoSpaceDN w:val="0"/>
        <w:spacing w:after="0" w:line="240" w:lineRule="auto"/>
        <w:jc w:val="center"/>
        <w:rPr>
          <w:rFonts w:ascii="Times New Roman" w:eastAsia="Verdana" w:hAnsi="Times New Roman" w:cs="Times New Roman"/>
          <w:sz w:val="24"/>
          <w:szCs w:val="24"/>
        </w:rPr>
      </w:pPr>
      <w:r w:rsidRPr="0012597A">
        <w:rPr>
          <w:rFonts w:ascii="Times New Roman" w:eastAsia="Verdana" w:hAnsi="Times New Roman" w:cs="Times New Roman"/>
          <w:sz w:val="24"/>
          <w:szCs w:val="24"/>
        </w:rPr>
        <w:t>Distrito XIX, Tultepec – Grupo Parlamentario morena</w:t>
      </w:r>
    </w:p>
    <w:p w14:paraId="3CE8AFC3"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45AB980B" w14:textId="77777777" w:rsidR="003745FD" w:rsidRPr="0012597A" w:rsidRDefault="003745FD" w:rsidP="00EF1C7F">
      <w:pPr>
        <w:widowControl w:val="0"/>
        <w:autoSpaceDE w:val="0"/>
        <w:autoSpaceDN w:val="0"/>
        <w:spacing w:after="0" w:line="240" w:lineRule="auto"/>
        <w:jc w:val="right"/>
        <w:rPr>
          <w:rFonts w:ascii="Times New Roman" w:eastAsia="Verdana" w:hAnsi="Times New Roman" w:cs="Times New Roman"/>
          <w:sz w:val="24"/>
          <w:szCs w:val="24"/>
        </w:rPr>
      </w:pPr>
      <w:r w:rsidRPr="0012597A">
        <w:rPr>
          <w:rFonts w:ascii="Times New Roman" w:eastAsia="Verdana" w:hAnsi="Times New Roman" w:cs="Times New Roman"/>
          <w:sz w:val="24"/>
          <w:szCs w:val="24"/>
        </w:rPr>
        <w:t xml:space="preserve">Toluca de Lerdo, Estado de México a </w:t>
      </w:r>
      <w:r w:rsidRPr="0012597A">
        <w:rPr>
          <w:rFonts w:ascii="Times New Roman" w:eastAsia="Verdana" w:hAnsi="Times New Roman" w:cs="Times New Roman"/>
          <w:sz w:val="24"/>
          <w:szCs w:val="24"/>
          <w:u w:val="single"/>
        </w:rPr>
        <w:tab/>
      </w:r>
      <w:r w:rsidRPr="0012597A">
        <w:rPr>
          <w:rFonts w:ascii="Times New Roman" w:eastAsia="Verdana" w:hAnsi="Times New Roman" w:cs="Times New Roman"/>
          <w:sz w:val="24"/>
          <w:szCs w:val="24"/>
        </w:rPr>
        <w:t>de febrero de 2026</w:t>
      </w:r>
    </w:p>
    <w:p w14:paraId="62F4AD6B"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5FADD064" w14:textId="77777777" w:rsidR="003745FD" w:rsidRPr="0012597A" w:rsidRDefault="003745FD" w:rsidP="00EF1C7F">
      <w:pPr>
        <w:widowControl w:val="0"/>
        <w:autoSpaceDE w:val="0"/>
        <w:autoSpaceDN w:val="0"/>
        <w:spacing w:after="0" w:line="240" w:lineRule="auto"/>
        <w:outlineLvl w:val="0"/>
        <w:rPr>
          <w:rFonts w:ascii="Times New Roman" w:eastAsia="Verdana" w:hAnsi="Times New Roman" w:cs="Times New Roman"/>
          <w:b/>
          <w:bCs/>
          <w:sz w:val="24"/>
          <w:szCs w:val="24"/>
        </w:rPr>
      </w:pPr>
      <w:r w:rsidRPr="0012597A">
        <w:rPr>
          <w:rFonts w:ascii="Times New Roman" w:eastAsia="Verdana" w:hAnsi="Times New Roman" w:cs="Times New Roman"/>
          <w:b/>
          <w:bCs/>
          <w:sz w:val="24"/>
          <w:szCs w:val="24"/>
        </w:rPr>
        <w:t>DIP. MARTHA AZUCENA CAMACHO REYNOSO</w:t>
      </w:r>
    </w:p>
    <w:p w14:paraId="2A206319" w14:textId="77777777" w:rsidR="003745FD" w:rsidRPr="0012597A" w:rsidRDefault="003745FD" w:rsidP="00EF1C7F">
      <w:pPr>
        <w:widowControl w:val="0"/>
        <w:autoSpaceDE w:val="0"/>
        <w:autoSpaceDN w:val="0"/>
        <w:spacing w:after="0" w:line="240" w:lineRule="auto"/>
        <w:outlineLvl w:val="0"/>
        <w:rPr>
          <w:rFonts w:ascii="Times New Roman" w:eastAsia="Verdana" w:hAnsi="Times New Roman" w:cs="Times New Roman"/>
          <w:b/>
          <w:bCs/>
          <w:sz w:val="24"/>
          <w:szCs w:val="24"/>
        </w:rPr>
      </w:pPr>
      <w:r w:rsidRPr="0012597A">
        <w:rPr>
          <w:rFonts w:ascii="Times New Roman" w:eastAsia="Verdana" w:hAnsi="Times New Roman" w:cs="Times New Roman"/>
          <w:b/>
          <w:bCs/>
          <w:sz w:val="24"/>
          <w:szCs w:val="24"/>
        </w:rPr>
        <w:t>PRESIDENTA DE LA MESA DIRECTIVA</w:t>
      </w:r>
    </w:p>
    <w:p w14:paraId="37867699"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r w:rsidRPr="0012597A">
        <w:rPr>
          <w:rFonts w:ascii="Times New Roman" w:eastAsia="Verdana" w:hAnsi="Times New Roman" w:cs="Times New Roman"/>
          <w:b/>
          <w:sz w:val="24"/>
          <w:szCs w:val="24"/>
        </w:rPr>
        <w:t>DE LA H. “LXII LEGISLATURA” DEL</w:t>
      </w:r>
    </w:p>
    <w:p w14:paraId="3C808E1E"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r w:rsidRPr="0012597A">
        <w:rPr>
          <w:rFonts w:ascii="Times New Roman" w:eastAsia="Verdana" w:hAnsi="Times New Roman" w:cs="Times New Roman"/>
          <w:b/>
          <w:sz w:val="24"/>
          <w:szCs w:val="24"/>
        </w:rPr>
        <w:t>ESTADO LIBRE Y SOBERANO DE MÉXICO</w:t>
      </w:r>
    </w:p>
    <w:p w14:paraId="2AD8FA21"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r w:rsidRPr="0012597A">
        <w:rPr>
          <w:rFonts w:ascii="Times New Roman" w:eastAsia="Verdana" w:hAnsi="Times New Roman" w:cs="Times New Roman"/>
          <w:b/>
          <w:sz w:val="24"/>
          <w:szCs w:val="24"/>
        </w:rPr>
        <w:t>P R E S E N T E</w:t>
      </w:r>
    </w:p>
    <w:p w14:paraId="610086AC"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6C3B67A6"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12597A">
        <w:rPr>
          <w:rFonts w:ascii="Times New Roman" w:eastAsia="Verdana" w:hAnsi="Times New Roman" w:cs="Times New Roman"/>
          <w:b/>
          <w:sz w:val="24"/>
          <w:szCs w:val="24"/>
        </w:rPr>
        <w:t xml:space="preserve">Iniciativa Con Proyecto De Decreto por el que se reforma el artículo 4.143 del Código Civil Del Estado De México, en materia de fortalecimiento del aseguramiento del derecho de alimentos </w:t>
      </w:r>
      <w:r w:rsidRPr="0012597A">
        <w:rPr>
          <w:rFonts w:ascii="Times New Roman" w:eastAsia="Verdana" w:hAnsi="Times New Roman" w:cs="Times New Roman"/>
          <w:sz w:val="24"/>
          <w:szCs w:val="24"/>
        </w:rPr>
        <w:t>de conformidad con la siguiente:</w:t>
      </w:r>
    </w:p>
    <w:p w14:paraId="3E042C1D"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411D2216" w14:textId="77777777" w:rsidR="003745FD" w:rsidRPr="0012597A" w:rsidRDefault="003745FD" w:rsidP="00EF1C7F">
      <w:pPr>
        <w:widowControl w:val="0"/>
        <w:autoSpaceDE w:val="0"/>
        <w:autoSpaceDN w:val="0"/>
        <w:spacing w:after="0" w:line="240" w:lineRule="auto"/>
        <w:jc w:val="center"/>
        <w:outlineLvl w:val="0"/>
        <w:rPr>
          <w:rFonts w:ascii="Times New Roman" w:eastAsia="Verdana" w:hAnsi="Times New Roman" w:cs="Times New Roman"/>
          <w:b/>
          <w:bCs/>
          <w:sz w:val="24"/>
          <w:szCs w:val="24"/>
        </w:rPr>
      </w:pPr>
      <w:r w:rsidRPr="0012597A">
        <w:rPr>
          <w:rFonts w:ascii="Times New Roman" w:eastAsia="Verdana" w:hAnsi="Times New Roman" w:cs="Times New Roman"/>
          <w:b/>
          <w:bCs/>
          <w:sz w:val="24"/>
          <w:szCs w:val="24"/>
        </w:rPr>
        <w:t>EXPOSICIÓN DE MOTIVOS</w:t>
      </w:r>
    </w:p>
    <w:p w14:paraId="15B17FC2"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557F002E"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El derecho de alimentos constituye una de las instituciones jurídicas más relevantes del Derecho Familiar, al encontrarse directamente vinculado con la subsistencia, la dignidad humana y el desarrollo integral de las personas.</w:t>
      </w:r>
    </w:p>
    <w:p w14:paraId="0436C23A"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43C5D28F"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Este derecho tiene naturaleza de orden público e interés social, por lo que el Estado tiene la obligación de garantizar su cumplimiento efectivo y oportuno.</w:t>
      </w:r>
    </w:p>
    <w:p w14:paraId="172B873A"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7BEF7649"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El Código Civil del Estado de México reconoce la figura del aseguramiento como mecanismo para garantizar el cumplimiento de la obligación alimentaria, estableciendo que éste puede consistir en diversas formas de garantía, tales como hipoteca, prenda, fianza o depósito.</w:t>
      </w:r>
      <w:r w:rsidRPr="0012597A">
        <w:rPr>
          <w:rFonts w:ascii="Times New Roman" w:eastAsia="Verdana" w:hAnsi="Times New Roman" w:cs="Times New Roman"/>
          <w:color w:val="FF0000"/>
          <w:sz w:val="24"/>
          <w:szCs w:val="24"/>
          <w:vertAlign w:val="superscript"/>
        </w:rPr>
        <w:t>1</w:t>
      </w:r>
    </w:p>
    <w:p w14:paraId="2C99D3E5"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2462B7F5"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Sin embargo, la Suprema Corte de Justicia de la Nación ha establecido que el aseguramiento constituye una figura distinta del cumplimiento de la obligación, ya que su finalidad es prevenir el incumplimiento, constituyendo una garantía que asegure el pago oportuno de los alimentos y proteja los derechos del acreedor alimentario.</w:t>
      </w:r>
      <w:r w:rsidRPr="0012597A">
        <w:rPr>
          <w:rFonts w:ascii="Times New Roman" w:eastAsia="Verdana" w:hAnsi="Times New Roman" w:cs="Times New Roman"/>
          <w:color w:val="FF0000"/>
          <w:sz w:val="24"/>
          <w:szCs w:val="24"/>
          <w:vertAlign w:val="superscript"/>
        </w:rPr>
        <w:t>2</w:t>
      </w:r>
    </w:p>
    <w:p w14:paraId="7A37FB95"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50BB6B34"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En este sentido, el aseguramiento no debe considerarse como una facultad meramente discrecional, sino como una herramienta fundamental para garantizar la efectividad del derecho de alimentos.</w:t>
      </w:r>
    </w:p>
    <w:p w14:paraId="410C8F45"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19E11AB1"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La realidad social demuestra que el incumplimiento de las obligaciones alimentarias continúa siendo un problema estructural.</w:t>
      </w:r>
    </w:p>
    <w:p w14:paraId="6BC9BCDC"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355F257B"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 xml:space="preserve">De acuerdo con datos periodísticos recientes, en el Estado de México se registraron </w:t>
      </w:r>
      <w:r w:rsidRPr="0012597A">
        <w:rPr>
          <w:rFonts w:ascii="Times New Roman" w:eastAsia="Verdana" w:hAnsi="Times New Roman" w:cs="Times New Roman"/>
          <w:b/>
          <w:sz w:val="24"/>
          <w:szCs w:val="24"/>
        </w:rPr>
        <w:t xml:space="preserve">690 deudores </w:t>
      </w:r>
      <w:r w:rsidRPr="0012597A">
        <w:rPr>
          <w:rFonts w:ascii="Times New Roman" w:eastAsia="Verdana" w:hAnsi="Times New Roman" w:cs="Times New Roman"/>
          <w:b/>
          <w:sz w:val="24"/>
          <w:szCs w:val="24"/>
        </w:rPr>
        <w:lastRenderedPageBreak/>
        <w:t>alimentarios entre 2023 y 2024</w:t>
      </w:r>
      <w:r w:rsidRPr="0012597A">
        <w:rPr>
          <w:rFonts w:ascii="Times New Roman" w:eastAsia="Verdana" w:hAnsi="Times New Roman" w:cs="Times New Roman"/>
          <w:sz w:val="24"/>
          <w:szCs w:val="24"/>
        </w:rPr>
        <w:t xml:space="preserve">, y a nivel nacional se estima que </w:t>
      </w:r>
      <w:r w:rsidRPr="0012597A">
        <w:rPr>
          <w:rFonts w:ascii="Times New Roman" w:eastAsia="Verdana" w:hAnsi="Times New Roman" w:cs="Times New Roman"/>
          <w:b/>
          <w:sz w:val="24"/>
          <w:szCs w:val="24"/>
        </w:rPr>
        <w:t>tres de cada cuatro hijos de padres separados no reciben pensión alimenticia</w:t>
      </w:r>
      <w:r w:rsidRPr="0012597A">
        <w:rPr>
          <w:rFonts w:ascii="Times New Roman" w:eastAsia="Verdana" w:hAnsi="Times New Roman" w:cs="Times New Roman"/>
          <w:sz w:val="24"/>
          <w:szCs w:val="24"/>
        </w:rPr>
        <w:t>, lo que refleja la magnitud del problema.</w:t>
      </w:r>
      <w:r w:rsidRPr="0012597A">
        <w:rPr>
          <w:rFonts w:ascii="Times New Roman" w:eastAsia="Verdana" w:hAnsi="Times New Roman" w:cs="Times New Roman"/>
          <w:color w:val="FF0000"/>
          <w:sz w:val="24"/>
          <w:szCs w:val="24"/>
          <w:vertAlign w:val="superscript"/>
        </w:rPr>
        <w:t>3</w:t>
      </w:r>
    </w:p>
    <w:p w14:paraId="1E2DA658"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58533C75"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 xml:space="preserve">Asimismo, cifras oficiales señalan que </w:t>
      </w:r>
      <w:r w:rsidRPr="0012597A">
        <w:rPr>
          <w:rFonts w:ascii="Times New Roman" w:eastAsia="Verdana" w:hAnsi="Times New Roman" w:cs="Times New Roman"/>
          <w:b/>
          <w:sz w:val="24"/>
          <w:szCs w:val="24"/>
        </w:rPr>
        <w:t>casi 14 mil personas se encuentran inscritas en el padrón estatal de deudores alimentarios</w:t>
      </w:r>
      <w:r w:rsidRPr="0012597A">
        <w:rPr>
          <w:rFonts w:ascii="Times New Roman" w:eastAsia="Verdana" w:hAnsi="Times New Roman" w:cs="Times New Roman"/>
          <w:sz w:val="24"/>
          <w:szCs w:val="24"/>
        </w:rPr>
        <w:t>, lo que evidencia la necesidad de fortalecer los mecanismos jurídicos para garantizar el cumplimiento de esta obligación.</w:t>
      </w:r>
      <w:r w:rsidRPr="0012597A">
        <w:rPr>
          <w:rFonts w:ascii="Times New Roman" w:eastAsia="Verdana" w:hAnsi="Times New Roman" w:cs="Times New Roman"/>
          <w:color w:val="FF0000"/>
          <w:sz w:val="24"/>
          <w:szCs w:val="24"/>
          <w:vertAlign w:val="superscript"/>
        </w:rPr>
        <w:t>4</w:t>
      </w:r>
    </w:p>
    <w:p w14:paraId="0C434114"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0B245750"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1</w:t>
      </w:r>
      <w:r w:rsidRPr="0012597A">
        <w:rPr>
          <w:rFonts w:ascii="Times New Roman" w:eastAsia="Verdana" w:hAnsi="Times New Roman" w:cs="Times New Roman"/>
          <w:sz w:val="20"/>
          <w:szCs w:val="24"/>
        </w:rPr>
        <w:t xml:space="preserve"> </w:t>
      </w:r>
      <w:hyperlink r:id="rId7">
        <w:r w:rsidRPr="0012597A">
          <w:rPr>
            <w:rFonts w:ascii="Times New Roman" w:eastAsia="Verdana" w:hAnsi="Times New Roman" w:cs="Times New Roman"/>
            <w:sz w:val="20"/>
            <w:szCs w:val="24"/>
            <w:u w:val="single" w:color="0000FF"/>
          </w:rPr>
          <w:t>codvig001.pdf</w:t>
        </w:r>
      </w:hyperlink>
    </w:p>
    <w:p w14:paraId="0C3650A3"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2</w:t>
      </w:r>
      <w:r w:rsidRPr="0012597A">
        <w:rPr>
          <w:rFonts w:ascii="Times New Roman" w:eastAsia="Verdana" w:hAnsi="Times New Roman" w:cs="Times New Roman"/>
          <w:sz w:val="20"/>
          <w:szCs w:val="24"/>
        </w:rPr>
        <w:t xml:space="preserve"> </w:t>
      </w:r>
      <w:hyperlink r:id="rId8">
        <w:r w:rsidRPr="0012597A">
          <w:rPr>
            <w:rFonts w:ascii="Times New Roman" w:eastAsia="Verdana" w:hAnsi="Times New Roman" w:cs="Times New Roman"/>
            <w:sz w:val="20"/>
            <w:szCs w:val="24"/>
            <w:u w:val="single" w:color="0000FF"/>
          </w:rPr>
          <w:t>CJ DyF_12 ALIMENTOS_ELECTRÓNICO.pdf</w:t>
        </w:r>
      </w:hyperlink>
    </w:p>
    <w:p w14:paraId="1AC03603"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3</w:t>
      </w:r>
      <w:r w:rsidRPr="0012597A">
        <w:rPr>
          <w:rFonts w:ascii="Times New Roman" w:eastAsia="Verdana" w:hAnsi="Times New Roman" w:cs="Times New Roman"/>
          <w:sz w:val="20"/>
          <w:szCs w:val="24"/>
        </w:rPr>
        <w:t xml:space="preserve"> </w:t>
      </w:r>
      <w:hyperlink r:id="rId9">
        <w:r w:rsidRPr="0012597A">
          <w:rPr>
            <w:rFonts w:ascii="Times New Roman" w:eastAsia="Verdana" w:hAnsi="Times New Roman" w:cs="Times New Roman"/>
            <w:sz w:val="20"/>
            <w:szCs w:val="24"/>
            <w:u w:val="single" w:color="0000FF"/>
          </w:rPr>
          <w:t>En Edomex, se registraron 690 deudores alimentarios entre 2023 y 2024- Grupo</w:t>
        </w:r>
      </w:hyperlink>
      <w:r w:rsidRPr="0012597A">
        <w:rPr>
          <w:rFonts w:ascii="Times New Roman" w:eastAsia="Verdana" w:hAnsi="Times New Roman" w:cs="Times New Roman"/>
          <w:sz w:val="20"/>
          <w:szCs w:val="24"/>
        </w:rPr>
        <w:t xml:space="preserve"> </w:t>
      </w:r>
      <w:hyperlink r:id="rId10">
        <w:r w:rsidRPr="0012597A">
          <w:rPr>
            <w:rFonts w:ascii="Times New Roman" w:eastAsia="Verdana" w:hAnsi="Times New Roman" w:cs="Times New Roman"/>
            <w:sz w:val="20"/>
            <w:szCs w:val="24"/>
            <w:u w:val="single" w:color="0000FF"/>
          </w:rPr>
          <w:t>Milenio</w:t>
        </w:r>
      </w:hyperlink>
    </w:p>
    <w:p w14:paraId="5AE4DECA"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4</w:t>
      </w:r>
      <w:r w:rsidRPr="0012597A">
        <w:rPr>
          <w:rFonts w:ascii="Times New Roman" w:eastAsia="Verdana" w:hAnsi="Times New Roman" w:cs="Times New Roman"/>
          <w:sz w:val="20"/>
          <w:szCs w:val="24"/>
        </w:rPr>
        <w:t xml:space="preserve"> </w:t>
      </w:r>
      <w:hyperlink r:id="rId11">
        <w:r w:rsidRPr="0012597A">
          <w:rPr>
            <w:rFonts w:ascii="Times New Roman" w:eastAsia="Verdana" w:hAnsi="Times New Roman" w:cs="Times New Roman"/>
            <w:sz w:val="20"/>
            <w:szCs w:val="24"/>
            <w:u w:val="single" w:color="0000FF"/>
          </w:rPr>
          <w:t>Edomex registra casi 14 mil deudores alimentarios en el padrón estatal -</w:t>
        </w:r>
      </w:hyperlink>
    </w:p>
    <w:p w14:paraId="1943D316"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5A05B574"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Incluso, el incumplimiento de la obligación alimentaria ha ido en aumento, registrando un crecimiento en el número de deudores alimentarios en la entidad.</w:t>
      </w:r>
      <w:r w:rsidRPr="0012597A">
        <w:rPr>
          <w:rFonts w:ascii="Times New Roman" w:eastAsia="Verdana" w:hAnsi="Times New Roman" w:cs="Times New Roman"/>
          <w:color w:val="FF0000"/>
          <w:sz w:val="24"/>
          <w:szCs w:val="24"/>
          <w:vertAlign w:val="superscript"/>
        </w:rPr>
        <w:t>5</w:t>
      </w:r>
    </w:p>
    <w:p w14:paraId="280F0167"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62B59339"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Estos datos evidencian que el incumplimiento de las obligaciones alimentarias no es un problema aislado, sino una problemática estructural que afecta directamente a miles de familias mexiquenses.</w:t>
      </w:r>
    </w:p>
    <w:p w14:paraId="6ADDE47F"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5D93C077"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El propio Poder Judicial del Estado de México ha reconocido la importancia de garantizar el derecho de alimentos, señalando que trabaja con sensibilidad para proteger los derechos alimentarios y la estabilidad familiar, destacando la relevancia de fortalecer los mecanismos jurídicos que permitan su cumplimiento efectivo.</w:t>
      </w:r>
      <w:r w:rsidRPr="0012597A">
        <w:rPr>
          <w:rFonts w:ascii="Times New Roman" w:eastAsia="Verdana" w:hAnsi="Times New Roman" w:cs="Times New Roman"/>
          <w:color w:val="FF0000"/>
          <w:sz w:val="24"/>
          <w:szCs w:val="24"/>
          <w:vertAlign w:val="superscript"/>
        </w:rPr>
        <w:t>6</w:t>
      </w:r>
    </w:p>
    <w:p w14:paraId="084B7777"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5232C8BA"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Asimismo, el Poder Judicial del Estado de México ha implementado acciones para fortalecer el Registro Nacional de Obligaciones Alimentarias, lo que demuestra la relevancia institucional de garantizar el cumplimiento de esta obligación.</w:t>
      </w:r>
    </w:p>
    <w:p w14:paraId="014B5FC4"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43A58DA9"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Por su parte, el Gobierno del Estado de México reconoce la importancia del Registro de Deudores Alimentarios Morosos, el cual tiene como finalidad hacer responsables a quienes incumplen con esta obligación, mediante su inscripción en registros oficiales.</w:t>
      </w:r>
      <w:r w:rsidRPr="0012597A">
        <w:rPr>
          <w:rFonts w:ascii="Times New Roman" w:eastAsia="Verdana" w:hAnsi="Times New Roman" w:cs="Times New Roman"/>
          <w:color w:val="FF0000"/>
          <w:sz w:val="24"/>
          <w:szCs w:val="24"/>
          <w:vertAlign w:val="superscript"/>
        </w:rPr>
        <w:t>7</w:t>
      </w:r>
    </w:p>
    <w:p w14:paraId="413873B9"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2DBC51A8"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No obstante, especialistas han señalado que los registros, por sí solos, no son suficientes si no se fortalecen los mecanismos jurídicos que garanticen el cumplimiento efectivo de la obligación alimentaria, el fortalecimiento del derecho de alimentos constituye una tendencia legislativa nacional e internacional.</w:t>
      </w:r>
    </w:p>
    <w:p w14:paraId="2C955E84"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7957C88A"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5</w:t>
      </w:r>
      <w:r w:rsidRPr="0012597A">
        <w:rPr>
          <w:rFonts w:ascii="Times New Roman" w:eastAsia="Verdana" w:hAnsi="Times New Roman" w:cs="Times New Roman"/>
          <w:sz w:val="20"/>
          <w:szCs w:val="24"/>
        </w:rPr>
        <w:t xml:space="preserve"> </w:t>
      </w:r>
      <w:hyperlink r:id="rId12">
        <w:r w:rsidRPr="0012597A">
          <w:rPr>
            <w:rFonts w:ascii="Times New Roman" w:eastAsia="Verdana" w:hAnsi="Times New Roman" w:cs="Times New Roman"/>
            <w:sz w:val="20"/>
            <w:szCs w:val="24"/>
            <w:u w:val="single" w:color="0000FF"/>
          </w:rPr>
          <w:t>Deudores Alimentarios en Edomex son 5% más en 2024 | La Silla Rota</w:t>
        </w:r>
      </w:hyperlink>
    </w:p>
    <w:p w14:paraId="37B54720"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6</w:t>
      </w:r>
      <w:r w:rsidRPr="0012597A">
        <w:rPr>
          <w:rFonts w:ascii="Times New Roman" w:eastAsia="Verdana" w:hAnsi="Times New Roman" w:cs="Times New Roman"/>
          <w:sz w:val="20"/>
          <w:szCs w:val="24"/>
        </w:rPr>
        <w:t xml:space="preserve"> </w:t>
      </w:r>
      <w:hyperlink r:id="rId13">
        <w:r w:rsidRPr="0012597A">
          <w:rPr>
            <w:rFonts w:ascii="Times New Roman" w:eastAsia="Verdana" w:hAnsi="Times New Roman" w:cs="Times New Roman"/>
            <w:sz w:val="20"/>
            <w:szCs w:val="24"/>
            <w:u w:val="single" w:color="0000FF"/>
          </w:rPr>
          <w:t>Poder Judicial del Estado de México</w:t>
        </w:r>
      </w:hyperlink>
    </w:p>
    <w:p w14:paraId="40766D2B"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7</w:t>
      </w:r>
      <w:r w:rsidRPr="0012597A">
        <w:rPr>
          <w:rFonts w:ascii="Times New Roman" w:eastAsia="Verdana" w:hAnsi="Times New Roman" w:cs="Times New Roman"/>
          <w:sz w:val="20"/>
          <w:szCs w:val="24"/>
        </w:rPr>
        <w:t xml:space="preserve"> </w:t>
      </w:r>
      <w:hyperlink r:id="rId14">
        <w:r w:rsidRPr="0012597A">
          <w:rPr>
            <w:rFonts w:ascii="Times New Roman" w:eastAsia="Verdana" w:hAnsi="Times New Roman" w:cs="Times New Roman"/>
            <w:sz w:val="20"/>
            <w:szCs w:val="24"/>
            <w:u w:val="single" w:color="0000FF"/>
          </w:rPr>
          <w:t>Certificado de No Deudor Alimentario | Portal Ciudadano del Gobierno del Estado de</w:t>
        </w:r>
      </w:hyperlink>
      <w:r w:rsidRPr="0012597A">
        <w:rPr>
          <w:rFonts w:ascii="Times New Roman" w:eastAsia="Verdana" w:hAnsi="Times New Roman" w:cs="Times New Roman"/>
          <w:sz w:val="20"/>
          <w:szCs w:val="24"/>
        </w:rPr>
        <w:t xml:space="preserve"> </w:t>
      </w:r>
      <w:hyperlink r:id="rId15">
        <w:r w:rsidRPr="0012597A">
          <w:rPr>
            <w:rFonts w:ascii="Times New Roman" w:eastAsia="Verdana" w:hAnsi="Times New Roman" w:cs="Times New Roman"/>
            <w:sz w:val="20"/>
            <w:szCs w:val="24"/>
            <w:u w:val="single" w:color="0000FF"/>
          </w:rPr>
          <w:t>México</w:t>
        </w:r>
      </w:hyperlink>
    </w:p>
    <w:p w14:paraId="1A46DC98"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2B89821F"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Recientemente, la Suprema Corte de Justicia de la Nación determinó que incluso los fondos de retiro pueden ser embargados para garantizar el pago de pensiones alimenticias, priorizando el derecho de alimentos sobre otros derechos patrimoniales</w:t>
      </w:r>
      <w:r w:rsidRPr="0012597A">
        <w:rPr>
          <w:rFonts w:ascii="Times New Roman" w:eastAsia="Verdana" w:hAnsi="Times New Roman" w:cs="Times New Roman"/>
          <w:color w:val="FF0000"/>
          <w:sz w:val="24"/>
          <w:szCs w:val="24"/>
          <w:vertAlign w:val="superscript"/>
        </w:rPr>
        <w:t>8</w:t>
      </w:r>
      <w:r w:rsidRPr="0012597A">
        <w:rPr>
          <w:rFonts w:ascii="Times New Roman" w:eastAsia="Verdana" w:hAnsi="Times New Roman" w:cs="Times New Roman"/>
          <w:sz w:val="24"/>
          <w:szCs w:val="24"/>
        </w:rPr>
        <w:t>, asimismo, la inscripción en el Registro de Deudores Alimentarios Morosos ha sido considerada constitucional, al constituir una medida proporcional para garantizar el cumplimiento de esta obligación.</w:t>
      </w:r>
      <w:r w:rsidRPr="0012597A">
        <w:rPr>
          <w:rFonts w:ascii="Times New Roman" w:eastAsia="Verdana" w:hAnsi="Times New Roman" w:cs="Times New Roman"/>
          <w:color w:val="FF0000"/>
          <w:sz w:val="24"/>
          <w:szCs w:val="24"/>
          <w:vertAlign w:val="superscript"/>
        </w:rPr>
        <w:t>9</w:t>
      </w:r>
    </w:p>
    <w:p w14:paraId="55519D00"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3700FC9D"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Incluso, el incumplimiento de obligaciones alimentarias constituye actualmente un impedimento para acceder a cargos públicos, como parte de los mecanismos para garantizar la responsabilidad parental.</w:t>
      </w:r>
    </w:p>
    <w:p w14:paraId="3BE7F74A"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4D06AD12"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lastRenderedPageBreak/>
        <w:t xml:space="preserve">Actualmente, el </w:t>
      </w:r>
      <w:r w:rsidRPr="0012597A">
        <w:rPr>
          <w:rFonts w:ascii="Times New Roman" w:eastAsia="Verdana" w:hAnsi="Times New Roman" w:cs="Times New Roman"/>
          <w:b/>
          <w:sz w:val="24"/>
          <w:szCs w:val="24"/>
        </w:rPr>
        <w:t xml:space="preserve">artículo 4.143 del Código Civil </w:t>
      </w:r>
      <w:r w:rsidRPr="0012597A">
        <w:rPr>
          <w:rFonts w:ascii="Times New Roman" w:eastAsia="Verdana" w:hAnsi="Times New Roman" w:cs="Times New Roman"/>
          <w:sz w:val="24"/>
          <w:szCs w:val="24"/>
        </w:rPr>
        <w:t>establece las formas de aseguramiento, pero no establece expresamente la obligación de la autoridad judicial de decretarlo de oficio, ni reconoce su carácter como mecanismo fundamental para garantizar el cumplimiento de la obligación alimentaria.</w:t>
      </w:r>
    </w:p>
    <w:p w14:paraId="142A678E"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39D36829"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Esta reforma no implica la creación de nuevas obligaciones, ni genera impacto presupuestario, sino que fortalece una figura jurídica ya existente, garantizando su correcta aplicación.</w:t>
      </w:r>
    </w:p>
    <w:p w14:paraId="7E4FC1DC"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54CD1460"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 xml:space="preserve">La presente iniciativa se encuentra alineada con el </w:t>
      </w:r>
      <w:r w:rsidRPr="0012597A">
        <w:rPr>
          <w:rFonts w:ascii="Times New Roman" w:eastAsia="Verdana" w:hAnsi="Times New Roman" w:cs="Times New Roman"/>
          <w:b/>
          <w:sz w:val="24"/>
          <w:szCs w:val="24"/>
        </w:rPr>
        <w:t>Plan de Desarrollo del Estado de México 2023-2029</w:t>
      </w:r>
      <w:r w:rsidRPr="0012597A">
        <w:rPr>
          <w:rFonts w:ascii="Times New Roman" w:eastAsia="Verdana" w:hAnsi="Times New Roman" w:cs="Times New Roman"/>
          <w:sz w:val="24"/>
          <w:szCs w:val="24"/>
        </w:rPr>
        <w:t xml:space="preserve">, particularmente con el </w:t>
      </w:r>
      <w:r w:rsidRPr="0012597A">
        <w:rPr>
          <w:rFonts w:ascii="Times New Roman" w:eastAsia="Verdana" w:hAnsi="Times New Roman" w:cs="Times New Roman"/>
          <w:b/>
          <w:sz w:val="24"/>
          <w:szCs w:val="24"/>
        </w:rPr>
        <w:t>Eje 4 “Bienestar Social”</w:t>
      </w:r>
      <w:r w:rsidRPr="0012597A">
        <w:rPr>
          <w:rFonts w:ascii="Times New Roman" w:eastAsia="Verdana" w:hAnsi="Times New Roman" w:cs="Times New Roman"/>
          <w:sz w:val="24"/>
          <w:szCs w:val="24"/>
        </w:rPr>
        <w:t>, que establece como prioridad garantizar los derechos de las personas en situación de vulnerabilidad y fortalecer los mecanismos que contribuyan al bienestar y la justicia social.</w:t>
      </w:r>
    </w:p>
    <w:p w14:paraId="5A937FAA"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67957FF6"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8</w:t>
      </w:r>
      <w:r w:rsidRPr="0012597A">
        <w:rPr>
          <w:rFonts w:ascii="Times New Roman" w:eastAsia="Verdana" w:hAnsi="Times New Roman" w:cs="Times New Roman"/>
          <w:sz w:val="20"/>
          <w:szCs w:val="24"/>
        </w:rPr>
        <w:t xml:space="preserve"> </w:t>
      </w:r>
      <w:hyperlink r:id="rId16">
        <w:r w:rsidRPr="0012597A">
          <w:rPr>
            <w:rFonts w:ascii="Times New Roman" w:eastAsia="Verdana" w:hAnsi="Times New Roman" w:cs="Times New Roman"/>
            <w:sz w:val="20"/>
            <w:szCs w:val="24"/>
            <w:u w:val="single" w:color="0000FF"/>
          </w:rPr>
          <w:t>La Suprema Corte abre la puerta a que se embargue la cuenta de Afore para el pago</w:t>
        </w:r>
      </w:hyperlink>
      <w:r w:rsidRPr="0012597A">
        <w:rPr>
          <w:rFonts w:ascii="Times New Roman" w:eastAsia="Verdana" w:hAnsi="Times New Roman" w:cs="Times New Roman"/>
          <w:sz w:val="20"/>
          <w:szCs w:val="24"/>
        </w:rPr>
        <w:t xml:space="preserve"> </w:t>
      </w:r>
      <w:hyperlink r:id="rId17">
        <w:r w:rsidRPr="0012597A">
          <w:rPr>
            <w:rFonts w:ascii="Times New Roman" w:eastAsia="Verdana" w:hAnsi="Times New Roman" w:cs="Times New Roman"/>
            <w:sz w:val="20"/>
            <w:szCs w:val="24"/>
            <w:u w:val="single" w:color="0000FF"/>
          </w:rPr>
          <w:t>de pensiones alimenticias | EL PAÍS México</w:t>
        </w:r>
      </w:hyperlink>
    </w:p>
    <w:p w14:paraId="6D5AED16"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0"/>
          <w:szCs w:val="24"/>
        </w:rPr>
      </w:pPr>
      <w:r w:rsidRPr="0012597A">
        <w:rPr>
          <w:rFonts w:ascii="Times New Roman" w:eastAsia="Verdana" w:hAnsi="Times New Roman" w:cs="Times New Roman"/>
          <w:color w:val="FF0000"/>
          <w:sz w:val="20"/>
          <w:szCs w:val="24"/>
          <w:vertAlign w:val="superscript"/>
        </w:rPr>
        <w:t>9</w:t>
      </w:r>
      <w:r w:rsidRPr="0012597A">
        <w:rPr>
          <w:rFonts w:ascii="Times New Roman" w:eastAsia="Verdana" w:hAnsi="Times New Roman" w:cs="Times New Roman"/>
          <w:sz w:val="20"/>
          <w:szCs w:val="24"/>
        </w:rPr>
        <w:t xml:space="preserve"> </w:t>
      </w:r>
      <w:hyperlink r:id="rId18">
        <w:r w:rsidRPr="0012597A">
          <w:rPr>
            <w:rFonts w:ascii="Times New Roman" w:eastAsia="Verdana" w:hAnsi="Times New Roman" w:cs="Times New Roman"/>
            <w:sz w:val="20"/>
            <w:szCs w:val="24"/>
            <w:u w:val="single" w:color="0000FF"/>
          </w:rPr>
          <w:t>Listado de Comunicados</w:t>
        </w:r>
      </w:hyperlink>
    </w:p>
    <w:p w14:paraId="54465456"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p>
    <w:p w14:paraId="291E3E16"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 xml:space="preserve">Por lo anteriormente expuesto se somete a la consideración de esta Honorable Soberanía la </w:t>
      </w:r>
      <w:r w:rsidRPr="0012597A">
        <w:rPr>
          <w:rFonts w:ascii="Times New Roman" w:eastAsia="Verdana" w:hAnsi="Times New Roman" w:cs="Times New Roman"/>
          <w:b/>
          <w:sz w:val="24"/>
          <w:szCs w:val="24"/>
        </w:rPr>
        <w:t>Iniciativa Con Proyecto De Decreto por el que se reforma el artículo 4.143 del Código Civil Del Estado De México, en materia de fortalecimiento del aseguramiento del derecho de alimentos</w:t>
      </w:r>
      <w:r w:rsidRPr="0012597A">
        <w:rPr>
          <w:rFonts w:ascii="Times New Roman" w:eastAsia="Verdana" w:hAnsi="Times New Roman" w:cs="Times New Roman"/>
          <w:sz w:val="24"/>
          <w:szCs w:val="24"/>
        </w:rPr>
        <w:t>, para que de considerarlo pertinente se apruebe en sus términos.</w:t>
      </w:r>
    </w:p>
    <w:p w14:paraId="0840997A"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314C9BBD" w14:textId="77777777" w:rsidR="003745FD" w:rsidRPr="0012597A" w:rsidRDefault="003745FD" w:rsidP="00EF1C7F">
      <w:pPr>
        <w:widowControl w:val="0"/>
        <w:autoSpaceDE w:val="0"/>
        <w:autoSpaceDN w:val="0"/>
        <w:spacing w:after="0" w:line="240" w:lineRule="auto"/>
        <w:jc w:val="center"/>
        <w:outlineLvl w:val="0"/>
        <w:rPr>
          <w:rFonts w:ascii="Times New Roman" w:eastAsia="Verdana" w:hAnsi="Times New Roman" w:cs="Times New Roman"/>
          <w:b/>
          <w:bCs/>
          <w:sz w:val="24"/>
          <w:szCs w:val="24"/>
        </w:rPr>
      </w:pPr>
      <w:r w:rsidRPr="0012597A">
        <w:rPr>
          <w:rFonts w:ascii="Times New Roman" w:eastAsia="Verdana" w:hAnsi="Times New Roman" w:cs="Times New Roman"/>
          <w:b/>
          <w:bCs/>
          <w:sz w:val="24"/>
          <w:szCs w:val="24"/>
        </w:rPr>
        <w:t>ATENTAMENTE</w:t>
      </w:r>
    </w:p>
    <w:p w14:paraId="62FF60E6"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7A353D14" w14:textId="77777777" w:rsidR="003745FD" w:rsidRPr="0012597A" w:rsidRDefault="003745FD" w:rsidP="00EF1C7F">
      <w:pPr>
        <w:widowControl w:val="0"/>
        <w:autoSpaceDE w:val="0"/>
        <w:autoSpaceDN w:val="0"/>
        <w:spacing w:after="0" w:line="240" w:lineRule="auto"/>
        <w:jc w:val="center"/>
        <w:rPr>
          <w:rFonts w:ascii="Times New Roman" w:eastAsia="Verdana" w:hAnsi="Times New Roman" w:cs="Times New Roman"/>
          <w:b/>
          <w:sz w:val="24"/>
          <w:szCs w:val="24"/>
        </w:rPr>
      </w:pPr>
      <w:r w:rsidRPr="0012597A">
        <w:rPr>
          <w:rFonts w:ascii="Times New Roman" w:eastAsia="Verdana" w:hAnsi="Times New Roman" w:cs="Times New Roman"/>
          <w:b/>
          <w:sz w:val="24"/>
          <w:szCs w:val="24"/>
        </w:rPr>
        <w:t>DIPUTADA ITZEL DANIELA BALLESTEROS LULE</w:t>
      </w:r>
    </w:p>
    <w:p w14:paraId="67752D30" w14:textId="77777777" w:rsidR="003745FD" w:rsidRPr="0012597A" w:rsidRDefault="003745FD" w:rsidP="00EF1C7F">
      <w:pPr>
        <w:widowControl w:val="0"/>
        <w:autoSpaceDE w:val="0"/>
        <w:autoSpaceDN w:val="0"/>
        <w:spacing w:after="0" w:line="240" w:lineRule="auto"/>
        <w:jc w:val="center"/>
        <w:rPr>
          <w:rFonts w:ascii="Times New Roman" w:eastAsia="Verdana" w:hAnsi="Times New Roman" w:cs="Times New Roman"/>
          <w:b/>
          <w:sz w:val="24"/>
          <w:szCs w:val="24"/>
        </w:rPr>
      </w:pPr>
      <w:r w:rsidRPr="0012597A">
        <w:rPr>
          <w:rFonts w:ascii="Times New Roman" w:eastAsia="Verdana" w:hAnsi="Times New Roman" w:cs="Times New Roman"/>
          <w:b/>
          <w:sz w:val="24"/>
          <w:szCs w:val="24"/>
        </w:rPr>
        <w:t>GRUPO PARLAMENTARIO DEL PARTIDO MORENA</w:t>
      </w:r>
    </w:p>
    <w:p w14:paraId="15536D45"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3C93B9F2"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0A515681"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6D704151" w14:textId="77777777" w:rsidR="003745FD" w:rsidRPr="0012597A" w:rsidRDefault="003745FD" w:rsidP="00EF1C7F">
      <w:pPr>
        <w:widowControl w:val="0"/>
        <w:autoSpaceDE w:val="0"/>
        <w:autoSpaceDN w:val="0"/>
        <w:spacing w:after="0" w:line="240" w:lineRule="auto"/>
        <w:outlineLvl w:val="0"/>
        <w:rPr>
          <w:rFonts w:ascii="Times New Roman" w:eastAsia="Verdana" w:hAnsi="Times New Roman" w:cs="Times New Roman"/>
          <w:b/>
          <w:bCs/>
          <w:sz w:val="24"/>
          <w:szCs w:val="24"/>
        </w:rPr>
      </w:pPr>
      <w:r w:rsidRPr="0012597A">
        <w:rPr>
          <w:rFonts w:ascii="Times New Roman" w:eastAsia="Verdana" w:hAnsi="Times New Roman" w:cs="Times New Roman"/>
          <w:b/>
          <w:bCs/>
          <w:sz w:val="24"/>
          <w:szCs w:val="24"/>
        </w:rPr>
        <w:t xml:space="preserve">DECRETO NÚMERO: </w:t>
      </w:r>
      <w:r w:rsidRPr="0012597A">
        <w:rPr>
          <w:rFonts w:ascii="Times New Roman" w:eastAsia="Verdana" w:hAnsi="Times New Roman" w:cs="Times New Roman"/>
          <w:b/>
          <w:bCs/>
          <w:sz w:val="24"/>
          <w:szCs w:val="24"/>
          <w:u w:val="thick"/>
        </w:rPr>
        <w:tab/>
      </w:r>
    </w:p>
    <w:p w14:paraId="0686B1F2"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r w:rsidRPr="0012597A">
        <w:rPr>
          <w:rFonts w:ascii="Times New Roman" w:eastAsia="Verdana" w:hAnsi="Times New Roman" w:cs="Times New Roman"/>
          <w:b/>
          <w:sz w:val="24"/>
          <w:szCs w:val="24"/>
        </w:rPr>
        <w:t>LA H. “LXII” LEGISLATURA DEL ESTADO</w:t>
      </w:r>
    </w:p>
    <w:p w14:paraId="78654B94"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r w:rsidRPr="0012597A">
        <w:rPr>
          <w:rFonts w:ascii="Times New Roman" w:eastAsia="Verdana" w:hAnsi="Times New Roman" w:cs="Times New Roman"/>
          <w:b/>
          <w:sz w:val="24"/>
          <w:szCs w:val="24"/>
        </w:rPr>
        <w:t>LIBRE Y SOBERANO DE MÉXICO</w:t>
      </w:r>
    </w:p>
    <w:p w14:paraId="61117595"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r w:rsidRPr="0012597A">
        <w:rPr>
          <w:rFonts w:ascii="Times New Roman" w:eastAsia="Verdana" w:hAnsi="Times New Roman" w:cs="Times New Roman"/>
          <w:b/>
          <w:sz w:val="24"/>
          <w:szCs w:val="24"/>
        </w:rPr>
        <w:t>DECRETA:</w:t>
      </w:r>
    </w:p>
    <w:p w14:paraId="75D8C90A"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18A584C3"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b/>
          <w:sz w:val="24"/>
          <w:szCs w:val="24"/>
        </w:rPr>
        <w:t xml:space="preserve">ARTÍCULO UNICO. </w:t>
      </w:r>
      <w:r w:rsidRPr="0012597A">
        <w:rPr>
          <w:rFonts w:ascii="Times New Roman" w:eastAsia="Verdana" w:hAnsi="Times New Roman" w:cs="Times New Roman"/>
          <w:sz w:val="24"/>
          <w:szCs w:val="24"/>
        </w:rPr>
        <w:t xml:space="preserve">Se reforma el </w:t>
      </w:r>
      <w:r w:rsidRPr="0012597A">
        <w:rPr>
          <w:rFonts w:ascii="Times New Roman" w:eastAsia="Verdana" w:hAnsi="Times New Roman" w:cs="Times New Roman"/>
          <w:b/>
          <w:sz w:val="24"/>
          <w:szCs w:val="24"/>
        </w:rPr>
        <w:t xml:space="preserve">artículo 4.143 </w:t>
      </w:r>
      <w:r w:rsidRPr="0012597A">
        <w:rPr>
          <w:rFonts w:ascii="Times New Roman" w:eastAsia="Verdana" w:hAnsi="Times New Roman" w:cs="Times New Roman"/>
          <w:sz w:val="24"/>
          <w:szCs w:val="24"/>
        </w:rPr>
        <w:t>del Código Civil del Estado de México, para quedar como sigue:</w:t>
      </w:r>
    </w:p>
    <w:p w14:paraId="20E2F7B2"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3E452CC0"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b/>
          <w:sz w:val="24"/>
          <w:szCs w:val="24"/>
        </w:rPr>
      </w:pPr>
      <w:r w:rsidRPr="0012597A">
        <w:rPr>
          <w:rFonts w:ascii="Times New Roman" w:eastAsia="Verdana" w:hAnsi="Times New Roman" w:cs="Times New Roman"/>
          <w:b/>
          <w:sz w:val="24"/>
          <w:szCs w:val="24"/>
        </w:rPr>
        <w:t>Artículo 4.143.- El aseguramiento deberá decretarse por la autoridad judicial con el fin de garantizar el cumplimiento oportuno y efectivo de la obligación alimentaria.</w:t>
      </w:r>
    </w:p>
    <w:p w14:paraId="7ED2875B"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6D9FA471"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b/>
          <w:sz w:val="24"/>
          <w:szCs w:val="24"/>
        </w:rPr>
      </w:pPr>
      <w:r w:rsidRPr="0012597A">
        <w:rPr>
          <w:rFonts w:ascii="Times New Roman" w:eastAsia="Verdana" w:hAnsi="Times New Roman" w:cs="Times New Roman"/>
          <w:b/>
          <w:sz w:val="24"/>
          <w:szCs w:val="24"/>
        </w:rPr>
        <w:t>Para tal efecto, el aseguramiento podrá consistir en hipoteca, prenda, fianza, depósito, retención o descuento directo de ingresos, o cualquier otra forma de garantía suficiente que, a juicio de la autoridad judicial, sea bastante para cubrir los alimentos.</w:t>
      </w:r>
    </w:p>
    <w:p w14:paraId="207482F5"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30D0A6E1"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b/>
          <w:sz w:val="24"/>
          <w:szCs w:val="24"/>
        </w:rPr>
      </w:pPr>
      <w:r w:rsidRPr="0012597A">
        <w:rPr>
          <w:rFonts w:ascii="Times New Roman" w:eastAsia="Verdana" w:hAnsi="Times New Roman" w:cs="Times New Roman"/>
          <w:b/>
          <w:sz w:val="24"/>
          <w:szCs w:val="24"/>
        </w:rPr>
        <w:t>La autoridad judicial ordenará de oficio las medidas de aseguramiento que resulten necesarias, atendiendo a las circunstancias del caso y a la protección del derecho de alimentos.</w:t>
      </w:r>
    </w:p>
    <w:p w14:paraId="4F9ED037"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b/>
          <w:sz w:val="24"/>
          <w:szCs w:val="24"/>
        </w:rPr>
      </w:pPr>
    </w:p>
    <w:p w14:paraId="1AA6BCF4" w14:textId="77777777" w:rsidR="003745FD" w:rsidRPr="0012597A" w:rsidRDefault="003745FD" w:rsidP="00EF1C7F">
      <w:pPr>
        <w:widowControl w:val="0"/>
        <w:autoSpaceDE w:val="0"/>
        <w:autoSpaceDN w:val="0"/>
        <w:spacing w:after="0" w:line="240" w:lineRule="auto"/>
        <w:jc w:val="center"/>
        <w:outlineLvl w:val="0"/>
        <w:rPr>
          <w:rFonts w:ascii="Times New Roman" w:eastAsia="Verdana" w:hAnsi="Times New Roman" w:cs="Times New Roman"/>
          <w:b/>
          <w:bCs/>
          <w:sz w:val="24"/>
          <w:szCs w:val="24"/>
        </w:rPr>
      </w:pPr>
      <w:r w:rsidRPr="0012597A">
        <w:rPr>
          <w:rFonts w:ascii="Times New Roman" w:eastAsia="Verdana" w:hAnsi="Times New Roman" w:cs="Times New Roman"/>
          <w:b/>
          <w:bCs/>
          <w:sz w:val="24"/>
          <w:szCs w:val="24"/>
        </w:rPr>
        <w:t>TRANSITORIOS</w:t>
      </w:r>
    </w:p>
    <w:p w14:paraId="09AB907F"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15D2FFED"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b/>
          <w:sz w:val="24"/>
          <w:szCs w:val="24"/>
        </w:rPr>
        <w:lastRenderedPageBreak/>
        <w:t xml:space="preserve">PRIMERO. </w:t>
      </w:r>
      <w:r w:rsidRPr="0012597A">
        <w:rPr>
          <w:rFonts w:ascii="Times New Roman" w:eastAsia="Verdana" w:hAnsi="Times New Roman" w:cs="Times New Roman"/>
          <w:sz w:val="24"/>
          <w:szCs w:val="24"/>
        </w:rPr>
        <w:t>Publíquese el presente Decreto en el Periódico Oficial “Gaceta del Gobierno”.</w:t>
      </w:r>
    </w:p>
    <w:p w14:paraId="5AB0EBE1"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50560D33"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b/>
          <w:sz w:val="24"/>
          <w:szCs w:val="24"/>
        </w:rPr>
        <w:t xml:space="preserve">SEGUNDO. </w:t>
      </w:r>
      <w:r w:rsidRPr="0012597A">
        <w:rPr>
          <w:rFonts w:ascii="Times New Roman" w:eastAsia="Verdana" w:hAnsi="Times New Roman" w:cs="Times New Roman"/>
          <w:sz w:val="24"/>
          <w:szCs w:val="24"/>
        </w:rPr>
        <w:t>El presente Decreto entrará en vigor al día siguiente de su publicación en el Periódico Oficial “Gaceta del Gobierno”.</w:t>
      </w:r>
    </w:p>
    <w:p w14:paraId="10453E0A"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4B69B74F"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Lo tendrá entendido la Gobernadora del Estado, haciendo que se publique y cumpla.</w:t>
      </w:r>
    </w:p>
    <w:p w14:paraId="31AA3BF3" w14:textId="77777777" w:rsidR="003745FD" w:rsidRPr="0012597A" w:rsidRDefault="003745FD" w:rsidP="00EF1C7F">
      <w:pPr>
        <w:widowControl w:val="0"/>
        <w:autoSpaceDE w:val="0"/>
        <w:autoSpaceDN w:val="0"/>
        <w:spacing w:after="0" w:line="240" w:lineRule="auto"/>
        <w:rPr>
          <w:rFonts w:ascii="Times New Roman" w:eastAsia="Verdana" w:hAnsi="Times New Roman" w:cs="Times New Roman"/>
          <w:sz w:val="24"/>
          <w:szCs w:val="24"/>
        </w:rPr>
      </w:pPr>
    </w:p>
    <w:p w14:paraId="6ACAA27B" w14:textId="77777777" w:rsidR="003745FD" w:rsidRPr="0012597A" w:rsidRDefault="003745FD" w:rsidP="00EF1C7F">
      <w:pPr>
        <w:widowControl w:val="0"/>
        <w:autoSpaceDE w:val="0"/>
        <w:autoSpaceDN w:val="0"/>
        <w:spacing w:after="0" w:line="240" w:lineRule="auto"/>
        <w:jc w:val="both"/>
        <w:rPr>
          <w:rFonts w:ascii="Times New Roman" w:eastAsia="Verdana" w:hAnsi="Times New Roman" w:cs="Times New Roman"/>
          <w:sz w:val="24"/>
          <w:szCs w:val="24"/>
        </w:rPr>
      </w:pPr>
      <w:r w:rsidRPr="0012597A">
        <w:rPr>
          <w:rFonts w:ascii="Times New Roman" w:eastAsia="Verdana" w:hAnsi="Times New Roman" w:cs="Times New Roman"/>
          <w:sz w:val="24"/>
          <w:szCs w:val="24"/>
        </w:rPr>
        <w:t xml:space="preserve">Dado en el Palacio del Poder Legislativo, en la Ciudad de Toluca de Lerdo, Capital del Estado de México, a los </w:t>
      </w:r>
      <w:r w:rsidRPr="0012597A">
        <w:rPr>
          <w:rFonts w:ascii="Times New Roman" w:eastAsia="Verdana" w:hAnsi="Times New Roman" w:cs="Times New Roman"/>
          <w:sz w:val="24"/>
          <w:szCs w:val="24"/>
          <w:u w:val="single"/>
        </w:rPr>
        <w:tab/>
      </w:r>
      <w:r w:rsidRPr="0012597A">
        <w:rPr>
          <w:rFonts w:ascii="Times New Roman" w:eastAsia="Verdana" w:hAnsi="Times New Roman" w:cs="Times New Roman"/>
          <w:sz w:val="24"/>
          <w:szCs w:val="24"/>
        </w:rPr>
        <w:t xml:space="preserve"> del mes de </w:t>
      </w:r>
      <w:r w:rsidRPr="0012597A">
        <w:rPr>
          <w:rFonts w:ascii="Times New Roman" w:eastAsia="Verdana" w:hAnsi="Times New Roman" w:cs="Times New Roman"/>
          <w:sz w:val="24"/>
          <w:szCs w:val="24"/>
          <w:u w:val="single"/>
        </w:rPr>
        <w:tab/>
      </w:r>
      <w:r w:rsidRPr="0012597A">
        <w:rPr>
          <w:rFonts w:ascii="Times New Roman" w:eastAsia="Verdana" w:hAnsi="Times New Roman" w:cs="Times New Roman"/>
          <w:sz w:val="24"/>
          <w:szCs w:val="24"/>
        </w:rPr>
        <w:t xml:space="preserve"> de 2026.</w:t>
      </w:r>
    </w:p>
    <w:p w14:paraId="6B369F44" w14:textId="77777777" w:rsidR="003745FD" w:rsidRPr="0012597A" w:rsidRDefault="003745FD" w:rsidP="00EF1C7F">
      <w:pPr>
        <w:spacing w:after="0" w:line="240" w:lineRule="auto"/>
        <w:jc w:val="center"/>
        <w:rPr>
          <w:rFonts w:ascii="Times New Roman" w:hAnsi="Times New Roman"/>
          <w:sz w:val="24"/>
          <w:szCs w:val="24"/>
        </w:rPr>
      </w:pPr>
    </w:p>
    <w:p w14:paraId="2988D809" w14:textId="77777777" w:rsidR="003745FD" w:rsidRPr="0012597A" w:rsidRDefault="003745FD"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01D48D24" w14:textId="77777777" w:rsidR="003745FD" w:rsidRPr="0012597A" w:rsidRDefault="003745FD" w:rsidP="00EF1C7F">
      <w:pPr>
        <w:spacing w:after="0" w:line="240" w:lineRule="auto"/>
        <w:jc w:val="center"/>
        <w:rPr>
          <w:rFonts w:ascii="Times New Roman" w:hAnsi="Times New Roman"/>
          <w:sz w:val="24"/>
          <w:szCs w:val="24"/>
        </w:rPr>
      </w:pPr>
    </w:p>
    <w:p w14:paraId="2E675ABB" w14:textId="3F0DDB90"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DIP. MARTHA AZUCENA CAMACHO REYNOSO. Gracias diputada Itzel Daniela Ballesteros Lule.</w:t>
      </w:r>
    </w:p>
    <w:p w14:paraId="4E108855"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Se registra la iniciativa y se remite a la Comisión Legislativa de Procuración y Administración de Justicia para su estudio y dictamen.</w:t>
      </w:r>
    </w:p>
    <w:p w14:paraId="6B4AFAE5" w14:textId="60D87E99"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En cuanto al punto número 8, la diputada Brenda Colette Miranda, presenta en nombre del Grupo Parlamentario del Partido morena, Iniciativa con Proyecto de Decreto por el que se adiciona la fracción X al artículo 12</w:t>
      </w:r>
      <w:r w:rsidR="009D6128" w:rsidRPr="0012597A">
        <w:rPr>
          <w:rFonts w:ascii="Times New Roman" w:hAnsi="Times New Roman" w:cs="Times New Roman"/>
          <w:color w:val="FF0000"/>
          <w:sz w:val="24"/>
          <w:szCs w:val="24"/>
        </w:rPr>
        <w:t>,</w:t>
      </w:r>
      <w:r w:rsidRPr="0012597A">
        <w:rPr>
          <w:rFonts w:ascii="Times New Roman" w:hAnsi="Times New Roman" w:cs="Times New Roman"/>
          <w:color w:val="FF0000"/>
          <w:sz w:val="24"/>
          <w:szCs w:val="24"/>
        </w:rPr>
        <w:t xml:space="preserve"> recorriéndose las subsecuente a la Ley de Cultura Física y Deporte del Estado de México, a fin de crear un programa estatal de estímulos y acciones afirmativas para el fortalecimiento de las agrupaciones, escuelas, o programas populares de iniciación deportiva en pueblos, comunidades, barrios y/o colonias de los municipios del Estado de México.</w:t>
      </w:r>
    </w:p>
    <w:p w14:paraId="3688111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DIP. BRENDA COLETTE MIRANDA VARGAS. Con su venia Presidenta, saludo con aprecio a la diputada Martha Azucena Camacho Reynoso, Presidenta de la Directiva de esta Honorable LXII Legislatura del Estado Libre y Soberano de México.</w:t>
      </w:r>
    </w:p>
    <w:p w14:paraId="1D054AFF"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De igual manera extiendo un cordial saludo a mis compañeras, compañeros y compañere legisladores, a los medios de comunicación que hoy nos acompañan y a la ciudadanía que sigue nuestro trabajo parlamentario a través de las plataformas electrónicas.</w:t>
      </w:r>
    </w:p>
    <w:p w14:paraId="6F1ADAB9"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Quien suscribe diputada Brenda Colette Miranda Vargas, integrante del Grupo Parlamentario de morena, con fundamento en lo dispuesto por la Constitución Política del Estado Libre y Soberano de México, la Ley Orgánica del Poder Legislativo y su Reglamento someto a la consideración de esta Honorable Legislatura, la Iniciativa con Proyecto de Decreto por el que se adiciona la fracción X al artículo 12 recorriéndose la fracción subsecuente a la Ley de Cultura y Deporte del Estado de México, a fin de crear un programa estatal de estímulos y acciones afirmativas para el fortalecimiento de las agrupaciones, escuelas o programas populares de iniciación deportiva en pueblos, comunidades, barrios y colonias de los municipios del Estado de México, al tenor de la siguiente:</w:t>
      </w:r>
    </w:p>
    <w:p w14:paraId="7445CCFC" w14:textId="77777777" w:rsidR="00791E2D" w:rsidRPr="0012597A" w:rsidRDefault="00791E2D" w:rsidP="00EF1C7F">
      <w:pPr>
        <w:pStyle w:val="Sinespaciado"/>
        <w:ind w:firstLine="708"/>
        <w:jc w:val="center"/>
        <w:rPr>
          <w:rFonts w:ascii="Times New Roman" w:hAnsi="Times New Roman" w:cs="Times New Roman"/>
          <w:color w:val="FF0000"/>
          <w:sz w:val="24"/>
          <w:szCs w:val="24"/>
        </w:rPr>
      </w:pPr>
      <w:r w:rsidRPr="0012597A">
        <w:rPr>
          <w:rFonts w:ascii="Times New Roman" w:hAnsi="Times New Roman" w:cs="Times New Roman"/>
          <w:color w:val="FF0000"/>
          <w:sz w:val="24"/>
          <w:szCs w:val="24"/>
        </w:rPr>
        <w:t>EXPOSICIÓN DE MOTIVOS</w:t>
      </w:r>
    </w:p>
    <w:p w14:paraId="34D5E166"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El deporte no es un privilegio, es un derecho y una herramienta de transformación social, el derecho a la cultura física y al deporte no es opcional, está consagrado en el artículo 4 de nuestra Constitución y faculta al Estado a garantizarlo, promoverlo y hacerlo accesible para todas y todos, especialmente para nuestras niñas, niños y adolescentes.</w:t>
      </w:r>
    </w:p>
    <w:p w14:paraId="0C34D7A8"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Cuando una niña o un niño tiene acceso al deporte, gana salud, gana disciplina, gana valores; pero sobre todo gana oportunidades.</w:t>
      </w:r>
    </w:p>
    <w:p w14:paraId="6241F41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El deporte aleja a nuestra niñez y a nuestras juventudes de las adicciones y de la exclusión, el deporte construye comunidad y recursos y reconstruye el tejido social.</w:t>
      </w:r>
    </w:p>
    <w:p w14:paraId="173DE8B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Por ello, este derecho debe entenderse bajo el principio del interés superior de la niñez con una prioridad de la toma de decisiones públicas.</w:t>
      </w:r>
    </w:p>
    <w:p w14:paraId="3D150CC5"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ab/>
        <w:t>Reconozco el firme compromiso de la Doctora Claudia Sheinbaum Pardo, Presidenta de México y de la Maestra Delfina Gómez Álvarez, Gobernadora del Estado de México, quienes han impulsado el deporte como un derecho y una herramienta de transformación social, con ellas, el deporte se convierte en esperanza, en prevención y en futuro para nuestro País y para nuestro Estado.</w:t>
      </w:r>
    </w:p>
    <w:p w14:paraId="6B97B110"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Nuestra legislación es clara, la Ley General de Cultura Física y Deporte reconoce esta actividad como de interés social y mandata la coordinación entre los 3 Órdenes de Gobierno para garantizar su acceso universal.</w:t>
      </w:r>
    </w:p>
    <w:p w14:paraId="3570A84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sz w:val="24"/>
          <w:szCs w:val="24"/>
        </w:rPr>
        <w:tab/>
      </w:r>
      <w:r w:rsidRPr="0012597A">
        <w:rPr>
          <w:rFonts w:ascii="Times New Roman" w:hAnsi="Times New Roman" w:cs="Times New Roman"/>
          <w:color w:val="FF0000"/>
          <w:sz w:val="24"/>
          <w:szCs w:val="24"/>
        </w:rPr>
        <w:t>En el Estado de México también lo tenemos establecido en nuestra Constitución Local y en la Ley de la Materia; sin embargo, necesitamos seguir impulsando su desarrollo a través de acciones, porque mientras en algunos lugares hay infraestructura y programas, en otros, falta fortalecer de manera clara estos espacios que se traducen en oportunidades.</w:t>
      </w:r>
    </w:p>
    <w:p w14:paraId="3DF5649E"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Esa desigualdad territorial, no puede seguir existiendo, por ello, esta iniciativa propone algo fundamental, fortalecer la coordinación entre el Estado y los municipios, mediante un programa estatal de estímulos y acciones afirmativas en materia de iniciación deportiva.</w:t>
      </w:r>
    </w:p>
    <w:p w14:paraId="0A21E8A7"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Un programa que no sustituya, que acompañe; que no centralice, que fortalezca; que no imponga, que impulse; un programa que permita: </w:t>
      </w:r>
    </w:p>
    <w:p w14:paraId="51E70DAF"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1. Apoyar a los municipios que cuenten con menos recursos.</w:t>
      </w:r>
    </w:p>
    <w:p w14:paraId="2804C333"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2. Fortalecer a los Institutos Municipales del Deporte.</w:t>
      </w:r>
    </w:p>
    <w:p w14:paraId="59C1401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3. Impulsar proyectos comunitarios que acerquen el deporte a quienes más lo necesitan. Porque el deporte debe empezar desde abajo, desde la comunidad, desde el barrio, desde la colonia.</w:t>
      </w:r>
    </w:p>
    <w:p w14:paraId="65C46D8C"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Las escuelas y programas de iniciación deportiva son espacios de transformación social, ahí se forman hábitos, se construyen sueños y se generan entornos seguros para la niñez y las juventudes mexiquenses.</w:t>
      </w:r>
    </w:p>
    <w:p w14:paraId="3BAB80BB"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Invertir en deporte inicial, es invertir en salud pública, en prevención del delito, en educación y en bienestar social.</w:t>
      </w:r>
    </w:p>
    <w:p w14:paraId="3D765CDA"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Esta iniciativa está plenamente alineada con la visión del humanismo mexicano y con el proyecto de transformación que vive nuestro País, donde el bienestar se construye desde las personas y desde las comunidades.</w:t>
      </w:r>
    </w:p>
    <w:p w14:paraId="00D4E5A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Compañeras y compañeros, hoy tenemos la oportunidad de dar un paso firme hacia la igualdad sustantiva en el acceso al deporte, de cerrar brechas, de generar oportunidades y de garantizar que ninguna niña, niño o joven, se queden sin la posibilidad de desarrollarse plenamente, porque cuando apoyamos el deporte, no sólo formamos atletas, formamos ciudadanos y ciudadanas con futuro, es momento de legislar con visión social, con responsabilidad y con compromiso con el pueblo.</w:t>
      </w:r>
    </w:p>
    <w:p w14:paraId="027ACB9A"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Por ello la implementación y fortalecimiento del deporte inicial en los municipios, a través de los Institutos Municipales de Cultura Física y Deporte, generan beneficios directos y sostenibles para el desarrollo social y comunitario, al permitir que la práctica deportiva se consolide desde edades tempranas como un hábito cotidiano, accesible e incluyente. </w:t>
      </w:r>
    </w:p>
    <w:p w14:paraId="3BE19290"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Es muy importante establecer mecanismos de estímulos para aquellos municipios que, mediante acciones afirmativas e innovadoras con enfoque humanista, se conviertan en ejemplos de buenas prácticas, incentiva la mejora continua, la corresponsabilidad institucional y la adopción de políticas locales más eficaces; al tiempo que fortalece la cultura deportiva, promueve la igualdad de oportunidades y contribuye a la prevención de problemáticas sociales. </w:t>
      </w:r>
    </w:p>
    <w:p w14:paraId="57C06574"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La presente iniciativa cumple con la visión de desarrollo con bienestar y humanismo que impulsa el Gobierno Federal y que encuentra eco en las políticas públicas del Gobierno del Estado de México, al facultar expresamente al Consejo Estatal para crear e implementar un Programa Estatal de Estímulos y Acciones Afirmativas para las Agrupaciones, Escuelas o Programas de </w:t>
      </w:r>
      <w:r w:rsidRPr="0012597A">
        <w:rPr>
          <w:rFonts w:ascii="Times New Roman" w:hAnsi="Times New Roman" w:cs="Times New Roman"/>
          <w:color w:val="FF0000"/>
          <w:sz w:val="24"/>
          <w:szCs w:val="24"/>
        </w:rPr>
        <w:lastRenderedPageBreak/>
        <w:t>Iniciación Deportiva, se fortalece el marco normativo existente y se dota al Estado de herramientas claras para acompañar y potenciar los esfuerzos municipales con pleno respeto a su autonomía.</w:t>
      </w:r>
    </w:p>
    <w:p w14:paraId="0B00FB25"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Este programa permitirá canalizar recursos, apoyos en especie, capacitación y acciones de fortalecimiento comunitario hacia los territorios que más lo requieran, priorizando a niñas, niños y adolescentes en condiciones de vulnerabilidad social y garantizando condiciones de acceso equitativo e incluyente a la práctica deportiva.</w:t>
      </w:r>
    </w:p>
    <w:p w14:paraId="3FAF726A"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Se trata de una acción afirmativa que materializa el principio de igualdad sustantiva y hace efectivo el derecho al deporte en cada rincón del Estado de México. Invertir en la iniciación deportiva comunitaria es invertir en salud, en prevención, en educación y en bienestar social.</w:t>
      </w:r>
    </w:p>
    <w:p w14:paraId="48C51A48"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Es una apuesta compartida por el presente y el futuro del Estado, que acompaña y fortalece los esfuerzos del Gobierno de México y del Gobierno Estatal para construir una sociedad más justa, más sana y con mayores oportunidades de bienestar para todas, todos y </w:t>
      </w:r>
      <w:proofErr w:type="spellStart"/>
      <w:r w:rsidRPr="0012597A">
        <w:rPr>
          <w:rFonts w:ascii="Times New Roman" w:hAnsi="Times New Roman" w:cs="Times New Roman"/>
          <w:color w:val="FF0000"/>
          <w:sz w:val="24"/>
          <w:szCs w:val="24"/>
        </w:rPr>
        <w:t>todes</w:t>
      </w:r>
      <w:proofErr w:type="spellEnd"/>
      <w:r w:rsidRPr="0012597A">
        <w:rPr>
          <w:rFonts w:ascii="Times New Roman" w:hAnsi="Times New Roman" w:cs="Times New Roman"/>
          <w:color w:val="FF0000"/>
          <w:sz w:val="24"/>
          <w:szCs w:val="24"/>
        </w:rPr>
        <w:t>.</w:t>
      </w:r>
    </w:p>
    <w:p w14:paraId="4C8E2AD3"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Por lo anteriormente expuesto y en un ánimo de colaboración institucional y compromiso con la transformación social, someto a la consideración de esta Honorable Legislatura el presente Proyecto de Decreto para que, de estimarse procedente, se admita a trámite para su análisis, discusión y, en su caso, aprobación.</w:t>
      </w:r>
    </w:p>
    <w:p w14:paraId="050DC55C"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Convencida de que su aprobación contribuirá de manera significativa a fortalecer la cultura del deporte inicial en colonias, barrios y comunidades en beneficio de la niñez mexiquense.</w:t>
      </w:r>
    </w:p>
    <w:p w14:paraId="7C5912B1"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Asimismo, solicito respetuosamente se integre la presente iniciativa de manera completa al Diario de Debates y a la Gaceta Parlamentaria.</w:t>
      </w:r>
    </w:p>
    <w:p w14:paraId="002EF9F4"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Atentamente</w:t>
      </w:r>
    </w:p>
    <w:p w14:paraId="2537BD9D"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La de la voz, diputada Brenda Colette Miranda Vargas.</w:t>
      </w:r>
    </w:p>
    <w:p w14:paraId="6671FDCF"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Integrante del Grupo Parlamentario de morena.</w:t>
      </w:r>
    </w:p>
    <w:p w14:paraId="3E22EB41"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Dado en el Palacio del Poder Legislativo, en la ciudad de Toluca de Lerdo, capital del Estado de México, a los diecisiete días del mes de marzo del año dos mil veintiséis.</w:t>
      </w:r>
    </w:p>
    <w:p w14:paraId="5CA7FC85"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Es cuanto, muchas gracias.</w:t>
      </w:r>
    </w:p>
    <w:p w14:paraId="461D1C2D" w14:textId="77777777" w:rsidR="009D6128" w:rsidRPr="0012597A" w:rsidRDefault="009D6128" w:rsidP="00EF1C7F">
      <w:pPr>
        <w:pStyle w:val="Sinespaciado"/>
        <w:jc w:val="both"/>
        <w:rPr>
          <w:rFonts w:ascii="Times New Roman" w:hAnsi="Times New Roman" w:cs="Times New Roman"/>
          <w:sz w:val="24"/>
          <w:szCs w:val="24"/>
        </w:rPr>
      </w:pPr>
    </w:p>
    <w:p w14:paraId="65CEBABE" w14:textId="77777777" w:rsidR="009D6128" w:rsidRPr="0012597A" w:rsidRDefault="009D6128"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46DF0768" w14:textId="77777777" w:rsidR="009D6128" w:rsidRPr="0012597A" w:rsidRDefault="009D6128" w:rsidP="00EF1C7F">
      <w:pPr>
        <w:spacing w:after="0" w:line="240" w:lineRule="auto"/>
        <w:jc w:val="center"/>
        <w:rPr>
          <w:rFonts w:ascii="Times New Roman" w:hAnsi="Times New Roman"/>
          <w:sz w:val="24"/>
          <w:szCs w:val="24"/>
        </w:rPr>
      </w:pPr>
    </w:p>
    <w:p w14:paraId="41188841"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color w:val="FF0000"/>
          <w:sz w:val="24"/>
          <w:szCs w:val="24"/>
        </w:rPr>
      </w:pPr>
      <w:r w:rsidRPr="0012597A">
        <w:rPr>
          <w:rFonts w:ascii="Times New Roman" w:eastAsia="Times New Roman" w:hAnsi="Times New Roman" w:cs="Times New Roman"/>
          <w:b/>
          <w:color w:val="FF0000"/>
          <w:sz w:val="24"/>
          <w:szCs w:val="24"/>
        </w:rPr>
        <w:t>Dip. Brenda Colette Miranda Vargas</w:t>
      </w:r>
    </w:p>
    <w:p w14:paraId="652FF9AE"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color w:val="FF0000"/>
          <w:sz w:val="24"/>
          <w:szCs w:val="24"/>
        </w:rPr>
      </w:pPr>
      <w:r w:rsidRPr="0012597A">
        <w:rPr>
          <w:rFonts w:ascii="Times New Roman" w:eastAsia="Times New Roman" w:hAnsi="Times New Roman" w:cs="Times New Roman"/>
          <w:color w:val="FF0000"/>
          <w:sz w:val="24"/>
          <w:szCs w:val="24"/>
        </w:rPr>
        <w:t>Diputada distrito XXV Ciudad Nezahualcóyotl</w:t>
      </w:r>
    </w:p>
    <w:p w14:paraId="7C8A80C4"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color w:val="FF0000"/>
          <w:sz w:val="24"/>
          <w:szCs w:val="24"/>
        </w:rPr>
      </w:pPr>
      <w:r w:rsidRPr="0012597A">
        <w:rPr>
          <w:rFonts w:ascii="Times New Roman" w:eastAsia="Times New Roman" w:hAnsi="Times New Roman" w:cs="Times New Roman"/>
          <w:b/>
          <w:color w:val="FF0000"/>
          <w:sz w:val="24"/>
          <w:szCs w:val="24"/>
        </w:rPr>
        <w:t>Grupo Parlamentario morena</w:t>
      </w:r>
    </w:p>
    <w:p w14:paraId="687AE95E"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4E57B941" w14:textId="77777777" w:rsidR="009D6128" w:rsidRPr="0012597A" w:rsidRDefault="009D6128" w:rsidP="00EF1C7F">
      <w:pPr>
        <w:widowControl w:val="0"/>
        <w:autoSpaceDE w:val="0"/>
        <w:autoSpaceDN w:val="0"/>
        <w:spacing w:after="0" w:line="240" w:lineRule="auto"/>
        <w:jc w:val="right"/>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 xml:space="preserve">Toluca de Lerdo, México, a de </w:t>
      </w:r>
      <w:r w:rsidRPr="0012597A">
        <w:rPr>
          <w:rFonts w:ascii="Times New Roman" w:eastAsia="Times New Roman" w:hAnsi="Times New Roman" w:cs="Times New Roman"/>
          <w:sz w:val="24"/>
          <w:szCs w:val="24"/>
          <w:u w:val="single"/>
        </w:rPr>
        <w:tab/>
      </w:r>
      <w:r w:rsidRPr="0012597A">
        <w:rPr>
          <w:rFonts w:ascii="Times New Roman" w:eastAsia="Times New Roman" w:hAnsi="Times New Roman" w:cs="Times New Roman"/>
          <w:sz w:val="24"/>
          <w:szCs w:val="24"/>
        </w:rPr>
        <w:t xml:space="preserve">de </w:t>
      </w:r>
      <w:r w:rsidRPr="0012597A">
        <w:rPr>
          <w:rFonts w:ascii="Times New Roman" w:eastAsia="Times New Roman" w:hAnsi="Times New Roman" w:cs="Times New Roman"/>
          <w:sz w:val="24"/>
          <w:szCs w:val="24"/>
          <w:u w:val="single"/>
        </w:rPr>
        <w:tab/>
      </w:r>
      <w:r w:rsidRPr="0012597A">
        <w:rPr>
          <w:rFonts w:ascii="Times New Roman" w:eastAsia="Times New Roman" w:hAnsi="Times New Roman" w:cs="Times New Roman"/>
          <w:sz w:val="24"/>
          <w:szCs w:val="24"/>
        </w:rPr>
        <w:t>de 2026.</w:t>
      </w:r>
    </w:p>
    <w:p w14:paraId="166AC0FE"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187A839A"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DIP. MARTHA AZUCENA CAMACHO REYNOSO</w:t>
      </w:r>
    </w:p>
    <w:p w14:paraId="2F176EAF"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PRESIDENTA DE LA DIRECTIVA</w:t>
      </w:r>
    </w:p>
    <w:p w14:paraId="30FDEAD8"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DE LA H. LXII LEGISLATURA</w:t>
      </w:r>
    </w:p>
    <w:p w14:paraId="18272DF3"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DEL ESTADO LIBRE Y SOBERANO DE MÉXICO</w:t>
      </w:r>
    </w:p>
    <w:p w14:paraId="321A6FB6"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PRESENTE</w:t>
      </w:r>
    </w:p>
    <w:p w14:paraId="3B3C67F1"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176C65B0"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b/>
          <w:sz w:val="24"/>
          <w:szCs w:val="24"/>
        </w:rPr>
        <w:t>Quien suscribe Diputada Brenda Colette Miranda Vargas</w:t>
      </w:r>
      <w:r w:rsidRPr="0012597A">
        <w:rPr>
          <w:rFonts w:ascii="Times New Roman" w:eastAsia="Times New Roman" w:hAnsi="Times New Roman" w:cs="Times New Roman"/>
          <w:sz w:val="24"/>
          <w:szCs w:val="24"/>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presente </w:t>
      </w:r>
      <w:r w:rsidRPr="0012597A">
        <w:rPr>
          <w:rFonts w:ascii="Times New Roman" w:eastAsia="Times New Roman" w:hAnsi="Times New Roman" w:cs="Times New Roman"/>
          <w:b/>
          <w:sz w:val="24"/>
          <w:szCs w:val="24"/>
        </w:rPr>
        <w:t xml:space="preserve">Iniciativa con Proyecto de Decreto por el que se adiciona la fracción X al artículo 12 recorriéndose la subsecuente a la Ley de Cultura y Deporte del Estado de México, a fin de crear un Programa Estatal de estímulos y acciones </w:t>
      </w:r>
      <w:r w:rsidRPr="0012597A">
        <w:rPr>
          <w:rFonts w:ascii="Times New Roman" w:eastAsia="Times New Roman" w:hAnsi="Times New Roman" w:cs="Times New Roman"/>
          <w:b/>
          <w:sz w:val="24"/>
          <w:szCs w:val="24"/>
        </w:rPr>
        <w:lastRenderedPageBreak/>
        <w:t xml:space="preserve">afirmativas para el fortalecimiento de las agrupaciones, escuelas o programas populares de iniciación deportiva en pueblos, comunidades, barrios y colonias de los municipios del Estado de México; </w:t>
      </w:r>
      <w:r w:rsidRPr="0012597A">
        <w:rPr>
          <w:rFonts w:ascii="Times New Roman" w:eastAsia="Times New Roman" w:hAnsi="Times New Roman" w:cs="Times New Roman"/>
          <w:sz w:val="24"/>
          <w:szCs w:val="24"/>
        </w:rPr>
        <w:t>en mérito de la siguiente:</w:t>
      </w:r>
    </w:p>
    <w:p w14:paraId="3485E250"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0F47D495"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EXPOSICIÓN DE MOTIVOS</w:t>
      </w:r>
    </w:p>
    <w:p w14:paraId="51B31079"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5D8BE293"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El derecho a la cultura física y a la práctica del deporte constituye un pilar fundamental para el desarrollo integral de las personas y una herramienta estratégica para la construcción de una sociedad más justa, saludable e incluyente. La Constitución Política de los Estados Unidos Mexicanos, en su artículo 4°, reconoce expresamente este derecho y establece la obligación del Estado de promoverlo, fomentarlo y estimularlo conforme a las leyes en la materia, con especial énfasis en niñas, niños y adolescentes.</w:t>
      </w:r>
    </w:p>
    <w:p w14:paraId="5A7FFB77"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7ADEEACE"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Este mandato constitucional se articula de manera directa con el principio del interés superior de la niñez, el cual debe orientar todas las decisiones y políticas públicas que impacten en la infancia y la adolescencia. Desde esta perspectiva, garantizar el acceso efectivo al deporte desde edades tempranas no sólo fortalece la salud física y emocional, sino que también contribuye a la formación de valores, a la prevención de la violencia y al fortalecimiento de la cohesión comunitaria.</w:t>
      </w:r>
    </w:p>
    <w:p w14:paraId="54E2D439"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p>
    <w:p w14:paraId="1CF4846C"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 xml:space="preserve">la Ley General de Cultura Física y Deporte, en su artículo 2 y 3, reconoce al deporte como una actividad de interés social y establece la concurrencia de los tres órdenes de gobierno para asegurar su acceso universal, bajo un enfoque incluyente y de igualdad sustantiva. Este marco normativo se ve fortalecido por la visión humanista y social del Gobierno de México, encabezado por la </w:t>
      </w:r>
      <w:r w:rsidRPr="0012597A">
        <w:rPr>
          <w:rFonts w:ascii="Times New Roman" w:eastAsia="Times New Roman" w:hAnsi="Times New Roman" w:cs="Times New Roman"/>
          <w:b/>
          <w:sz w:val="24"/>
          <w:szCs w:val="24"/>
        </w:rPr>
        <w:t>Claudia Sheinbaum Pardo</w:t>
      </w:r>
      <w:r w:rsidRPr="0012597A">
        <w:rPr>
          <w:rFonts w:ascii="Times New Roman" w:eastAsia="Times New Roman" w:hAnsi="Times New Roman" w:cs="Times New Roman"/>
          <w:sz w:val="24"/>
          <w:szCs w:val="24"/>
        </w:rPr>
        <w:t>, que concibe al deporte como un componente esencial del bienestar, la salud pública y la prevención social, particularmente en beneficio de la niñez y las juventudes.</w:t>
      </w:r>
    </w:p>
    <w:p w14:paraId="6B88E46B"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7DAFDE1E"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 xml:space="preserve">En el ámbito estatal, la Constitución Política del Estado Libre y Soberano de México, en su artículo 5, reconoce el derecho de toda persona a la cultura física y a la práctica del deporte, e impone al Estado la obligación de garantizar su ejercicio efectivo. Esta visión se encuentra plenamente alineada con el proyecto de transformación que impulsa la </w:t>
      </w:r>
      <w:r w:rsidRPr="0012597A">
        <w:rPr>
          <w:rFonts w:ascii="Times New Roman" w:eastAsia="Times New Roman" w:hAnsi="Times New Roman" w:cs="Times New Roman"/>
          <w:b/>
          <w:sz w:val="24"/>
          <w:szCs w:val="24"/>
        </w:rPr>
        <w:t>Delfina Gómez Álvarez</w:t>
      </w:r>
      <w:r w:rsidRPr="0012597A">
        <w:rPr>
          <w:rFonts w:ascii="Times New Roman" w:eastAsia="Times New Roman" w:hAnsi="Times New Roman" w:cs="Times New Roman"/>
          <w:sz w:val="24"/>
          <w:szCs w:val="24"/>
        </w:rPr>
        <w:t>, quien ha colocado en el centro de la acción pública el bienestar social, la justicia territorial y el fortalecimiento de políticas preventivas dirigidas a niñas, niños y adolescentes.</w:t>
      </w:r>
    </w:p>
    <w:p w14:paraId="5EE931D6"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p>
    <w:p w14:paraId="3329D235"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La Ley de Cultura Física y Deporte del Estado de México, en sus artículos 1, 3 y 12, establece</w:t>
      </w:r>
      <w:r w:rsidRPr="0012597A">
        <w:rPr>
          <w:rFonts w:ascii="Times New Roman" w:eastAsia="Times New Roman" w:hAnsi="Times New Roman" w:cs="Times New Roman"/>
          <w:color w:val="990033"/>
          <w:sz w:val="24"/>
          <w:szCs w:val="24"/>
        </w:rPr>
        <w:t xml:space="preserve"> </w:t>
      </w:r>
      <w:r w:rsidRPr="0012597A">
        <w:rPr>
          <w:rFonts w:ascii="Times New Roman" w:eastAsia="Times New Roman" w:hAnsi="Times New Roman" w:cs="Times New Roman"/>
          <w:sz w:val="24"/>
          <w:szCs w:val="24"/>
        </w:rPr>
        <w:t>como finalidad prioritaria la generación de una cultura del deporte con enfoque social, comunitario e incluyente, así como la coordinación entre el Estado y los municipios para su implementación. No obstante, las realidades territoriales del Estado de México evidencian que persisten desigualdades estructurales que limitan el acceso efectivo al deporte en pueblos, comunidades, barrios y colonias populares, particularmente en aquellos municipios con menores capacidades financieras y operativas.</w:t>
      </w:r>
    </w:p>
    <w:p w14:paraId="66721192"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4118F178"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 xml:space="preserve">Del análisis del marco jurídico municipal vigente en la entidad se desprende que los ayuntamientos cuentan con atribuciones para promover la cultura física, el deporte y la recreación mediante bandos, reglamentos y programas municipales, lo que refleja un compromiso institucional relevante con el bienestar comunitario. Sin embargo, también se observa una diversidad de enfoques y capacidades entre municipios que genera resultados diferenciados en el acceso a la práctica deportiva, por lo que la presente iniciativa adquiere especial importancia al fortalecer la coordinación entre el Estado y los municipios mediante un Programa Estatal de estímulos y acciones afirmativas que acompañe, potencie y complemente los esfuerzos locales, eleve el piso </w:t>
      </w:r>
      <w:r w:rsidRPr="0012597A">
        <w:rPr>
          <w:rFonts w:ascii="Times New Roman" w:eastAsia="Times New Roman" w:hAnsi="Times New Roman" w:cs="Times New Roman"/>
          <w:sz w:val="24"/>
          <w:szCs w:val="24"/>
        </w:rPr>
        <w:lastRenderedPageBreak/>
        <w:t>mínimo de garantía del derecho al deporte, priorice a niñas, niños y adolescentes, y contribuya a la construcción de una política pública incluyente, equitativa y territorialmente equilibrada, con pleno respeto a la autonomía municipal y al marco normativo vigente.</w:t>
      </w:r>
    </w:p>
    <w:p w14:paraId="74F463DA"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5EA7AB8A"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Por ello, la implementación y fortalecimiento del deporte inicial en los municipios a través de los institutos municipales de cultura física y deporte, genera beneficios directos y sostenibles para el desarrollo social y comunitario, al permitir que la práctica deportiva se consolide desde edades tempranas como un hábito cotidiano, accesible e incluyente. Asimismo, el establecimiento de mecanismos de estímulos para aquellos municipios que, mediante acciones afirmativas innovadoras y con enfoque de derechos, se conviertan en ejemplos de buenas prácticas, incentiva la mejora continua, la corresponsabilidad institucional y la adopción de políticas locales más eficaces, al tiempo que fortalece la cultura deportiva, promueve la igualdad de oportunidades y contribuye a la prevención de problemáticas sociales.</w:t>
      </w:r>
    </w:p>
    <w:p w14:paraId="616CA506"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2003B37E"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En este contexto, las agrupaciones, escuelas o programas populares de iniciación deportiva se consolidan como espacios comunitarios de alto valor social, al acercar la práctica deportiva a la vida cotidiana de las familias, fomentar la participación social y generar entornos seguros y saludables para la niñez y la adolescencia. Su fortalecimiento contribuye de manera directa a la prevención del sedentarismo, del sobrepeso y la obesidad infantil, así como a la construcción de comunidades más cohesionadas y solidarias.</w:t>
      </w:r>
    </w:p>
    <w:p w14:paraId="4909BA38"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1539E132"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La presente iniciativa se inscribe plenamente en la visión de desarrollo con bienestar y humanismo que impulsa el Gobierno Federal y que encuentra eco en las políticas públicas del Gobierno del Estado de México. Al facultar expresamente al Consejo Estatal para crear e implementar un Programa Estatal de estímulos y acciones afirmativas para las agrupaciones, escuelas o programas populares de iniciación deportiva, se fortalece el marco normativo existente y se dota al Estado de herramientas claras para acompañar y potenciar los esfuerzos municipales, con pleno respeto a su autonomía.</w:t>
      </w:r>
    </w:p>
    <w:p w14:paraId="6880EF63"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p>
    <w:p w14:paraId="356C99F5"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Este programa permitirá canalizar recursos, apoyos en especie, capacitación y acciones de fortalecimiento comunitario hacia los territorios que más lo requieren, priorizando a niñas, niños y adolescentes en condiciones de vulnerabilidad social y garantizando condiciones de acceso equitativo e incluyente a la práctica deportiva. Se trata de una acción afirmativa que materializa el principio de igualdad sustantiva y hace efectivo el derecho al deporte en el territorio.</w:t>
      </w:r>
    </w:p>
    <w:p w14:paraId="225B228C"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1D4926D5"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Invertir en la iniciación deportiva comunitaria es invertir en salud, en prevención, en educación y en bienestar social. Es una apuesta compartida por el presente y el futuro del Estado de México, que acompaña y fortalece los esfuerzos del Gobierno de México y del Gobierno estatal para construir una sociedad más justa, más sana y con mayores oportunidades para todas y todos.</w:t>
      </w:r>
    </w:p>
    <w:p w14:paraId="1A638848"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776FEFE5"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En ese sentido, corresponde a este Congreso, en ejercicio de su potestad legislativa y como órgano garante del interés público, establecer los mecanismos normativos idóneos que permitan proteger, garantizar y hacer efectivo el derecho de acceso inicial al deporte, así como</w:t>
      </w:r>
      <w:r w:rsidRPr="0012597A">
        <w:rPr>
          <w:rFonts w:ascii="Times New Roman" w:eastAsia="Times New Roman" w:hAnsi="Times New Roman" w:cs="Times New Roman"/>
          <w:color w:val="990033"/>
          <w:sz w:val="24"/>
          <w:szCs w:val="24"/>
        </w:rPr>
        <w:t xml:space="preserve"> </w:t>
      </w:r>
      <w:r w:rsidRPr="0012597A">
        <w:rPr>
          <w:rFonts w:ascii="Times New Roman" w:eastAsia="Times New Roman" w:hAnsi="Times New Roman" w:cs="Times New Roman"/>
          <w:sz w:val="24"/>
          <w:szCs w:val="24"/>
        </w:rPr>
        <w:t>impulsar políticas públicas con sustento legal que contribuyan de manera directa al bienestar integral, la salud y el desarrollo social de las y los mexiquenses.</w:t>
      </w:r>
    </w:p>
    <w:p w14:paraId="1C5317CF"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3AC51E2A"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 xml:space="preserve">Por lo anteriormente expuesto, y en un ánimo de colaboración institucional y compromiso con la transformación social, la suscrita Diputada somete a la consideración de esta Honorable Legislatura el presente Proyecto de Decreto, para que, de estimarse procedente, se admita a trámite para su </w:t>
      </w:r>
      <w:r w:rsidRPr="0012597A">
        <w:rPr>
          <w:rFonts w:ascii="Times New Roman" w:eastAsia="Times New Roman" w:hAnsi="Times New Roman" w:cs="Times New Roman"/>
          <w:sz w:val="24"/>
          <w:szCs w:val="24"/>
        </w:rPr>
        <w:lastRenderedPageBreak/>
        <w:t>análisis, discusión y, en su caso, aprobación; convencida de que su aprobación contribuirá de manera significativa a fortalecer la cultura del deporte inicial en colonias, barrios y comunidades populares, en beneficio de la niñez mexiquense.</w:t>
      </w:r>
    </w:p>
    <w:p w14:paraId="3723136A"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57ACA166"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ATENTAMENTE</w:t>
      </w:r>
    </w:p>
    <w:p w14:paraId="14B8A25F"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0A39C199"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Dip. Brenda Colette Miranda Vargas</w:t>
      </w:r>
    </w:p>
    <w:p w14:paraId="64C4CF11"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Presentante</w:t>
      </w:r>
    </w:p>
    <w:p w14:paraId="6D4899C3"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p>
    <w:p w14:paraId="153FBED6"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p>
    <w:tbl>
      <w:tblPr>
        <w:tblStyle w:val="TableGrid"/>
        <w:tblW w:w="9351" w:type="dxa"/>
        <w:jc w:val="center"/>
        <w:tblInd w:w="0" w:type="dxa"/>
        <w:tblCellMar>
          <w:top w:w="12" w:type="dxa"/>
          <w:left w:w="106" w:type="dxa"/>
          <w:right w:w="44" w:type="dxa"/>
        </w:tblCellMar>
        <w:tblLook w:val="04A0" w:firstRow="1" w:lastRow="0" w:firstColumn="1" w:lastColumn="0" w:noHBand="0" w:noVBand="1"/>
      </w:tblPr>
      <w:tblGrid>
        <w:gridCol w:w="4605"/>
        <w:gridCol w:w="4746"/>
      </w:tblGrid>
      <w:tr w:rsidR="009D6128" w:rsidRPr="0012597A" w14:paraId="1F6A7AB5" w14:textId="77777777" w:rsidTr="00AF0D65">
        <w:trPr>
          <w:trHeight w:val="19"/>
          <w:jc w:val="center"/>
        </w:trPr>
        <w:tc>
          <w:tcPr>
            <w:tcW w:w="9351" w:type="dxa"/>
            <w:gridSpan w:val="2"/>
            <w:tcBorders>
              <w:top w:val="single" w:sz="18" w:space="0" w:color="660033"/>
              <w:left w:val="single" w:sz="4" w:space="0" w:color="000000"/>
              <w:bottom w:val="single" w:sz="4" w:space="0" w:color="000000"/>
              <w:right w:val="single" w:sz="4" w:space="0" w:color="000000"/>
            </w:tcBorders>
            <w:shd w:val="clear" w:color="auto" w:fill="660033"/>
          </w:tcPr>
          <w:p w14:paraId="4988C7EC" w14:textId="77777777" w:rsidR="009D6128" w:rsidRPr="0012597A" w:rsidRDefault="009D6128" w:rsidP="00EF1C7F">
            <w:pPr>
              <w:widowControl w:val="0"/>
              <w:autoSpaceDE w:val="0"/>
              <w:autoSpaceDN w:val="0"/>
              <w:spacing w:line="240" w:lineRule="auto"/>
              <w:ind w:right="71"/>
              <w:jc w:val="center"/>
              <w:rPr>
                <w:rFonts w:ascii="Times New Roman" w:hAnsi="Times New Roman" w:cs="Times New Roman"/>
                <w:sz w:val="24"/>
                <w:szCs w:val="24"/>
              </w:rPr>
            </w:pPr>
            <w:r w:rsidRPr="0012597A">
              <w:rPr>
                <w:rFonts w:ascii="Times New Roman" w:hAnsi="Times New Roman" w:cs="Times New Roman"/>
                <w:b/>
                <w:color w:val="FFFFFF"/>
                <w:sz w:val="24"/>
                <w:szCs w:val="24"/>
              </w:rPr>
              <w:t>LEY DE CULTURA FÍSICA Y DEPORTE DEL ESTADO DE MÉXICO</w:t>
            </w:r>
          </w:p>
        </w:tc>
      </w:tr>
      <w:tr w:rsidR="009D6128" w:rsidRPr="0012597A" w14:paraId="5220BB2E" w14:textId="77777777" w:rsidTr="00AF0D65">
        <w:trPr>
          <w:trHeight w:val="19"/>
          <w:jc w:val="center"/>
        </w:trPr>
        <w:tc>
          <w:tcPr>
            <w:tcW w:w="4605" w:type="dxa"/>
            <w:tcBorders>
              <w:top w:val="single" w:sz="4" w:space="0" w:color="000000"/>
              <w:left w:val="single" w:sz="4" w:space="0" w:color="000000"/>
              <w:bottom w:val="single" w:sz="4" w:space="0" w:color="000000"/>
              <w:right w:val="single" w:sz="4" w:space="0" w:color="000000"/>
            </w:tcBorders>
            <w:shd w:val="clear" w:color="auto" w:fill="660033"/>
          </w:tcPr>
          <w:p w14:paraId="52F240A7" w14:textId="77777777" w:rsidR="009D6128" w:rsidRPr="0012597A" w:rsidRDefault="009D6128" w:rsidP="00EF1C7F">
            <w:pPr>
              <w:widowControl w:val="0"/>
              <w:autoSpaceDE w:val="0"/>
              <w:autoSpaceDN w:val="0"/>
              <w:spacing w:line="240" w:lineRule="auto"/>
              <w:ind w:right="68"/>
              <w:jc w:val="center"/>
              <w:rPr>
                <w:rFonts w:ascii="Times New Roman" w:hAnsi="Times New Roman" w:cs="Times New Roman"/>
                <w:sz w:val="24"/>
                <w:szCs w:val="24"/>
              </w:rPr>
            </w:pPr>
            <w:r w:rsidRPr="0012597A">
              <w:rPr>
                <w:rFonts w:ascii="Times New Roman" w:hAnsi="Times New Roman" w:cs="Times New Roman"/>
                <w:b/>
                <w:color w:val="FFFFFF"/>
                <w:sz w:val="24"/>
                <w:szCs w:val="24"/>
              </w:rPr>
              <w:t>TEXTO ACTUAL</w:t>
            </w:r>
          </w:p>
        </w:tc>
        <w:tc>
          <w:tcPr>
            <w:tcW w:w="4746" w:type="dxa"/>
            <w:tcBorders>
              <w:top w:val="single" w:sz="4" w:space="0" w:color="000000"/>
              <w:left w:val="single" w:sz="4" w:space="0" w:color="000000"/>
              <w:bottom w:val="single" w:sz="4" w:space="0" w:color="000000"/>
              <w:right w:val="single" w:sz="4" w:space="0" w:color="000000"/>
            </w:tcBorders>
            <w:shd w:val="clear" w:color="auto" w:fill="660033"/>
          </w:tcPr>
          <w:p w14:paraId="32A72AC6" w14:textId="77777777" w:rsidR="009D6128" w:rsidRPr="0012597A" w:rsidRDefault="009D6128" w:rsidP="00EF1C7F">
            <w:pPr>
              <w:widowControl w:val="0"/>
              <w:autoSpaceDE w:val="0"/>
              <w:autoSpaceDN w:val="0"/>
              <w:spacing w:line="240" w:lineRule="auto"/>
              <w:ind w:right="66"/>
              <w:jc w:val="center"/>
              <w:rPr>
                <w:rFonts w:ascii="Times New Roman" w:hAnsi="Times New Roman" w:cs="Times New Roman"/>
                <w:sz w:val="24"/>
                <w:szCs w:val="24"/>
              </w:rPr>
            </w:pPr>
            <w:r w:rsidRPr="0012597A">
              <w:rPr>
                <w:rFonts w:ascii="Times New Roman" w:hAnsi="Times New Roman" w:cs="Times New Roman"/>
                <w:b/>
                <w:color w:val="FFFFFF"/>
                <w:sz w:val="24"/>
                <w:szCs w:val="24"/>
              </w:rPr>
              <w:t>TEXTO PROPUESTO</w:t>
            </w:r>
          </w:p>
        </w:tc>
      </w:tr>
      <w:tr w:rsidR="009D6128" w:rsidRPr="0012597A" w14:paraId="07F67A10" w14:textId="77777777" w:rsidTr="00AF0D65">
        <w:trPr>
          <w:trHeight w:val="19"/>
          <w:jc w:val="center"/>
        </w:trPr>
        <w:tc>
          <w:tcPr>
            <w:tcW w:w="4605" w:type="dxa"/>
            <w:tcBorders>
              <w:top w:val="single" w:sz="4" w:space="0" w:color="000000"/>
              <w:left w:val="single" w:sz="4" w:space="0" w:color="000000"/>
              <w:bottom w:val="single" w:sz="4" w:space="0" w:color="000000"/>
              <w:right w:val="single" w:sz="4" w:space="0" w:color="000000"/>
            </w:tcBorders>
          </w:tcPr>
          <w:p w14:paraId="4CB9B7F7"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r w:rsidRPr="0012597A">
              <w:rPr>
                <w:rFonts w:ascii="Times New Roman" w:eastAsia="Bookman Old Style" w:hAnsi="Times New Roman" w:cs="Times New Roman"/>
                <w:b/>
                <w:sz w:val="24"/>
                <w:szCs w:val="24"/>
              </w:rPr>
              <w:t>Artículo 12.-</w:t>
            </w:r>
            <w:r w:rsidRPr="0012597A">
              <w:rPr>
                <w:rFonts w:ascii="Times New Roman" w:eastAsia="Bookman Old Style" w:hAnsi="Times New Roman" w:cs="Times New Roman"/>
                <w:sz w:val="24"/>
                <w:szCs w:val="24"/>
              </w:rPr>
              <w:t xml:space="preserve"> El Consejo Estatal, tendrá las funciones siguientes: </w:t>
            </w:r>
          </w:p>
          <w:p w14:paraId="0BD359EC"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462D6862"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Participar en la elaboración y evaluación del Programa Estatal y coadyuvar en su aplicación, procurando su amplia difusión en la Entidad. </w:t>
            </w:r>
          </w:p>
          <w:p w14:paraId="570A538A"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4233AA1A"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Fomentar la participación de los sectores social y privado en la formulación y ejecución de los programas específicos de la materia. </w:t>
            </w:r>
          </w:p>
          <w:p w14:paraId="53118089"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617CE07C"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Convocar, coordinar y armonizar la participación de las Asociaciones, ligas, clubes, deportistas y en general a todos los interesados así como a los municipios, con pleno respeto a su autonomía municipal, para la definición de acciones en la materia. </w:t>
            </w:r>
          </w:p>
          <w:p w14:paraId="0EBCD149"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7CB5A7FF"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Apoyar la creación, desarrollo y consolidación de los Sistemas y Consejos Municipales. </w:t>
            </w:r>
          </w:p>
          <w:p w14:paraId="5FFAD09B"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3421A499"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Promover el estudio, investigación y capacitación en la materia, identificando sus problemas y tendencias, proponiendo instrumentos y procedimientos que permitan su solución. </w:t>
            </w:r>
          </w:p>
          <w:p w14:paraId="09B456B4"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666EF80D"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Resolver las controversias que se susciten entre las Asociaciones Deportivas y sus afiliados, así como las que se deriven de la promoción, organización y desarrollo de las actividades deportivas entre los deportistas o demás participantes en éstas. </w:t>
            </w:r>
          </w:p>
          <w:p w14:paraId="4A2F018F"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085BA7F0"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Promover la generación, desarrollo y consolidación de la cultura del deporte. </w:t>
            </w:r>
          </w:p>
          <w:p w14:paraId="3F4665A0"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0AB570E3"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Proponer programas permanentes en la materia. </w:t>
            </w:r>
          </w:p>
          <w:p w14:paraId="6DB86C0F"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5716731C"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Coadyuvar en la promoción de campañas para prevenir y combatir el uso de estimulantes, sustancias o métodos prohibidos y restringidos. </w:t>
            </w:r>
          </w:p>
          <w:p w14:paraId="134AD629"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p>
          <w:p w14:paraId="3906A655" w14:textId="77777777" w:rsidR="009D6128" w:rsidRPr="0012597A" w:rsidRDefault="009D6128" w:rsidP="00EF1C7F">
            <w:pPr>
              <w:widowControl w:val="0"/>
              <w:numPr>
                <w:ilvl w:val="0"/>
                <w:numId w:val="2"/>
              </w:numPr>
              <w:autoSpaceDE w:val="0"/>
              <w:autoSpaceDN w:val="0"/>
              <w:spacing w:line="240" w:lineRule="auto"/>
              <w:ind w:right="67"/>
              <w:jc w:val="both"/>
              <w:rPr>
                <w:rFonts w:ascii="Times New Roman" w:hAnsi="Times New Roman" w:cs="Times New Roman"/>
                <w:sz w:val="24"/>
                <w:szCs w:val="24"/>
              </w:rPr>
            </w:pPr>
            <w:r w:rsidRPr="0012597A">
              <w:rPr>
                <w:rFonts w:ascii="Times New Roman" w:eastAsia="Bookman Old Style" w:hAnsi="Times New Roman" w:cs="Times New Roman"/>
                <w:sz w:val="24"/>
                <w:szCs w:val="24"/>
              </w:rPr>
              <w:t xml:space="preserve">Las demás que se establezcan en su Reglamento Interno y que sean necesarias para cumplir con su objeto. </w:t>
            </w:r>
          </w:p>
        </w:tc>
        <w:tc>
          <w:tcPr>
            <w:tcW w:w="4746" w:type="dxa"/>
            <w:tcBorders>
              <w:top w:val="single" w:sz="4" w:space="0" w:color="000000"/>
              <w:left w:val="single" w:sz="4" w:space="0" w:color="000000"/>
              <w:right w:val="single" w:sz="4" w:space="0" w:color="000000"/>
            </w:tcBorders>
          </w:tcPr>
          <w:p w14:paraId="4F27D0A3" w14:textId="77777777" w:rsidR="009D6128" w:rsidRPr="0012597A" w:rsidRDefault="009D6128" w:rsidP="00EF1C7F">
            <w:pPr>
              <w:widowControl w:val="0"/>
              <w:autoSpaceDE w:val="0"/>
              <w:autoSpaceDN w:val="0"/>
              <w:spacing w:line="240" w:lineRule="auto"/>
              <w:ind w:left="3"/>
              <w:jc w:val="both"/>
              <w:rPr>
                <w:rFonts w:ascii="Times New Roman" w:hAnsi="Times New Roman" w:cs="Times New Roman"/>
                <w:sz w:val="24"/>
                <w:szCs w:val="24"/>
              </w:rPr>
            </w:pPr>
            <w:r w:rsidRPr="0012597A">
              <w:rPr>
                <w:rFonts w:ascii="Times New Roman" w:hAnsi="Times New Roman" w:cs="Times New Roman"/>
                <w:b/>
                <w:sz w:val="24"/>
                <w:szCs w:val="24"/>
              </w:rPr>
              <w:lastRenderedPageBreak/>
              <w:t>Artículo 12.- …</w:t>
            </w:r>
            <w:r w:rsidRPr="0012597A">
              <w:rPr>
                <w:rFonts w:ascii="Times New Roman" w:hAnsi="Times New Roman" w:cs="Times New Roman"/>
                <w:sz w:val="24"/>
                <w:szCs w:val="24"/>
              </w:rPr>
              <w:t xml:space="preserve"> </w:t>
            </w:r>
          </w:p>
          <w:p w14:paraId="457BDB2D" w14:textId="77777777" w:rsidR="009D6128" w:rsidRPr="0012597A" w:rsidRDefault="009D6128" w:rsidP="00EF1C7F">
            <w:pPr>
              <w:widowControl w:val="0"/>
              <w:autoSpaceDE w:val="0"/>
              <w:autoSpaceDN w:val="0"/>
              <w:spacing w:line="240" w:lineRule="auto"/>
              <w:ind w:left="3"/>
              <w:jc w:val="both"/>
              <w:rPr>
                <w:rFonts w:ascii="Times New Roman" w:hAnsi="Times New Roman" w:cs="Times New Roman"/>
                <w:sz w:val="24"/>
                <w:szCs w:val="24"/>
              </w:rPr>
            </w:pPr>
          </w:p>
          <w:p w14:paraId="3B941EA5" w14:textId="77777777" w:rsidR="009D6128" w:rsidRPr="0012597A" w:rsidRDefault="009D6128" w:rsidP="00EF1C7F">
            <w:pPr>
              <w:widowControl w:val="0"/>
              <w:autoSpaceDE w:val="0"/>
              <w:autoSpaceDN w:val="0"/>
              <w:spacing w:line="240" w:lineRule="auto"/>
              <w:ind w:left="3"/>
              <w:jc w:val="both"/>
              <w:rPr>
                <w:rFonts w:ascii="Times New Roman" w:hAnsi="Times New Roman" w:cs="Times New Roman"/>
                <w:sz w:val="24"/>
                <w:szCs w:val="24"/>
              </w:rPr>
            </w:pPr>
            <w:r w:rsidRPr="0012597A">
              <w:rPr>
                <w:rFonts w:ascii="Times New Roman" w:hAnsi="Times New Roman" w:cs="Times New Roman"/>
                <w:sz w:val="24"/>
                <w:szCs w:val="24"/>
              </w:rPr>
              <w:t xml:space="preserve">I. a IX. … </w:t>
            </w:r>
          </w:p>
          <w:p w14:paraId="3C687CDA" w14:textId="77777777" w:rsidR="009D6128" w:rsidRPr="0012597A" w:rsidRDefault="009D6128" w:rsidP="00EF1C7F">
            <w:pPr>
              <w:widowControl w:val="0"/>
              <w:autoSpaceDE w:val="0"/>
              <w:autoSpaceDN w:val="0"/>
              <w:spacing w:line="240" w:lineRule="auto"/>
              <w:ind w:left="3" w:right="65"/>
              <w:jc w:val="both"/>
              <w:rPr>
                <w:rFonts w:ascii="Times New Roman" w:hAnsi="Times New Roman" w:cs="Times New Roman"/>
                <w:b/>
                <w:sz w:val="24"/>
                <w:szCs w:val="24"/>
              </w:rPr>
            </w:pPr>
          </w:p>
          <w:p w14:paraId="0F8A9A07" w14:textId="77777777" w:rsidR="009D6128" w:rsidRPr="0012597A" w:rsidRDefault="009D6128" w:rsidP="00EF1C7F">
            <w:pPr>
              <w:widowControl w:val="0"/>
              <w:autoSpaceDE w:val="0"/>
              <w:autoSpaceDN w:val="0"/>
              <w:spacing w:line="240" w:lineRule="auto"/>
              <w:ind w:left="3" w:right="65"/>
              <w:jc w:val="both"/>
              <w:rPr>
                <w:rFonts w:ascii="Times New Roman" w:hAnsi="Times New Roman" w:cs="Times New Roman"/>
                <w:sz w:val="24"/>
                <w:szCs w:val="24"/>
              </w:rPr>
            </w:pPr>
            <w:r w:rsidRPr="0012597A">
              <w:rPr>
                <w:rFonts w:ascii="Times New Roman" w:hAnsi="Times New Roman" w:cs="Times New Roman"/>
                <w:b/>
                <w:sz w:val="24"/>
                <w:szCs w:val="24"/>
              </w:rPr>
              <w:t>X. Crear, implementar y coordinar un Programa Estatal de estímulos y acciones afirmativas para el fortalecimiento de las agrupaciones, escuelas o programas populares de iniciación deportiva en pueblos, comunidades, barrios y colonias de los municipios del Estado de México, con el objeto de garantizar el acceso efectivo, incluyente y equitativo a la cultura física y al deporte, priorizando a niñas, niños y adolescentes en condiciones de vulnerabilidad social.</w:t>
            </w:r>
            <w:r w:rsidRPr="0012597A">
              <w:rPr>
                <w:rFonts w:ascii="Times New Roman" w:hAnsi="Times New Roman" w:cs="Times New Roman"/>
                <w:sz w:val="24"/>
                <w:szCs w:val="24"/>
              </w:rPr>
              <w:t xml:space="preserve"> </w:t>
            </w:r>
          </w:p>
          <w:p w14:paraId="5343C86C"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6A6CB4D1"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6761B11B"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29D44A54"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5034331C"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7D9994A8"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07E8E8EC"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0D3C4AD4"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5D0F571E"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308E0B44"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545302B9"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0F9C56F1"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7BC005F5"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10B180DE"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04A977AE"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7460F612"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46CD02A8"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41EBB315"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0A42147C"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24188315"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5B6992A5"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7C2BB1DC"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335330AB"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197EF1C1"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360D4697"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3659E1A7"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3132927E"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7C2AC8E8"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106A6405"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5C8BD17B"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7AF04854"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6F13A6E3" w14:textId="77777777" w:rsidR="009D6128" w:rsidRPr="0012597A" w:rsidRDefault="009D6128" w:rsidP="00EF1C7F">
            <w:pPr>
              <w:widowControl w:val="0"/>
              <w:autoSpaceDE w:val="0"/>
              <w:autoSpaceDN w:val="0"/>
              <w:spacing w:line="240" w:lineRule="auto"/>
              <w:jc w:val="both"/>
              <w:rPr>
                <w:rFonts w:ascii="Times New Roman" w:hAnsi="Times New Roman" w:cs="Times New Roman"/>
                <w:b/>
                <w:sz w:val="24"/>
                <w:szCs w:val="24"/>
              </w:rPr>
            </w:pPr>
          </w:p>
          <w:p w14:paraId="5FF653B7" w14:textId="77777777" w:rsidR="009D6128" w:rsidRPr="0012597A" w:rsidRDefault="009D6128" w:rsidP="00EF1C7F">
            <w:pPr>
              <w:widowControl w:val="0"/>
              <w:autoSpaceDE w:val="0"/>
              <w:autoSpaceDN w:val="0"/>
              <w:spacing w:line="240" w:lineRule="auto"/>
              <w:jc w:val="both"/>
              <w:rPr>
                <w:rFonts w:ascii="Times New Roman" w:hAnsi="Times New Roman" w:cs="Times New Roman"/>
                <w:sz w:val="24"/>
                <w:szCs w:val="24"/>
              </w:rPr>
            </w:pPr>
            <w:r w:rsidRPr="0012597A">
              <w:rPr>
                <w:rFonts w:ascii="Times New Roman" w:hAnsi="Times New Roman" w:cs="Times New Roman"/>
                <w:b/>
                <w:sz w:val="24"/>
                <w:szCs w:val="24"/>
              </w:rPr>
              <w:t>XI</w:t>
            </w:r>
            <w:r w:rsidRPr="0012597A">
              <w:rPr>
                <w:rFonts w:ascii="Times New Roman" w:hAnsi="Times New Roman" w:cs="Times New Roman"/>
                <w:sz w:val="24"/>
                <w:szCs w:val="24"/>
              </w:rPr>
              <w:t>.</w:t>
            </w:r>
            <w:r w:rsidRPr="0012597A">
              <w:rPr>
                <w:rFonts w:ascii="Times New Roman" w:eastAsia="Bookman Old Style" w:hAnsi="Times New Roman" w:cs="Times New Roman"/>
                <w:sz w:val="24"/>
                <w:szCs w:val="24"/>
              </w:rPr>
              <w:t xml:space="preserve"> Las demás que se establezcan en su Reglamento Interno y que sean necesarias para cumplir con su objeto.</w:t>
            </w:r>
            <w:r w:rsidRPr="0012597A">
              <w:rPr>
                <w:rFonts w:ascii="Times New Roman" w:hAnsi="Times New Roman" w:cs="Times New Roman"/>
                <w:sz w:val="24"/>
                <w:szCs w:val="24"/>
              </w:rPr>
              <w:t xml:space="preserve"> </w:t>
            </w:r>
          </w:p>
        </w:tc>
      </w:tr>
    </w:tbl>
    <w:p w14:paraId="15B55E7A"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p>
    <w:p w14:paraId="69F63DAB"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p>
    <w:p w14:paraId="26A8B0AD"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p>
    <w:p w14:paraId="308E9160"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b/>
          <w:color w:val="FFFFFF"/>
          <w:sz w:val="24"/>
          <w:szCs w:val="24"/>
        </w:rPr>
      </w:pPr>
      <w:r w:rsidRPr="0012597A">
        <w:rPr>
          <w:rFonts w:ascii="Times New Roman" w:eastAsia="Times New Roman" w:hAnsi="Times New Roman" w:cs="Times New Roman"/>
          <w:b/>
          <w:noProof/>
          <w:sz w:val="24"/>
          <w:szCs w:val="24"/>
        </w:rPr>
        <mc:AlternateContent>
          <mc:Choice Requires="wps">
            <w:drawing>
              <wp:anchor distT="0" distB="0" distL="0" distR="0" simplePos="0" relativeHeight="251659264" behindDoc="0" locked="0" layoutInCell="1" allowOverlap="1" wp14:anchorId="16DB45B3" wp14:editId="750DA177">
                <wp:simplePos x="0" y="0"/>
                <wp:positionH relativeFrom="page">
                  <wp:posOffset>592277</wp:posOffset>
                </wp:positionH>
                <wp:positionV relativeFrom="page">
                  <wp:posOffset>-15463342</wp:posOffset>
                </wp:positionV>
                <wp:extent cx="6653530" cy="694563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3530" cy="6945630"/>
                        </a:xfrm>
                        <a:prstGeom prst="rect">
                          <a:avLst/>
                        </a:prstGeom>
                      </wps:spPr>
                      <wps:txbx>
                        <w:txbxContent>
                          <w:p w14:paraId="0D278B52" w14:textId="77777777" w:rsidR="00116883" w:rsidRDefault="00116883" w:rsidP="009D6128">
                            <w:pPr>
                              <w:pStyle w:val="Textoindependiente"/>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DB45B3" id="_x0000_t202" coordsize="21600,21600" o:spt="202" path="m,l,21600r21600,l21600,xe">
                <v:stroke joinstyle="miter"/>
                <v:path gradientshapeok="t" o:connecttype="rect"/>
              </v:shapetype>
              <v:shape id="Textbox 29" o:spid="_x0000_s1026" type="#_x0000_t202" style="position:absolute;left:0;text-align:left;margin-left:46.65pt;margin-top:-1217.6pt;width:523.9pt;height:546.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" filled="f" stroked="f">
                <v:textbox inset="0,0,0,0">
                  <w:txbxContent>
                    <w:p w14:paraId="0D278B52" w14:textId="77777777" w:rsidR="00116883" w:rsidRDefault="00116883" w:rsidP="009D6128">
                      <w:pPr>
                        <w:pStyle w:val="Textoindependiente"/>
                      </w:pPr>
                    </w:p>
                  </w:txbxContent>
                </v:textbox>
                <w10:wrap type="topAndBottom" anchorx="page" anchory="page"/>
              </v:shape>
            </w:pict>
          </mc:Fallback>
        </mc:AlternateContent>
      </w:r>
      <w:r w:rsidRPr="0012597A">
        <w:rPr>
          <w:rFonts w:ascii="Times New Roman" w:eastAsia="Times New Roman" w:hAnsi="Times New Roman" w:cs="Times New Roman"/>
          <w:b/>
          <w:noProof/>
          <w:sz w:val="24"/>
          <w:szCs w:val="24"/>
        </w:rPr>
        <mc:AlternateContent>
          <mc:Choice Requires="wps">
            <w:drawing>
              <wp:anchor distT="0" distB="0" distL="0" distR="0" simplePos="0" relativeHeight="251660288" behindDoc="0" locked="0" layoutInCell="1" allowOverlap="1" wp14:anchorId="26F85056" wp14:editId="1F2EC1B2">
                <wp:simplePos x="0" y="0"/>
                <wp:positionH relativeFrom="page">
                  <wp:posOffset>4138295</wp:posOffset>
                </wp:positionH>
                <wp:positionV relativeFrom="page">
                  <wp:posOffset>1539494</wp:posOffset>
                </wp:positionV>
                <wp:extent cx="6350" cy="2762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76225"/>
                        </a:xfrm>
                        <a:custGeom>
                          <a:avLst/>
                          <a:gdLst/>
                          <a:ahLst/>
                          <a:cxnLst/>
                          <a:rect l="l" t="t" r="r" b="b"/>
                          <a:pathLst>
                            <a:path w="6350" h="276225">
                              <a:moveTo>
                                <a:pt x="6096" y="0"/>
                              </a:moveTo>
                              <a:lnTo>
                                <a:pt x="0" y="0"/>
                              </a:lnTo>
                              <a:lnTo>
                                <a:pt x="0" y="275844"/>
                              </a:lnTo>
                              <a:lnTo>
                                <a:pt x="6096" y="275844"/>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9F801" id="Graphic 32" o:spid="_x0000_s1026" style="position:absolute;margin-left:325.85pt;margin-top:121.2pt;width:.5pt;height:21.7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35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" path="m6096,l,,,275844r6096,l6096,xe" fillcolor="black" stroked="f">
                <v:path arrowok="t"/>
                <w10:wrap anchorx="page" anchory="page"/>
              </v:shape>
            </w:pict>
          </mc:Fallback>
        </mc:AlternateContent>
      </w:r>
      <w:r w:rsidRPr="0012597A">
        <w:rPr>
          <w:rFonts w:ascii="Times New Roman" w:eastAsia="Times New Roman" w:hAnsi="Times New Roman" w:cs="Times New Roman"/>
          <w:b/>
          <w:sz w:val="24"/>
          <w:szCs w:val="24"/>
        </w:rPr>
        <w:t xml:space="preserve">DECRETO NÚMERO </w:t>
      </w:r>
      <w:r w:rsidRPr="0012597A">
        <w:rPr>
          <w:rFonts w:ascii="Times New Roman" w:eastAsia="Times New Roman" w:hAnsi="Times New Roman" w:cs="Times New Roman"/>
          <w:b/>
          <w:sz w:val="24"/>
          <w:szCs w:val="24"/>
          <w:u w:val="single"/>
        </w:rPr>
        <w:tab/>
      </w:r>
    </w:p>
    <w:p w14:paraId="686BD003"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LA H. “LXII” LEGISLATURA DEL ESTADO LIBRE DE MÉXICO</w:t>
      </w:r>
    </w:p>
    <w:p w14:paraId="0B17EF84"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DECRETA:</w:t>
      </w:r>
    </w:p>
    <w:p w14:paraId="304C4810"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79754E9F"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ARTÍCULO ÚNICO: Se adiciona la fracción X al artículo 12 recorriéndose la subsecuente a la Ley de Cultura y Deporte del Estado de México, para quedar como sigue:</w:t>
      </w:r>
    </w:p>
    <w:p w14:paraId="24562E89"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19441284"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Artículo 12.- …</w:t>
      </w:r>
    </w:p>
    <w:p w14:paraId="63871623"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506921CB"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I. a IX. …</w:t>
      </w:r>
    </w:p>
    <w:p w14:paraId="6C4243DB"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453223F7"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X. Crear, implementar y coordinar un Programa Estatal de estímulos y acciones afirmativas para el fortalecimiento de las agrupaciones, escuelas o programas populares de iniciación deportiva en pueblos, comunidades, barrios y colonias de los municipios del Estado de México, con el objeto de garantizar el acceso efectivo, incluyente y equitativo a la cultura física y al deporte, priorizando a niñas, niños y adolescentes en condiciones de vulnerabilidad social.</w:t>
      </w:r>
    </w:p>
    <w:p w14:paraId="2F9A9ADD"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5933EBD9"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r w:rsidRPr="0012597A">
        <w:rPr>
          <w:rFonts w:ascii="Times New Roman" w:eastAsia="Times New Roman" w:hAnsi="Times New Roman" w:cs="Times New Roman"/>
          <w:b/>
          <w:sz w:val="24"/>
          <w:szCs w:val="24"/>
        </w:rPr>
        <w:t>XI</w:t>
      </w:r>
      <w:r w:rsidRPr="0012597A">
        <w:rPr>
          <w:rFonts w:ascii="Times New Roman" w:eastAsia="Times New Roman" w:hAnsi="Times New Roman" w:cs="Times New Roman"/>
          <w:sz w:val="24"/>
          <w:szCs w:val="24"/>
        </w:rPr>
        <w:t>. …</w:t>
      </w:r>
    </w:p>
    <w:p w14:paraId="37EBBC53"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69A4837B" w14:textId="77777777" w:rsidR="009D6128" w:rsidRPr="0012597A" w:rsidRDefault="009D6128" w:rsidP="00EF1C7F">
      <w:pPr>
        <w:widowControl w:val="0"/>
        <w:autoSpaceDE w:val="0"/>
        <w:autoSpaceDN w:val="0"/>
        <w:spacing w:after="0" w:line="240" w:lineRule="auto"/>
        <w:jc w:val="center"/>
        <w:rPr>
          <w:rFonts w:ascii="Times New Roman" w:eastAsia="Times New Roman" w:hAnsi="Times New Roman" w:cs="Times New Roman"/>
          <w:b/>
          <w:sz w:val="24"/>
          <w:szCs w:val="24"/>
        </w:rPr>
      </w:pPr>
      <w:r w:rsidRPr="0012597A">
        <w:rPr>
          <w:rFonts w:ascii="Times New Roman" w:eastAsia="Times New Roman" w:hAnsi="Times New Roman" w:cs="Times New Roman"/>
          <w:b/>
          <w:sz w:val="24"/>
          <w:szCs w:val="24"/>
        </w:rPr>
        <w:t>ARTÍCULOS TRANSITORIOS</w:t>
      </w:r>
    </w:p>
    <w:p w14:paraId="675502E3"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b/>
          <w:sz w:val="24"/>
          <w:szCs w:val="24"/>
        </w:rPr>
      </w:pPr>
    </w:p>
    <w:p w14:paraId="435CAC4F"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b/>
          <w:sz w:val="24"/>
          <w:szCs w:val="24"/>
        </w:rPr>
        <w:t>ARTÍCULO PRIMERO</w:t>
      </w:r>
      <w:r w:rsidRPr="0012597A">
        <w:rPr>
          <w:rFonts w:ascii="Times New Roman" w:eastAsia="Times New Roman" w:hAnsi="Times New Roman" w:cs="Times New Roman"/>
          <w:sz w:val="24"/>
          <w:szCs w:val="24"/>
        </w:rPr>
        <w:t>. Publíquese el presente Decreto en el Periódico Oficial "Gaceta del Gobierno" del Estado Libre y Soberano de México.</w:t>
      </w:r>
    </w:p>
    <w:p w14:paraId="554B377A"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419C28EC"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b/>
          <w:sz w:val="24"/>
          <w:szCs w:val="24"/>
        </w:rPr>
        <w:t xml:space="preserve">ARTÍCULO SEGUNDO. </w:t>
      </w:r>
      <w:r w:rsidRPr="0012597A">
        <w:rPr>
          <w:rFonts w:ascii="Times New Roman" w:eastAsia="Times New Roman" w:hAnsi="Times New Roman" w:cs="Times New Roman"/>
          <w:sz w:val="24"/>
          <w:szCs w:val="24"/>
        </w:rPr>
        <w:t>El presente Decreto entrará en vigor al día siguiente de su publicación en el Periódico Oficial "Gaceta del Gobierno".</w:t>
      </w:r>
    </w:p>
    <w:p w14:paraId="1EDACB44"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p>
    <w:p w14:paraId="4AB4A7E6"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 xml:space="preserve">agrupaciones, escuelas y programas populares de iniciación deportiva deberá contemplar estímulos económicos, apoyos en especie, acciones de capacitación y fortalecimiento comunitario, así como medidas de inclusión y de igualdad sustantiva, orientados al impulso de la práctica deportiva en </w:t>
      </w:r>
      <w:r w:rsidRPr="0012597A">
        <w:rPr>
          <w:rFonts w:ascii="Times New Roman" w:eastAsia="Times New Roman" w:hAnsi="Times New Roman" w:cs="Times New Roman"/>
          <w:sz w:val="24"/>
          <w:szCs w:val="24"/>
        </w:rPr>
        <w:lastRenderedPageBreak/>
        <w:t>pueblos, comunidades indígenas, barrios y colonias de los municipios del Estado de México, priorizando a niñas, niños y adolescentes en condiciones de vulnerabilidad social, conforme a la disponibilidad presupuestal y a las disposiciones administrativas que para tal efecto emita la autoridad competente, en coordinación con los municipios y con pleno respeto a su autonomía.</w:t>
      </w:r>
    </w:p>
    <w:p w14:paraId="0F9A053D"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22C7B11B" w14:textId="77777777" w:rsidR="009D6128" w:rsidRPr="0012597A" w:rsidRDefault="009D6128" w:rsidP="00EF1C7F">
      <w:pPr>
        <w:widowControl w:val="0"/>
        <w:autoSpaceDE w:val="0"/>
        <w:autoSpaceDN w:val="0"/>
        <w:spacing w:after="0" w:line="240" w:lineRule="auto"/>
        <w:jc w:val="both"/>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Lo tendrá entendido la Gobernadora del Estado, haciendo que se publique y se cumpla.</w:t>
      </w:r>
    </w:p>
    <w:p w14:paraId="61E21845"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p>
    <w:p w14:paraId="39CA0980" w14:textId="77777777" w:rsidR="009D6128" w:rsidRPr="0012597A" w:rsidRDefault="009D6128" w:rsidP="00EF1C7F">
      <w:pPr>
        <w:widowControl w:val="0"/>
        <w:autoSpaceDE w:val="0"/>
        <w:autoSpaceDN w:val="0"/>
        <w:spacing w:after="0" w:line="240" w:lineRule="auto"/>
        <w:rPr>
          <w:rFonts w:ascii="Times New Roman" w:eastAsia="Times New Roman" w:hAnsi="Times New Roman" w:cs="Times New Roman"/>
          <w:sz w:val="24"/>
          <w:szCs w:val="24"/>
        </w:rPr>
      </w:pPr>
      <w:r w:rsidRPr="0012597A">
        <w:rPr>
          <w:rFonts w:ascii="Times New Roman" w:eastAsia="Times New Roman" w:hAnsi="Times New Roman" w:cs="Times New Roman"/>
          <w:sz w:val="24"/>
          <w:szCs w:val="24"/>
        </w:rPr>
        <w:t xml:space="preserve">Dado en el Palacio del Poder Legislativo, en la ciudad de Toluca de Lerdo, Capital del Estado de México, a los </w:t>
      </w:r>
      <w:r w:rsidRPr="0012597A">
        <w:rPr>
          <w:rFonts w:ascii="Times New Roman" w:eastAsia="Times New Roman" w:hAnsi="Times New Roman" w:cs="Times New Roman"/>
          <w:sz w:val="24"/>
          <w:szCs w:val="24"/>
          <w:u w:val="single"/>
        </w:rPr>
        <w:tab/>
      </w:r>
      <w:r w:rsidRPr="0012597A">
        <w:rPr>
          <w:rFonts w:ascii="Times New Roman" w:eastAsia="Times New Roman" w:hAnsi="Times New Roman" w:cs="Times New Roman"/>
          <w:sz w:val="24"/>
          <w:szCs w:val="24"/>
        </w:rPr>
        <w:t xml:space="preserve">días del mes de </w:t>
      </w:r>
      <w:r w:rsidRPr="0012597A">
        <w:rPr>
          <w:rFonts w:ascii="Times New Roman" w:eastAsia="Times New Roman" w:hAnsi="Times New Roman" w:cs="Times New Roman"/>
          <w:sz w:val="24"/>
          <w:szCs w:val="24"/>
          <w:u w:val="single"/>
        </w:rPr>
        <w:tab/>
      </w:r>
      <w:r w:rsidRPr="0012597A">
        <w:rPr>
          <w:rFonts w:ascii="Times New Roman" w:eastAsia="Times New Roman" w:hAnsi="Times New Roman" w:cs="Times New Roman"/>
          <w:sz w:val="24"/>
          <w:szCs w:val="24"/>
        </w:rPr>
        <w:t>del dos mil veintiséis.</w:t>
      </w:r>
    </w:p>
    <w:p w14:paraId="752BE856" w14:textId="77777777" w:rsidR="009D6128" w:rsidRPr="0012597A" w:rsidRDefault="009D6128" w:rsidP="00EF1C7F">
      <w:pPr>
        <w:spacing w:after="0" w:line="240" w:lineRule="auto"/>
        <w:jc w:val="center"/>
        <w:rPr>
          <w:rFonts w:ascii="Times New Roman" w:hAnsi="Times New Roman"/>
          <w:sz w:val="24"/>
          <w:szCs w:val="24"/>
        </w:rPr>
      </w:pPr>
    </w:p>
    <w:p w14:paraId="307D16FE" w14:textId="77777777" w:rsidR="009D6128" w:rsidRPr="0012597A" w:rsidRDefault="009D6128"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49E7C98B" w14:textId="77777777" w:rsidR="009D6128" w:rsidRPr="0012597A" w:rsidRDefault="009D6128" w:rsidP="00EF1C7F">
      <w:pPr>
        <w:spacing w:after="0" w:line="240" w:lineRule="auto"/>
        <w:jc w:val="center"/>
        <w:rPr>
          <w:rFonts w:ascii="Times New Roman" w:hAnsi="Times New Roman"/>
          <w:sz w:val="24"/>
          <w:szCs w:val="24"/>
        </w:rPr>
      </w:pPr>
    </w:p>
    <w:p w14:paraId="338F6757" w14:textId="2406588C"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DIP. MARTHA AZUCENA CAMACHO REYNOSO. Gracias diputada Brenda Colette Miranda Vargas.</w:t>
      </w:r>
    </w:p>
    <w:p w14:paraId="1F7C331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Se registra la iniciativa y se remite a las Comisiones Legislativas de la Juventud y el Deporte y de Legislación y Administración Municipal para su estudio y dictamen.</w:t>
      </w:r>
    </w:p>
    <w:p w14:paraId="7AC10C49"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En el siguiente punto, la diputada Paola Jiménez Hernández presenta, en nombre del Grupo Parlamentario del Partido morena, Iniciativa con Proyecto de Decreto por el que se adicionan diversas disposiciones al Código Civil del Estado de México, en materia de expedición del registro estatal de </w:t>
      </w:r>
      <w:proofErr w:type="spellStart"/>
      <w:r w:rsidRPr="0012597A">
        <w:rPr>
          <w:rFonts w:ascii="Times New Roman" w:hAnsi="Times New Roman" w:cs="Times New Roman"/>
          <w:color w:val="FF0000"/>
          <w:sz w:val="24"/>
          <w:szCs w:val="24"/>
        </w:rPr>
        <w:t>violentadores</w:t>
      </w:r>
      <w:proofErr w:type="spellEnd"/>
      <w:r w:rsidRPr="0012597A">
        <w:rPr>
          <w:rFonts w:ascii="Times New Roman" w:hAnsi="Times New Roman" w:cs="Times New Roman"/>
          <w:color w:val="FF0000"/>
          <w:sz w:val="24"/>
          <w:szCs w:val="24"/>
        </w:rPr>
        <w:t xml:space="preserve"> de vicarios. </w:t>
      </w:r>
    </w:p>
    <w:p w14:paraId="5B01544A"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DIP. PAOLA JIMÉNEZ HERNÁNDEZ. Muchas gracias Presidenta.</w:t>
      </w:r>
    </w:p>
    <w:p w14:paraId="5D0B79D1"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Con su venia, compañeras y compañeros diputados, a quienes nos acompañan aquí en el Pleno, por supuesto, a los medios de comunicación y a quienes nos siguen a través de las redes sociales. </w:t>
      </w:r>
    </w:p>
    <w:p w14:paraId="1C4D261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Hablar de violencia en contra de las mujeres siempre será un tema doloroso, más ante una vista que por momentos cree que es una moda o se vuelve indiferente; pero hay una forma particularmente cruel que durante años ha permanecido invisibilizada y que hoy desde el Estado de México hemos trabajado con contundencia, la violencia vicaria, se trata de una violencia que no solo busca dañar a una mujer, sino hacerlo a través de lo que más ama sus hijas e hijos, sus vínculos afectivos. </w:t>
      </w:r>
    </w:p>
    <w:p w14:paraId="56BAE7B1"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Es la instrumentalización del amor y de la familia como mecanismo de castigo, de control y de sometimiento, la violencia vicaria ocurre cuando una persona agrede, manipula o utiliza a niñas y niños particularmente a quienes, en abuso a su inocencia siembran ideas, generan daño, manipulan psicológicamente o a familiares con el único propósito de causar sufrimiento a una mujer, esto no es solo violencia familiar, es una forma de violencia extrema de género, violencia de género que deja profundas heridas emocionales y psicológicas a quienes la padecen y quienes se vuelven también un instrumento que son, en este caso, los infantes y adolescentes. </w:t>
      </w:r>
    </w:p>
    <w:p w14:paraId="5B575900"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Durante mucho tiempo esta realidad fue minimizada o ignorada; sin embargo, hoy sabemos que proteger a las mujeres también implica proteger a sus hijas e hijos. </w:t>
      </w:r>
    </w:p>
    <w:p w14:paraId="40FE3DD3"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México ha asumido compromisos, compromisos tangibles a nivel internacional claros para prevenir, sancionar y erradicar la violencia contra las mujeres, instrumentos como la Convención sobre la Eliminación de todas las Formas de Discriminación contra la Mujer, la “Convención Belém do Pará” y la Convención sobre los Derechos del Niño, que hoy obligan a los Estados a actuar con diligencia para evitar que estas violencias se repitan. </w:t>
      </w:r>
    </w:p>
    <w:p w14:paraId="7496A5E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Nuestro País ha avanzado, el Estado de México incluso ha sido una de las entidades que ha reconocido la violencia vicaria tanto en su marco civil como penal, pero todavía existe un vacío importante, no contamos con un mecanismo que permita registrar, identificar y dar seguimiento a quienes han ejercido esa violencia; por eso, la iniciativa que hoy presento propone crear el Registro Estatal de </w:t>
      </w:r>
      <w:proofErr w:type="spellStart"/>
      <w:r w:rsidRPr="0012597A">
        <w:rPr>
          <w:rFonts w:ascii="Times New Roman" w:hAnsi="Times New Roman" w:cs="Times New Roman"/>
          <w:color w:val="FF0000"/>
          <w:sz w:val="24"/>
          <w:szCs w:val="24"/>
        </w:rPr>
        <w:t>Violentadores</w:t>
      </w:r>
      <w:proofErr w:type="spellEnd"/>
      <w:r w:rsidRPr="0012597A">
        <w:rPr>
          <w:rFonts w:ascii="Times New Roman" w:hAnsi="Times New Roman" w:cs="Times New Roman"/>
          <w:color w:val="FF0000"/>
          <w:sz w:val="24"/>
          <w:szCs w:val="24"/>
        </w:rPr>
        <w:t xml:space="preserve"> Vicarios, este registro permitirá ser un instrumento público.</w:t>
      </w:r>
    </w:p>
    <w:p w14:paraId="5267C8D0"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1.- Para documentar e identificar a las personas que hayan sido declaradas judicialmente responsables de ejercer violencia vicaria.</w:t>
      </w:r>
    </w:p>
    <w:p w14:paraId="728FC66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2.- Facilitando la coordinación entre autoridades judiciales, administrativas y de atención a víctimas, fortaleciendo la protección institucional.</w:t>
      </w:r>
    </w:p>
    <w:p w14:paraId="10BC2EE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3.- Emitiendo certificados de no inscripción que podrán ser requeridos para trámites administrativos, permisos, licencias, candidaturas a puestos de elección popular o empleos públicos. </w:t>
      </w:r>
    </w:p>
    <w:p w14:paraId="1E5FE53B"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4.- Generar información que permita diseñar mejores políticas públicas para evitar la violencia. </w:t>
      </w:r>
    </w:p>
    <w:p w14:paraId="5FE9BA5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Este modelo no es ajeno a nuestro sistema jurídico, el Estado de México ya cuenta con el Registro de Deudores Alimentarios Morosos, lo que demuestra que los registros administrativos se convierten en una herramienta eficaz para proteger a derechos y fomentar la responsabilidad, cuidando el interés superior de las y los menores. </w:t>
      </w:r>
    </w:p>
    <w:p w14:paraId="249E4E0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Quiero reconocer el trabajo de todas las colectivas, activistas y madres que durante años han alzado la voz para visibilizar este tipo de violencia, muchas de ellas han vivido estas situaciones en carne propia y también han decidido acompañar a otras mujeres en lo que se vuelve el más profundo dolor; a ellas les debemos gran parte del avance que hoy estamos discutiendo, a todas las activistas, a quienes caminan, a las mujeres que marchan, a las que pelean por todos sus derechos, a las que están ahí, dando acompañamiento a otras mujeres que están pasando por el mismo tramo.</w:t>
      </w:r>
    </w:p>
    <w:p w14:paraId="68246C1C"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Compañeras y compañeros legisladores, compañere, esta iniciativa no busca generar una sanción adicional, busca prevenir la repetición de la violencia para proteger a las víctimas y garantizar que el Estado cuente con herramientas reales para actuar, porque cuando una mujer es violentada a través de sus hijas o hijos, no solo se rompe una familia, se rompe la confianza en la justicia que no se tiene ya en las instituciones. </w:t>
      </w:r>
    </w:p>
    <w:p w14:paraId="58545AE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Es importante señalar que no se le deben de abrir más oportunidades a quienes son los </w:t>
      </w:r>
      <w:proofErr w:type="spellStart"/>
      <w:r w:rsidRPr="0012597A">
        <w:rPr>
          <w:rFonts w:ascii="Times New Roman" w:hAnsi="Times New Roman" w:cs="Times New Roman"/>
          <w:color w:val="FF0000"/>
          <w:sz w:val="24"/>
          <w:szCs w:val="24"/>
        </w:rPr>
        <w:t>violentadores</w:t>
      </w:r>
      <w:proofErr w:type="spellEnd"/>
      <w:r w:rsidRPr="0012597A">
        <w:rPr>
          <w:rFonts w:ascii="Times New Roman" w:hAnsi="Times New Roman" w:cs="Times New Roman"/>
          <w:color w:val="FF0000"/>
          <w:sz w:val="24"/>
          <w:szCs w:val="24"/>
        </w:rPr>
        <w:t xml:space="preserve"> vicarios y por eso necesitamos tener claridad este registro también así, validando que se evite la residencia en este tema; en el Estado de México tenemos la gran oportunidad de seguir avanzando en materia de protección de los derechos humanos, de la defensa de las mujeres y del interés superior de la niñez. </w:t>
      </w:r>
    </w:p>
    <w:p w14:paraId="372FCC2C"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Se tiene que enviar un mensaje claro ninguna forma de violencia puede quedar impune y también tenemos que dar claridad a miles de mujeres que están allá afuera, que estamos de su lado y que la violencia vicaria a quienes legislamos </w:t>
      </w:r>
      <w:r w:rsidRPr="0012597A">
        <w:rPr>
          <w:rFonts w:ascii="Times New Roman" w:hAnsi="Times New Roman" w:cs="Times New Roman"/>
          <w:color w:val="FF0000"/>
          <w:sz w:val="24"/>
          <w:szCs w:val="24"/>
          <w:shd w:val="clear" w:color="auto" w:fill="FFFFFF" w:themeFill="background1"/>
        </w:rPr>
        <w:t>no, nos es sin</w:t>
      </w:r>
      <w:r w:rsidRPr="0012597A">
        <w:rPr>
          <w:rFonts w:ascii="Times New Roman" w:hAnsi="Times New Roman" w:cs="Times New Roman"/>
          <w:color w:val="FF0000"/>
          <w:sz w:val="24"/>
          <w:szCs w:val="24"/>
        </w:rPr>
        <w:t xml:space="preserve"> ningún sentido indiferente, no permitiremos la impunidad y cerraremos espacio a quienes no cumplen con su deber. </w:t>
      </w:r>
    </w:p>
    <w:p w14:paraId="3FB88AAD"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Muchísimas gracias. </w:t>
      </w:r>
    </w:p>
    <w:p w14:paraId="25ACEEC2"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Es </w:t>
      </w:r>
      <w:proofErr w:type="spellStart"/>
      <w:r w:rsidRPr="0012597A">
        <w:rPr>
          <w:rFonts w:ascii="Times New Roman" w:hAnsi="Times New Roman" w:cs="Times New Roman"/>
          <w:color w:val="FF0000"/>
          <w:sz w:val="24"/>
          <w:szCs w:val="24"/>
        </w:rPr>
        <w:t>cuanto</w:t>
      </w:r>
      <w:proofErr w:type="spellEnd"/>
      <w:r w:rsidRPr="0012597A">
        <w:rPr>
          <w:rFonts w:ascii="Times New Roman" w:hAnsi="Times New Roman" w:cs="Times New Roman"/>
          <w:color w:val="FF0000"/>
          <w:sz w:val="24"/>
          <w:szCs w:val="24"/>
        </w:rPr>
        <w:t>. Muy amables.</w:t>
      </w:r>
    </w:p>
    <w:p w14:paraId="69E55515" w14:textId="77777777" w:rsidR="00344ABF" w:rsidRPr="0012597A" w:rsidRDefault="00344ABF" w:rsidP="00EF1C7F">
      <w:pPr>
        <w:pStyle w:val="Sinespaciado"/>
        <w:jc w:val="both"/>
        <w:rPr>
          <w:rFonts w:ascii="Times New Roman" w:hAnsi="Times New Roman" w:cs="Times New Roman"/>
          <w:sz w:val="24"/>
          <w:szCs w:val="24"/>
        </w:rPr>
      </w:pPr>
      <w:bookmarkStart w:id="11" w:name="_Hlk224741591"/>
    </w:p>
    <w:p w14:paraId="1DFDE9E9" w14:textId="77777777" w:rsidR="00344ABF" w:rsidRPr="0012597A" w:rsidRDefault="00344ABF"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31035CF9" w14:textId="77777777" w:rsidR="00344ABF" w:rsidRPr="0012597A" w:rsidRDefault="00344ABF" w:rsidP="00EF1C7F">
      <w:pPr>
        <w:spacing w:after="0" w:line="240" w:lineRule="auto"/>
        <w:jc w:val="center"/>
        <w:rPr>
          <w:rFonts w:ascii="Times New Roman" w:hAnsi="Times New Roman"/>
          <w:sz w:val="24"/>
          <w:szCs w:val="24"/>
        </w:rPr>
      </w:pPr>
    </w:p>
    <w:p w14:paraId="7AA5F42B" w14:textId="77777777" w:rsidR="00344ABF" w:rsidRPr="0012597A" w:rsidRDefault="00344AB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Paola Jiménez Hernández</w:t>
      </w:r>
    </w:p>
    <w:p w14:paraId="4B950E55" w14:textId="77777777" w:rsidR="00344ABF" w:rsidRPr="0012597A" w:rsidRDefault="00344AB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Diputada Local del Estado de México</w:t>
      </w:r>
    </w:p>
    <w:p w14:paraId="30539E55" w14:textId="77777777" w:rsidR="00344ABF" w:rsidRPr="0012597A" w:rsidRDefault="00344ABF" w:rsidP="00EF1C7F">
      <w:pPr>
        <w:widowControl w:val="0"/>
        <w:autoSpaceDE w:val="0"/>
        <w:autoSpaceDN w:val="0"/>
        <w:spacing w:after="0" w:line="240" w:lineRule="auto"/>
        <w:jc w:val="center"/>
        <w:rPr>
          <w:rFonts w:ascii="Times New Roman" w:eastAsia="Arial MT" w:hAnsi="Times New Roman" w:cs="Times New Roman"/>
          <w:sz w:val="24"/>
          <w:szCs w:val="24"/>
        </w:rPr>
      </w:pPr>
    </w:p>
    <w:p w14:paraId="12EDF959" w14:textId="77777777" w:rsidR="00344ABF" w:rsidRPr="0012597A" w:rsidRDefault="00344ABF" w:rsidP="00EF1C7F">
      <w:pPr>
        <w:widowControl w:val="0"/>
        <w:autoSpaceDE w:val="0"/>
        <w:autoSpaceDN w:val="0"/>
        <w:spacing w:after="0" w:line="240" w:lineRule="auto"/>
        <w:ind w:left="3"/>
        <w:jc w:val="center"/>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“2026. Año del Humanismo Mexicano en el Estado de México”</w:t>
      </w:r>
    </w:p>
    <w:p w14:paraId="4E839656" w14:textId="77777777" w:rsidR="00344ABF" w:rsidRPr="0012597A" w:rsidRDefault="00344ABF" w:rsidP="00EF1C7F">
      <w:pPr>
        <w:widowControl w:val="0"/>
        <w:autoSpaceDE w:val="0"/>
        <w:autoSpaceDN w:val="0"/>
        <w:spacing w:after="0" w:line="240" w:lineRule="auto"/>
        <w:ind w:left="3427"/>
        <w:rPr>
          <w:rFonts w:ascii="Times New Roman" w:eastAsia="Arial MT" w:hAnsi="Times New Roman" w:cs="Times New Roman"/>
          <w:sz w:val="24"/>
          <w:szCs w:val="24"/>
        </w:rPr>
      </w:pPr>
    </w:p>
    <w:p w14:paraId="292B3444" w14:textId="77777777" w:rsidR="00344ABF" w:rsidRPr="0012597A" w:rsidRDefault="00344ABF" w:rsidP="00EF1C7F">
      <w:pPr>
        <w:widowControl w:val="0"/>
        <w:autoSpaceDE w:val="0"/>
        <w:autoSpaceDN w:val="0"/>
        <w:spacing w:after="0" w:line="240" w:lineRule="auto"/>
        <w:ind w:left="3427"/>
        <w:rPr>
          <w:rFonts w:ascii="Times New Roman" w:eastAsia="Arial MT" w:hAnsi="Times New Roman" w:cs="Times New Roman"/>
          <w:sz w:val="24"/>
          <w:szCs w:val="24"/>
        </w:rPr>
      </w:pPr>
      <w:r w:rsidRPr="0012597A">
        <w:rPr>
          <w:rFonts w:ascii="Times New Roman" w:eastAsia="Arial MT" w:hAnsi="Times New Roman" w:cs="Times New Roman"/>
          <w:sz w:val="24"/>
          <w:szCs w:val="24"/>
        </w:rPr>
        <w:t>Toluca de Lerdo, Estado de México 10 de febrero 2026.</w:t>
      </w:r>
    </w:p>
    <w:p w14:paraId="7980D211"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5E07CD4F"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DIPUTADO</w:t>
      </w:r>
    </w:p>
    <w:p w14:paraId="6C5C48B5"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JOSÉ FRANCISCO VÁZQUEZ RODRÍGUEZ PRESIDENTE DE LA H. “LXII” LEGISLATURA DEL ESTADO DE MÉXICO</w:t>
      </w:r>
    </w:p>
    <w:p w14:paraId="2B5E2F02"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 R E S E N T E</w:t>
      </w:r>
    </w:p>
    <w:p w14:paraId="573E1EE4"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0533EF6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lastRenderedPageBreak/>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12597A">
        <w:rPr>
          <w:rFonts w:ascii="Times New Roman" w:eastAsia="Arial MT" w:hAnsi="Times New Roman" w:cs="Times New Roman"/>
          <w:b/>
          <w:sz w:val="24"/>
          <w:szCs w:val="24"/>
        </w:rPr>
        <w:t>Paola Jiménez Hernández</w:t>
      </w:r>
      <w:r w:rsidRPr="0012597A">
        <w:rPr>
          <w:rFonts w:ascii="Times New Roman" w:eastAsia="Arial MT" w:hAnsi="Times New Roman" w:cs="Times New Roman"/>
          <w:sz w:val="24"/>
          <w:szCs w:val="24"/>
        </w:rPr>
        <w:t xml:space="preserve">, integrante del grupo parlamentario </w:t>
      </w:r>
      <w:r w:rsidRPr="0012597A">
        <w:rPr>
          <w:rFonts w:ascii="Times New Roman" w:eastAsia="Arial MT" w:hAnsi="Times New Roman" w:cs="Times New Roman"/>
          <w:b/>
          <w:sz w:val="24"/>
          <w:szCs w:val="24"/>
        </w:rPr>
        <w:t>morena</w:t>
      </w:r>
      <w:r w:rsidRPr="0012597A">
        <w:rPr>
          <w:rFonts w:ascii="Times New Roman" w:eastAsia="Arial MT" w:hAnsi="Times New Roman" w:cs="Times New Roman"/>
          <w:sz w:val="24"/>
          <w:szCs w:val="24"/>
        </w:rPr>
        <w:t xml:space="preserve">, me permito someter a la consideración de esta Honorable Legislatura la </w:t>
      </w:r>
      <w:r w:rsidRPr="0012597A">
        <w:rPr>
          <w:rFonts w:ascii="Times New Roman" w:eastAsia="Arial MT" w:hAnsi="Times New Roman" w:cs="Times New Roman"/>
          <w:b/>
          <w:sz w:val="24"/>
          <w:szCs w:val="24"/>
        </w:rPr>
        <w:t xml:space="preserve">Iniciativa con Proyecto de Decreto por el que se adicionan diversas disposiciones al Código Civil del Estado de México, en materia de expedición del Registro Estatal de </w:t>
      </w:r>
      <w:proofErr w:type="spellStart"/>
      <w:r w:rsidRPr="0012597A">
        <w:rPr>
          <w:rFonts w:ascii="Times New Roman" w:eastAsia="Arial MT" w:hAnsi="Times New Roman" w:cs="Times New Roman"/>
          <w:b/>
          <w:sz w:val="24"/>
          <w:szCs w:val="24"/>
        </w:rPr>
        <w:t>Violentadores</w:t>
      </w:r>
      <w:proofErr w:type="spellEnd"/>
      <w:r w:rsidRPr="0012597A">
        <w:rPr>
          <w:rFonts w:ascii="Times New Roman" w:eastAsia="Arial MT" w:hAnsi="Times New Roman" w:cs="Times New Roman"/>
          <w:b/>
          <w:sz w:val="24"/>
          <w:szCs w:val="24"/>
        </w:rPr>
        <w:t xml:space="preserve"> Vicarios</w:t>
      </w:r>
      <w:r w:rsidRPr="0012597A">
        <w:rPr>
          <w:rFonts w:ascii="Times New Roman" w:eastAsia="Arial MT" w:hAnsi="Times New Roman" w:cs="Times New Roman"/>
          <w:sz w:val="24"/>
          <w:szCs w:val="24"/>
        </w:rPr>
        <w:t>, de conformidad con la siguiente:</w:t>
      </w:r>
    </w:p>
    <w:p w14:paraId="34738BA5"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4FC11B3F" w14:textId="77777777" w:rsidR="00344ABF" w:rsidRPr="0012597A" w:rsidRDefault="00344AB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EXPOSICIÓN DE MOTIVOS</w:t>
      </w:r>
    </w:p>
    <w:p w14:paraId="3E3F25B7"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1796B18E"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violencia contra las mujeres, en cualquiera de sus manifestaciones, constituye una de las violaciones más graves a los derechos humanos y representa una amenaza directa al desarrollo social, la justicia y la dignidad humana. En particular, a violencia vicaria — entendida como aquella que se ejerce sobre hijas, hijos u otras personas cercanas a la víctima, con la finalidad de causarle un daño emocional, psicológico o social— constituye una de las expresiones más crueles de la violencia de género, al instrumentalizar los vínculos afectivos como mecanismo de control y castigo. Durante años, esta forma de violencia ha permanecido invisibilizada, a pesar de sus devastadoras consecuencias, por lo que su reconocimiento y atención resultan indispensables para garantizar el derecho de las mujeres a vivir una vida libre de violencia.</w:t>
      </w:r>
    </w:p>
    <w:p w14:paraId="0B26406C"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55822CAD"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Dicho término fue acuñado por la psicóloga clínica y forense Sonia Vaccaro, hace aproximadamente quince años, con el objetivo de analizar un tipo de violencia que se produce con mayor intensidad tras llevarse a cabo una separación. El concepto «vicario» hace referencia a la sustitución de un individuo por otro en el ejercicio de una función. Cuando se aplica a la violencia, representa realizar una agresión sobre una persona en sustitución de otra, la cual es el principal objetivo</w:t>
      </w:r>
      <w:hyperlink w:anchor="_bookmark0" w:history="1">
        <w:r w:rsidRPr="0012597A">
          <w:rPr>
            <w:rFonts w:ascii="Times New Roman" w:eastAsia="Arial MT" w:hAnsi="Times New Roman" w:cs="Times New Roman"/>
            <w:color w:val="FF0000"/>
            <w:sz w:val="24"/>
            <w:szCs w:val="24"/>
            <w:vertAlign w:val="superscript"/>
          </w:rPr>
          <w:t>1</w:t>
        </w:r>
      </w:hyperlink>
      <w:r w:rsidRPr="0012597A">
        <w:rPr>
          <w:rFonts w:ascii="Times New Roman" w:eastAsia="Arial MT" w:hAnsi="Times New Roman" w:cs="Times New Roman"/>
          <w:sz w:val="24"/>
          <w:szCs w:val="24"/>
        </w:rPr>
        <w:t>.</w:t>
      </w:r>
    </w:p>
    <w:p w14:paraId="7DF8C096"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4B012F3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ámbito internacional, México es estado parte de instrumentos que establecen de manera clara la obligación de los gobiernos de prevenir, sancionar y erradicar la violencia contra las mujeres y las personas en situación de vulnerabilidad. La Convención sobre la Eliminación de Todas las Formas de Discriminación contra la Mujer (CEDAW), adoptada por la Asamblea General de las Naciones Unidas en 1979, dispone que los Estados deben establecer medidas jurídicas y administrativas que impidan cualquier forma de discriminación y violencia basada en el género.</w:t>
      </w:r>
      <w:hyperlink w:anchor="_bookmark1" w:history="1">
        <w:r w:rsidRPr="0012597A">
          <w:rPr>
            <w:rFonts w:ascii="Times New Roman" w:eastAsia="Arial MT" w:hAnsi="Times New Roman" w:cs="Times New Roman"/>
            <w:color w:val="FF0000"/>
            <w:sz w:val="24"/>
            <w:szCs w:val="24"/>
            <w:vertAlign w:val="superscript"/>
          </w:rPr>
          <w:t>2</w:t>
        </w:r>
      </w:hyperlink>
    </w:p>
    <w:p w14:paraId="077DC447"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7EDF831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18"/>
          <w:szCs w:val="24"/>
        </w:rPr>
      </w:pPr>
      <w:bookmarkStart w:id="12" w:name="_bookmark0"/>
      <w:bookmarkEnd w:id="12"/>
      <w:r w:rsidRPr="0012597A">
        <w:rPr>
          <w:rFonts w:ascii="Times New Roman" w:eastAsia="Arial MT" w:hAnsi="Times New Roman" w:cs="Times New Roman"/>
          <w:color w:val="FF0000"/>
          <w:sz w:val="18"/>
          <w:szCs w:val="24"/>
          <w:vertAlign w:val="superscript"/>
        </w:rPr>
        <w:t>1</w:t>
      </w:r>
      <w:r w:rsidRPr="0012597A">
        <w:rPr>
          <w:rFonts w:ascii="Times New Roman" w:eastAsia="Arial MT" w:hAnsi="Times New Roman" w:cs="Times New Roman"/>
          <w:sz w:val="18"/>
          <w:szCs w:val="24"/>
        </w:rPr>
        <w:t xml:space="preserve"> Solidaridad Intergeneracional. ¿Qué es la violencia vicaria y porqué es el maltrato más cruel hacia las mujeres? (2023). Disponible para consulta en: </w:t>
      </w:r>
      <w:hyperlink r:id="rId19">
        <w:r w:rsidRPr="0012597A">
          <w:rPr>
            <w:rFonts w:ascii="Times New Roman" w:eastAsia="Arial MT" w:hAnsi="Times New Roman" w:cs="Times New Roman"/>
            <w:sz w:val="18"/>
            <w:szCs w:val="24"/>
            <w:u w:val="single" w:color="0D0D0D"/>
          </w:rPr>
          <w:t>https://solidaridadintergeneracional.es/wp/que-es-la-</w:t>
        </w:r>
      </w:hyperlink>
      <w:r w:rsidRPr="0012597A">
        <w:rPr>
          <w:rFonts w:ascii="Times New Roman" w:eastAsia="Arial MT" w:hAnsi="Times New Roman" w:cs="Times New Roman"/>
          <w:sz w:val="18"/>
          <w:szCs w:val="24"/>
        </w:rPr>
        <w:t xml:space="preserve"> </w:t>
      </w:r>
      <w:hyperlink r:id="rId20">
        <w:r w:rsidRPr="0012597A">
          <w:rPr>
            <w:rFonts w:ascii="Times New Roman" w:eastAsia="Arial MT" w:hAnsi="Times New Roman" w:cs="Times New Roman"/>
            <w:sz w:val="18"/>
            <w:szCs w:val="24"/>
            <w:u w:val="single" w:color="0D0D0D"/>
          </w:rPr>
          <w:t>violencia-vicaria-y-por-que-es-el-maltrato-mas-cruel-hacialas-mujeres/</w:t>
        </w:r>
      </w:hyperlink>
    </w:p>
    <w:p w14:paraId="5FB555D5"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18"/>
          <w:szCs w:val="24"/>
        </w:rPr>
      </w:pPr>
      <w:bookmarkStart w:id="13" w:name="_bookmark1"/>
      <w:bookmarkEnd w:id="13"/>
      <w:r w:rsidRPr="0012597A">
        <w:rPr>
          <w:rFonts w:ascii="Times New Roman" w:eastAsia="Arial MT" w:hAnsi="Times New Roman" w:cs="Times New Roman"/>
          <w:color w:val="FF0000"/>
          <w:sz w:val="18"/>
          <w:szCs w:val="24"/>
          <w:vertAlign w:val="superscript"/>
        </w:rPr>
        <w:t>2</w:t>
      </w:r>
      <w:r w:rsidRPr="0012597A">
        <w:rPr>
          <w:rFonts w:ascii="Times New Roman" w:eastAsia="Arial MT" w:hAnsi="Times New Roman" w:cs="Times New Roman"/>
          <w:sz w:val="18"/>
          <w:szCs w:val="24"/>
        </w:rPr>
        <w:t xml:space="preserve"> Organización de los Estados Americanos (OEA) (1994). Convención Interamericana para Prevenir, Sancionar y Erradicar la Violencia contra la Mujer “Convención de Belém do Pará”. Disponible para consulta en: </w:t>
      </w:r>
      <w:hyperlink r:id="rId21">
        <w:r w:rsidRPr="0012597A">
          <w:rPr>
            <w:rFonts w:ascii="Times New Roman" w:eastAsia="Arial MT" w:hAnsi="Times New Roman" w:cs="Times New Roman"/>
            <w:sz w:val="18"/>
            <w:szCs w:val="24"/>
            <w:u w:val="single" w:color="0D0D0D"/>
          </w:rPr>
          <w:t>https://www.oas.org/juridico/spanish/tratados/a-61.html</w:t>
        </w:r>
      </w:hyperlink>
    </w:p>
    <w:p w14:paraId="4AAAC10B"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13BC95B8"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Recomendación General No. 35 amplía el concepto de violencia hacia las mujeres, reconociendo que incluye toda acción u omisión que cause daño o sufrimiento físico, sexual o psicológico, tanto en la vida pública como en la privada, e insta a los Estados a fortalecer sus mecanismos de sanción y prevención</w:t>
      </w:r>
      <w:hyperlink w:anchor="_bookmark2" w:history="1">
        <w:r w:rsidRPr="0012597A">
          <w:rPr>
            <w:rFonts w:ascii="Times New Roman" w:eastAsia="Arial MT" w:hAnsi="Times New Roman" w:cs="Times New Roman"/>
            <w:sz w:val="24"/>
            <w:szCs w:val="24"/>
          </w:rPr>
          <w:t>.</w:t>
        </w:r>
        <w:r w:rsidRPr="0012597A">
          <w:rPr>
            <w:rFonts w:ascii="Times New Roman" w:eastAsia="Arial MT" w:hAnsi="Times New Roman" w:cs="Times New Roman"/>
            <w:color w:val="FF0000"/>
            <w:sz w:val="24"/>
            <w:szCs w:val="24"/>
            <w:vertAlign w:val="superscript"/>
          </w:rPr>
          <w:t>3</w:t>
        </w:r>
      </w:hyperlink>
    </w:p>
    <w:p w14:paraId="44C87BB3"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5A3E6348"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De igual forma, la Convención Interamericana para Prevenir, Sancionar y Erradicar la Violencia contra la Mujer, conocida como Convención de Belém do Pará, adoptada en 1994 por la Organización de los Estados Americanos, obliga a los países signatarios a actuar con la debida diligencia para prevenir, investigar y sancionar toda forma de violencia contra la mujer, </w:t>
      </w:r>
      <w:r w:rsidRPr="0012597A">
        <w:rPr>
          <w:rFonts w:ascii="Times New Roman" w:eastAsia="Arial MT" w:hAnsi="Times New Roman" w:cs="Times New Roman"/>
          <w:sz w:val="24"/>
          <w:szCs w:val="24"/>
        </w:rPr>
        <w:lastRenderedPageBreak/>
        <w:t>reconociendo que la omisión estatal perpetúa la desigualdad estructural.</w:t>
      </w:r>
      <w:hyperlink w:anchor="_bookmark3" w:history="1">
        <w:r w:rsidRPr="0012597A">
          <w:rPr>
            <w:rFonts w:ascii="Times New Roman" w:eastAsia="Arial MT" w:hAnsi="Times New Roman" w:cs="Times New Roman"/>
            <w:color w:val="FF0000"/>
            <w:sz w:val="24"/>
            <w:szCs w:val="24"/>
            <w:vertAlign w:val="superscript"/>
          </w:rPr>
          <w:t>4</w:t>
        </w:r>
      </w:hyperlink>
    </w:p>
    <w:p w14:paraId="2673B885"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407A875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mismo sentido, la Convención sobre los Derechos del Niño, adoptada por la Organización de las Naciones Unidas en 1989, dispone en su artículo 19 que los Estados deben proteger a niñas, niños y adolescentes contra toda forma de perjuicio o abuso físico o mental, descuido o trato negligente, maltrato o explotación, incluido el abuso sexual, mientras estén bajo la custodia de sus padres, tutores o cualquier otra persona que los tenga a su cargo</w:t>
      </w:r>
      <w:hyperlink w:anchor="_bookmark4" w:history="1">
        <w:r w:rsidRPr="0012597A">
          <w:rPr>
            <w:rFonts w:ascii="Times New Roman" w:eastAsia="Arial MT" w:hAnsi="Times New Roman" w:cs="Times New Roman"/>
            <w:sz w:val="24"/>
            <w:szCs w:val="24"/>
          </w:rPr>
          <w:t>.</w:t>
        </w:r>
        <w:r w:rsidRPr="0012597A">
          <w:rPr>
            <w:rFonts w:ascii="Times New Roman" w:eastAsia="Arial MT" w:hAnsi="Times New Roman" w:cs="Times New Roman"/>
            <w:color w:val="FF0000"/>
            <w:sz w:val="24"/>
            <w:szCs w:val="24"/>
            <w:vertAlign w:val="superscript"/>
          </w:rPr>
          <w:t>5</w:t>
        </w:r>
      </w:hyperlink>
    </w:p>
    <w:p w14:paraId="37A77B03"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2F26EA7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18"/>
          <w:szCs w:val="24"/>
        </w:rPr>
      </w:pPr>
      <w:bookmarkStart w:id="14" w:name="_bookmark2"/>
      <w:bookmarkEnd w:id="14"/>
      <w:r w:rsidRPr="0012597A">
        <w:rPr>
          <w:rFonts w:ascii="Times New Roman" w:eastAsia="Arial MT" w:hAnsi="Times New Roman" w:cs="Times New Roman"/>
          <w:color w:val="FF0000"/>
          <w:sz w:val="18"/>
          <w:szCs w:val="24"/>
          <w:vertAlign w:val="superscript"/>
        </w:rPr>
        <w:t>3</w:t>
      </w:r>
      <w:r w:rsidRPr="0012597A">
        <w:rPr>
          <w:rFonts w:ascii="Times New Roman" w:eastAsia="Arial MT" w:hAnsi="Times New Roman" w:cs="Times New Roman"/>
          <w:sz w:val="18"/>
          <w:szCs w:val="24"/>
        </w:rPr>
        <w:t xml:space="preserve"> Organización de las Naciones Unidas (ONU) (1979). Convención sobre la Eliminación de Todas las Formas de Discriminación contra la Mujer (CEDAW). Disponible para consulta en: </w:t>
      </w:r>
      <w:hyperlink r:id="rId22">
        <w:r w:rsidRPr="0012597A">
          <w:rPr>
            <w:rFonts w:ascii="Times New Roman" w:eastAsia="Arial MT" w:hAnsi="Times New Roman" w:cs="Times New Roman"/>
            <w:sz w:val="18"/>
            <w:szCs w:val="24"/>
            <w:u w:val="single" w:color="0D0D0D"/>
          </w:rPr>
          <w:t>https://www.un.org/womenwatch/daw/cedaw/text/sconvention.html</w:t>
        </w:r>
      </w:hyperlink>
    </w:p>
    <w:p w14:paraId="02FDE945"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18"/>
          <w:szCs w:val="24"/>
        </w:rPr>
      </w:pPr>
      <w:bookmarkStart w:id="15" w:name="_bookmark3"/>
      <w:bookmarkEnd w:id="15"/>
      <w:r w:rsidRPr="0012597A">
        <w:rPr>
          <w:rFonts w:ascii="Times New Roman" w:eastAsia="Arial MT" w:hAnsi="Times New Roman" w:cs="Times New Roman"/>
          <w:color w:val="FF0000"/>
          <w:sz w:val="18"/>
          <w:szCs w:val="24"/>
          <w:vertAlign w:val="superscript"/>
        </w:rPr>
        <w:t>4</w:t>
      </w:r>
      <w:r w:rsidRPr="0012597A">
        <w:rPr>
          <w:rFonts w:ascii="Times New Roman" w:eastAsia="Arial MT" w:hAnsi="Times New Roman" w:cs="Times New Roman"/>
          <w:sz w:val="18"/>
          <w:szCs w:val="24"/>
        </w:rPr>
        <w:t xml:space="preserve"> Congreso de los Estados Unidos Mexicanos (2014). Ley General de los Derechos de Niñas, Niños y Adolescentes. Última reforma publicada en el Diario Oficial de la Federación (DOF) el 14 de junio de 2024. Disponible para consulta en: </w:t>
      </w:r>
      <w:hyperlink r:id="rId23">
        <w:r w:rsidRPr="0012597A">
          <w:rPr>
            <w:rFonts w:ascii="Times New Roman" w:eastAsia="Arial MT" w:hAnsi="Times New Roman" w:cs="Times New Roman"/>
            <w:sz w:val="18"/>
            <w:szCs w:val="24"/>
            <w:u w:val="single" w:color="0D0D0D"/>
          </w:rPr>
          <w:t>https://www.diputados.gob.mx/LeyesBiblio/pdf/LGDNNA.pdf</w:t>
        </w:r>
      </w:hyperlink>
    </w:p>
    <w:p w14:paraId="61EAB037"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18"/>
          <w:szCs w:val="24"/>
        </w:rPr>
      </w:pPr>
      <w:bookmarkStart w:id="16" w:name="_bookmark4"/>
      <w:bookmarkEnd w:id="16"/>
      <w:r w:rsidRPr="0012597A">
        <w:rPr>
          <w:rFonts w:ascii="Times New Roman" w:eastAsia="Arial MT" w:hAnsi="Times New Roman" w:cs="Times New Roman"/>
          <w:color w:val="FF0000"/>
          <w:sz w:val="18"/>
          <w:szCs w:val="24"/>
          <w:vertAlign w:val="superscript"/>
        </w:rPr>
        <w:t>5</w:t>
      </w:r>
      <w:r w:rsidRPr="0012597A">
        <w:rPr>
          <w:rFonts w:ascii="Times New Roman" w:eastAsia="Arial MT" w:hAnsi="Times New Roman" w:cs="Times New Roman"/>
          <w:sz w:val="18"/>
          <w:szCs w:val="24"/>
        </w:rPr>
        <w:t xml:space="preserve"> Gobierno del Estado de México (2024). Código Civil del Estado de México. Artículos 4.146 Bis, 4.146 Ter, 4.146 Quáter y siguientes (Registro de Deudores Alimentarios Morosos). Disponible para consulta en: </w:t>
      </w:r>
      <w:hyperlink r:id="rId24">
        <w:r w:rsidRPr="0012597A">
          <w:rPr>
            <w:rFonts w:ascii="Times New Roman" w:eastAsia="Arial MT" w:hAnsi="Times New Roman" w:cs="Times New Roman"/>
            <w:sz w:val="18"/>
            <w:szCs w:val="24"/>
            <w:u w:val="single" w:color="0D0D0D"/>
          </w:rPr>
          <w:t>https://legislacion.edomex.gob.mx/node/1024</w:t>
        </w:r>
      </w:hyperlink>
    </w:p>
    <w:p w14:paraId="03771803" w14:textId="77777777" w:rsidR="00344ABF" w:rsidRPr="0012597A" w:rsidRDefault="00344ABF" w:rsidP="00EF1C7F">
      <w:pPr>
        <w:widowControl w:val="0"/>
        <w:autoSpaceDE w:val="0"/>
        <w:autoSpaceDN w:val="0"/>
        <w:spacing w:after="0" w:line="240" w:lineRule="auto"/>
        <w:ind w:left="3"/>
        <w:rPr>
          <w:rFonts w:ascii="Times New Roman" w:eastAsia="Arial MT" w:hAnsi="Times New Roman" w:cs="Times New Roman"/>
          <w:i/>
          <w:sz w:val="24"/>
          <w:szCs w:val="24"/>
        </w:rPr>
      </w:pPr>
    </w:p>
    <w:p w14:paraId="0AE0D008"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La Observación General No. 13 del Comité de los Derechos del Niño</w:t>
      </w:r>
      <w:hyperlink w:anchor="_bookmark5" w:history="1">
        <w:r w:rsidRPr="0012597A">
          <w:rPr>
            <w:rFonts w:ascii="Times New Roman" w:eastAsia="Arial MT" w:hAnsi="Times New Roman" w:cs="Times New Roman"/>
            <w:color w:val="FF0000"/>
            <w:sz w:val="24"/>
            <w:szCs w:val="24"/>
            <w:vertAlign w:val="superscript"/>
          </w:rPr>
          <w:t>6</w:t>
        </w:r>
      </w:hyperlink>
      <w:r w:rsidRPr="0012597A">
        <w:rPr>
          <w:rFonts w:ascii="Times New Roman" w:eastAsia="Arial MT" w:hAnsi="Times New Roman" w:cs="Times New Roman"/>
          <w:sz w:val="24"/>
          <w:szCs w:val="24"/>
        </w:rPr>
        <w:t xml:space="preserve"> reafirma este mandato y exhorta a los Estados a generar registros, sistemas de información y medidas administrativas que permitan la detección, prevención y atención de la violencia ejercida de manera directa o indirecta, incluida la violencia vicaria</w:t>
      </w:r>
      <w:r w:rsidRPr="0012597A">
        <w:rPr>
          <w:rFonts w:ascii="Times New Roman" w:eastAsia="Arial MT" w:hAnsi="Times New Roman" w:cs="Times New Roman"/>
          <w:b/>
          <w:sz w:val="24"/>
          <w:szCs w:val="24"/>
        </w:rPr>
        <w:t>.</w:t>
      </w:r>
    </w:p>
    <w:p w14:paraId="6D998B6F"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36871AEF"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Estos tratados, junto con otros compromisos asumidos por el Estado mexicano, imponen obligaciones concretas que vinculan no solo al gobierno federal, sino también a los gobiernos estatales, quienes deben implementar mecanismos efectivos de protección, reparación y no repetición. En este contexto, la creación de un registro estatal de personas sancionadas por ejercer violencia vicaria se configura como una medida administrativa y preventiva que contribuye al cumplimiento de dichas obligaciones internacionales y a la protección integral de los derechos humanos de las víctimas.</w:t>
      </w:r>
    </w:p>
    <w:p w14:paraId="7821152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2836045D"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plano nacional, la Constitución Política de los Estados Unidos Mexicanos, establece en su artículo 1º que todas las personas gozarán de los derechos humanos reconocidos en la Constitución y en los tratados internacionales de los que México sea parte, y que las autoridades están obligadas a promover, respetar, proteger y garantizar estos derechos conforme a los principios de universalidad, interdependencia, indivisibilidad y progresividad.</w:t>
      </w:r>
      <w:hyperlink w:anchor="_bookmark6" w:history="1">
        <w:r w:rsidRPr="0012597A">
          <w:rPr>
            <w:rFonts w:ascii="Times New Roman" w:eastAsia="Arial MT" w:hAnsi="Times New Roman" w:cs="Times New Roman"/>
            <w:color w:val="FF0000"/>
            <w:sz w:val="24"/>
            <w:szCs w:val="24"/>
            <w:vertAlign w:val="superscript"/>
          </w:rPr>
          <w:t>7</w:t>
        </w:r>
      </w:hyperlink>
    </w:p>
    <w:p w14:paraId="3B52336F"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5B8C0662"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4"/>
        </w:rPr>
      </w:pPr>
      <w:bookmarkStart w:id="17" w:name="_bookmark5"/>
      <w:bookmarkEnd w:id="17"/>
      <w:r w:rsidRPr="0012597A">
        <w:rPr>
          <w:rFonts w:ascii="Times New Roman" w:eastAsia="Arial MT" w:hAnsi="Times New Roman" w:cs="Times New Roman"/>
          <w:color w:val="FF0000"/>
          <w:sz w:val="20"/>
          <w:szCs w:val="24"/>
          <w:vertAlign w:val="superscript"/>
        </w:rPr>
        <w:t>6</w:t>
      </w:r>
      <w:r w:rsidRPr="0012597A">
        <w:rPr>
          <w:rFonts w:ascii="Times New Roman" w:eastAsia="Arial MT" w:hAnsi="Times New Roman" w:cs="Times New Roman"/>
          <w:sz w:val="20"/>
          <w:szCs w:val="24"/>
        </w:rPr>
        <w:t xml:space="preserve"> Suprema Corte de Justicia de la Nación (SCJN) (2022). Comunicación oficial sobre la constitucionalidad de los registros de deudores alimentarios morosos. Disponible para consulta en: </w:t>
      </w:r>
      <w:hyperlink r:id="rId25">
        <w:r w:rsidRPr="0012597A">
          <w:rPr>
            <w:rFonts w:ascii="Times New Roman" w:eastAsia="Arial MT" w:hAnsi="Times New Roman" w:cs="Times New Roman"/>
            <w:sz w:val="20"/>
            <w:szCs w:val="24"/>
            <w:u w:val="single" w:color="0D0D0D"/>
          </w:rPr>
          <w:t>https://www.scjn.gob.mx</w:t>
        </w:r>
      </w:hyperlink>
    </w:p>
    <w:p w14:paraId="25DDCE5F"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4"/>
        </w:rPr>
      </w:pPr>
      <w:bookmarkStart w:id="18" w:name="_bookmark6"/>
      <w:bookmarkEnd w:id="18"/>
      <w:r w:rsidRPr="0012597A">
        <w:rPr>
          <w:rFonts w:ascii="Times New Roman" w:eastAsia="Arial MT" w:hAnsi="Times New Roman" w:cs="Times New Roman"/>
          <w:color w:val="FF0000"/>
          <w:sz w:val="20"/>
          <w:szCs w:val="24"/>
          <w:vertAlign w:val="superscript"/>
        </w:rPr>
        <w:t>7</w:t>
      </w:r>
      <w:r w:rsidRPr="0012597A">
        <w:rPr>
          <w:rFonts w:ascii="Times New Roman" w:eastAsia="Arial MT" w:hAnsi="Times New Roman" w:cs="Times New Roman"/>
          <w:sz w:val="20"/>
          <w:szCs w:val="24"/>
        </w:rPr>
        <w:t xml:space="preserve"> Comisión Ejecutiva de Atención a Víctimas (CEAV) (2023). Lineamientos generales para la atención integral a víctimas de violencia vicaria en México. Disponible para consulta en: </w:t>
      </w:r>
      <w:hyperlink r:id="rId26">
        <w:r w:rsidRPr="0012597A">
          <w:rPr>
            <w:rFonts w:ascii="Times New Roman" w:eastAsia="Arial MT" w:hAnsi="Times New Roman" w:cs="Times New Roman"/>
            <w:sz w:val="20"/>
            <w:szCs w:val="24"/>
            <w:u w:val="single" w:color="0D0D0D"/>
          </w:rPr>
          <w:t>https://www.gob.mx/ceav/documentos/violencia-vicaria-lineamientos-2023</w:t>
        </w:r>
      </w:hyperlink>
    </w:p>
    <w:p w14:paraId="4942D426"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23D1942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otra parte, el artículo 4º constitucional reconoce la igualdad entre mujeres y hombres y el derecho de toda persona a una vida libre de violencia, además de imponer al estado la obligación de proteger los derechos de la niñez, la adolescencia y la familia.</w:t>
      </w:r>
    </w:p>
    <w:p w14:paraId="3A2CF6D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6A06F7DD"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sentido, la Ley General de Acceso de las Mujeres a una Vida Libre de Violencia establece en su artículo 5° que la violencia psicológica, patrimonial, económica y sexual son modalidades que deben ser atendidas y sancionadas</w:t>
      </w:r>
      <w:hyperlink w:anchor="_bookmark7" w:history="1">
        <w:r w:rsidRPr="0012597A">
          <w:rPr>
            <w:rFonts w:ascii="Times New Roman" w:eastAsia="Arial MT" w:hAnsi="Times New Roman" w:cs="Times New Roman"/>
            <w:color w:val="FF0000"/>
            <w:sz w:val="24"/>
            <w:szCs w:val="24"/>
            <w:vertAlign w:val="superscript"/>
          </w:rPr>
          <w:t>8</w:t>
        </w:r>
      </w:hyperlink>
      <w:r w:rsidRPr="0012597A">
        <w:rPr>
          <w:rFonts w:ascii="Times New Roman" w:eastAsia="Arial MT" w:hAnsi="Times New Roman" w:cs="Times New Roman"/>
          <w:sz w:val="24"/>
          <w:szCs w:val="24"/>
        </w:rPr>
        <w:t>, mientras que la Ley General de los Derechos de Niñas, Niños y Adolescentes dispone en su artículo 13 que las autoridades de todos los órdenes de gobierno deben adoptar medidas de protección frente a cualquier forma de violencia</w:t>
      </w:r>
      <w:hyperlink w:anchor="_bookmark8" w:history="1">
        <w:r w:rsidRPr="0012597A">
          <w:rPr>
            <w:rFonts w:ascii="Times New Roman" w:eastAsia="Arial MT" w:hAnsi="Times New Roman" w:cs="Times New Roman"/>
            <w:sz w:val="24"/>
            <w:szCs w:val="24"/>
          </w:rPr>
          <w:t>.</w:t>
        </w:r>
        <w:r w:rsidRPr="0012597A">
          <w:rPr>
            <w:rFonts w:ascii="Times New Roman" w:eastAsia="Arial MT" w:hAnsi="Times New Roman" w:cs="Times New Roman"/>
            <w:color w:val="FF0000"/>
            <w:sz w:val="24"/>
            <w:szCs w:val="24"/>
            <w:vertAlign w:val="superscript"/>
          </w:rPr>
          <w:t>9</w:t>
        </w:r>
      </w:hyperlink>
    </w:p>
    <w:p w14:paraId="285FBDFE"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7C08718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lastRenderedPageBreak/>
        <w:t>La violencia vicaria se ubica en la intersección de ambos marcos normativos, al afectar simultáneamente a las mujeres y a las personas menores de edad utilizadas como instrumentos de agresión.</w:t>
      </w:r>
    </w:p>
    <w:p w14:paraId="6AF8CB25"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659628C6"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Un precedente relevante en la materia lo constituye la creación del Registro Nacional de Obligaciones Alimentarias, publicado en el Diario Oficial de la Federación el 8 de mayo de 2023</w:t>
      </w:r>
      <w:hyperlink w:anchor="_bookmark9" w:history="1">
        <w:r w:rsidRPr="0012597A">
          <w:rPr>
            <w:rFonts w:ascii="Times New Roman" w:eastAsia="Arial MT" w:hAnsi="Times New Roman" w:cs="Times New Roman"/>
            <w:color w:val="FF0000"/>
            <w:sz w:val="24"/>
            <w:szCs w:val="24"/>
            <w:vertAlign w:val="superscript"/>
          </w:rPr>
          <w:t>10</w:t>
        </w:r>
      </w:hyperlink>
      <w:r w:rsidRPr="0012597A">
        <w:rPr>
          <w:rFonts w:ascii="Times New Roman" w:eastAsia="Arial MT" w:hAnsi="Times New Roman" w:cs="Times New Roman"/>
          <w:sz w:val="24"/>
          <w:szCs w:val="24"/>
        </w:rPr>
        <w:t>, el cual ha demostrado la viabilidad jurídica y administrativa de establecer mecanismos públicos que condicionen determinados trámites y permisos al cumplimiento de responsabilidades familiares. Este modelo confirma que los registros administrativos pueden operar como herramientas eficaces de prevención, protección de derechos y fortalecimiento de la responsabilidad parental.</w:t>
      </w:r>
    </w:p>
    <w:p w14:paraId="4CA72825"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43BBE2B7"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4"/>
        </w:rPr>
      </w:pPr>
      <w:bookmarkStart w:id="19" w:name="_bookmark7"/>
      <w:bookmarkEnd w:id="19"/>
      <w:r w:rsidRPr="0012597A">
        <w:rPr>
          <w:rFonts w:ascii="Times New Roman" w:eastAsia="Arial MT" w:hAnsi="Times New Roman" w:cs="Times New Roman"/>
          <w:color w:val="FF0000"/>
          <w:sz w:val="20"/>
          <w:szCs w:val="24"/>
          <w:vertAlign w:val="superscript"/>
        </w:rPr>
        <w:t>8</w:t>
      </w:r>
      <w:r w:rsidRPr="0012597A">
        <w:rPr>
          <w:rFonts w:ascii="Times New Roman" w:eastAsia="Arial MT" w:hAnsi="Times New Roman" w:cs="Times New Roman"/>
          <w:sz w:val="20"/>
          <w:szCs w:val="24"/>
        </w:rPr>
        <w:t xml:space="preserve"> Instituto Nacional de las Mujeres (INMUJERES) (2023). Violencia Vicaria en México: Diagnóstico y Recomendaciones de Política Pública. Disponible para consulta en: </w:t>
      </w:r>
      <w:hyperlink r:id="rId27">
        <w:r w:rsidRPr="0012597A">
          <w:rPr>
            <w:rFonts w:ascii="Times New Roman" w:eastAsia="Arial MT" w:hAnsi="Times New Roman" w:cs="Times New Roman"/>
            <w:sz w:val="20"/>
            <w:szCs w:val="24"/>
            <w:u w:val="single" w:color="0D0D0D"/>
          </w:rPr>
          <w:t>https://www.gob.mx/inmujeres/documentos/violencia-vicaria-diagnostico-2023</w:t>
        </w:r>
      </w:hyperlink>
    </w:p>
    <w:p w14:paraId="19F56711"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4"/>
        </w:rPr>
      </w:pPr>
      <w:bookmarkStart w:id="20" w:name="_bookmark8"/>
      <w:bookmarkEnd w:id="20"/>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Comisión Nacional de los Derechos Humanos (CNDH) (2022). Informe Especial sobre la Violencia Vicaria en México. Disponible para consulta en: </w:t>
      </w:r>
      <w:hyperlink r:id="rId28">
        <w:r w:rsidRPr="0012597A">
          <w:rPr>
            <w:rFonts w:ascii="Times New Roman" w:eastAsia="Arial MT" w:hAnsi="Times New Roman" w:cs="Times New Roman"/>
            <w:sz w:val="20"/>
            <w:szCs w:val="24"/>
            <w:u w:val="single" w:color="0D0D0D"/>
          </w:rPr>
          <w:t>https://www.cndh.org.mx/documento/violencia-vicaria-informe-</w:t>
        </w:r>
      </w:hyperlink>
      <w:r w:rsidRPr="0012597A">
        <w:rPr>
          <w:rFonts w:ascii="Times New Roman" w:eastAsia="Arial MT" w:hAnsi="Times New Roman" w:cs="Times New Roman"/>
          <w:sz w:val="20"/>
          <w:szCs w:val="24"/>
        </w:rPr>
        <w:t xml:space="preserve"> </w:t>
      </w:r>
      <w:hyperlink r:id="rId29">
        <w:r w:rsidRPr="0012597A">
          <w:rPr>
            <w:rFonts w:ascii="Times New Roman" w:eastAsia="Arial MT" w:hAnsi="Times New Roman" w:cs="Times New Roman"/>
            <w:sz w:val="20"/>
            <w:szCs w:val="24"/>
            <w:u w:val="single" w:color="0D0D0D"/>
          </w:rPr>
          <w:t>especial</w:t>
        </w:r>
      </w:hyperlink>
    </w:p>
    <w:p w14:paraId="767FAFD2"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0"/>
        </w:rPr>
      </w:pPr>
      <w:bookmarkStart w:id="21" w:name="_bookmark9"/>
      <w:bookmarkEnd w:id="21"/>
      <w:r w:rsidRPr="0012597A">
        <w:rPr>
          <w:rFonts w:ascii="Times New Roman" w:eastAsia="Arial MT" w:hAnsi="Times New Roman" w:cs="Times New Roman"/>
          <w:color w:val="FF0000"/>
          <w:sz w:val="20"/>
          <w:szCs w:val="24"/>
          <w:vertAlign w:val="superscript"/>
        </w:rPr>
        <w:t>10</w:t>
      </w:r>
      <w:r w:rsidRPr="0012597A">
        <w:rPr>
          <w:rFonts w:ascii="Times New Roman" w:eastAsia="Arial MT" w:hAnsi="Times New Roman" w:cs="Times New Roman"/>
          <w:sz w:val="20"/>
          <w:szCs w:val="24"/>
        </w:rPr>
        <w:t xml:space="preserve"> Diario Oficial de la Federación (2023). Decreto por el que se crea el Registro Nacional de Obligaciones </w:t>
      </w:r>
      <w:r w:rsidRPr="0012597A">
        <w:rPr>
          <w:rFonts w:ascii="Times New Roman" w:eastAsia="Arial MT" w:hAnsi="Times New Roman" w:cs="Times New Roman"/>
          <w:sz w:val="20"/>
          <w:szCs w:val="20"/>
        </w:rPr>
        <w:t xml:space="preserve">Alimentarias. Disponible para consulta en: </w:t>
      </w:r>
      <w:hyperlink r:id="rId30">
        <w:r w:rsidRPr="0012597A">
          <w:rPr>
            <w:rFonts w:ascii="Times New Roman" w:eastAsia="Arial MT" w:hAnsi="Times New Roman" w:cs="Times New Roman"/>
            <w:sz w:val="20"/>
            <w:szCs w:val="20"/>
            <w:u w:val="single" w:color="0D0D0D"/>
          </w:rPr>
          <w:t>https://www.dof.gob.mx/nota_detalle.php?codigo=5685702</w:t>
        </w:r>
      </w:hyperlink>
    </w:p>
    <w:p w14:paraId="1B88F16B"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6FA25F86"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ámbito nacional a 2023, del análisis realizado en el Informe contextual sobre Violencia Vicaria elaborado por la Subsecretaría de Derechos Humanos, Población y Migración de la Secretaría de Gobernación</w:t>
      </w:r>
      <w:hyperlink w:anchor="_bookmark10" w:history="1">
        <w:r w:rsidRPr="0012597A">
          <w:rPr>
            <w:rFonts w:ascii="Times New Roman" w:eastAsia="Arial MT" w:hAnsi="Times New Roman" w:cs="Times New Roman"/>
            <w:color w:val="FF0000"/>
            <w:sz w:val="24"/>
            <w:szCs w:val="24"/>
            <w:vertAlign w:val="superscript"/>
          </w:rPr>
          <w:t>11</w:t>
        </w:r>
      </w:hyperlink>
      <w:r w:rsidRPr="0012597A">
        <w:rPr>
          <w:rFonts w:ascii="Times New Roman" w:eastAsia="Arial MT" w:hAnsi="Times New Roman" w:cs="Times New Roman"/>
          <w:sz w:val="24"/>
          <w:szCs w:val="24"/>
        </w:rPr>
        <w:t>, se desprende que la incorporación de la violencia vicaria en los marcos normativos estatales presenta avances desiguales y fragmentados, tanto en el ámbito civil como en el penal.</w:t>
      </w:r>
    </w:p>
    <w:p w14:paraId="433786B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4438488A"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materia civil, el informe identifica que algunas entidades federativas han incorporado la violencia vicaria en sus Códigos Civiles, principalmente vinculándola con figuras como la patria potestad, la guarda y custodia, el régimen de convivencia y otras consecuencias jurídicas en el ámbito familiar. Entre estas entidades se encuentran la Ciudad de México, el Estado de México, Hidalgo y Yucatán, así como Baja California, Baja California Sur, Colima, Guerrero, Morelos, Nayarit, San Luis Potosí, Tlaxcala y Zacatecas. En estos casos, la regulación civil busca atender los efectos de la violencia vicaria sobre niñas, niños y adolescentes, así como proteger el vínculo materno-filial frente a su instrumentalización como medio de agresión contra las mujeres.</w:t>
      </w:r>
    </w:p>
    <w:p w14:paraId="3E43AE1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457AD85D"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su parte, en el ámbito penal, el informe señala que diversas entidades han optado por tipificar la violencia vicaria como delito autónomo o incorporarla como una modalidad específica de la violencia familiar dentro de sus Códigos Penales. En este supuesto se ubican la Ciudad de México, el Estado de México, Hidalgo y Yucatán, además de Campeche, Chiapas, Durango, Oaxaca, Puebla, Quintana Roo, Sinaloa, Sonora y Veracruz. La tipificación penal tiene como finalidad sancionar las conductas que, de manera directa o a través de interpósita persona, causan daño a las mujeres utilizando a sus hijas, hijos u otras personas o bienes como instrumentos de control, castigo o sufrimiento.</w:t>
      </w:r>
    </w:p>
    <w:p w14:paraId="14CB351D"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52C15E65"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0"/>
        </w:rPr>
      </w:pPr>
      <w:bookmarkStart w:id="22" w:name="_bookmark10"/>
      <w:bookmarkEnd w:id="22"/>
      <w:r w:rsidRPr="0012597A">
        <w:rPr>
          <w:rFonts w:ascii="Times New Roman" w:eastAsia="Arial MT" w:hAnsi="Times New Roman" w:cs="Times New Roman"/>
          <w:color w:val="FF0000"/>
          <w:sz w:val="20"/>
          <w:szCs w:val="20"/>
          <w:vertAlign w:val="superscript"/>
        </w:rPr>
        <w:t>11</w:t>
      </w:r>
      <w:r w:rsidRPr="0012597A">
        <w:rPr>
          <w:rFonts w:ascii="Times New Roman" w:eastAsia="Arial MT" w:hAnsi="Times New Roman" w:cs="Times New Roman"/>
          <w:sz w:val="20"/>
          <w:szCs w:val="20"/>
          <w:vertAlign w:val="superscript"/>
        </w:rPr>
        <w:t xml:space="preserve"> </w:t>
      </w:r>
      <w:r w:rsidRPr="0012597A">
        <w:rPr>
          <w:rFonts w:ascii="Times New Roman" w:eastAsia="Arial MT" w:hAnsi="Times New Roman" w:cs="Times New Roman"/>
          <w:sz w:val="20"/>
          <w:szCs w:val="20"/>
        </w:rPr>
        <w:t xml:space="preserve">Subsecretaría de Derechos Humanos, Población y Migración de la Secretaría de Gobernación (2023); Informe contextual sobre Violencia Vicaria. Disponible para consulta en: </w:t>
      </w:r>
      <w:hyperlink r:id="rId31">
        <w:r w:rsidRPr="0012597A">
          <w:rPr>
            <w:rFonts w:ascii="Times New Roman" w:eastAsia="Arial MT" w:hAnsi="Times New Roman" w:cs="Times New Roman"/>
            <w:sz w:val="20"/>
            <w:szCs w:val="20"/>
            <w:u w:val="single"/>
          </w:rPr>
          <w:t>https://estrategiasddhh.segob.gob.mx/work/models/EstrategiasDDHH/Documentos/pdf/GruposRiesgo/Inf</w:t>
        </w:r>
      </w:hyperlink>
      <w:r w:rsidRPr="0012597A">
        <w:rPr>
          <w:rFonts w:ascii="Times New Roman" w:eastAsia="Arial MT" w:hAnsi="Times New Roman" w:cs="Times New Roman"/>
          <w:sz w:val="20"/>
          <w:szCs w:val="20"/>
        </w:rPr>
        <w:t xml:space="preserve"> </w:t>
      </w:r>
      <w:hyperlink r:id="rId32">
        <w:r w:rsidRPr="0012597A">
          <w:rPr>
            <w:rFonts w:ascii="Times New Roman" w:eastAsia="Arial MT" w:hAnsi="Times New Roman" w:cs="Times New Roman"/>
            <w:sz w:val="20"/>
            <w:szCs w:val="20"/>
            <w:u w:val="single"/>
          </w:rPr>
          <w:t>orme_contextual_Violencia_Vicaria_30-11-2023.pdf</w:t>
        </w:r>
      </w:hyperlink>
    </w:p>
    <w:p w14:paraId="5F4F1FC2"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798231DC"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De manera particular, el informe destaca que únicamente cuatro entidades federativas — la Ciudad de México, el Estado de México, Hidalgo y Yucatán— cuentan, al momento de su elaboración, </w:t>
      </w:r>
      <w:r w:rsidRPr="0012597A">
        <w:rPr>
          <w:rFonts w:ascii="Times New Roman" w:eastAsia="Arial MT" w:hAnsi="Times New Roman" w:cs="Times New Roman"/>
          <w:sz w:val="24"/>
          <w:szCs w:val="24"/>
        </w:rPr>
        <w:lastRenderedPageBreak/>
        <w:t>con un reconocimiento concurrente de la violencia vicaria tanto en el Código Civil como en el Código Penal. Esta doble incorporación normativa permite una respuesta más integral del Estado, al articular consecuencias jurídicas en el ámbito familiar con sanciones penales, lo que fortalece la protección de los derechos de las mujeres, así como de niñas, niños y adolescentes involucrados.</w:t>
      </w:r>
    </w:p>
    <w:p w14:paraId="12BFC3B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61C390C1"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varias entidades la violencia vicaria únicamente se encuentra reconocida en las leyes locales de acceso de las mujeres a una vida libre de violencia o bien se aborda de forma indirecta mediante figuras como la violencia familiar, lo que evidencia la necesidad de avanzar hacia una armonización legislativa más completa que incorpore este tipo de violencia de manera expresa y coherente en los distintos ordenamientos jurídicos estatales.</w:t>
      </w:r>
    </w:p>
    <w:p w14:paraId="2695171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40A3215F"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ámbito estatal, el Estado de México ha sido pionero en la implementación de políticas públicas orientadas a combatir la violencia de género, pero los casos de violencia vicaria revelan un vacío normativo que aún persiste. El Código Civil del Estado de México, en sus artículos 4.146 Bis, 4.146 Ter, 4.146 Quáter y siguientes, regula el Registro de Deudores Alimentarios Morosos, lo que demuestra que el marco jurídico estatal cuenta con la estructura adecuada para albergar registros especializados con efectos jurídicos y administrativos concretos</w:t>
      </w:r>
      <w:hyperlink w:anchor="_bookmark11" w:history="1">
        <w:r w:rsidRPr="0012597A">
          <w:rPr>
            <w:rFonts w:ascii="Times New Roman" w:eastAsia="Arial MT" w:hAnsi="Times New Roman" w:cs="Times New Roman"/>
            <w:color w:val="FF0000"/>
            <w:sz w:val="24"/>
            <w:szCs w:val="24"/>
            <w:vertAlign w:val="superscript"/>
          </w:rPr>
          <w:t>12</w:t>
        </w:r>
      </w:hyperlink>
      <w:r w:rsidRPr="0012597A">
        <w:rPr>
          <w:rFonts w:ascii="Times New Roman" w:eastAsia="Arial MT" w:hAnsi="Times New Roman" w:cs="Times New Roman"/>
          <w:sz w:val="24"/>
          <w:szCs w:val="24"/>
        </w:rPr>
        <w:t>. Este antecedente es de enorme relevancia, pues acredita la viabilidad técnica y jurídica de crear un registro adicional, destinado a quienes han ejercido violencia vicaria, con el objetivo de proteger a las víctimas y prevenir la reincidencia.</w:t>
      </w:r>
    </w:p>
    <w:p w14:paraId="4D4421D0"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49D1FC68"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este sentido, es importante resaltar que, en el Estado de México, activistas como Jennifer Seifert Braun, Ana Correa, </w:t>
      </w:r>
      <w:proofErr w:type="spellStart"/>
      <w:r w:rsidRPr="0012597A">
        <w:rPr>
          <w:rFonts w:ascii="Times New Roman" w:eastAsia="Arial MT" w:hAnsi="Times New Roman" w:cs="Times New Roman"/>
          <w:sz w:val="24"/>
          <w:szCs w:val="24"/>
        </w:rPr>
        <w:t>Mildret</w:t>
      </w:r>
      <w:proofErr w:type="spellEnd"/>
      <w:r w:rsidRPr="0012597A">
        <w:rPr>
          <w:rFonts w:ascii="Times New Roman" w:eastAsia="Arial MT" w:hAnsi="Times New Roman" w:cs="Times New Roman"/>
          <w:sz w:val="24"/>
          <w:szCs w:val="24"/>
        </w:rPr>
        <w:t xml:space="preserve"> Sainz, Lydia Lara, Tania Berenice </w:t>
      </w:r>
      <w:proofErr w:type="spellStart"/>
      <w:r w:rsidRPr="0012597A">
        <w:rPr>
          <w:rFonts w:ascii="Times New Roman" w:eastAsia="Arial MT" w:hAnsi="Times New Roman" w:cs="Times New Roman"/>
          <w:sz w:val="24"/>
          <w:szCs w:val="24"/>
        </w:rPr>
        <w:t>Landin</w:t>
      </w:r>
      <w:proofErr w:type="spellEnd"/>
      <w:r w:rsidRPr="0012597A">
        <w:rPr>
          <w:rFonts w:ascii="Times New Roman" w:eastAsia="Arial MT" w:hAnsi="Times New Roman" w:cs="Times New Roman"/>
          <w:sz w:val="24"/>
          <w:szCs w:val="24"/>
        </w:rPr>
        <w:t xml:space="preserve"> </w:t>
      </w:r>
      <w:proofErr w:type="spellStart"/>
      <w:r w:rsidRPr="0012597A">
        <w:rPr>
          <w:rFonts w:ascii="Times New Roman" w:eastAsia="Arial MT" w:hAnsi="Times New Roman" w:cs="Times New Roman"/>
          <w:sz w:val="24"/>
          <w:szCs w:val="24"/>
        </w:rPr>
        <w:t>Manriquez</w:t>
      </w:r>
      <w:proofErr w:type="spellEnd"/>
      <w:r w:rsidRPr="0012597A">
        <w:rPr>
          <w:rFonts w:ascii="Times New Roman" w:eastAsia="Arial MT" w:hAnsi="Times New Roman" w:cs="Times New Roman"/>
          <w:sz w:val="24"/>
          <w:szCs w:val="24"/>
        </w:rPr>
        <w:t>, Frente Nacional contra Violencia Vicaria (FNCVV), Colectiva de Amorosas Madres contra la Violencia Vicaria (CAM-CAI), han desarrollado, desde hace más de una década, una labor constante en la atención, visualización y exposición de diferentes tipos y modalidades de violencia de género, brindando acompañamiento a víctimas de violencia, consolidándose como un contacto seguro para la atención de mujeres, niñas, niños y adolescentes (NNA) que enfrentan situaciones de riesgo emocional.</w:t>
      </w:r>
    </w:p>
    <w:p w14:paraId="17CD0570"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2F56637E"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Esta labor se encuentra respaldada por mujeres activistas que han vivido estas situaciones de primera mano, lo que avala su compromiso ético, humano y profundamente empático en la defensa y protección de los derechos de las personas en situación de vulnerabilidad, contribuyendo de manera continua al bienestar y fortalecimiento de la sociedad a través de la lucha para que estas leyes se materialicen para todas las mujeres.</w:t>
      </w:r>
    </w:p>
    <w:p w14:paraId="2033AF65"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79DC684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su parte, la Ley de Acceso de las Mujeres a una Vida Libre de Violencia del Estado de México establece en su artículo 9 que corresponde a las autoridades estatales diseñar e implementar medidas integrales para prevenir, atender y erradicar la violencia contra las mujeres, así como fortalecer los mecanismos de coordinación instituciona</w:t>
      </w:r>
      <w:hyperlink w:anchor="_bookmark12" w:history="1">
        <w:r w:rsidRPr="0012597A">
          <w:rPr>
            <w:rFonts w:ascii="Times New Roman" w:eastAsia="Arial MT" w:hAnsi="Times New Roman" w:cs="Times New Roman"/>
            <w:sz w:val="24"/>
            <w:szCs w:val="24"/>
          </w:rPr>
          <w:t>l</w:t>
        </w:r>
        <w:r w:rsidRPr="0012597A">
          <w:rPr>
            <w:rFonts w:ascii="Times New Roman" w:eastAsia="Arial MT" w:hAnsi="Times New Roman" w:cs="Times New Roman"/>
            <w:color w:val="FF0000"/>
            <w:sz w:val="24"/>
            <w:szCs w:val="24"/>
            <w:vertAlign w:val="superscript"/>
          </w:rPr>
          <w:t>13</w:t>
        </w:r>
      </w:hyperlink>
      <w:r w:rsidRPr="0012597A">
        <w:rPr>
          <w:rFonts w:ascii="Times New Roman" w:eastAsia="Arial MT" w:hAnsi="Times New Roman" w:cs="Times New Roman"/>
          <w:sz w:val="24"/>
          <w:szCs w:val="24"/>
        </w:rPr>
        <w:t>. No obstante, hasta el momento, no existe una disposición legal que contemple la creación de un registro específico de personas sancionadas por ejercer violencia vicaria, lo que dificulta el seguimiento y control de estos casos, además de limitar la capacidad del Estado para garantizar la no repetición.</w:t>
      </w:r>
    </w:p>
    <w:p w14:paraId="1798E9D9"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604FE819"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18"/>
          <w:szCs w:val="24"/>
        </w:rPr>
      </w:pPr>
      <w:bookmarkStart w:id="23" w:name="_bookmark11"/>
      <w:bookmarkEnd w:id="23"/>
      <w:r w:rsidRPr="0012597A">
        <w:rPr>
          <w:rFonts w:ascii="Times New Roman" w:eastAsia="Arial MT" w:hAnsi="Times New Roman" w:cs="Times New Roman"/>
          <w:color w:val="FF0000"/>
          <w:sz w:val="18"/>
          <w:szCs w:val="24"/>
          <w:vertAlign w:val="superscript"/>
        </w:rPr>
        <w:t>12</w:t>
      </w:r>
      <w:r w:rsidRPr="0012597A">
        <w:rPr>
          <w:rFonts w:ascii="Times New Roman" w:eastAsia="Arial MT" w:hAnsi="Times New Roman" w:cs="Times New Roman"/>
          <w:sz w:val="18"/>
          <w:szCs w:val="24"/>
        </w:rPr>
        <w:t xml:space="preserve"> Gobierno del Estado de México (2024). Código Civil del Estado de México. Artículos 4.146 Bis a 4.146 Quáter. Disponible para consulta en: </w:t>
      </w:r>
      <w:hyperlink r:id="rId33">
        <w:r w:rsidRPr="0012597A">
          <w:rPr>
            <w:rFonts w:ascii="Times New Roman" w:eastAsia="Arial MT" w:hAnsi="Times New Roman" w:cs="Times New Roman"/>
            <w:sz w:val="18"/>
            <w:szCs w:val="24"/>
            <w:u w:val="single"/>
          </w:rPr>
          <w:t>https://legislacion.edomex.gob.mx/node/1024</w:t>
        </w:r>
      </w:hyperlink>
    </w:p>
    <w:p w14:paraId="7487DEBF"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1B79332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creación del Registro Estatal de </w:t>
      </w:r>
      <w:proofErr w:type="spellStart"/>
      <w:r w:rsidRPr="0012597A">
        <w:rPr>
          <w:rFonts w:ascii="Times New Roman" w:eastAsia="Arial MT" w:hAnsi="Times New Roman" w:cs="Times New Roman"/>
          <w:sz w:val="24"/>
          <w:szCs w:val="24"/>
        </w:rPr>
        <w:t>Violentadores</w:t>
      </w:r>
      <w:proofErr w:type="spellEnd"/>
      <w:r w:rsidRPr="0012597A">
        <w:rPr>
          <w:rFonts w:ascii="Times New Roman" w:eastAsia="Arial MT" w:hAnsi="Times New Roman" w:cs="Times New Roman"/>
          <w:sz w:val="24"/>
          <w:szCs w:val="24"/>
        </w:rPr>
        <w:t xml:space="preserve"> Vicarios representa, por tanto, una respuesta concreta a este vacío jurídico. Su propósito es visibilizar y documentar las conductas de violencia vicaria, impedir que las personas responsables puedan acceder a cargos públicos o tramitar </w:t>
      </w:r>
      <w:r w:rsidRPr="0012597A">
        <w:rPr>
          <w:rFonts w:ascii="Times New Roman" w:eastAsia="Arial MT" w:hAnsi="Times New Roman" w:cs="Times New Roman"/>
          <w:sz w:val="24"/>
          <w:szCs w:val="24"/>
        </w:rPr>
        <w:lastRenderedPageBreak/>
        <w:t>licencias, permisos o concesiones mientras subsista su inscripción, facilitar la coordinación entre las autoridades judiciales, administrativas y de atención a víctimas, y generar información estadística que sirva de base para la formulación de políticas públicas en materia de igualdad de género y protección de la niñez.</w:t>
      </w:r>
    </w:p>
    <w:p w14:paraId="13AC636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576ECA33"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Con la implementación de este registro, el Estado de México no solo cumple con los compromisos adquiridos a nivel internacional y nacional, sino que también fortalece su marco jurídico local y reafirma su compromiso con la justicia, la transparencia y la reparación del daño. Este instrumento no busca establecer una sanción adicional, sino garantizar la efectividad de los mecanismos de protección existentes, promover la no repetición de actos de violencia y enviar un mensaje claro de que ninguna forma de agresión, directa o indirecta, quedará impune.</w:t>
      </w:r>
    </w:p>
    <w:p w14:paraId="504FE78F"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24733B68"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violencia vicaria es una expresión extrema del control y el abuso, y su erradicación requiere de la acción decidida del Estado y de la sociedad. Con la creación del Registro</w:t>
      </w:r>
    </w:p>
    <w:p w14:paraId="73BAD22E"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611E20E6"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4"/>
        </w:rPr>
      </w:pPr>
      <w:bookmarkStart w:id="24" w:name="_bookmark12"/>
      <w:bookmarkEnd w:id="24"/>
      <w:r w:rsidRPr="0012597A">
        <w:rPr>
          <w:rFonts w:ascii="Times New Roman" w:eastAsia="Arial MT" w:hAnsi="Times New Roman" w:cs="Times New Roman"/>
          <w:color w:val="FF0000"/>
          <w:sz w:val="20"/>
          <w:szCs w:val="24"/>
          <w:vertAlign w:val="superscript"/>
        </w:rPr>
        <w:t>13</w:t>
      </w:r>
      <w:r w:rsidRPr="0012597A">
        <w:rPr>
          <w:rFonts w:ascii="Times New Roman" w:eastAsia="Arial MT" w:hAnsi="Times New Roman" w:cs="Times New Roman"/>
          <w:sz w:val="20"/>
          <w:szCs w:val="24"/>
        </w:rPr>
        <w:t xml:space="preserve"> Gobierno del Estado de México (2023). Ley de Acceso de las Mujeres a una Vida Libre de Violencia del Estado de México. Disponible para consulta en: </w:t>
      </w:r>
      <w:hyperlink r:id="rId34">
        <w:r w:rsidRPr="0012597A">
          <w:rPr>
            <w:rFonts w:ascii="Times New Roman" w:eastAsia="Arial MT" w:hAnsi="Times New Roman" w:cs="Times New Roman"/>
            <w:sz w:val="20"/>
            <w:szCs w:val="24"/>
            <w:u w:val="single"/>
          </w:rPr>
          <w:t>https://legislacion.edomex.gob.mx/node/1342</w:t>
        </w:r>
      </w:hyperlink>
    </w:p>
    <w:p w14:paraId="5BE110DD"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6450CB0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Estatal de </w:t>
      </w:r>
      <w:proofErr w:type="spellStart"/>
      <w:r w:rsidRPr="0012597A">
        <w:rPr>
          <w:rFonts w:ascii="Times New Roman" w:eastAsia="Arial MT" w:hAnsi="Times New Roman" w:cs="Times New Roman"/>
          <w:sz w:val="24"/>
          <w:szCs w:val="24"/>
        </w:rPr>
        <w:t>Violentadores</w:t>
      </w:r>
      <w:proofErr w:type="spellEnd"/>
      <w:r w:rsidRPr="0012597A">
        <w:rPr>
          <w:rFonts w:ascii="Times New Roman" w:eastAsia="Arial MT" w:hAnsi="Times New Roman" w:cs="Times New Roman"/>
          <w:sz w:val="24"/>
          <w:szCs w:val="24"/>
        </w:rPr>
        <w:t xml:space="preserve"> Vicarios, el Estado de México se coloca a la vanguardia nacional en la defensa de los derechos humanos, la protección de las víctimas y la construcción de una cultura de paz basada en la igualdad, la justicia y el respeto a la dignidad humana.</w:t>
      </w:r>
    </w:p>
    <w:p w14:paraId="0A8A6042"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799B6FBB" w14:textId="77777777" w:rsidR="00344ABF" w:rsidRPr="0012597A" w:rsidRDefault="00344ABF" w:rsidP="00EF1C7F">
      <w:pPr>
        <w:widowControl w:val="0"/>
        <w:autoSpaceDE w:val="0"/>
        <w:autoSpaceDN w:val="0"/>
        <w:spacing w:after="0" w:line="240" w:lineRule="auto"/>
        <w:ind w:left="10"/>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p w14:paraId="1D4D604B" w14:textId="77777777" w:rsidR="00344ABF" w:rsidRPr="0012597A" w:rsidRDefault="00344ABF" w:rsidP="00EF1C7F">
      <w:pPr>
        <w:widowControl w:val="0"/>
        <w:autoSpaceDE w:val="0"/>
        <w:autoSpaceDN w:val="0"/>
        <w:spacing w:after="0" w:line="240" w:lineRule="auto"/>
        <w:ind w:left="5"/>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PAOLA JIMÉNEZ HERNÁNDEZ</w:t>
      </w:r>
    </w:p>
    <w:p w14:paraId="3C73CBDA"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4160434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sz w:val="20"/>
          <w:szCs w:val="24"/>
        </w:rPr>
        <w:t>C.c.p. Dr. Omar Salvador Olvera Herreros – Secretario Ejecutivo de la Junta de Coordinación Política del Estado de México</w:t>
      </w:r>
    </w:p>
    <w:p w14:paraId="2502203D"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sz w:val="24"/>
          <w:szCs w:val="24"/>
        </w:rPr>
      </w:pPr>
    </w:p>
    <w:p w14:paraId="5D9B7A08"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30A575C0"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56A30F5B"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DECRETO NÚMERO:</w:t>
      </w:r>
    </w:p>
    <w:p w14:paraId="28FC8BD9" w14:textId="77777777" w:rsidR="004E2D30"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H. LXII LEGISLATURA DEL ESTADO DE MÉXICO</w:t>
      </w:r>
    </w:p>
    <w:p w14:paraId="4890F046" w14:textId="7B8DCFBB"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DECRETA</w:t>
      </w:r>
    </w:p>
    <w:p w14:paraId="7B5E7B9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p>
    <w:p w14:paraId="72B7C7E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ÚNICO. Se reforma la denominación del capítulo IV Del registro de Deudores Alimentarios Morosos del Título IV Del Parentesco y los Alimentos para y se adicionan los artículos 4.146 </w:t>
      </w:r>
      <w:proofErr w:type="spellStart"/>
      <w:r w:rsidRPr="0012597A">
        <w:rPr>
          <w:rFonts w:ascii="Times New Roman" w:eastAsia="Arial MT" w:hAnsi="Times New Roman" w:cs="Times New Roman"/>
          <w:b/>
          <w:sz w:val="24"/>
          <w:szCs w:val="24"/>
        </w:rPr>
        <w:t>nonies</w:t>
      </w:r>
      <w:proofErr w:type="spellEnd"/>
      <w:r w:rsidRPr="0012597A">
        <w:rPr>
          <w:rFonts w:ascii="Times New Roman" w:eastAsia="Arial MT" w:hAnsi="Times New Roman" w:cs="Times New Roman"/>
          <w:b/>
          <w:sz w:val="24"/>
          <w:szCs w:val="24"/>
        </w:rPr>
        <w:t xml:space="preserve">, 4.146 </w:t>
      </w:r>
      <w:proofErr w:type="spellStart"/>
      <w:r w:rsidRPr="0012597A">
        <w:rPr>
          <w:rFonts w:ascii="Times New Roman" w:eastAsia="Arial MT" w:hAnsi="Times New Roman" w:cs="Times New Roman"/>
          <w:b/>
          <w:sz w:val="24"/>
          <w:szCs w:val="24"/>
        </w:rPr>
        <w:t>Decies</w:t>
      </w:r>
      <w:proofErr w:type="spellEnd"/>
      <w:r w:rsidRPr="0012597A">
        <w:rPr>
          <w:rFonts w:ascii="Times New Roman" w:eastAsia="Arial MT" w:hAnsi="Times New Roman" w:cs="Times New Roman"/>
          <w:b/>
          <w:sz w:val="24"/>
          <w:szCs w:val="24"/>
        </w:rPr>
        <w:t xml:space="preserve">, 4.146 </w:t>
      </w:r>
      <w:proofErr w:type="spellStart"/>
      <w:r w:rsidRPr="0012597A">
        <w:rPr>
          <w:rFonts w:ascii="Times New Roman" w:eastAsia="Arial MT" w:hAnsi="Times New Roman" w:cs="Times New Roman"/>
          <w:b/>
          <w:sz w:val="24"/>
          <w:szCs w:val="24"/>
        </w:rPr>
        <w:t>Undecies</w:t>
      </w:r>
      <w:proofErr w:type="spellEnd"/>
      <w:r w:rsidRPr="0012597A">
        <w:rPr>
          <w:rFonts w:ascii="Times New Roman" w:eastAsia="Arial MT" w:hAnsi="Times New Roman" w:cs="Times New Roman"/>
          <w:b/>
          <w:sz w:val="24"/>
          <w:szCs w:val="24"/>
        </w:rPr>
        <w:t xml:space="preserve">, 4.146 Duodecies, 4.146 </w:t>
      </w:r>
      <w:proofErr w:type="spellStart"/>
      <w:r w:rsidRPr="0012597A">
        <w:rPr>
          <w:rFonts w:ascii="Times New Roman" w:eastAsia="Arial MT" w:hAnsi="Times New Roman" w:cs="Times New Roman"/>
          <w:b/>
          <w:sz w:val="24"/>
          <w:szCs w:val="24"/>
        </w:rPr>
        <w:t>Terdecies</w:t>
      </w:r>
      <w:proofErr w:type="spellEnd"/>
      <w:r w:rsidRPr="0012597A">
        <w:rPr>
          <w:rFonts w:ascii="Times New Roman" w:eastAsia="Arial MT" w:hAnsi="Times New Roman" w:cs="Times New Roman"/>
          <w:b/>
          <w:sz w:val="24"/>
          <w:szCs w:val="24"/>
        </w:rPr>
        <w:t xml:space="preserve"> y 4.146 </w:t>
      </w:r>
      <w:proofErr w:type="spellStart"/>
      <w:r w:rsidRPr="0012597A">
        <w:rPr>
          <w:rFonts w:ascii="Times New Roman" w:eastAsia="Arial MT" w:hAnsi="Times New Roman" w:cs="Times New Roman"/>
          <w:b/>
          <w:sz w:val="24"/>
          <w:szCs w:val="24"/>
        </w:rPr>
        <w:t>Quaterdecies</w:t>
      </w:r>
      <w:proofErr w:type="spellEnd"/>
      <w:r w:rsidRPr="0012597A">
        <w:rPr>
          <w:rFonts w:ascii="Times New Roman" w:eastAsia="Arial MT" w:hAnsi="Times New Roman" w:cs="Times New Roman"/>
          <w:b/>
          <w:sz w:val="24"/>
          <w:szCs w:val="24"/>
        </w:rPr>
        <w:t>, para quedar en los siguientes términos:</w:t>
      </w:r>
    </w:p>
    <w:p w14:paraId="0F7D2C42" w14:textId="77777777" w:rsidR="00344ABF" w:rsidRPr="0012597A" w:rsidRDefault="00344ABF" w:rsidP="00EF1C7F">
      <w:pPr>
        <w:widowControl w:val="0"/>
        <w:autoSpaceDE w:val="0"/>
        <w:autoSpaceDN w:val="0"/>
        <w:spacing w:after="0" w:line="240" w:lineRule="auto"/>
        <w:ind w:left="10"/>
        <w:jc w:val="center"/>
        <w:rPr>
          <w:rFonts w:ascii="Times New Roman" w:eastAsia="Arial MT" w:hAnsi="Times New Roman" w:cs="Times New Roman"/>
          <w:b/>
          <w:sz w:val="24"/>
          <w:szCs w:val="24"/>
        </w:rPr>
      </w:pPr>
    </w:p>
    <w:p w14:paraId="3699F71F" w14:textId="77777777" w:rsidR="00344ABF" w:rsidRPr="0012597A" w:rsidRDefault="00344ABF" w:rsidP="00EF1C7F">
      <w:pPr>
        <w:widowControl w:val="0"/>
        <w:autoSpaceDE w:val="0"/>
        <w:autoSpaceDN w:val="0"/>
        <w:spacing w:after="0" w:line="240" w:lineRule="auto"/>
        <w:ind w:left="10"/>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CAPÍTULO IV</w:t>
      </w:r>
    </w:p>
    <w:p w14:paraId="4BAA20C6"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58B834D4" w14:textId="77777777" w:rsidR="00344ABF" w:rsidRPr="0012597A" w:rsidRDefault="00344AB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REGISTRO DE DEUDORES ALIMENTARIOS MOROSOS Y EL REGISTRO DE VIOLENTADORES VICARIOS</w:t>
      </w:r>
    </w:p>
    <w:p w14:paraId="2DCF8E3F"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w:t>
      </w:r>
    </w:p>
    <w:p w14:paraId="0E90C994"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6391D93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4.146 </w:t>
      </w:r>
      <w:proofErr w:type="spellStart"/>
      <w:r w:rsidRPr="0012597A">
        <w:rPr>
          <w:rFonts w:ascii="Times New Roman" w:eastAsia="Arial MT" w:hAnsi="Times New Roman" w:cs="Times New Roman"/>
          <w:b/>
          <w:sz w:val="24"/>
          <w:szCs w:val="24"/>
        </w:rPr>
        <w:t>Nonies</w:t>
      </w:r>
      <w:proofErr w:type="spellEnd"/>
      <w:r w:rsidRPr="0012597A">
        <w:rPr>
          <w:rFonts w:ascii="Times New Roman" w:eastAsia="Arial MT" w:hAnsi="Times New Roman" w:cs="Times New Roman"/>
          <w:b/>
          <w:sz w:val="24"/>
          <w:szCs w:val="24"/>
        </w:rPr>
        <w:t xml:space="preserve">. El Registro Estatal de </w:t>
      </w:r>
      <w:proofErr w:type="spellStart"/>
      <w:r w:rsidRPr="0012597A">
        <w:rPr>
          <w:rFonts w:ascii="Times New Roman" w:eastAsia="Arial MT" w:hAnsi="Times New Roman" w:cs="Times New Roman"/>
          <w:b/>
          <w:sz w:val="24"/>
          <w:szCs w:val="24"/>
        </w:rPr>
        <w:t>Violentadores</w:t>
      </w:r>
      <w:proofErr w:type="spellEnd"/>
      <w:r w:rsidRPr="0012597A">
        <w:rPr>
          <w:rFonts w:ascii="Times New Roman" w:eastAsia="Arial MT" w:hAnsi="Times New Roman" w:cs="Times New Roman"/>
          <w:b/>
          <w:sz w:val="24"/>
          <w:szCs w:val="24"/>
        </w:rPr>
        <w:t xml:space="preserve"> Vicarios es un instrumento público a cargo del Gobierno del Estado de México, a través de la Dirección General del Registro Civil, cuyo objeto es inscribir a las personas que hayan sido declaradas judicialmente responsables de ejercer violencia vicaria, conforme a resolución firme o </w:t>
      </w:r>
      <w:r w:rsidRPr="0012597A">
        <w:rPr>
          <w:rFonts w:ascii="Times New Roman" w:eastAsia="Arial MT" w:hAnsi="Times New Roman" w:cs="Times New Roman"/>
          <w:b/>
          <w:sz w:val="24"/>
          <w:szCs w:val="24"/>
        </w:rPr>
        <w:lastRenderedPageBreak/>
        <w:t>medida dictada por autoridad competente.</w:t>
      </w:r>
    </w:p>
    <w:p w14:paraId="6D4680B2"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44C42094"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4.146 </w:t>
      </w:r>
      <w:proofErr w:type="spellStart"/>
      <w:r w:rsidRPr="0012597A">
        <w:rPr>
          <w:rFonts w:ascii="Times New Roman" w:eastAsia="Arial MT" w:hAnsi="Times New Roman" w:cs="Times New Roman"/>
          <w:b/>
          <w:sz w:val="24"/>
          <w:szCs w:val="24"/>
        </w:rPr>
        <w:t>Decies</w:t>
      </w:r>
      <w:proofErr w:type="spellEnd"/>
      <w:r w:rsidRPr="0012597A">
        <w:rPr>
          <w:rFonts w:ascii="Times New Roman" w:eastAsia="Arial MT" w:hAnsi="Times New Roman" w:cs="Times New Roman"/>
          <w:b/>
          <w:sz w:val="24"/>
          <w:szCs w:val="24"/>
        </w:rPr>
        <w:t>. Para efectos de este Capítulo, se entiende por violencia vicaria toda acción u omisión mediante la cual una persona, con el propósito de dañar, controlar o someter a otra, ejerce violencia a través de terceras personas (principalmente hijas, hijos, familiares o dependientes) afectando sus derechos, bienestar o desarrollo.</w:t>
      </w:r>
    </w:p>
    <w:p w14:paraId="3322A79B"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4.146 </w:t>
      </w:r>
      <w:proofErr w:type="spellStart"/>
      <w:r w:rsidRPr="0012597A">
        <w:rPr>
          <w:rFonts w:ascii="Times New Roman" w:eastAsia="Arial MT" w:hAnsi="Times New Roman" w:cs="Times New Roman"/>
          <w:b/>
          <w:sz w:val="24"/>
          <w:szCs w:val="24"/>
        </w:rPr>
        <w:t>Undecies</w:t>
      </w:r>
      <w:proofErr w:type="spellEnd"/>
      <w:r w:rsidRPr="0012597A">
        <w:rPr>
          <w:rFonts w:ascii="Times New Roman" w:eastAsia="Arial MT" w:hAnsi="Times New Roman" w:cs="Times New Roman"/>
          <w:b/>
          <w:sz w:val="24"/>
          <w:szCs w:val="24"/>
        </w:rPr>
        <w:t>. El Registro tendrá por objeto:</w:t>
      </w:r>
    </w:p>
    <w:p w14:paraId="5384B6FB"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256C9493" w14:textId="77777777" w:rsidR="00344ABF" w:rsidRPr="0012597A" w:rsidRDefault="00344ABF" w:rsidP="00EF1C7F">
      <w:pPr>
        <w:widowControl w:val="0"/>
        <w:numPr>
          <w:ilvl w:val="0"/>
          <w:numId w:val="5"/>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Documentar e identificar a las personas sancionadas o sujetas a medidas por violencia vicaria;</w:t>
      </w:r>
    </w:p>
    <w:p w14:paraId="518C99A0" w14:textId="77777777" w:rsidR="00344ABF" w:rsidRPr="0012597A" w:rsidRDefault="00344ABF" w:rsidP="00EF1C7F">
      <w:pPr>
        <w:widowControl w:val="0"/>
        <w:numPr>
          <w:ilvl w:val="0"/>
          <w:numId w:val="5"/>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Facilitar la coordinación interinstitucional entre autoridades judiciales, administrativas, educativas y de protección de víctimas;</w:t>
      </w:r>
    </w:p>
    <w:p w14:paraId="19EE813E" w14:textId="77777777" w:rsidR="00344ABF" w:rsidRPr="0012597A" w:rsidRDefault="00344ABF" w:rsidP="00EF1C7F">
      <w:pPr>
        <w:widowControl w:val="0"/>
        <w:numPr>
          <w:ilvl w:val="0"/>
          <w:numId w:val="5"/>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Emitir certificados de no inscripción que podrán ser requeridos para trámites administrativos, permisos, licencias, candidaturas o empleos públicos;</w:t>
      </w:r>
    </w:p>
    <w:p w14:paraId="6DE0F380" w14:textId="77777777" w:rsidR="00344ABF" w:rsidRPr="0012597A" w:rsidRDefault="00344ABF" w:rsidP="00EF1C7F">
      <w:pPr>
        <w:widowControl w:val="0"/>
        <w:numPr>
          <w:ilvl w:val="0"/>
          <w:numId w:val="5"/>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Servir como fuente de información estadística y de política pública en materia de prevención de la violencia vicaria; y</w:t>
      </w:r>
    </w:p>
    <w:p w14:paraId="69EA5661" w14:textId="77777777" w:rsidR="00344ABF" w:rsidRPr="0012597A" w:rsidRDefault="00344ABF" w:rsidP="00EF1C7F">
      <w:pPr>
        <w:widowControl w:val="0"/>
        <w:numPr>
          <w:ilvl w:val="0"/>
          <w:numId w:val="5"/>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Contribuir a la protección integral de las víctimas y la no repetición de los actos de violencia.</w:t>
      </w:r>
    </w:p>
    <w:p w14:paraId="5E00C232" w14:textId="77777777" w:rsidR="00344ABF" w:rsidRPr="0012597A" w:rsidRDefault="00344ABF" w:rsidP="00EF1C7F">
      <w:pPr>
        <w:widowControl w:val="0"/>
        <w:numPr>
          <w:ilvl w:val="0"/>
          <w:numId w:val="5"/>
        </w:numPr>
        <w:autoSpaceDE w:val="0"/>
        <w:autoSpaceDN w:val="0"/>
        <w:spacing w:after="0" w:line="240" w:lineRule="auto"/>
        <w:ind w:firstLine="0"/>
        <w:jc w:val="both"/>
        <w:rPr>
          <w:rFonts w:ascii="Times New Roman" w:eastAsia="Arial" w:hAnsi="Times New Roman" w:cs="Times New Roman"/>
          <w:b/>
          <w:sz w:val="24"/>
          <w:szCs w:val="24"/>
        </w:rPr>
      </w:pPr>
    </w:p>
    <w:p w14:paraId="5E26D4C6"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4.146 Duodecies. La Dirección General del Registro Civil del Estado de México será responsable de la administración, resguardo y actualización del Registro, en coordinación con la Comisión Ejecutiva de Atención a Víctimas del Estado de México y la Fiscalía General de Justicia del Estado de México.</w:t>
      </w:r>
    </w:p>
    <w:p w14:paraId="12BD9D41"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0F467A9E"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Dicha autoridad deberá garantizar la confidencialidad de los datos personales contenidos en el Registro y observará en todo momento los principios establecidos en la Ley General de Protección de Datos Personales en Posesión de Sujetos Obligados.</w:t>
      </w:r>
    </w:p>
    <w:p w14:paraId="1DDAB520"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p>
    <w:p w14:paraId="6A63492A" w14:textId="2DAF7C34"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4.146 </w:t>
      </w:r>
      <w:proofErr w:type="spellStart"/>
      <w:r w:rsidRPr="0012597A">
        <w:rPr>
          <w:rFonts w:ascii="Times New Roman" w:eastAsia="Arial MT" w:hAnsi="Times New Roman" w:cs="Times New Roman"/>
          <w:b/>
          <w:sz w:val="24"/>
          <w:szCs w:val="24"/>
        </w:rPr>
        <w:t>Terdecies</w:t>
      </w:r>
      <w:proofErr w:type="spellEnd"/>
      <w:r w:rsidRPr="0012597A">
        <w:rPr>
          <w:rFonts w:ascii="Times New Roman" w:eastAsia="Arial MT" w:hAnsi="Times New Roman" w:cs="Times New Roman"/>
          <w:b/>
          <w:sz w:val="24"/>
          <w:szCs w:val="24"/>
        </w:rPr>
        <w:t>. La inscripción en el Registro surtirá los siguientes efectos:</w:t>
      </w:r>
    </w:p>
    <w:p w14:paraId="403CB407" w14:textId="77777777" w:rsidR="00A37772" w:rsidRPr="0012597A" w:rsidRDefault="00A37772" w:rsidP="00EF1C7F">
      <w:pPr>
        <w:widowControl w:val="0"/>
        <w:autoSpaceDE w:val="0"/>
        <w:autoSpaceDN w:val="0"/>
        <w:spacing w:after="0" w:line="240" w:lineRule="auto"/>
        <w:jc w:val="both"/>
        <w:rPr>
          <w:rFonts w:ascii="Times New Roman" w:eastAsia="Arial MT" w:hAnsi="Times New Roman" w:cs="Times New Roman"/>
          <w:b/>
          <w:sz w:val="24"/>
          <w:szCs w:val="24"/>
        </w:rPr>
      </w:pPr>
    </w:p>
    <w:p w14:paraId="7DFAC777" w14:textId="77777777" w:rsidR="00344ABF" w:rsidRPr="0012597A" w:rsidRDefault="00344ABF" w:rsidP="00EF1C7F">
      <w:pPr>
        <w:widowControl w:val="0"/>
        <w:numPr>
          <w:ilvl w:val="0"/>
          <w:numId w:val="4"/>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Generará antecedentes públicos que podrán ser consultados por las autoridades competentes;</w:t>
      </w:r>
    </w:p>
    <w:p w14:paraId="18C32010" w14:textId="77777777" w:rsidR="00344ABF" w:rsidRPr="0012597A" w:rsidRDefault="00344ABF" w:rsidP="00EF1C7F">
      <w:pPr>
        <w:widowControl w:val="0"/>
        <w:numPr>
          <w:ilvl w:val="0"/>
          <w:numId w:val="4"/>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Las personas morales o instituciones que omitan verificar el estatus del solicitante serán responsables solidarias en los términos de la ley.</w:t>
      </w:r>
    </w:p>
    <w:p w14:paraId="10B1B4CC"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p>
    <w:p w14:paraId="0C71A551"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4.146 </w:t>
      </w:r>
      <w:proofErr w:type="spellStart"/>
      <w:r w:rsidRPr="0012597A">
        <w:rPr>
          <w:rFonts w:ascii="Times New Roman" w:eastAsia="Arial MT" w:hAnsi="Times New Roman" w:cs="Times New Roman"/>
          <w:b/>
          <w:sz w:val="24"/>
          <w:szCs w:val="24"/>
        </w:rPr>
        <w:t>Quaterdecies</w:t>
      </w:r>
      <w:proofErr w:type="spellEnd"/>
      <w:r w:rsidRPr="0012597A">
        <w:rPr>
          <w:rFonts w:ascii="Times New Roman" w:eastAsia="Arial MT" w:hAnsi="Times New Roman" w:cs="Times New Roman"/>
          <w:b/>
          <w:sz w:val="24"/>
          <w:szCs w:val="24"/>
        </w:rPr>
        <w:t>. La cancelación de la inscripción procederá cuando:</w:t>
      </w:r>
    </w:p>
    <w:p w14:paraId="7EDFD888"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6C82DDE1" w14:textId="77777777" w:rsidR="00344ABF" w:rsidRPr="0012597A" w:rsidRDefault="00344ABF" w:rsidP="00EF1C7F">
      <w:pPr>
        <w:widowControl w:val="0"/>
        <w:numPr>
          <w:ilvl w:val="0"/>
          <w:numId w:val="3"/>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Se acredite el cumplimiento íntegro de la resolución que motivó la inscripción y no exista reincidencia;</w:t>
      </w:r>
    </w:p>
    <w:p w14:paraId="7386DFF8" w14:textId="77777777" w:rsidR="00344ABF" w:rsidRPr="0012597A" w:rsidRDefault="00344ABF" w:rsidP="00EF1C7F">
      <w:pPr>
        <w:widowControl w:val="0"/>
        <w:numPr>
          <w:ilvl w:val="0"/>
          <w:numId w:val="3"/>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La autoridad judicial declare la inexistencia del delito o la revocación de la medida; o</w:t>
      </w:r>
    </w:p>
    <w:p w14:paraId="184B2834" w14:textId="77777777" w:rsidR="00344ABF" w:rsidRPr="0012597A" w:rsidRDefault="00344ABF" w:rsidP="00EF1C7F">
      <w:pPr>
        <w:widowControl w:val="0"/>
        <w:numPr>
          <w:ilvl w:val="0"/>
          <w:numId w:val="3"/>
        </w:numPr>
        <w:autoSpaceDE w:val="0"/>
        <w:autoSpaceDN w:val="0"/>
        <w:spacing w:after="0" w:line="240" w:lineRule="auto"/>
        <w:ind w:left="328" w:hanging="328"/>
        <w:rPr>
          <w:rFonts w:ascii="Times New Roman" w:eastAsia="Arial" w:hAnsi="Times New Roman" w:cs="Times New Roman"/>
          <w:b/>
          <w:sz w:val="24"/>
          <w:szCs w:val="24"/>
        </w:rPr>
      </w:pPr>
      <w:r w:rsidRPr="0012597A">
        <w:rPr>
          <w:rFonts w:ascii="Times New Roman" w:eastAsia="Arial" w:hAnsi="Times New Roman" w:cs="Times New Roman"/>
          <w:b/>
          <w:sz w:val="24"/>
          <w:szCs w:val="24"/>
        </w:rPr>
        <w:t>Exista error material o duplicidad en la inscripción.</w:t>
      </w:r>
    </w:p>
    <w:p w14:paraId="16521727"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664EF8D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cancelación deberá resolverse en un plazo máximo de treinta días hábiles a partir de la solicitud del interesado, previo dictamen de la autoridad competente.</w:t>
      </w:r>
    </w:p>
    <w:p w14:paraId="6500F8DB" w14:textId="77777777" w:rsidR="00344ABF" w:rsidRPr="0012597A" w:rsidRDefault="00344ABF" w:rsidP="00EF1C7F">
      <w:pPr>
        <w:widowControl w:val="0"/>
        <w:autoSpaceDE w:val="0"/>
        <w:autoSpaceDN w:val="0"/>
        <w:spacing w:after="0" w:line="240" w:lineRule="auto"/>
        <w:ind w:left="9"/>
        <w:jc w:val="center"/>
        <w:rPr>
          <w:rFonts w:ascii="Times New Roman" w:eastAsia="Arial MT" w:hAnsi="Times New Roman" w:cs="Times New Roman"/>
          <w:b/>
          <w:sz w:val="24"/>
          <w:szCs w:val="24"/>
        </w:rPr>
      </w:pPr>
      <w:bookmarkStart w:id="25" w:name="ARTÍCULOS_TRANSITORIOS"/>
      <w:bookmarkEnd w:id="25"/>
    </w:p>
    <w:p w14:paraId="7157C618" w14:textId="77777777" w:rsidR="00344ABF" w:rsidRPr="0012597A" w:rsidRDefault="00344ABF" w:rsidP="00EF1C7F">
      <w:pPr>
        <w:widowControl w:val="0"/>
        <w:autoSpaceDE w:val="0"/>
        <w:autoSpaceDN w:val="0"/>
        <w:spacing w:after="0" w:line="240" w:lineRule="auto"/>
        <w:ind w:left="9"/>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ARTÍCULOS TRANSITORIOS</w:t>
      </w:r>
    </w:p>
    <w:p w14:paraId="4F576D12" w14:textId="77777777" w:rsidR="00344ABF" w:rsidRPr="0012597A" w:rsidRDefault="00344ABF" w:rsidP="00EF1C7F">
      <w:pPr>
        <w:widowControl w:val="0"/>
        <w:autoSpaceDE w:val="0"/>
        <w:autoSpaceDN w:val="0"/>
        <w:spacing w:after="0" w:line="240" w:lineRule="auto"/>
        <w:rPr>
          <w:rFonts w:ascii="Times New Roman" w:eastAsia="Arial MT" w:hAnsi="Times New Roman" w:cs="Times New Roman"/>
          <w:b/>
          <w:sz w:val="24"/>
          <w:szCs w:val="24"/>
        </w:rPr>
      </w:pPr>
    </w:p>
    <w:p w14:paraId="68002A2C"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PRIMERO. </w:t>
      </w:r>
      <w:r w:rsidRPr="0012597A">
        <w:rPr>
          <w:rFonts w:ascii="Times New Roman" w:eastAsia="Arial MT" w:hAnsi="Times New Roman" w:cs="Times New Roman"/>
          <w:sz w:val="24"/>
          <w:szCs w:val="24"/>
        </w:rPr>
        <w:t xml:space="preserve">El presente Decreto entrará en vigor al día siguiente de su publicación </w:t>
      </w:r>
      <w:r w:rsidRPr="0012597A">
        <w:rPr>
          <w:rFonts w:ascii="Times New Roman" w:eastAsia="Arial MT" w:hAnsi="Times New Roman" w:cs="Times New Roman"/>
          <w:sz w:val="24"/>
          <w:szCs w:val="24"/>
        </w:rPr>
        <w:lastRenderedPageBreak/>
        <w:t>en la Gaceta del Gobierno del Estado de México.</w:t>
      </w:r>
    </w:p>
    <w:p w14:paraId="695EC3A2"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p>
    <w:p w14:paraId="7383FC0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SEGUNDO. </w:t>
      </w:r>
      <w:r w:rsidRPr="0012597A">
        <w:rPr>
          <w:rFonts w:ascii="Times New Roman" w:eastAsia="Arial MT" w:hAnsi="Times New Roman" w:cs="Times New Roman"/>
          <w:sz w:val="24"/>
          <w:szCs w:val="24"/>
        </w:rPr>
        <w:t xml:space="preserve">El Poder Ejecutivo del Estado contará con un plazo máximo de ciento ochenta (180) días naturales para emitir las disposiciones reglamentarias necesarias para la operación del Registro Estatal de </w:t>
      </w:r>
      <w:proofErr w:type="spellStart"/>
      <w:r w:rsidRPr="0012597A">
        <w:rPr>
          <w:rFonts w:ascii="Times New Roman" w:eastAsia="Arial MT" w:hAnsi="Times New Roman" w:cs="Times New Roman"/>
          <w:sz w:val="24"/>
          <w:szCs w:val="24"/>
        </w:rPr>
        <w:t>Violentadores</w:t>
      </w:r>
      <w:proofErr w:type="spellEnd"/>
      <w:r w:rsidRPr="0012597A">
        <w:rPr>
          <w:rFonts w:ascii="Times New Roman" w:eastAsia="Arial MT" w:hAnsi="Times New Roman" w:cs="Times New Roman"/>
          <w:sz w:val="24"/>
          <w:szCs w:val="24"/>
        </w:rPr>
        <w:t xml:space="preserve"> Vicarios.</w:t>
      </w:r>
    </w:p>
    <w:p w14:paraId="2968CB79"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b/>
          <w:sz w:val="24"/>
          <w:szCs w:val="24"/>
        </w:rPr>
      </w:pPr>
    </w:p>
    <w:p w14:paraId="3452B182"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Las dependencias y entidades de la Administración Pública Estatal deberán ajustar sus reglamentos y procedimientos administrativos conforme a lo dispuesto en el presente Decreto.</w:t>
      </w:r>
    </w:p>
    <w:p w14:paraId="637085D1"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p>
    <w:p w14:paraId="6ECA889A" w14:textId="77777777" w:rsidR="00344ABF" w:rsidRPr="0012597A" w:rsidRDefault="00344AB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de Lerdo, capital del Estado de México, a los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días del mes de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del año dos mil veintiséis.</w:t>
      </w:r>
    </w:p>
    <w:p w14:paraId="69128150" w14:textId="77777777" w:rsidR="00344ABF" w:rsidRPr="0012597A" w:rsidRDefault="00344ABF" w:rsidP="00EF1C7F">
      <w:pPr>
        <w:spacing w:after="0" w:line="240" w:lineRule="auto"/>
        <w:jc w:val="center"/>
        <w:rPr>
          <w:rFonts w:ascii="Times New Roman" w:hAnsi="Times New Roman"/>
          <w:sz w:val="24"/>
          <w:szCs w:val="24"/>
        </w:rPr>
      </w:pPr>
    </w:p>
    <w:p w14:paraId="05F7D77F" w14:textId="77777777" w:rsidR="00344ABF" w:rsidRPr="0012597A" w:rsidRDefault="00344ABF"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1012D92A" w14:textId="77777777" w:rsidR="00344ABF" w:rsidRPr="0012597A" w:rsidRDefault="00344ABF" w:rsidP="00EF1C7F">
      <w:pPr>
        <w:spacing w:after="0" w:line="240" w:lineRule="auto"/>
        <w:jc w:val="center"/>
        <w:rPr>
          <w:rFonts w:ascii="Times New Roman" w:hAnsi="Times New Roman"/>
          <w:sz w:val="24"/>
          <w:szCs w:val="24"/>
        </w:rPr>
      </w:pPr>
    </w:p>
    <w:p w14:paraId="76504F22" w14:textId="603DE930"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kern w:val="2"/>
          <w:sz w:val="24"/>
          <w:szCs w:val="24"/>
          <w:lang w:eastAsia="es-MX"/>
        </w:rPr>
        <w:t>PRESIDENTA DIP. MARTHA AZUCENA CAMACHO REYNOSO</w:t>
      </w:r>
      <w:bookmarkEnd w:id="11"/>
      <w:r w:rsidRPr="0012597A">
        <w:rPr>
          <w:rFonts w:ascii="Times New Roman" w:hAnsi="Times New Roman" w:cs="Times New Roman"/>
          <w:color w:val="FF0000"/>
          <w:kern w:val="2"/>
          <w:sz w:val="24"/>
          <w:szCs w:val="24"/>
          <w:lang w:eastAsia="es-MX"/>
        </w:rPr>
        <w:t xml:space="preserve">. </w:t>
      </w:r>
      <w:r w:rsidRPr="0012597A">
        <w:rPr>
          <w:rFonts w:ascii="Times New Roman" w:hAnsi="Times New Roman" w:cs="Times New Roman"/>
          <w:color w:val="FF0000"/>
          <w:sz w:val="24"/>
          <w:szCs w:val="24"/>
        </w:rPr>
        <w:t xml:space="preserve">Gracias diputada Paola Jiménez Hernández. </w:t>
      </w:r>
    </w:p>
    <w:p w14:paraId="01F8B03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Se registra la Iniciativa y se remite a las Comisiones Legislativas de Procuración y Administración de Justicia Para la Igualdad de Género, para su estudio y dictamen. </w:t>
      </w:r>
    </w:p>
    <w:p w14:paraId="3C8CA79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cuanto al punto número 10, el diputado José Miguel Gutiérrez Morales, presenta en nombre del Grupo Parlamentario del Partido morena, I</w:t>
      </w:r>
      <w:r w:rsidRPr="0012597A">
        <w:rPr>
          <w:rFonts w:ascii="Times New Roman" w:hAnsi="Times New Roman" w:cs="Times New Roman"/>
          <w:bCs/>
          <w:color w:val="FF0000"/>
          <w:sz w:val="24"/>
          <w:szCs w:val="24"/>
        </w:rPr>
        <w:t xml:space="preserve">niciativa </w:t>
      </w:r>
      <w:r w:rsidRPr="0012597A">
        <w:rPr>
          <w:rFonts w:ascii="Times New Roman" w:hAnsi="Times New Roman" w:cs="Times New Roman"/>
          <w:color w:val="FF0000"/>
          <w:sz w:val="24"/>
          <w:szCs w:val="24"/>
        </w:rPr>
        <w:t xml:space="preserve">con Proyecto de decreto por el que se adiciona un segundo párrafo al artículo 12; se deroga el artículo 13 Bis-c de la </w:t>
      </w:r>
      <w:r w:rsidRPr="0012597A">
        <w:rPr>
          <w:rFonts w:ascii="Times New Roman" w:hAnsi="Times New Roman" w:cs="Times New Roman"/>
          <w:bCs/>
          <w:color w:val="FF0000"/>
          <w:sz w:val="24"/>
          <w:szCs w:val="24"/>
        </w:rPr>
        <w:t>Ley que Crea los Organismos Públicos Descentralizados de Asistencia Social, de Carácter Municipal, denominados "Sistemas Municipales para el Desarrollo Integral de la Familia</w:t>
      </w:r>
      <w:r w:rsidRPr="0012597A">
        <w:rPr>
          <w:rFonts w:ascii="Times New Roman" w:hAnsi="Times New Roman" w:cs="Times New Roman"/>
          <w:color w:val="FF0000"/>
          <w:sz w:val="24"/>
          <w:szCs w:val="24"/>
        </w:rPr>
        <w:t xml:space="preserve">"; y se reforma el segundo párrafo del artículo 21 de la </w:t>
      </w:r>
      <w:r w:rsidRPr="0012597A">
        <w:rPr>
          <w:rFonts w:ascii="Times New Roman" w:hAnsi="Times New Roman" w:cs="Times New Roman"/>
          <w:bCs/>
          <w:color w:val="FF0000"/>
          <w:sz w:val="24"/>
          <w:szCs w:val="24"/>
        </w:rPr>
        <w:t>Ley de Asistencia Social del Estado de México y Municipios</w:t>
      </w:r>
      <w:r w:rsidRPr="0012597A">
        <w:rPr>
          <w:rFonts w:ascii="Times New Roman" w:hAnsi="Times New Roman" w:cs="Times New Roman"/>
          <w:color w:val="FF0000"/>
          <w:sz w:val="24"/>
          <w:szCs w:val="24"/>
        </w:rPr>
        <w:t>, con el objeto de combatir el nepotismo.</w:t>
      </w:r>
    </w:p>
    <w:p w14:paraId="7B06FB0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DIP.  JOSÉ MIGUEL GUTIÉRREZ MORALES. Antes de iniciar la presentación de mi iniciativa, quiero expresar, si me lo permite, unas palabras.</w:t>
      </w:r>
    </w:p>
    <w:p w14:paraId="55D8B62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Como todas y todos recordamos, el año pasado se hizo viral una noticia sobre el homicidio cometido por una señora, la señora Carlota, en el Municipio de Chalco. Este homicidio fue motivado por el despojo de su casa, el día de ayer 17 de marzo la señora Carlota, con 74 años de edad, dejó el centro penitenciario para continuar su proceso bajo la medida cautelar de prisión domiciliaria, derivado de su avanzada edad y en su estado de salud.</w:t>
      </w:r>
    </w:p>
    <w:p w14:paraId="75D0A6A5"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Como ustedes recordarán, el año pasado subí a esta tribuna a presentar mi iniciativa de reforma al Código Penal del Estado de México, con el objeto de combatir el delito del despojo, misma que fue aprobada por este Pleno.</w:t>
      </w:r>
    </w:p>
    <w:p w14:paraId="6095F5C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Por lo cual ahora es un delito considerado grave se aumentaron las penas de prisión hasta por más de 20 años y se crearon nuevos supuestos para impedir y evitar nuevas conductas de esta naturaleza. </w:t>
      </w:r>
    </w:p>
    <w:p w14:paraId="740304F2"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Por lo anterior, expreso mi reconocimiento a la Titular del Poder Ejecutivo, a la Maestra Delfina Gómez Álvarez, a ustedes compañeras y compañeros, así como a las autoridades mencionadas por su actuación, en la que sin importar ideologías y grupos, se puso como único fin salvaguardar los derechos de las y los mexiquenses y entre otros resultados de estos hechos, la Fiscalía General de Justicia ha logrado la devolución de más de 950 propiedades a sus legítimos dueños en 66 municipios de nuestro Estado, del Estado de México. </w:t>
      </w:r>
    </w:p>
    <w:p w14:paraId="32E1AB7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Muy buenas tardes.</w:t>
      </w:r>
    </w:p>
    <w:p w14:paraId="167B5E9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Con el permiso de nuestra Presidenta de la Mesa Directiva, diputada Martha Azucena Camacho Reynoso, así como de los que integran esta Mesa Directiva. </w:t>
      </w:r>
    </w:p>
    <w:p w14:paraId="15E81AA7"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ab/>
        <w:t>Saludo a mis compañeras y compañeros diputados y diputadas. También saludo a quienes nos acompañan de manera física y a través de las redes sociales, a los representantes de los medios de comunicación. Muchas gracias.</w:t>
      </w:r>
    </w:p>
    <w:p w14:paraId="045325B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Honorable Asamblea, me presento ante esta tribuna para reseñar la Cronología de un estereotipo de género que ha prevalecido desde hace casi 50 años. En la manera tradicional de nombrar a las personas titulares de las Presidencias de los Sistemas para el Desarrollo Integral de la Familia y cuyo origen se encuentra en la supuesta interpretación e integración de los siguientes ordenamientos. </w:t>
      </w:r>
    </w:p>
    <w:p w14:paraId="04DA243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La ley que crea los Organismos Públicos Descentralizados de Asistencia Social de carácter municipal denominado Sistemas Municipales para el Desarrollo Integral de la Familia, así como la Ley de Asistencia Social del Estado de México y Municipios. </w:t>
      </w:r>
    </w:p>
    <w:p w14:paraId="3FACF45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Lo anterior, considerando que en ambas leyes no existe un artículo específico que disponga que las personas titulares de las presidencias municipales deban nombrar o designar a sus esposas, esposos, hijas, hijos, hermanas, hermanos, sobrinas, sobrinos o hasta los padres para ocupar las presidencias de los sistemas municipales para el desarrollo integral de la familia. </w:t>
      </w:r>
    </w:p>
    <w:p w14:paraId="69260EE2"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De manera similar ha ocurrido con el Sistema para el Desarrollo Integral de la Familia del Estado de México y en todos los Estados de la República, en donde las Presidencias del DIF han recaído de manera tradicional en los familiares de los gobernadores, porque ante la falta de una norma que así lo dispusiera, la costumbre y la tradición terminaron imponiéndose para aceptar dos circunstancias que debo resaltar. </w:t>
      </w:r>
    </w:p>
    <w:p w14:paraId="7415E22B"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Primero. Que la Presidencia de los Sistemas para el Desarrollo Integral de la Familia debería recaer en una mujer, lo que terminó convirtiéndose en un estereotipo de género. </w:t>
      </w:r>
    </w:p>
    <w:p w14:paraId="0692854F"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Segundo. Que la persona debería tener un vínculo familiar de naturaleza civil o consanguíneo con el Gobernador o Gobernadora o la Presidenta Municipal o Presidente Municipal, lo que constituye nepotismo y crea un abierto conflicto de intereses. </w:t>
      </w:r>
    </w:p>
    <w:p w14:paraId="3E10DA93"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Y todo ello en el caso del Estado de México, con el incumplimiento y violación al artículo 51, fracción IX de la Ley Orgánica Municipal del Estado de México, que dispone que los presidentes o presidentas municipales no pueden nombrar, contratar o promover directamente por interpósita persona como servidores públicos a personas con quienes tengan parentesco consanguíneo hasta el cuarto grado por afinidad o civil, lo cual da certeza jurídica y motivación a la iniciativa que hoy presento.</w:t>
      </w:r>
    </w:p>
    <w:p w14:paraId="279E200E"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Como antecedente legal de estos hechos me permito citar el decreto por el que se crea un organismo público descentralizado, con personalidad jurídica y patrimonio propio, que se denominará Sistema Nacional para el Desarrollo Integral de la Familia, del 13 de enero de 1977 y por el que también se dio a conocer la creación del Sistema Nacional para el Desarrollo Integral de la Familia.</w:t>
      </w:r>
    </w:p>
    <w:p w14:paraId="78408D14"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Debo recordar que en 1977 el entonces Presidente de la República, José López Portillo, nombró a su cónyuge como Presidenta del Consejo Ciudadano Consultivo del Sistema Nacional para el Desarrollo Integral de la Familia, lo que dio lugar a que los titulares de las gubernaturas y presidencias municipales procedieran de esa misma forma mecánica y terminaran legitimando lo que no era legal. </w:t>
      </w:r>
    </w:p>
    <w:p w14:paraId="5F7129DB"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También se dispuso que los cargos de los integrantes de la Junta de Gobierno deberían ser honoríficos, es decir, que no recibirían ningún pago o remuneración. </w:t>
      </w:r>
    </w:p>
    <w:p w14:paraId="135F9E7D"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Derivado de lo anterior, se terminó constituyendo de manera sólida y pública ante la vista de todas y todos, el nepotismo, el conflicto de intereses y los estereotipos de género; en el caso de los estereotipos de género debo señalar que las funciones establecidas para las personas titulares de las Presidencias desde 1977 se sustentaron esencialmente en funciones de nutrición, lactancia, hospitales, docencia, ciudadanos o niños abandonados, difundiéndose así un estereotipo que </w:t>
      </w:r>
      <w:r w:rsidRPr="0012597A">
        <w:rPr>
          <w:rFonts w:ascii="Times New Roman" w:hAnsi="Times New Roman" w:cs="Times New Roman"/>
          <w:color w:val="FF0000"/>
          <w:sz w:val="24"/>
          <w:szCs w:val="24"/>
        </w:rPr>
        <w:lastRenderedPageBreak/>
        <w:t>constituye una contundente negación a los objetivos de la política nacional y estatal en materia de igualdad de trato y oportunidades entre mujeres y hombres.</w:t>
      </w:r>
    </w:p>
    <w:p w14:paraId="564FD26A"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Específicamente, constituye una transgresión al artículo 7 de la Ley de Igualdad y Trato de Oportunidades entre Mujeres y Hombres del Estado de México, al fomentar un estereotipo en función de sexo. </w:t>
      </w:r>
    </w:p>
    <w:p w14:paraId="4F47FE67"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No solo eso, sino también atenta contra el espíritu constitucional y las leyes reglamentarias que promueven la perspectiva de género y la eliminación de estereotipos que aquejan a las mujeres.</w:t>
      </w:r>
    </w:p>
    <w:p w14:paraId="17F7A3B7"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Compañeras diputadas y compañeros diputados, es de conocimiento público lo que diferentes medios de comunicación han denunciado sobre la designación de familiares como titulares de las presidencias de los </w:t>
      </w:r>
      <w:proofErr w:type="spellStart"/>
      <w:r w:rsidRPr="0012597A">
        <w:rPr>
          <w:rFonts w:ascii="Times New Roman" w:hAnsi="Times New Roman" w:cs="Times New Roman"/>
          <w:color w:val="FF0000"/>
          <w:sz w:val="24"/>
          <w:szCs w:val="24"/>
        </w:rPr>
        <w:t>DIF´s</w:t>
      </w:r>
      <w:proofErr w:type="spellEnd"/>
      <w:r w:rsidRPr="0012597A">
        <w:rPr>
          <w:rFonts w:ascii="Times New Roman" w:hAnsi="Times New Roman" w:cs="Times New Roman"/>
          <w:color w:val="FF0000"/>
          <w:sz w:val="24"/>
          <w:szCs w:val="24"/>
        </w:rPr>
        <w:t>, en todos los estados de México, con sueldos sumamente elevados, gastos administrativos y de representación, escoltas y demás, a pesar de que se trata supuestamente de cargos honoríficos.</w:t>
      </w:r>
    </w:p>
    <w:p w14:paraId="12506558"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mi caso como Presidente Municipal de Chalco, durante mis 2 períodos constitucionales, ninguno de mis familiares ocupó el cargo de presidenta o presidente del DIF, ni mi esposa, ni mi hija, ni mi hijo, ni mi hermana y tampoco involucró o involucré a ningún familiar, ningún familiar se involucró a la administración pública municipal.</w:t>
      </w:r>
    </w:p>
    <w:p w14:paraId="314CADD9"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Por lo anterior, de conformidad con mi exposición someto a su respetuosa consideración diversas reformas y adiciones a la Ley que crea los Organismos Públicos Descentralizados de Asistencia Social de Carácter Municipal denominados, Sistemas Municipales para el Desarrollo Integral de la Familia, para disponer que en ningún caso los nombramientos del presidente, secretario y tesorero, vocales recaerán en personas que tengan o hayan tenido en los últimos 3 años anteriores al día de la elección un vínculo de matrimonio o concubinato o unión de hecho o de parentesco o por consanguinidad o civil en la línea recta sin limitación de grado y en línea colateral hasta el cuarto grado o de afinidad hasta el segundo grado con la persona titular de la presidencia municipal.</w:t>
      </w:r>
    </w:p>
    <w:p w14:paraId="65B61F3E"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Al mismo tiempo, propongo que se elimine que dichos cargos sean honoríficos para trasparentar así el ejercicio de los recursos públicos, tomando en cuenta que la junta de gobierno o el órgano de gobierno se integra de manera invariable por personas servidoras públicas que ya devengan de hecho una remuneración.</w:t>
      </w:r>
    </w:p>
    <w:p w14:paraId="16D97D52"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Con ese mismo propósito y en congruencia con lo anterior, igualmente propongo reformar el segundo párrafo del artículo 21 de la Ley de Asistencia Social del Estado de México y Municipios, todo lo anterior con el objetivo de combatir el nepotismo desde diferentes ámbitos como lo han propuesto nuestra Presidenta de México, la Doctora Claudia Sheinbaum Pardo y nuestra Gobernadora, la Maestra Delfina Gómez Álvarez.</w:t>
      </w:r>
    </w:p>
    <w:p w14:paraId="30A96691"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Compañeras, compañeros pongamos un alto al estereotipo de género y al nepotismo y por supuesto al conflicto de intereses.</w:t>
      </w:r>
    </w:p>
    <w:p w14:paraId="6DD08FDB" w14:textId="5DDFB26B"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Es cuanto Presidenta, muchas gracias.</w:t>
      </w:r>
    </w:p>
    <w:p w14:paraId="2CC146C6" w14:textId="77777777" w:rsidR="009E3DA7" w:rsidRPr="0012597A" w:rsidRDefault="009E3DA7" w:rsidP="00EF1C7F">
      <w:pPr>
        <w:pStyle w:val="Sinespaciado"/>
        <w:jc w:val="both"/>
        <w:rPr>
          <w:rFonts w:ascii="Times New Roman" w:hAnsi="Times New Roman" w:cs="Times New Roman"/>
          <w:sz w:val="24"/>
          <w:szCs w:val="24"/>
        </w:rPr>
      </w:pPr>
    </w:p>
    <w:p w14:paraId="0DC4E191" w14:textId="77777777" w:rsidR="009E3DA7" w:rsidRPr="0012597A" w:rsidRDefault="009E3DA7"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550E1DAA" w14:textId="77777777" w:rsidR="009E3DA7" w:rsidRPr="0012597A" w:rsidRDefault="009E3DA7" w:rsidP="00EF1C7F">
      <w:pPr>
        <w:spacing w:after="0" w:line="240" w:lineRule="auto"/>
        <w:jc w:val="center"/>
        <w:rPr>
          <w:rFonts w:ascii="Times New Roman" w:hAnsi="Times New Roman"/>
          <w:sz w:val="24"/>
          <w:szCs w:val="24"/>
        </w:rPr>
      </w:pPr>
    </w:p>
    <w:p w14:paraId="3F96A64A"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José Miguel Gutiérrez Morales</w:t>
      </w:r>
    </w:p>
    <w:p w14:paraId="117643E5"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Distrito I Chalco de Díaz Covarrubias</w:t>
      </w:r>
    </w:p>
    <w:p w14:paraId="011767F6"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p>
    <w:p w14:paraId="79FBEB95"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“2026. Año del Humanismo Mexicano en el Estado de México”</w:t>
      </w:r>
    </w:p>
    <w:p w14:paraId="50899B34"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A140ACF" w14:textId="77777777" w:rsidR="0045564A" w:rsidRPr="0012597A" w:rsidRDefault="0045564A" w:rsidP="00EF1C7F">
      <w:pPr>
        <w:widowControl w:val="0"/>
        <w:autoSpaceDE w:val="0"/>
        <w:autoSpaceDN w:val="0"/>
        <w:spacing w:after="0" w:line="240" w:lineRule="auto"/>
        <w:contextualSpacing/>
        <w:mirrorIndents/>
        <w:jc w:val="right"/>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Toluca de Lerdo, Estado de México; a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de febrero de 2026</w:t>
      </w:r>
    </w:p>
    <w:p w14:paraId="7DEF76C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66AC600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DIPUTADA MARTHA AZUCENA CAMACHO REYNOSO</w:t>
      </w:r>
    </w:p>
    <w:p w14:paraId="7DEC94C7"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MESA DIRECTIVA</w:t>
      </w:r>
    </w:p>
    <w:p w14:paraId="781484E2"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b/>
          <w:sz w:val="24"/>
          <w:szCs w:val="24"/>
        </w:rPr>
        <w:lastRenderedPageBreak/>
        <w:t>DE LA “LXII” LEGISLATURA DEL H. PODER LEGISLATIVO</w:t>
      </w:r>
    </w:p>
    <w:p w14:paraId="463AD633"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ESTADO LIBRE Y SOBERANO DE MÉXICO</w:t>
      </w:r>
    </w:p>
    <w:p w14:paraId="5A38455B"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 R E S E N T E</w:t>
      </w:r>
    </w:p>
    <w:p w14:paraId="3BC9A44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41B0FB8F" w14:textId="77777777" w:rsidR="0045564A" w:rsidRPr="0012597A" w:rsidRDefault="0045564A" w:rsidP="00EF1C7F">
      <w:pPr>
        <w:widowControl w:val="0"/>
        <w:autoSpaceDE w:val="0"/>
        <w:autoSpaceDN w:val="0"/>
        <w:spacing w:after="0" w:line="240" w:lineRule="auto"/>
        <w:contextualSpacing/>
        <w:mirrorIndents/>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Honorable Asamblea:</w:t>
      </w:r>
    </w:p>
    <w:p w14:paraId="3DAF71C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0EAC5DB9"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suscrito </w:t>
      </w:r>
      <w:r w:rsidRPr="0012597A">
        <w:rPr>
          <w:rFonts w:ascii="Times New Roman" w:eastAsia="Arial MT" w:hAnsi="Times New Roman" w:cs="Times New Roman"/>
          <w:b/>
          <w:sz w:val="24"/>
          <w:szCs w:val="24"/>
        </w:rPr>
        <w:t>José Miguel Gutiérrez Morales</w:t>
      </w:r>
      <w:r w:rsidRPr="0012597A">
        <w:rPr>
          <w:rFonts w:ascii="Times New Roman" w:eastAsia="Arial MT" w:hAnsi="Times New Roman" w:cs="Times New Roman"/>
          <w:sz w:val="24"/>
          <w:szCs w:val="24"/>
        </w:rPr>
        <w:t xml:space="preserve">, Diputado integrante del Grupo Parlamentario de morena 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someto a consideración de este Órgano Legislativo, la </w:t>
      </w:r>
      <w:r w:rsidRPr="0012597A">
        <w:rPr>
          <w:rFonts w:ascii="Times New Roman" w:eastAsia="Arial MT" w:hAnsi="Times New Roman" w:cs="Times New Roman"/>
          <w:b/>
          <w:sz w:val="24"/>
          <w:szCs w:val="24"/>
        </w:rPr>
        <w:t>Iniciativa con proyecto de Decreto por el que se adiciona un segundo párrafo al artículo 12; se deroga el artículo 13 Bis-C de la Ley que crea los Organismos Públicos Descentralizados de Asistencia Social, de carácter municipal, denominados "Sistemas Municipales para el Desarrollo Integral de la Familia"; y, se reforma el segundo párrafo del artículo 21 de la Ley de Asistencia Social del Estado de México y Municipios</w:t>
      </w:r>
      <w:r w:rsidRPr="0012597A">
        <w:rPr>
          <w:rFonts w:ascii="Times New Roman" w:eastAsia="Arial MT" w:hAnsi="Times New Roman" w:cs="Times New Roman"/>
          <w:sz w:val="24"/>
          <w:szCs w:val="24"/>
        </w:rPr>
        <w:t xml:space="preserve">, </w:t>
      </w:r>
      <w:r w:rsidRPr="0012597A">
        <w:rPr>
          <w:rFonts w:ascii="Times New Roman" w:eastAsia="Arial MT" w:hAnsi="Times New Roman" w:cs="Times New Roman"/>
          <w:b/>
          <w:sz w:val="24"/>
          <w:szCs w:val="24"/>
        </w:rPr>
        <w:t xml:space="preserve">con el objeto de combatir el nepotismo, </w:t>
      </w:r>
      <w:r w:rsidRPr="0012597A">
        <w:rPr>
          <w:rFonts w:ascii="Times New Roman" w:eastAsia="Arial MT" w:hAnsi="Times New Roman" w:cs="Times New Roman"/>
          <w:sz w:val="24"/>
          <w:szCs w:val="24"/>
        </w:rPr>
        <w:t>de conformidad con la siguiente:</w:t>
      </w:r>
    </w:p>
    <w:p w14:paraId="05943CC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22ED5FF6"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EXPOSICIÓN DE MOTIVOS</w:t>
      </w:r>
    </w:p>
    <w:p w14:paraId="078731E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6891C347"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La </w:t>
      </w:r>
      <w:r w:rsidRPr="0012597A">
        <w:rPr>
          <w:rFonts w:ascii="Times New Roman" w:eastAsia="Arial MT" w:hAnsi="Times New Roman" w:cs="Times New Roman"/>
          <w:b/>
          <w:sz w:val="24"/>
          <w:szCs w:val="24"/>
        </w:rPr>
        <w:t>Ley de Igualdad de Trato y Oportunidades entre Mujeres y Hombres del Estado de México</w:t>
      </w:r>
      <w:r w:rsidRPr="0012597A">
        <w:rPr>
          <w:rFonts w:ascii="Times New Roman" w:eastAsia="Arial MT" w:hAnsi="Times New Roman" w:cs="Times New Roman"/>
          <w:sz w:val="24"/>
          <w:szCs w:val="24"/>
        </w:rPr>
        <w:t xml:space="preserve">, en su artículo 7 fracción VII, establece como uno de los objetivos de la política estatal en materia de igualdad de trato y oportunidades entre mujeres y hombres, </w:t>
      </w:r>
      <w:r w:rsidRPr="0012597A">
        <w:rPr>
          <w:rFonts w:ascii="Times New Roman" w:eastAsia="Arial MT" w:hAnsi="Times New Roman" w:cs="Times New Roman"/>
          <w:b/>
          <w:sz w:val="24"/>
          <w:szCs w:val="24"/>
        </w:rPr>
        <w:t>“Promover la eliminación de estereotipos establecidos en función del sexo”.</w:t>
      </w:r>
      <w:r w:rsidRPr="0012597A">
        <w:rPr>
          <w:rFonts w:ascii="Times New Roman" w:eastAsia="Arial MT" w:hAnsi="Times New Roman" w:cs="Times New Roman"/>
          <w:b/>
          <w:color w:val="FF0000"/>
          <w:sz w:val="24"/>
          <w:szCs w:val="24"/>
          <w:vertAlign w:val="superscript"/>
        </w:rPr>
        <w:t>1</w:t>
      </w:r>
    </w:p>
    <w:p w14:paraId="3AFD77A0"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28E30021"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La misma Ley, en su artículo 6 fracción VIII, define estereotipo, como </w:t>
      </w:r>
      <w:r w:rsidRPr="0012597A">
        <w:rPr>
          <w:rFonts w:ascii="Times New Roman" w:eastAsia="Arial MT" w:hAnsi="Times New Roman" w:cs="Times New Roman"/>
          <w:b/>
          <w:sz w:val="24"/>
          <w:szCs w:val="24"/>
        </w:rPr>
        <w:t>“Las características y funciones que se asignan a cada sexo en base a roles e identidades socialmente asignados por prejuicios a las mujeres y hombres”.</w:t>
      </w:r>
      <w:r w:rsidRPr="0012597A">
        <w:rPr>
          <w:rFonts w:ascii="Times New Roman" w:eastAsia="Arial MT" w:hAnsi="Times New Roman" w:cs="Times New Roman"/>
          <w:b/>
          <w:color w:val="FF0000"/>
          <w:sz w:val="24"/>
          <w:szCs w:val="24"/>
          <w:vertAlign w:val="superscript"/>
        </w:rPr>
        <w:t>2</w:t>
      </w:r>
    </w:p>
    <w:p w14:paraId="2788C503"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44FAC175"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Incluso, en el </w:t>
      </w:r>
      <w:r w:rsidRPr="0012597A">
        <w:rPr>
          <w:rFonts w:ascii="Times New Roman" w:eastAsia="Arial MT" w:hAnsi="Times New Roman" w:cs="Times New Roman"/>
          <w:b/>
          <w:sz w:val="24"/>
          <w:szCs w:val="24"/>
        </w:rPr>
        <w:t>Portal Único de Trámites, Información y Participación Ciudadana del Gobierno de México</w:t>
      </w:r>
      <w:r w:rsidRPr="0012597A">
        <w:rPr>
          <w:rFonts w:ascii="Times New Roman" w:eastAsia="Arial MT" w:hAnsi="Times New Roman" w:cs="Times New Roman"/>
          <w:color w:val="FF0000"/>
          <w:sz w:val="24"/>
          <w:szCs w:val="24"/>
          <w:vertAlign w:val="superscript"/>
        </w:rPr>
        <w:t>3</w:t>
      </w:r>
      <w:r w:rsidRPr="0012597A">
        <w:rPr>
          <w:rFonts w:ascii="Times New Roman" w:eastAsia="Arial MT" w:hAnsi="Times New Roman" w:cs="Times New Roman"/>
          <w:sz w:val="24"/>
          <w:szCs w:val="24"/>
        </w:rPr>
        <w:t xml:space="preserve">, se precisa que los estereotipos de género se refieren a la </w:t>
      </w:r>
      <w:r w:rsidRPr="0012597A">
        <w:rPr>
          <w:rFonts w:ascii="Times New Roman" w:eastAsia="Arial MT" w:hAnsi="Times New Roman" w:cs="Times New Roman"/>
          <w:b/>
          <w:sz w:val="24"/>
          <w:szCs w:val="24"/>
        </w:rPr>
        <w:t>práctica de atribuir a un individuo, mujer u hombre, atributos, características o roles específicos por la sola razón de su pertenencia al grupo social de mujeres u hombres.</w:t>
      </w:r>
    </w:p>
    <w:p w14:paraId="62DC7646"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3EB2544A"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w:t>
      </w:r>
      <w:r w:rsidRPr="0012597A">
        <w:rPr>
          <w:rFonts w:ascii="Times New Roman" w:eastAsia="Arial MT" w:hAnsi="Times New Roman" w:cs="Times New Roman"/>
          <w:sz w:val="20"/>
          <w:szCs w:val="24"/>
        </w:rPr>
        <w:t xml:space="preserve"> Ley de Igualdad de Trato y Oportunidades entre Mujeres y Hombres del Estado de México. Artículo 7. </w:t>
      </w:r>
      <w:proofErr w:type="spellStart"/>
      <w:r w:rsidRPr="0012597A">
        <w:rPr>
          <w:rFonts w:ascii="Times New Roman" w:eastAsia="Arial MT" w:hAnsi="Times New Roman" w:cs="Times New Roman"/>
          <w:sz w:val="20"/>
          <w:szCs w:val="24"/>
        </w:rPr>
        <w:t>Legistel</w:t>
      </w:r>
      <w:proofErr w:type="spellEnd"/>
      <w:r w:rsidRPr="0012597A">
        <w:rPr>
          <w:rFonts w:ascii="Times New Roman" w:eastAsia="Arial MT" w:hAnsi="Times New Roman" w:cs="Times New Roman"/>
          <w:sz w:val="20"/>
          <w:szCs w:val="24"/>
        </w:rPr>
        <w:t xml:space="preserve">. 2025. México. [En línea] </w:t>
      </w:r>
      <w:hyperlink r:id="rId35">
        <w:r w:rsidRPr="0012597A">
          <w:rPr>
            <w:rFonts w:ascii="Times New Roman" w:eastAsia="Arial MT" w:hAnsi="Times New Roman" w:cs="Times New Roman"/>
            <w:sz w:val="20"/>
            <w:szCs w:val="24"/>
            <w:u w:val="single" w:color="0462C1"/>
          </w:rPr>
          <w:t>https://legislacion.edomex.gob.mx/sites/legislacion.edomex.gob.mx/files/files/pdf/ley/vig/leyvig154.pdf</w:t>
        </w:r>
      </w:hyperlink>
    </w:p>
    <w:p w14:paraId="5A587432"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w:t>
      </w:r>
      <w:r w:rsidRPr="0012597A">
        <w:rPr>
          <w:rFonts w:ascii="Times New Roman" w:eastAsia="Arial MT" w:hAnsi="Times New Roman" w:cs="Times New Roman"/>
          <w:sz w:val="20"/>
          <w:szCs w:val="24"/>
        </w:rPr>
        <w:t xml:space="preserve"> Ley de Igualdad de Trato y Oportunidades entre Mujeres y Hombres del Estado de México. Artículo 6. </w:t>
      </w:r>
      <w:proofErr w:type="spellStart"/>
      <w:r w:rsidRPr="0012597A">
        <w:rPr>
          <w:rFonts w:ascii="Times New Roman" w:eastAsia="Arial MT" w:hAnsi="Times New Roman" w:cs="Times New Roman"/>
          <w:sz w:val="20"/>
          <w:szCs w:val="24"/>
        </w:rPr>
        <w:t>Legistel</w:t>
      </w:r>
      <w:proofErr w:type="spellEnd"/>
      <w:r w:rsidRPr="0012597A">
        <w:rPr>
          <w:rFonts w:ascii="Times New Roman" w:eastAsia="Arial MT" w:hAnsi="Times New Roman" w:cs="Times New Roman"/>
          <w:sz w:val="20"/>
          <w:szCs w:val="24"/>
        </w:rPr>
        <w:t xml:space="preserve">. 2025. México. [En línea] </w:t>
      </w:r>
      <w:hyperlink r:id="rId36">
        <w:r w:rsidRPr="0012597A">
          <w:rPr>
            <w:rFonts w:ascii="Times New Roman" w:eastAsia="Arial MT" w:hAnsi="Times New Roman" w:cs="Times New Roman"/>
            <w:sz w:val="20"/>
            <w:szCs w:val="24"/>
            <w:u w:val="single" w:color="0462C1"/>
          </w:rPr>
          <w:t>https://legislacion.edomex.gob.mx/sites/legislacion.edomex.gob.mx/files/files/pdf/ley/vig/leyvig154.pdf</w:t>
        </w:r>
      </w:hyperlink>
    </w:p>
    <w:p w14:paraId="0E6E8FCA"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3</w:t>
      </w:r>
      <w:r w:rsidRPr="0012597A">
        <w:rPr>
          <w:rFonts w:ascii="Times New Roman" w:eastAsia="Arial MT" w:hAnsi="Times New Roman" w:cs="Times New Roman"/>
          <w:sz w:val="20"/>
          <w:szCs w:val="24"/>
        </w:rPr>
        <w:t xml:space="preserve"> Gobierno de México. Conceptos Básicos sobre Igualdad de Género. Portal Único de Trámites, Información y</w:t>
      </w:r>
    </w:p>
    <w:p w14:paraId="428EE1E5"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sz w:val="20"/>
          <w:szCs w:val="24"/>
        </w:rPr>
        <w:t xml:space="preserve">Participación Ciudadana. 2025. México. [En línea] </w:t>
      </w:r>
      <w:hyperlink r:id="rId37">
        <w:r w:rsidRPr="0012597A">
          <w:rPr>
            <w:rFonts w:ascii="Times New Roman" w:eastAsia="Arial MT" w:hAnsi="Times New Roman" w:cs="Times New Roman"/>
            <w:sz w:val="20"/>
            <w:szCs w:val="24"/>
            <w:u w:val="single" w:color="0462C1"/>
          </w:rPr>
          <w:t>http://www.tfca.gob.mx/es/TFCA/cbEG</w:t>
        </w:r>
      </w:hyperlink>
    </w:p>
    <w:p w14:paraId="7E7CD9CA"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16BC2527"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De manera complementaria, en el mismo sitio, se comparte un concepto sobre los </w:t>
      </w:r>
      <w:r w:rsidRPr="0012597A">
        <w:rPr>
          <w:rFonts w:ascii="Times New Roman" w:eastAsia="Arial MT" w:hAnsi="Times New Roman" w:cs="Times New Roman"/>
          <w:b/>
          <w:sz w:val="24"/>
          <w:szCs w:val="24"/>
        </w:rPr>
        <w:t xml:space="preserve">“estereotipos de género” </w:t>
      </w:r>
      <w:r w:rsidRPr="0012597A">
        <w:rPr>
          <w:rFonts w:ascii="Times New Roman" w:eastAsia="Arial MT" w:hAnsi="Times New Roman" w:cs="Times New Roman"/>
          <w:sz w:val="24"/>
          <w:szCs w:val="24"/>
        </w:rPr>
        <w:t xml:space="preserve">que, de acuerdo con la </w:t>
      </w:r>
      <w:r w:rsidRPr="0012597A">
        <w:rPr>
          <w:rFonts w:ascii="Times New Roman" w:eastAsia="Arial MT" w:hAnsi="Times New Roman" w:cs="Times New Roman"/>
          <w:b/>
          <w:sz w:val="24"/>
          <w:szCs w:val="24"/>
        </w:rPr>
        <w:t>Oficina del Alto Comisionado de las Naciones Unidas para los Derechos Humanos</w:t>
      </w:r>
      <w:r w:rsidRPr="0012597A">
        <w:rPr>
          <w:rFonts w:ascii="Times New Roman" w:eastAsia="Arial MT" w:hAnsi="Times New Roman" w:cs="Times New Roman"/>
          <w:sz w:val="24"/>
          <w:szCs w:val="24"/>
        </w:rPr>
        <w:t xml:space="preserve">, es una </w:t>
      </w:r>
      <w:r w:rsidRPr="0012597A">
        <w:rPr>
          <w:rFonts w:ascii="Times New Roman" w:eastAsia="Arial MT" w:hAnsi="Times New Roman" w:cs="Times New Roman"/>
          <w:b/>
          <w:sz w:val="24"/>
          <w:szCs w:val="24"/>
        </w:rPr>
        <w:t>opinión o prejuicio generalizado acerca de atributos o características de hombres y mujeres</w:t>
      </w:r>
      <w:r w:rsidRPr="0012597A">
        <w:rPr>
          <w:rFonts w:ascii="Times New Roman" w:eastAsia="Arial MT" w:hAnsi="Times New Roman" w:cs="Times New Roman"/>
          <w:sz w:val="24"/>
          <w:szCs w:val="24"/>
        </w:rPr>
        <w:t>.</w:t>
      </w:r>
    </w:p>
    <w:p w14:paraId="4AEA0BE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0FD87D3C"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Un estereotipo de acuerdo a las definiciones citadas, en lo general, permite pensar en lo siguiente:</w:t>
      </w:r>
    </w:p>
    <w:p w14:paraId="7F491D1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2EEFC30" w14:textId="77777777" w:rsidR="0045564A" w:rsidRPr="0012597A" w:rsidRDefault="0045564A" w:rsidP="00EF1C7F">
      <w:pPr>
        <w:widowControl w:val="0"/>
        <w:numPr>
          <w:ilvl w:val="0"/>
          <w:numId w:val="11"/>
        </w:numPr>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lastRenderedPageBreak/>
        <w:t>Induce a entender y aceptar un juicio construido de manera previa y que se acepta sin mayor análisis o reflexión, es decir, como verdadero.</w:t>
      </w:r>
    </w:p>
    <w:p w14:paraId="154D93AF"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5C2756AC" w14:textId="77777777" w:rsidR="0045564A" w:rsidRPr="0012597A" w:rsidRDefault="0045564A" w:rsidP="00EF1C7F">
      <w:pPr>
        <w:widowControl w:val="0"/>
        <w:numPr>
          <w:ilvl w:val="0"/>
          <w:numId w:val="11"/>
        </w:numPr>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Si aceptamos lo anterior, un estereotipo es difícil de modificar y se transmite de generación en generación.</w:t>
      </w:r>
    </w:p>
    <w:p w14:paraId="6C34E3D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4169E41" w14:textId="77777777" w:rsidR="0045564A" w:rsidRPr="0012597A" w:rsidRDefault="0045564A" w:rsidP="00EF1C7F">
      <w:pPr>
        <w:widowControl w:val="0"/>
        <w:numPr>
          <w:ilvl w:val="0"/>
          <w:numId w:val="11"/>
        </w:numPr>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caso de los estereotipos de género, los valores o cualidades atribuidas al hombre y a la mujer -por generaciones- han contribuido a la discriminación, la desigualdad y la violencia de género, afectando principalmente a las mujeres y, de manera secundaria, también a los hombres.</w:t>
      </w:r>
    </w:p>
    <w:p w14:paraId="32C1FEF4"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575E9A3A" w14:textId="77777777" w:rsidR="0045564A" w:rsidRPr="0012597A" w:rsidRDefault="0045564A" w:rsidP="00EF1C7F">
      <w:pPr>
        <w:widowControl w:val="0"/>
        <w:autoSpaceDE w:val="0"/>
        <w:autoSpaceDN w:val="0"/>
        <w:spacing w:after="0" w:line="240" w:lineRule="auto"/>
        <w:contextualSpacing/>
        <w:mirrorIndents/>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Compañeras y Compañeros:</w:t>
      </w:r>
    </w:p>
    <w:p w14:paraId="634F76C3"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7A8C12EB"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Me presento ante esta Alta Tribuna para reseñar la cronología de un estereotipo de género que ha prevalecido en la interpretación de la </w:t>
      </w:r>
      <w:r w:rsidRPr="0012597A">
        <w:rPr>
          <w:rFonts w:ascii="Times New Roman" w:eastAsia="Arial MT" w:hAnsi="Times New Roman" w:cs="Times New Roman"/>
          <w:b/>
          <w:sz w:val="24"/>
          <w:szCs w:val="24"/>
        </w:rPr>
        <w:t xml:space="preserve">Ley que crea los Organismos Públicos Descentralizados de Asistencia Social, de carácter municipal, denominados "Sistemas Municipales para el Desarrollo Integral de la Familia", </w:t>
      </w:r>
      <w:r w:rsidRPr="0012597A">
        <w:rPr>
          <w:rFonts w:ascii="Times New Roman" w:eastAsia="Arial MT" w:hAnsi="Times New Roman" w:cs="Times New Roman"/>
          <w:sz w:val="24"/>
          <w:szCs w:val="24"/>
        </w:rPr>
        <w:t xml:space="preserve">así como en la </w:t>
      </w:r>
      <w:r w:rsidRPr="0012597A">
        <w:rPr>
          <w:rFonts w:ascii="Times New Roman" w:eastAsia="Arial MT" w:hAnsi="Times New Roman" w:cs="Times New Roman"/>
          <w:b/>
          <w:sz w:val="24"/>
          <w:szCs w:val="24"/>
        </w:rPr>
        <w:t>Ley de Asistencia Social del Estado de México y Municipios.</w:t>
      </w:r>
    </w:p>
    <w:p w14:paraId="6ABEB9C7"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31EA039A"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Si bien, en ambas Leyes citadas, no existe un artículo específico, que disponga que las personas </w:t>
      </w:r>
      <w:r w:rsidRPr="0012597A">
        <w:rPr>
          <w:rFonts w:ascii="Times New Roman" w:eastAsia="Arial MT" w:hAnsi="Times New Roman" w:cs="Times New Roman"/>
          <w:b/>
          <w:sz w:val="24"/>
          <w:szCs w:val="24"/>
        </w:rPr>
        <w:t xml:space="preserve">Titulares de las Presidencias Municipales </w:t>
      </w:r>
      <w:r w:rsidRPr="0012597A">
        <w:rPr>
          <w:rFonts w:ascii="Times New Roman" w:eastAsia="Arial MT" w:hAnsi="Times New Roman" w:cs="Times New Roman"/>
          <w:sz w:val="24"/>
          <w:szCs w:val="24"/>
        </w:rPr>
        <w:t xml:space="preserve">nombren o designen a sus </w:t>
      </w:r>
      <w:r w:rsidRPr="0012597A">
        <w:rPr>
          <w:rFonts w:ascii="Times New Roman" w:eastAsia="Arial MT" w:hAnsi="Times New Roman" w:cs="Times New Roman"/>
          <w:b/>
          <w:sz w:val="24"/>
          <w:szCs w:val="24"/>
        </w:rPr>
        <w:t>esposas, hermanas, madres, hijas o sobrinas</w:t>
      </w:r>
      <w:r w:rsidRPr="0012597A">
        <w:rPr>
          <w:rFonts w:ascii="Times New Roman" w:eastAsia="Arial MT" w:hAnsi="Times New Roman" w:cs="Times New Roman"/>
          <w:sz w:val="24"/>
          <w:szCs w:val="24"/>
        </w:rPr>
        <w:t xml:space="preserve">, para ocupar los cargos de </w:t>
      </w:r>
      <w:r w:rsidRPr="0012597A">
        <w:rPr>
          <w:rFonts w:ascii="Times New Roman" w:eastAsia="Arial MT" w:hAnsi="Times New Roman" w:cs="Times New Roman"/>
          <w:b/>
          <w:sz w:val="24"/>
          <w:szCs w:val="24"/>
        </w:rPr>
        <w:t>Titulares de las Presidencias de los Sistemas Municipales para el Desarrollo Integral de la Familia.</w:t>
      </w:r>
    </w:p>
    <w:p w14:paraId="7998EB88"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7A90B045"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De manera similar ha ocurrido históricamente con el </w:t>
      </w:r>
      <w:r w:rsidRPr="0012597A">
        <w:rPr>
          <w:rFonts w:ascii="Times New Roman" w:eastAsia="Arial MT" w:hAnsi="Times New Roman" w:cs="Times New Roman"/>
          <w:b/>
          <w:sz w:val="24"/>
          <w:szCs w:val="24"/>
        </w:rPr>
        <w:t xml:space="preserve">Sistema para Desarrollo Integral de la Familia del Estado de México </w:t>
      </w:r>
      <w:r w:rsidRPr="0012597A">
        <w:rPr>
          <w:rFonts w:ascii="Times New Roman" w:eastAsia="Arial MT" w:hAnsi="Times New Roman" w:cs="Times New Roman"/>
          <w:sz w:val="24"/>
          <w:szCs w:val="24"/>
        </w:rPr>
        <w:t>(DIFEM), en donde las Presidencias han recaído en las cónyuges de los Gobernadores.</w:t>
      </w:r>
    </w:p>
    <w:p w14:paraId="1BC74E9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81FA724"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falta de una norma que lo dispusiera de esta manera, la costumbre y la tradición terminó imponiéndose para aceptar dos circunstancias relevantes:</w:t>
      </w:r>
    </w:p>
    <w:p w14:paraId="015BDC36"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C1BA5B6"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Que la Presidencia de los Sistemas para el Desarrollo Integral de la Familia debería recaer en una mujer.</w:t>
      </w:r>
    </w:p>
    <w:p w14:paraId="0BB10366"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20DC1B8D"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Lo que termina convirtiéndose en un estereotipo de género.</w:t>
      </w:r>
    </w:p>
    <w:p w14:paraId="3719AC3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EF18CF4"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Que la mujer, debería tener un vínculo familiar de naturaleza civil o sanguíneo con el Gobernador o Gobernadora o Presidenta Municipal o Presidente Municipal.</w:t>
      </w:r>
    </w:p>
    <w:p w14:paraId="43B962F4"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A15FD4A"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r w:rsidRPr="0012597A">
        <w:rPr>
          <w:rFonts w:ascii="Times New Roman" w:eastAsia="Arial MT" w:hAnsi="Times New Roman" w:cs="Times New Roman"/>
          <w:sz w:val="24"/>
          <w:szCs w:val="24"/>
        </w:rPr>
        <w:t>Lo que terminó convirtiéndose en nepotismo. Cronológicamente, los hechos se dieron de la siguiente manera:</w:t>
      </w:r>
    </w:p>
    <w:p w14:paraId="78A2C0C5" w14:textId="77777777" w:rsidR="0045564A" w:rsidRPr="0012597A" w:rsidRDefault="0045564A" w:rsidP="00EF1C7F">
      <w:pPr>
        <w:widowControl w:val="0"/>
        <w:numPr>
          <w:ilvl w:val="0"/>
          <w:numId w:val="10"/>
        </w:numPr>
        <w:autoSpaceDE w:val="0"/>
        <w:autoSpaceDN w:val="0"/>
        <w:spacing w:after="0" w:line="240" w:lineRule="auto"/>
        <w:ind w:firstLine="0"/>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El </w:t>
      </w:r>
      <w:r w:rsidRPr="0012597A">
        <w:rPr>
          <w:rFonts w:ascii="Times New Roman" w:eastAsia="Arial MT" w:hAnsi="Times New Roman" w:cs="Times New Roman"/>
          <w:b/>
          <w:sz w:val="24"/>
          <w:szCs w:val="24"/>
        </w:rPr>
        <w:t>“Decreto por el que se crea un organismo público descentralizado con personalidad jurídica y patrimonio propio, que se denominará Sistema Nacional para el Desarrollo Integral de la Familia”,</w:t>
      </w:r>
      <w:r w:rsidRPr="0012597A">
        <w:rPr>
          <w:rFonts w:ascii="Times New Roman" w:eastAsia="Arial MT" w:hAnsi="Times New Roman" w:cs="Times New Roman"/>
          <w:b/>
          <w:color w:val="FF0000"/>
          <w:sz w:val="24"/>
          <w:szCs w:val="24"/>
          <w:vertAlign w:val="superscript"/>
        </w:rPr>
        <w:t>4</w:t>
      </w:r>
      <w:r w:rsidRPr="0012597A">
        <w:rPr>
          <w:rFonts w:ascii="Times New Roman" w:eastAsia="Arial MT" w:hAnsi="Times New Roman" w:cs="Times New Roman"/>
          <w:b/>
          <w:sz w:val="24"/>
          <w:szCs w:val="24"/>
        </w:rPr>
        <w:t xml:space="preserve"> </w:t>
      </w:r>
      <w:r w:rsidRPr="0012597A">
        <w:rPr>
          <w:rFonts w:ascii="Times New Roman" w:eastAsia="Arial MT" w:hAnsi="Times New Roman" w:cs="Times New Roman"/>
          <w:sz w:val="24"/>
          <w:szCs w:val="24"/>
        </w:rPr>
        <w:t xml:space="preserve">publicado el 13 de enero de </w:t>
      </w:r>
      <w:r w:rsidRPr="0012597A">
        <w:rPr>
          <w:rFonts w:ascii="Times New Roman" w:eastAsia="Arial MT" w:hAnsi="Times New Roman" w:cs="Times New Roman"/>
          <w:b/>
          <w:sz w:val="24"/>
          <w:szCs w:val="24"/>
        </w:rPr>
        <w:t xml:space="preserve">1977, </w:t>
      </w:r>
      <w:r w:rsidRPr="0012597A">
        <w:rPr>
          <w:rFonts w:ascii="Times New Roman" w:eastAsia="Arial MT" w:hAnsi="Times New Roman" w:cs="Times New Roman"/>
          <w:sz w:val="24"/>
          <w:szCs w:val="24"/>
        </w:rPr>
        <w:t xml:space="preserve">en el Diario Oficial de la Federación, por el que también se dio a conocer </w:t>
      </w:r>
      <w:r w:rsidRPr="0012597A">
        <w:rPr>
          <w:rFonts w:ascii="Times New Roman" w:eastAsia="Arial MT" w:hAnsi="Times New Roman" w:cs="Times New Roman"/>
          <w:b/>
          <w:sz w:val="24"/>
          <w:szCs w:val="24"/>
        </w:rPr>
        <w:t>la creación del Sistema Nacional para el Desarrollo Integral de la Familia (SNDIF).</w:t>
      </w:r>
    </w:p>
    <w:p w14:paraId="16CA2AF2"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64DE569C" w14:textId="77777777" w:rsidR="0045564A" w:rsidRPr="0012597A" w:rsidRDefault="0045564A" w:rsidP="00EF1C7F">
      <w:pPr>
        <w:widowControl w:val="0"/>
        <w:numPr>
          <w:ilvl w:val="0"/>
          <w:numId w:val="10"/>
        </w:numPr>
        <w:autoSpaceDE w:val="0"/>
        <w:autoSpaceDN w:val="0"/>
        <w:spacing w:after="0" w:line="240" w:lineRule="auto"/>
        <w:ind w:firstLine="0"/>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Este organismo, de acuerdo al artículo 172 de la </w:t>
      </w:r>
      <w:r w:rsidRPr="0012597A">
        <w:rPr>
          <w:rFonts w:ascii="Times New Roman" w:eastAsia="Arial MT" w:hAnsi="Times New Roman" w:cs="Times New Roman"/>
          <w:b/>
          <w:sz w:val="24"/>
          <w:szCs w:val="24"/>
        </w:rPr>
        <w:t xml:space="preserve">Ley de General de Salud de 1984; </w:t>
      </w:r>
      <w:r w:rsidRPr="0012597A">
        <w:rPr>
          <w:rFonts w:ascii="Times New Roman" w:eastAsia="Arial MT" w:hAnsi="Times New Roman" w:cs="Times New Roman"/>
          <w:sz w:val="24"/>
          <w:szCs w:val="24"/>
        </w:rPr>
        <w:t xml:space="preserve">y, 7, 9, 15, 24, 27 y 28 de la </w:t>
      </w:r>
      <w:r w:rsidRPr="0012597A">
        <w:rPr>
          <w:rFonts w:ascii="Times New Roman" w:eastAsia="Arial MT" w:hAnsi="Times New Roman" w:cs="Times New Roman"/>
          <w:b/>
          <w:sz w:val="24"/>
          <w:szCs w:val="24"/>
        </w:rPr>
        <w:t xml:space="preserve">Ley de Asistencia Social, </w:t>
      </w:r>
      <w:r w:rsidRPr="0012597A">
        <w:rPr>
          <w:rFonts w:ascii="Times New Roman" w:eastAsia="Arial MT" w:hAnsi="Times New Roman" w:cs="Times New Roman"/>
          <w:sz w:val="24"/>
          <w:szCs w:val="24"/>
        </w:rPr>
        <w:t xml:space="preserve">fue el coordinador del </w:t>
      </w:r>
      <w:r w:rsidRPr="0012597A">
        <w:rPr>
          <w:rFonts w:ascii="Times New Roman" w:eastAsia="Arial MT" w:hAnsi="Times New Roman" w:cs="Times New Roman"/>
          <w:b/>
          <w:sz w:val="24"/>
          <w:szCs w:val="24"/>
        </w:rPr>
        <w:t xml:space="preserve">Sistema </w:t>
      </w:r>
      <w:r w:rsidRPr="0012597A">
        <w:rPr>
          <w:rFonts w:ascii="Times New Roman" w:eastAsia="Arial MT" w:hAnsi="Times New Roman" w:cs="Times New Roman"/>
          <w:b/>
          <w:sz w:val="24"/>
          <w:szCs w:val="24"/>
        </w:rPr>
        <w:lastRenderedPageBreak/>
        <w:t>Nacional de Asistencia Social Pública y Privada en materia de asistencia social y de salubridad general</w:t>
      </w:r>
      <w:r w:rsidRPr="0012597A">
        <w:rPr>
          <w:rFonts w:ascii="Times New Roman" w:eastAsia="Arial MT" w:hAnsi="Times New Roman" w:cs="Times New Roman"/>
          <w:sz w:val="24"/>
          <w:szCs w:val="24"/>
        </w:rPr>
        <w:t>, sustentado en la promoción, coordinación y concertación de acciones en la materia.</w:t>
      </w:r>
    </w:p>
    <w:p w14:paraId="40AD9090"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5D8FC1BF"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4</w:t>
      </w:r>
      <w:r w:rsidRPr="0012597A">
        <w:rPr>
          <w:rFonts w:ascii="Times New Roman" w:eastAsia="Arial MT" w:hAnsi="Times New Roman" w:cs="Times New Roman"/>
          <w:sz w:val="20"/>
          <w:szCs w:val="24"/>
        </w:rPr>
        <w:t xml:space="preserve"> Diario Oficial de la Federación. Decreto por el que se crea un organismo público descentralizado con personalidad jurídica y patrimonio propio, que se denominará Sistema Nacional para el Desarrollo Integral de la Familia México.</w:t>
      </w:r>
    </w:p>
    <w:p w14:paraId="6F08A9A1"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0"/>
          <w:szCs w:val="24"/>
        </w:rPr>
      </w:pPr>
      <w:r w:rsidRPr="0012597A">
        <w:rPr>
          <w:rFonts w:ascii="Times New Roman" w:eastAsia="Arial MT" w:hAnsi="Times New Roman" w:cs="Times New Roman"/>
          <w:sz w:val="20"/>
          <w:szCs w:val="24"/>
        </w:rPr>
        <w:t xml:space="preserve">13 de enero de 1977. [En línea] </w:t>
      </w:r>
      <w:hyperlink r:id="rId38">
        <w:r w:rsidRPr="0012597A">
          <w:rPr>
            <w:rFonts w:ascii="Times New Roman" w:eastAsia="Arial MT" w:hAnsi="Times New Roman" w:cs="Times New Roman"/>
            <w:sz w:val="20"/>
            <w:szCs w:val="24"/>
            <w:u w:val="single" w:color="0462C1"/>
          </w:rPr>
          <w:t>https://www.dof.gob.mx/nota_to_imagen_fs.php?codnota=4600445&amp;fecha=13/01/1977&amp;cod_diario=197493</w:t>
        </w:r>
      </w:hyperlink>
    </w:p>
    <w:p w14:paraId="3A607F3F"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22FE742C"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Correspondiendo al Sistema Nacional para el Desarrollo Integral de la Familia ser la instancia encargada de normar las </w:t>
      </w:r>
      <w:r w:rsidRPr="0012597A">
        <w:rPr>
          <w:rFonts w:ascii="Times New Roman" w:eastAsia="Arial MT" w:hAnsi="Times New Roman" w:cs="Times New Roman"/>
          <w:b/>
          <w:sz w:val="24"/>
          <w:szCs w:val="24"/>
        </w:rPr>
        <w:t xml:space="preserve">acciones de asistencia social, </w:t>
      </w:r>
      <w:r w:rsidRPr="0012597A">
        <w:rPr>
          <w:rFonts w:ascii="Times New Roman" w:eastAsia="Arial MT" w:hAnsi="Times New Roman" w:cs="Times New Roman"/>
          <w:sz w:val="24"/>
          <w:szCs w:val="24"/>
        </w:rPr>
        <w:t>enfocadas al desarrollo del individuo, la familia y la comunidad.</w:t>
      </w:r>
    </w:p>
    <w:p w14:paraId="16BB7F1F"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2089883" w14:textId="77777777" w:rsidR="0045564A" w:rsidRPr="0012597A" w:rsidRDefault="0045564A" w:rsidP="00EF1C7F">
      <w:pPr>
        <w:widowControl w:val="0"/>
        <w:numPr>
          <w:ilvl w:val="0"/>
          <w:numId w:val="10"/>
        </w:numPr>
        <w:autoSpaceDE w:val="0"/>
        <w:autoSpaceDN w:val="0"/>
        <w:spacing w:after="0" w:line="240" w:lineRule="auto"/>
        <w:ind w:firstLine="0"/>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En el </w:t>
      </w:r>
      <w:r w:rsidRPr="0012597A">
        <w:rPr>
          <w:rFonts w:ascii="Times New Roman" w:eastAsia="Arial MT" w:hAnsi="Times New Roman" w:cs="Times New Roman"/>
          <w:b/>
          <w:sz w:val="24"/>
          <w:szCs w:val="24"/>
        </w:rPr>
        <w:t>Estado de México</w:t>
      </w:r>
      <w:r w:rsidRPr="0012597A">
        <w:rPr>
          <w:rFonts w:ascii="Times New Roman" w:eastAsia="Arial MT" w:hAnsi="Times New Roman" w:cs="Times New Roman"/>
          <w:sz w:val="24"/>
          <w:szCs w:val="24"/>
        </w:rPr>
        <w:t xml:space="preserve">, el 16 de julio de 1985, es publicado en el Periódico Oficial “Gaceta del Gobierno”, la </w:t>
      </w:r>
      <w:r w:rsidRPr="0012597A">
        <w:rPr>
          <w:rFonts w:ascii="Times New Roman" w:eastAsia="Arial MT" w:hAnsi="Times New Roman" w:cs="Times New Roman"/>
          <w:b/>
          <w:sz w:val="24"/>
          <w:szCs w:val="24"/>
        </w:rPr>
        <w:t>Ley que crea los Organismos Públicos Descentralizados de Asistencia Social de Carácter Municipal denominados "Sistemas Municipales para el Desarrollo Integral de la Familia".</w:t>
      </w:r>
      <w:r w:rsidRPr="0012597A">
        <w:rPr>
          <w:rFonts w:ascii="Times New Roman" w:eastAsia="Arial MT" w:hAnsi="Times New Roman" w:cs="Times New Roman"/>
          <w:b/>
          <w:color w:val="FF0000"/>
          <w:sz w:val="24"/>
          <w:szCs w:val="24"/>
          <w:vertAlign w:val="superscript"/>
        </w:rPr>
        <w:t>5</w:t>
      </w:r>
    </w:p>
    <w:p w14:paraId="0ECFA1A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4E7A1348" w14:textId="77777777" w:rsidR="0045564A" w:rsidRPr="0012597A" w:rsidRDefault="0045564A" w:rsidP="00EF1C7F">
      <w:pPr>
        <w:widowControl w:val="0"/>
        <w:numPr>
          <w:ilvl w:val="0"/>
          <w:numId w:val="10"/>
        </w:numPr>
        <w:autoSpaceDE w:val="0"/>
        <w:autoSpaceDN w:val="0"/>
        <w:spacing w:after="0" w:line="240" w:lineRule="auto"/>
        <w:ind w:firstLine="0"/>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31 de diciembre de 1986, se publicó en el Periódico Oficial “Gaceta del Gobierno”, la </w:t>
      </w:r>
      <w:r w:rsidRPr="0012597A">
        <w:rPr>
          <w:rFonts w:ascii="Times New Roman" w:eastAsia="Arial MT" w:hAnsi="Times New Roman" w:cs="Times New Roman"/>
          <w:b/>
          <w:sz w:val="24"/>
          <w:szCs w:val="24"/>
        </w:rPr>
        <w:t xml:space="preserve">Ley de Asistencia Social del Estado de México, </w:t>
      </w:r>
      <w:r w:rsidRPr="0012597A">
        <w:rPr>
          <w:rFonts w:ascii="Times New Roman" w:eastAsia="Arial MT" w:hAnsi="Times New Roman" w:cs="Times New Roman"/>
          <w:sz w:val="24"/>
          <w:szCs w:val="24"/>
        </w:rPr>
        <w:t>por la cual se norma institucionalmente la actividad del Desarrollo Integral de la Familia del Estado de México (DIFEM).</w:t>
      </w:r>
      <w:r w:rsidRPr="0012597A">
        <w:rPr>
          <w:rFonts w:ascii="Times New Roman" w:eastAsia="Arial MT" w:hAnsi="Times New Roman" w:cs="Times New Roman"/>
          <w:color w:val="FF0000"/>
          <w:sz w:val="24"/>
          <w:szCs w:val="24"/>
          <w:vertAlign w:val="superscript"/>
        </w:rPr>
        <w:t>6</w:t>
      </w:r>
    </w:p>
    <w:p w14:paraId="3C429C28"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26D6CB1" w14:textId="77777777" w:rsidR="0045564A" w:rsidRPr="0012597A" w:rsidRDefault="0045564A" w:rsidP="00EF1C7F">
      <w:pPr>
        <w:widowControl w:val="0"/>
        <w:numPr>
          <w:ilvl w:val="0"/>
          <w:numId w:val="10"/>
        </w:numPr>
        <w:autoSpaceDE w:val="0"/>
        <w:autoSpaceDN w:val="0"/>
        <w:spacing w:after="0" w:line="240" w:lineRule="auto"/>
        <w:ind w:firstLine="0"/>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7 de diciembre de 2010, se publicó en el Periódico Oficial “Gaceta del Gobierno”, la </w:t>
      </w:r>
      <w:r w:rsidRPr="0012597A">
        <w:rPr>
          <w:rFonts w:ascii="Times New Roman" w:eastAsia="Arial MT" w:hAnsi="Times New Roman" w:cs="Times New Roman"/>
          <w:b/>
          <w:sz w:val="24"/>
          <w:szCs w:val="24"/>
        </w:rPr>
        <w:t>Ley de Asistencia Social del Estado de México y Municipios</w:t>
      </w:r>
      <w:r w:rsidRPr="0012597A">
        <w:rPr>
          <w:rFonts w:ascii="Times New Roman" w:eastAsia="Arial MT" w:hAnsi="Times New Roman" w:cs="Times New Roman"/>
          <w:color w:val="FF0000"/>
          <w:sz w:val="24"/>
          <w:szCs w:val="24"/>
          <w:vertAlign w:val="superscript"/>
        </w:rPr>
        <w:t>7</w:t>
      </w:r>
      <w:r w:rsidRPr="0012597A">
        <w:rPr>
          <w:rFonts w:ascii="Times New Roman" w:eastAsia="Arial MT" w:hAnsi="Times New Roman" w:cs="Times New Roman"/>
          <w:sz w:val="24"/>
          <w:szCs w:val="24"/>
        </w:rPr>
        <w:t>, que abrogó la de 1986.</w:t>
      </w:r>
    </w:p>
    <w:p w14:paraId="1AEFAB0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7781E903"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5</w:t>
      </w:r>
      <w:r w:rsidRPr="0012597A">
        <w:rPr>
          <w:rFonts w:ascii="Times New Roman" w:eastAsia="Arial MT" w:hAnsi="Times New Roman" w:cs="Times New Roman"/>
          <w:sz w:val="20"/>
          <w:szCs w:val="24"/>
        </w:rPr>
        <w:t xml:space="preserve"> Ley que crea los Organismos Públicos Descentralizados de Asistencia Social de carácter municipal denominados "Sistemas Municipales para el Desarrollo Integral de la Familia”. </w:t>
      </w:r>
      <w:proofErr w:type="spellStart"/>
      <w:r w:rsidRPr="0012597A">
        <w:rPr>
          <w:rFonts w:ascii="Times New Roman" w:eastAsia="Arial MT" w:hAnsi="Times New Roman" w:cs="Times New Roman"/>
          <w:sz w:val="20"/>
          <w:szCs w:val="24"/>
        </w:rPr>
        <w:t>Legistel</w:t>
      </w:r>
      <w:proofErr w:type="spellEnd"/>
      <w:r w:rsidRPr="0012597A">
        <w:rPr>
          <w:rFonts w:ascii="Times New Roman" w:eastAsia="Arial MT" w:hAnsi="Times New Roman" w:cs="Times New Roman"/>
          <w:sz w:val="20"/>
          <w:szCs w:val="24"/>
        </w:rPr>
        <w:t xml:space="preserve">. 16 de julio de 1985. México. [En línea] </w:t>
      </w:r>
      <w:hyperlink r:id="rId39">
        <w:r w:rsidRPr="0012597A">
          <w:rPr>
            <w:rFonts w:ascii="Times New Roman" w:eastAsia="Arial MT" w:hAnsi="Times New Roman" w:cs="Times New Roman"/>
            <w:sz w:val="20"/>
            <w:szCs w:val="24"/>
            <w:u w:val="single" w:color="0462C1"/>
          </w:rPr>
          <w:t>https://legislacion.edomex.gob.mx/sites/legislacion.edomex.gob.mx/files/files/pdf/ley/vig/leyvig077.pdf</w:t>
        </w:r>
      </w:hyperlink>
    </w:p>
    <w:p w14:paraId="4DD50962"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6</w:t>
      </w:r>
      <w:r w:rsidRPr="0012597A">
        <w:rPr>
          <w:rFonts w:ascii="Times New Roman" w:eastAsia="Arial MT" w:hAnsi="Times New Roman" w:cs="Times New Roman"/>
          <w:sz w:val="20"/>
          <w:szCs w:val="24"/>
        </w:rPr>
        <w:t xml:space="preserve"> Ley de Asistencia Social del Estado de México. </w:t>
      </w:r>
      <w:proofErr w:type="spellStart"/>
      <w:r w:rsidRPr="0012597A">
        <w:rPr>
          <w:rFonts w:ascii="Times New Roman" w:eastAsia="Arial MT" w:hAnsi="Times New Roman" w:cs="Times New Roman"/>
          <w:sz w:val="20"/>
          <w:szCs w:val="24"/>
        </w:rPr>
        <w:t>Legistel</w:t>
      </w:r>
      <w:proofErr w:type="spellEnd"/>
      <w:r w:rsidRPr="0012597A">
        <w:rPr>
          <w:rFonts w:ascii="Times New Roman" w:eastAsia="Arial MT" w:hAnsi="Times New Roman" w:cs="Times New Roman"/>
          <w:sz w:val="20"/>
          <w:szCs w:val="24"/>
        </w:rPr>
        <w:t xml:space="preserve">. 31 de diciembre de 1986. México. [En línea] </w:t>
      </w:r>
      <w:hyperlink r:id="rId40">
        <w:r w:rsidRPr="0012597A">
          <w:rPr>
            <w:rFonts w:ascii="Times New Roman" w:eastAsia="Arial MT" w:hAnsi="Times New Roman" w:cs="Times New Roman"/>
            <w:sz w:val="20"/>
            <w:szCs w:val="24"/>
            <w:u w:val="single" w:color="0462C1"/>
          </w:rPr>
          <w:t>https://legislacion.edomex.gob.mx/sites/legislacion.edomex.gob.mx/files/files/pdf/ley/abr/leyabr055.pdf</w:t>
        </w:r>
      </w:hyperlink>
    </w:p>
    <w:p w14:paraId="00D5C0A8"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7</w:t>
      </w:r>
      <w:r w:rsidRPr="0012597A">
        <w:rPr>
          <w:rFonts w:ascii="Times New Roman" w:eastAsia="Arial MT" w:hAnsi="Times New Roman" w:cs="Times New Roman"/>
          <w:sz w:val="20"/>
          <w:szCs w:val="24"/>
        </w:rPr>
        <w:t xml:space="preserve"> Ley de Asistencia Social del Estado de México y Municipios. </w:t>
      </w:r>
      <w:proofErr w:type="spellStart"/>
      <w:r w:rsidRPr="0012597A">
        <w:rPr>
          <w:rFonts w:ascii="Times New Roman" w:eastAsia="Arial MT" w:hAnsi="Times New Roman" w:cs="Times New Roman"/>
          <w:sz w:val="20"/>
          <w:szCs w:val="24"/>
        </w:rPr>
        <w:t>Legistel</w:t>
      </w:r>
      <w:proofErr w:type="spellEnd"/>
      <w:r w:rsidRPr="0012597A">
        <w:rPr>
          <w:rFonts w:ascii="Times New Roman" w:eastAsia="Arial MT" w:hAnsi="Times New Roman" w:cs="Times New Roman"/>
          <w:sz w:val="20"/>
          <w:szCs w:val="24"/>
        </w:rPr>
        <w:t xml:space="preserve">. 7 de septiembre de 2010. México. [En línea] </w:t>
      </w:r>
      <w:hyperlink r:id="rId41">
        <w:r w:rsidRPr="0012597A">
          <w:rPr>
            <w:rFonts w:ascii="Times New Roman" w:eastAsia="Arial MT" w:hAnsi="Times New Roman" w:cs="Times New Roman"/>
            <w:sz w:val="20"/>
            <w:szCs w:val="24"/>
            <w:u w:val="single" w:color="0462C1"/>
          </w:rPr>
          <w:t>https://legislacion.edomex.gob.mx/sites/legislacion.edomex.gob.mx/files/files/pdf/ley/vig/leyvig004.pdf</w:t>
        </w:r>
      </w:hyperlink>
    </w:p>
    <w:p w14:paraId="234CAE8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FCFF4B7"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todas las Leyes aquí citadas, la Junta de Gobierno, tanto del DIFEM como los DIF municipales, se integran por:</w:t>
      </w:r>
    </w:p>
    <w:p w14:paraId="77EBF1FF"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1AFC02B" w14:textId="77777777" w:rsidR="0045564A" w:rsidRPr="0012597A" w:rsidRDefault="0045564A" w:rsidP="00EF1C7F">
      <w:pPr>
        <w:widowControl w:val="0"/>
        <w:numPr>
          <w:ilvl w:val="1"/>
          <w:numId w:val="10"/>
        </w:numPr>
        <w:autoSpaceDE w:val="0"/>
        <w:autoSpaceDN w:val="0"/>
        <w:spacing w:after="0" w:line="240" w:lineRule="auto"/>
        <w:ind w:left="0" w:firstLine="0"/>
        <w:contextualSpacing/>
        <w:mirrorIndents/>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 xml:space="preserve">Una Presidencia, </w:t>
      </w:r>
      <w:r w:rsidRPr="0012597A">
        <w:rPr>
          <w:rFonts w:ascii="Times New Roman" w:eastAsia="Arial" w:hAnsi="Times New Roman" w:cs="Times New Roman"/>
          <w:bCs/>
          <w:sz w:val="24"/>
          <w:szCs w:val="24"/>
        </w:rPr>
        <w:t xml:space="preserve">que estará </w:t>
      </w:r>
      <w:r w:rsidRPr="0012597A">
        <w:rPr>
          <w:rFonts w:ascii="Times New Roman" w:eastAsia="Arial" w:hAnsi="Times New Roman" w:cs="Times New Roman"/>
          <w:b/>
          <w:bCs/>
          <w:sz w:val="24"/>
          <w:szCs w:val="24"/>
        </w:rPr>
        <w:t>a cargo de la persona Titular del Poder Ejecutivo del Estado o la persona que esta designe.</w:t>
      </w:r>
    </w:p>
    <w:p w14:paraId="3E6C0744"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515F86C8"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También se dispone que los cargos de los integrantes de la Junta de Gobierno serán </w:t>
      </w:r>
      <w:r w:rsidRPr="0012597A">
        <w:rPr>
          <w:rFonts w:ascii="Times New Roman" w:eastAsia="Arial MT" w:hAnsi="Times New Roman" w:cs="Times New Roman"/>
          <w:b/>
          <w:sz w:val="24"/>
          <w:szCs w:val="24"/>
        </w:rPr>
        <w:t>honoríficos</w:t>
      </w:r>
      <w:r w:rsidRPr="0012597A">
        <w:rPr>
          <w:rFonts w:ascii="Times New Roman" w:eastAsia="Arial MT" w:hAnsi="Times New Roman" w:cs="Times New Roman"/>
          <w:sz w:val="24"/>
          <w:szCs w:val="24"/>
        </w:rPr>
        <w:t>. Es decir, no recibirán pago o remuneración alguna.</w:t>
      </w:r>
    </w:p>
    <w:p w14:paraId="58C280A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8CE198D"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1977, el entonces Presidente de la República, el Licenciado José López Portillo, nombró a su esposa, la Señora Carmen Romano de López Portillo, </w:t>
      </w:r>
      <w:r w:rsidRPr="0012597A">
        <w:rPr>
          <w:rFonts w:ascii="Times New Roman" w:eastAsia="Arial MT" w:hAnsi="Times New Roman" w:cs="Times New Roman"/>
          <w:b/>
          <w:sz w:val="24"/>
          <w:szCs w:val="24"/>
        </w:rPr>
        <w:t>Presidenta del Consejo Ciudadano Consultivo del Sistema Nacional para el Desarrollo Integral de la Familia</w:t>
      </w:r>
      <w:r w:rsidRPr="0012597A">
        <w:rPr>
          <w:rFonts w:ascii="Times New Roman" w:eastAsia="Arial MT" w:hAnsi="Times New Roman" w:cs="Times New Roman"/>
          <w:sz w:val="24"/>
          <w:szCs w:val="24"/>
        </w:rPr>
        <w:t>, entonces los titulares de las gubernaturas y presidencias municipales, procedieron con esa lógica: Legitimaron lo que no era legal.</w:t>
      </w:r>
    </w:p>
    <w:p w14:paraId="55B7075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9A2967C"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r w:rsidRPr="0012597A">
        <w:rPr>
          <w:rFonts w:ascii="Times New Roman" w:eastAsia="Arial MT" w:hAnsi="Times New Roman" w:cs="Times New Roman"/>
          <w:sz w:val="24"/>
          <w:szCs w:val="24"/>
        </w:rPr>
        <w:lastRenderedPageBreak/>
        <w:t>Mismo modelo que ha prevalecido en la actualidad.</w:t>
      </w:r>
    </w:p>
    <w:p w14:paraId="1D73FE1F"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05E8B465"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Derivado de lo anterior, son mujeres quienes han ocupado de manera tradicional las </w:t>
      </w:r>
      <w:r w:rsidRPr="0012597A">
        <w:rPr>
          <w:rFonts w:ascii="Times New Roman" w:eastAsia="Arial MT" w:hAnsi="Times New Roman" w:cs="Times New Roman"/>
          <w:b/>
          <w:sz w:val="24"/>
          <w:szCs w:val="24"/>
        </w:rPr>
        <w:t>Presidencias de los Sistemas para el Desarrollo Integral de la Familia.</w:t>
      </w:r>
    </w:p>
    <w:p w14:paraId="4B5D44F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542B42AB"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r w:rsidRPr="0012597A">
        <w:rPr>
          <w:rFonts w:ascii="Times New Roman" w:eastAsia="Arial MT" w:hAnsi="Times New Roman" w:cs="Times New Roman"/>
          <w:sz w:val="24"/>
          <w:szCs w:val="24"/>
        </w:rPr>
        <w:t>Legitimando una tradición que conduce y arraiga en:</w:t>
      </w:r>
    </w:p>
    <w:p w14:paraId="1AA987E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74CF13A3" w14:textId="77777777" w:rsidR="0045564A" w:rsidRPr="0012597A" w:rsidRDefault="0045564A" w:rsidP="00EF1C7F">
      <w:pPr>
        <w:widowControl w:val="0"/>
        <w:numPr>
          <w:ilvl w:val="0"/>
          <w:numId w:val="9"/>
        </w:numPr>
        <w:autoSpaceDE w:val="0"/>
        <w:autoSpaceDN w:val="0"/>
        <w:spacing w:after="0" w:line="240" w:lineRule="auto"/>
        <w:ind w:firstLine="0"/>
        <w:contextualSpacing/>
        <w:mirrorIndents/>
        <w:rPr>
          <w:rFonts w:ascii="Times New Roman" w:eastAsia="Arial MT" w:hAnsi="Times New Roman" w:cs="Times New Roman"/>
          <w:sz w:val="24"/>
          <w:szCs w:val="24"/>
        </w:rPr>
      </w:pPr>
      <w:r w:rsidRPr="0012597A">
        <w:rPr>
          <w:rFonts w:ascii="Times New Roman" w:eastAsia="Arial MT" w:hAnsi="Times New Roman" w:cs="Times New Roman"/>
          <w:sz w:val="24"/>
          <w:szCs w:val="24"/>
        </w:rPr>
        <w:t>El nepotismo;</w:t>
      </w:r>
    </w:p>
    <w:p w14:paraId="47313DF0"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722056A" w14:textId="77777777" w:rsidR="0045564A" w:rsidRPr="0012597A" w:rsidRDefault="0045564A" w:rsidP="00EF1C7F">
      <w:pPr>
        <w:widowControl w:val="0"/>
        <w:numPr>
          <w:ilvl w:val="0"/>
          <w:numId w:val="9"/>
        </w:numPr>
        <w:autoSpaceDE w:val="0"/>
        <w:autoSpaceDN w:val="0"/>
        <w:spacing w:after="0" w:line="240" w:lineRule="auto"/>
        <w:ind w:firstLine="0"/>
        <w:contextualSpacing/>
        <w:mirrorIndents/>
        <w:rPr>
          <w:rFonts w:ascii="Times New Roman" w:eastAsia="Arial MT" w:hAnsi="Times New Roman" w:cs="Times New Roman"/>
          <w:sz w:val="24"/>
          <w:szCs w:val="24"/>
        </w:rPr>
      </w:pPr>
      <w:r w:rsidRPr="0012597A">
        <w:rPr>
          <w:rFonts w:ascii="Times New Roman" w:eastAsia="Arial MT" w:hAnsi="Times New Roman" w:cs="Times New Roman"/>
          <w:sz w:val="24"/>
          <w:szCs w:val="24"/>
        </w:rPr>
        <w:t>El conflicto de intereses; y</w:t>
      </w:r>
    </w:p>
    <w:p w14:paraId="7F369C8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D20E6C0" w14:textId="77777777" w:rsidR="0045564A" w:rsidRPr="0012597A" w:rsidRDefault="0045564A" w:rsidP="00EF1C7F">
      <w:pPr>
        <w:widowControl w:val="0"/>
        <w:numPr>
          <w:ilvl w:val="0"/>
          <w:numId w:val="9"/>
        </w:numPr>
        <w:autoSpaceDE w:val="0"/>
        <w:autoSpaceDN w:val="0"/>
        <w:spacing w:after="0" w:line="240" w:lineRule="auto"/>
        <w:ind w:firstLine="0"/>
        <w:contextualSpacing/>
        <w:mirrorIndents/>
        <w:rPr>
          <w:rFonts w:ascii="Times New Roman" w:eastAsia="Arial MT" w:hAnsi="Times New Roman" w:cs="Times New Roman"/>
          <w:sz w:val="24"/>
          <w:szCs w:val="24"/>
        </w:rPr>
      </w:pPr>
      <w:r w:rsidRPr="0012597A">
        <w:rPr>
          <w:rFonts w:ascii="Times New Roman" w:eastAsia="Arial MT" w:hAnsi="Times New Roman" w:cs="Times New Roman"/>
          <w:sz w:val="24"/>
          <w:szCs w:val="24"/>
        </w:rPr>
        <w:t>El fomento de los estereotipos de género.</w:t>
      </w:r>
    </w:p>
    <w:p w14:paraId="224134A2"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A8CFF72"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Entre los objetivos del Decreto del 13 de enero de 1977, cito los siguientes:</w:t>
      </w:r>
    </w:p>
    <w:p w14:paraId="4E309506"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8D1F480" w14:textId="77777777" w:rsidR="0045564A" w:rsidRPr="0012597A" w:rsidRDefault="0045564A" w:rsidP="00EF1C7F">
      <w:pPr>
        <w:widowControl w:val="0"/>
        <w:numPr>
          <w:ilvl w:val="1"/>
          <w:numId w:val="10"/>
        </w:numPr>
        <w:autoSpaceDE w:val="0"/>
        <w:autoSpaceDN w:val="0"/>
        <w:spacing w:after="0" w:line="240" w:lineRule="auto"/>
        <w:ind w:left="0" w:firstLine="0"/>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Apoyar y fomentar la </w:t>
      </w:r>
      <w:r w:rsidRPr="0012597A">
        <w:rPr>
          <w:rFonts w:ascii="Times New Roman" w:eastAsia="Arial MT" w:hAnsi="Times New Roman" w:cs="Times New Roman"/>
          <w:b/>
          <w:sz w:val="24"/>
          <w:szCs w:val="24"/>
        </w:rPr>
        <w:t xml:space="preserve">nutrición </w:t>
      </w:r>
      <w:r w:rsidRPr="0012597A">
        <w:rPr>
          <w:rFonts w:ascii="Times New Roman" w:eastAsia="Arial MT" w:hAnsi="Times New Roman" w:cs="Times New Roman"/>
          <w:sz w:val="24"/>
          <w:szCs w:val="24"/>
        </w:rPr>
        <w:t xml:space="preserve">y las acciones de </w:t>
      </w:r>
      <w:r w:rsidRPr="0012597A">
        <w:rPr>
          <w:rFonts w:ascii="Times New Roman" w:eastAsia="Arial MT" w:hAnsi="Times New Roman" w:cs="Times New Roman"/>
          <w:b/>
          <w:sz w:val="24"/>
          <w:szCs w:val="24"/>
        </w:rPr>
        <w:t xml:space="preserve">medicina preventiva </w:t>
      </w:r>
      <w:r w:rsidRPr="0012597A">
        <w:rPr>
          <w:rFonts w:ascii="Times New Roman" w:eastAsia="Arial MT" w:hAnsi="Times New Roman" w:cs="Times New Roman"/>
          <w:sz w:val="24"/>
          <w:szCs w:val="24"/>
        </w:rPr>
        <w:t xml:space="preserve">dirigidas a los </w:t>
      </w:r>
      <w:r w:rsidRPr="0012597A">
        <w:rPr>
          <w:rFonts w:ascii="Times New Roman" w:eastAsia="Arial MT" w:hAnsi="Times New Roman" w:cs="Times New Roman"/>
          <w:b/>
          <w:sz w:val="24"/>
          <w:szCs w:val="24"/>
        </w:rPr>
        <w:t xml:space="preserve">lactantes </w:t>
      </w:r>
      <w:r w:rsidRPr="0012597A">
        <w:rPr>
          <w:rFonts w:ascii="Times New Roman" w:eastAsia="Arial MT" w:hAnsi="Times New Roman" w:cs="Times New Roman"/>
          <w:sz w:val="24"/>
          <w:szCs w:val="24"/>
        </w:rPr>
        <w:t xml:space="preserve">y en general a la infancia, así como a las </w:t>
      </w:r>
      <w:r w:rsidRPr="0012597A">
        <w:rPr>
          <w:rFonts w:ascii="Times New Roman" w:eastAsia="Arial MT" w:hAnsi="Times New Roman" w:cs="Times New Roman"/>
          <w:b/>
          <w:sz w:val="24"/>
          <w:szCs w:val="24"/>
        </w:rPr>
        <w:t>madres gestantes;</w:t>
      </w:r>
    </w:p>
    <w:p w14:paraId="699DACDC"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60FD765F" w14:textId="77777777" w:rsidR="0045564A" w:rsidRPr="0012597A" w:rsidRDefault="0045564A" w:rsidP="00EF1C7F">
      <w:pPr>
        <w:widowControl w:val="0"/>
        <w:numPr>
          <w:ilvl w:val="1"/>
          <w:numId w:val="10"/>
        </w:numPr>
        <w:autoSpaceDE w:val="0"/>
        <w:autoSpaceDN w:val="0"/>
        <w:spacing w:after="0" w:line="240" w:lineRule="auto"/>
        <w:ind w:left="0" w:firstLine="0"/>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Establecer y operar de manera complementaria, </w:t>
      </w:r>
      <w:r w:rsidRPr="0012597A">
        <w:rPr>
          <w:rFonts w:ascii="Times New Roman" w:eastAsia="Arial MT" w:hAnsi="Times New Roman" w:cs="Times New Roman"/>
          <w:b/>
          <w:sz w:val="24"/>
          <w:szCs w:val="24"/>
        </w:rPr>
        <w:t>hospitales y docencia;</w:t>
      </w:r>
    </w:p>
    <w:p w14:paraId="76B2FD6A"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4BB0C2B8" w14:textId="77777777" w:rsidR="0045564A" w:rsidRPr="0012597A" w:rsidRDefault="0045564A" w:rsidP="00EF1C7F">
      <w:pPr>
        <w:widowControl w:val="0"/>
        <w:numPr>
          <w:ilvl w:val="1"/>
          <w:numId w:val="10"/>
        </w:numPr>
        <w:autoSpaceDE w:val="0"/>
        <w:autoSpaceDN w:val="0"/>
        <w:spacing w:after="0" w:line="240" w:lineRule="auto"/>
        <w:ind w:left="0" w:firstLine="0"/>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Fomentar y proporcionar </w:t>
      </w:r>
      <w:r w:rsidRPr="0012597A">
        <w:rPr>
          <w:rFonts w:ascii="Times New Roman" w:eastAsia="Arial MT" w:hAnsi="Times New Roman" w:cs="Times New Roman"/>
          <w:b/>
          <w:sz w:val="24"/>
          <w:szCs w:val="24"/>
        </w:rPr>
        <w:t>servicios asistenciales a los menores en estado de abandono.</w:t>
      </w:r>
    </w:p>
    <w:p w14:paraId="572AE662"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23D519C4"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Temas en los que sobresale la </w:t>
      </w:r>
      <w:r w:rsidRPr="0012597A">
        <w:rPr>
          <w:rFonts w:ascii="Times New Roman" w:eastAsia="Arial MT" w:hAnsi="Times New Roman" w:cs="Times New Roman"/>
          <w:b/>
          <w:sz w:val="24"/>
          <w:szCs w:val="24"/>
        </w:rPr>
        <w:t>nutrición, lactancia, hospitales, docencia o niños abandonados.</w:t>
      </w:r>
    </w:p>
    <w:p w14:paraId="414A37B7"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57483435"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Fomentando un estereotipo que está a destiempo y es una contundente negación de uno de los objetivos de la Política Estatal en materia de igualdad de trato y oportunidades entre mujeres y hombres.</w:t>
      </w:r>
    </w:p>
    <w:p w14:paraId="0807AF19"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29D4FD64"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Específicamente, estos objetivos, son una violación a la </w:t>
      </w:r>
      <w:r w:rsidRPr="0012597A">
        <w:rPr>
          <w:rFonts w:ascii="Times New Roman" w:eastAsia="Arial MT" w:hAnsi="Times New Roman" w:cs="Times New Roman"/>
          <w:b/>
          <w:sz w:val="24"/>
          <w:szCs w:val="24"/>
        </w:rPr>
        <w:t xml:space="preserve">fracción VII del artículo 7 de la Ley de Igualdad de Trato y Oportunidades entre Mujeres y Hombres del Estado de México, </w:t>
      </w:r>
      <w:r w:rsidRPr="0012597A">
        <w:rPr>
          <w:rFonts w:ascii="Times New Roman" w:eastAsia="Arial MT" w:hAnsi="Times New Roman" w:cs="Times New Roman"/>
          <w:sz w:val="24"/>
          <w:szCs w:val="24"/>
        </w:rPr>
        <w:t>al fomentar un estereotipo en función del sexo.</w:t>
      </w:r>
    </w:p>
    <w:p w14:paraId="6B09BEB7"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FE66711"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También atenta contra el espíritu constitucional y las Leyes Reglamentarias que promueven la perspectiva de género y la eliminación de estereotipos que aquejan a las mujeres.</w:t>
      </w:r>
    </w:p>
    <w:p w14:paraId="750CE94A"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0B5EAE4D"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¡Pongamos un alto al estereotipo de género, al nepotismo y al conflicto de intereses!</w:t>
      </w:r>
    </w:p>
    <w:p w14:paraId="4A518189"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33E33C23"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No es menor el incumplimiento del </w:t>
      </w:r>
      <w:r w:rsidRPr="0012597A">
        <w:rPr>
          <w:rFonts w:ascii="Times New Roman" w:eastAsia="Arial MT" w:hAnsi="Times New Roman" w:cs="Times New Roman"/>
          <w:b/>
          <w:sz w:val="24"/>
          <w:szCs w:val="24"/>
        </w:rPr>
        <w:t>artículo 51 fracción IX de la Ley Orgánica Municipal del Estado de México</w:t>
      </w:r>
      <w:r w:rsidRPr="0012597A">
        <w:rPr>
          <w:rFonts w:ascii="Times New Roman" w:eastAsia="Arial MT" w:hAnsi="Times New Roman" w:cs="Times New Roman"/>
          <w:sz w:val="24"/>
          <w:szCs w:val="24"/>
        </w:rPr>
        <w:t>, que dispone que:</w:t>
      </w:r>
    </w:p>
    <w:p w14:paraId="2F86DC9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3CA3AF7" w14:textId="77777777" w:rsidR="0045564A" w:rsidRPr="0012597A" w:rsidRDefault="0045564A" w:rsidP="00EF1C7F">
      <w:pPr>
        <w:widowControl w:val="0"/>
        <w:autoSpaceDE w:val="0"/>
        <w:autoSpaceDN w:val="0"/>
        <w:spacing w:after="0" w:line="240" w:lineRule="auto"/>
        <w:contextualSpacing/>
        <w:mirrorIndents/>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Los Presidentes Municipales no pueden “Nombrar, contratar o promover directamente o por interpósita persona como servidores públicos a personas con quienes tengan parentesco consanguíneo hasta el cuarto grado, por afinidad o civil …”</w:t>
      </w:r>
      <w:r w:rsidRPr="0012597A">
        <w:rPr>
          <w:rFonts w:ascii="Times New Roman" w:eastAsia="Arial" w:hAnsi="Times New Roman" w:cs="Times New Roman"/>
          <w:b/>
          <w:bCs/>
          <w:color w:val="FF0000"/>
          <w:sz w:val="24"/>
          <w:szCs w:val="24"/>
          <w:vertAlign w:val="superscript"/>
        </w:rPr>
        <w:t>8</w:t>
      </w:r>
    </w:p>
    <w:p w14:paraId="6044FDF4"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51CF6CE1"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Lo cual, da certeza jurídica y motivación a la Iniciativa que hoy presento.</w:t>
      </w:r>
    </w:p>
    <w:p w14:paraId="1D90DB84"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59422062"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este contexto, diferentes medios de comunicación han hecho denuncia pública sobre la designación de familiares como Titulares de las Presidencias de los DIF, con sueldos y </w:t>
      </w:r>
      <w:r w:rsidRPr="0012597A">
        <w:rPr>
          <w:rFonts w:ascii="Times New Roman" w:eastAsia="Arial MT" w:hAnsi="Times New Roman" w:cs="Times New Roman"/>
          <w:sz w:val="24"/>
          <w:szCs w:val="24"/>
        </w:rPr>
        <w:lastRenderedPageBreak/>
        <w:t>prestaciones, a pesar de que se trata -supuestamente- de encargos honoríficos.</w:t>
      </w:r>
    </w:p>
    <w:p w14:paraId="58E129B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510B2534"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8</w:t>
      </w:r>
      <w:r w:rsidRPr="0012597A">
        <w:rPr>
          <w:rFonts w:ascii="Times New Roman" w:eastAsia="Arial MT" w:hAnsi="Times New Roman" w:cs="Times New Roman"/>
          <w:sz w:val="20"/>
          <w:szCs w:val="24"/>
        </w:rPr>
        <w:t xml:space="preserve"> Ley Orgánica Municipal del Estado de México. Artículo 51. </w:t>
      </w:r>
      <w:proofErr w:type="spellStart"/>
      <w:r w:rsidRPr="0012597A">
        <w:rPr>
          <w:rFonts w:ascii="Times New Roman" w:eastAsia="Arial MT" w:hAnsi="Times New Roman" w:cs="Times New Roman"/>
          <w:sz w:val="20"/>
          <w:szCs w:val="24"/>
        </w:rPr>
        <w:t>Legistel</w:t>
      </w:r>
      <w:proofErr w:type="spellEnd"/>
      <w:r w:rsidRPr="0012597A">
        <w:rPr>
          <w:rFonts w:ascii="Times New Roman" w:eastAsia="Arial MT" w:hAnsi="Times New Roman" w:cs="Times New Roman"/>
          <w:sz w:val="20"/>
          <w:szCs w:val="24"/>
        </w:rPr>
        <w:t xml:space="preserve">. 2 de marzo de 1993. México. [En línea] </w:t>
      </w:r>
      <w:hyperlink r:id="rId42">
        <w:r w:rsidRPr="0012597A">
          <w:rPr>
            <w:rFonts w:ascii="Times New Roman" w:eastAsia="Arial MT" w:hAnsi="Times New Roman" w:cs="Times New Roman"/>
            <w:sz w:val="20"/>
            <w:szCs w:val="24"/>
            <w:u w:val="single" w:color="0462C1"/>
          </w:rPr>
          <w:t>https://legislacion.edomex.gob.mx/sites/legislacion.edomex.gob.mx/files/files/pdf/ley/vig/leyvig022.pdf</w:t>
        </w:r>
      </w:hyperlink>
    </w:p>
    <w:p w14:paraId="339F2B29"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7C47939D"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Incurriendo en un conflicto de interés que debe ser investigado y sancionado por la Contraloría del Poder Legislativo.</w:t>
      </w:r>
      <w:r w:rsidRPr="0012597A">
        <w:rPr>
          <w:rFonts w:ascii="Times New Roman" w:eastAsia="Arial MT" w:hAnsi="Times New Roman" w:cs="Times New Roman"/>
          <w:color w:val="FF0000"/>
          <w:sz w:val="24"/>
          <w:szCs w:val="24"/>
          <w:vertAlign w:val="superscript"/>
        </w:rPr>
        <w:t>9</w:t>
      </w:r>
    </w:p>
    <w:p w14:paraId="60F6F86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7DA55A51"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De conformidad con lo anterior, someto a la consideración de la </w:t>
      </w:r>
      <w:r w:rsidRPr="0012597A">
        <w:rPr>
          <w:rFonts w:ascii="Times New Roman" w:eastAsia="Arial MT" w:hAnsi="Times New Roman" w:cs="Times New Roman"/>
          <w:b/>
          <w:sz w:val="24"/>
          <w:szCs w:val="24"/>
        </w:rPr>
        <w:t xml:space="preserve">“LXII” </w:t>
      </w:r>
      <w:r w:rsidRPr="0012597A">
        <w:rPr>
          <w:rFonts w:ascii="Times New Roman" w:eastAsia="Arial MT" w:hAnsi="Times New Roman" w:cs="Times New Roman"/>
          <w:sz w:val="24"/>
          <w:szCs w:val="24"/>
        </w:rPr>
        <w:t>Legislatura la adición de un segundo párrafo al artículo 12 de la Ley que crea los Organismos Públicos Descentralizados de Asistencia Social, de carácter municipal, denominados "Sistemas Municipales para el Desarrollo Integral de la Familia”, para establecer que:</w:t>
      </w:r>
    </w:p>
    <w:p w14:paraId="4B86C4C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0C379069" w14:textId="77777777" w:rsidR="0045564A" w:rsidRPr="0012597A" w:rsidRDefault="0045564A" w:rsidP="00EF1C7F">
      <w:pPr>
        <w:widowControl w:val="0"/>
        <w:autoSpaceDE w:val="0"/>
        <w:autoSpaceDN w:val="0"/>
        <w:spacing w:after="0" w:line="240" w:lineRule="auto"/>
        <w:contextualSpacing/>
        <w:mirrorIndents/>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“En ningún caso los nombramientos del Presidente, Secretario, Tesorero y Vocales recaerán en personas que tengan o hayan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titular de la Presidencia Municipal”.</w:t>
      </w:r>
    </w:p>
    <w:p w14:paraId="4AABD3A0"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3CE285E7"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Al mismo tiempo que propongo derogar el artículo 13 Bis-C, para que, de manera congruente con lo anterior, se elimine la referencia a que dichos cargos serán honoríficos, tomando en cuenta que la Junta de Gobierno o el Órgano de Gobierno se integra, de manera invariable, por personas servidoras públicas que ya devengan una remuneración en sus respectivas adscripciones.</w:t>
      </w:r>
    </w:p>
    <w:p w14:paraId="5937D48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DE0D7D8"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El Sol de Toluca. Presidencias de DIF municipales no pueden cobrar salario; es conflicto de intereses.</w:t>
      </w:r>
    </w:p>
    <w:p w14:paraId="45C55807"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0"/>
          <w:szCs w:val="24"/>
        </w:rPr>
      </w:pPr>
      <w:r w:rsidRPr="0012597A">
        <w:rPr>
          <w:rFonts w:ascii="Times New Roman" w:eastAsia="Arial MT" w:hAnsi="Times New Roman" w:cs="Times New Roman"/>
          <w:sz w:val="20"/>
          <w:szCs w:val="24"/>
        </w:rPr>
        <w:t xml:space="preserve">12 de enero de 2021. México. [En línea] </w:t>
      </w:r>
      <w:hyperlink r:id="rId43">
        <w:r w:rsidRPr="0012597A">
          <w:rPr>
            <w:rFonts w:ascii="Times New Roman" w:eastAsia="Arial MT" w:hAnsi="Times New Roman" w:cs="Times New Roman"/>
            <w:sz w:val="20"/>
            <w:szCs w:val="24"/>
            <w:u w:val="single" w:color="0462C1"/>
          </w:rPr>
          <w:t>https://oem.com.mx/elsoldetoluca/local/presidencias-de-dif-</w:t>
        </w:r>
      </w:hyperlink>
      <w:r w:rsidRPr="0012597A">
        <w:rPr>
          <w:rFonts w:ascii="Times New Roman" w:eastAsia="Arial MT" w:hAnsi="Times New Roman" w:cs="Times New Roman"/>
          <w:sz w:val="20"/>
          <w:szCs w:val="24"/>
        </w:rPr>
        <w:t xml:space="preserve"> </w:t>
      </w:r>
      <w:hyperlink r:id="rId44">
        <w:r w:rsidRPr="0012597A">
          <w:rPr>
            <w:rFonts w:ascii="Times New Roman" w:eastAsia="Arial MT" w:hAnsi="Times New Roman" w:cs="Times New Roman"/>
            <w:sz w:val="20"/>
            <w:szCs w:val="24"/>
            <w:u w:val="single" w:color="0462C1"/>
          </w:rPr>
          <w:t>municipales-no-pueden-cobrar-salario-es-conflicto-de-intereses-14425340</w:t>
        </w:r>
      </w:hyperlink>
    </w:p>
    <w:p w14:paraId="3ECEE739"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22895804"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Congruentemente con lo anterior, propongo reformar el segundo párrafo del artículo 21 de la Ley de Asistencia Social del Estado de México y Municipios.</w:t>
      </w:r>
    </w:p>
    <w:p w14:paraId="0A0250EC"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15E71B72"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Por lo anteriormente expuesto, fundado y motivado, se somete a la consideración de este H. Poder Legislativo del Estado de México, para su análisis, discusión y, en su caso, aprobación en sus términos, la presente </w:t>
      </w:r>
      <w:r w:rsidRPr="0012597A">
        <w:rPr>
          <w:rFonts w:ascii="Times New Roman" w:eastAsia="Arial MT" w:hAnsi="Times New Roman" w:cs="Times New Roman"/>
          <w:b/>
          <w:sz w:val="24"/>
          <w:szCs w:val="24"/>
        </w:rPr>
        <w:t>Iniciativa con proyecto de Decreto por el que se adiciona un segundo párrafo al artículo 12; se deroga el artículo 13 Bis- C de la Ley que crea los Organismos Públicos Descentralizados de Asistencia Social, de carácter municipal, denominados "Sistemas Municipales para el Desarrollo Integral de la Familia"; y, se reforma el segundo párrafo del artículo 21 de la Ley de Asistencia Social del Estado de México y Municipios</w:t>
      </w:r>
      <w:r w:rsidRPr="0012597A">
        <w:rPr>
          <w:rFonts w:ascii="Times New Roman" w:eastAsia="Arial MT" w:hAnsi="Times New Roman" w:cs="Times New Roman"/>
          <w:sz w:val="24"/>
          <w:szCs w:val="24"/>
        </w:rPr>
        <w:t xml:space="preserve">, </w:t>
      </w:r>
      <w:r w:rsidRPr="0012597A">
        <w:rPr>
          <w:rFonts w:ascii="Times New Roman" w:eastAsia="Arial MT" w:hAnsi="Times New Roman" w:cs="Times New Roman"/>
          <w:b/>
          <w:sz w:val="24"/>
          <w:szCs w:val="24"/>
        </w:rPr>
        <w:t>con el objeto de combatir el nepotismo.</w:t>
      </w:r>
    </w:p>
    <w:p w14:paraId="5E14903F"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55EEA4B1"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p w14:paraId="53C25E5F"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DIPUTADO JOSÉ MIGUEL GUTIÉRREZ MORALES</w:t>
      </w:r>
    </w:p>
    <w:p w14:paraId="62AB3C33"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INTEGRANTE DEL GRUPO PARLAMENTARIO MORENA</w:t>
      </w:r>
    </w:p>
    <w:p w14:paraId="5E315AA0"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266E8DC2"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2E671B70"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PROYECTO DE DECRETO</w:t>
      </w:r>
    </w:p>
    <w:p w14:paraId="44946696"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0C306C9A"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DECRETO NÚMERO</w:t>
      </w:r>
      <w:r w:rsidRPr="0012597A">
        <w:rPr>
          <w:rFonts w:ascii="Times New Roman" w:eastAsia="Arial MT" w:hAnsi="Times New Roman" w:cs="Times New Roman"/>
          <w:b/>
          <w:sz w:val="24"/>
          <w:szCs w:val="24"/>
          <w:u w:val="single"/>
        </w:rPr>
        <w:t xml:space="preserve">   </w:t>
      </w:r>
    </w:p>
    <w:p w14:paraId="38C2F6D5"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LXII LEGISLATURA DEL ESTADO DE MÉXICO</w:t>
      </w:r>
    </w:p>
    <w:p w14:paraId="2A842DA2"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lastRenderedPageBreak/>
        <w:t>DECRETA:</w:t>
      </w:r>
    </w:p>
    <w:p w14:paraId="2BD77B0A"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04980AA6"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PRIMERO. </w:t>
      </w:r>
      <w:r w:rsidRPr="0012597A">
        <w:rPr>
          <w:rFonts w:ascii="Times New Roman" w:eastAsia="Arial MT" w:hAnsi="Times New Roman" w:cs="Times New Roman"/>
          <w:sz w:val="24"/>
          <w:szCs w:val="24"/>
        </w:rPr>
        <w:t>Se adiciona un segundo párrafo al artículo 12; y, se deroga el artículo 13 Bis-C de la Ley que crea los Organismos Públicos Descentralizados de Asistencia Social, de carácter municipal, denominados "Sistemas Municipales para el Desarrollo Integral de la Familia", para quedar como sigue:</w:t>
      </w:r>
    </w:p>
    <w:p w14:paraId="57DD37E1"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5CB587B5" w14:textId="77777777" w:rsidR="0045564A" w:rsidRPr="0012597A" w:rsidRDefault="0045564A" w:rsidP="00EF1C7F">
      <w:pPr>
        <w:widowControl w:val="0"/>
        <w:autoSpaceDE w:val="0"/>
        <w:autoSpaceDN w:val="0"/>
        <w:spacing w:after="0" w:line="240" w:lineRule="auto"/>
        <w:contextualSpacing/>
        <w:mirrorIndents/>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Artículo 12.-  …</w:t>
      </w:r>
    </w:p>
    <w:p w14:paraId="3B2403D8"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6FB44E2E"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En ningún caso los nombramientos del Presidente, Secretario, Tesorero y Vocales recaerán en personas que tengan o hayan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titular de la presidencia municipal.</w:t>
      </w:r>
    </w:p>
    <w:p w14:paraId="73283D4F"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69C4F09D"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13 Bis-C.- </w:t>
      </w:r>
      <w:r w:rsidRPr="0012597A">
        <w:rPr>
          <w:rFonts w:ascii="Times New Roman" w:eastAsia="Arial MT" w:hAnsi="Times New Roman" w:cs="Times New Roman"/>
          <w:sz w:val="24"/>
          <w:szCs w:val="24"/>
        </w:rPr>
        <w:t>Derogado.</w:t>
      </w:r>
    </w:p>
    <w:p w14:paraId="434FAD0C"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2AE826B"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SEGUNDO. </w:t>
      </w:r>
      <w:r w:rsidRPr="0012597A">
        <w:rPr>
          <w:rFonts w:ascii="Times New Roman" w:eastAsia="Arial MT" w:hAnsi="Times New Roman" w:cs="Times New Roman"/>
          <w:sz w:val="24"/>
          <w:szCs w:val="24"/>
        </w:rPr>
        <w:t>Se reforma el segundo párrafo del artículo 21 de la Ley de Asistencia Social del Estado de México y Municipios, para quedar como sigue:</w:t>
      </w:r>
    </w:p>
    <w:p w14:paraId="5BCE33A3"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109FDC38" w14:textId="77777777" w:rsidR="0045564A" w:rsidRPr="0012597A" w:rsidRDefault="0045564A" w:rsidP="00EF1C7F">
      <w:pPr>
        <w:widowControl w:val="0"/>
        <w:autoSpaceDE w:val="0"/>
        <w:autoSpaceDN w:val="0"/>
        <w:spacing w:after="0" w:line="240" w:lineRule="auto"/>
        <w:contextualSpacing/>
        <w:mirrorIndents/>
        <w:jc w:val="both"/>
        <w:outlineLvl w:val="0"/>
        <w:rPr>
          <w:rFonts w:ascii="Times New Roman" w:eastAsia="Arial" w:hAnsi="Times New Roman" w:cs="Times New Roman"/>
          <w:bCs/>
          <w:sz w:val="24"/>
          <w:szCs w:val="24"/>
        </w:rPr>
      </w:pPr>
      <w:r w:rsidRPr="0012597A">
        <w:rPr>
          <w:rFonts w:ascii="Times New Roman" w:eastAsia="Arial" w:hAnsi="Times New Roman" w:cs="Times New Roman"/>
          <w:b/>
          <w:bCs/>
          <w:sz w:val="24"/>
          <w:szCs w:val="24"/>
        </w:rPr>
        <w:t xml:space="preserve">Artículo 21.-  </w:t>
      </w:r>
      <w:r w:rsidRPr="0012597A">
        <w:rPr>
          <w:rFonts w:ascii="Times New Roman" w:eastAsia="Arial" w:hAnsi="Times New Roman" w:cs="Times New Roman"/>
          <w:bCs/>
          <w:sz w:val="24"/>
          <w:szCs w:val="24"/>
        </w:rPr>
        <w:t>…</w:t>
      </w:r>
    </w:p>
    <w:p w14:paraId="5FD00850"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ADBD933"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r w:rsidRPr="0012597A">
        <w:rPr>
          <w:rFonts w:ascii="Times New Roman" w:eastAsia="Arial MT" w:hAnsi="Times New Roman" w:cs="Times New Roman"/>
          <w:sz w:val="24"/>
          <w:szCs w:val="24"/>
        </w:rPr>
        <w:t>I. a V.</w:t>
      </w:r>
      <w:r w:rsidRPr="0012597A">
        <w:rPr>
          <w:rFonts w:ascii="Times New Roman" w:eastAsia="Arial MT" w:hAnsi="Times New Roman" w:cs="Times New Roman"/>
          <w:sz w:val="24"/>
          <w:szCs w:val="24"/>
        </w:rPr>
        <w:tab/>
      </w:r>
      <w:r w:rsidRPr="0012597A">
        <w:rPr>
          <w:rFonts w:ascii="Times New Roman" w:eastAsia="Arial MT" w:hAnsi="Times New Roman" w:cs="Times New Roman"/>
          <w:b/>
          <w:sz w:val="24"/>
          <w:szCs w:val="24"/>
        </w:rPr>
        <w:t>…</w:t>
      </w:r>
    </w:p>
    <w:p w14:paraId="6F286832"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7C322ADD"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En ningún caso los nombramientos del Presidente, Secretario, Tesorero y Vocales recaerán en personas que tengan o hayan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titular de la presidencia municipal.</w:t>
      </w:r>
    </w:p>
    <w:p w14:paraId="2BA36549"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78213CE8"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TRANSITORIOS</w:t>
      </w:r>
    </w:p>
    <w:p w14:paraId="2E2A8792"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309FA61C"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Publíquese el presente Decreto en el Periódico Oficial “Gaceta del Gobierno”.</w:t>
      </w:r>
    </w:p>
    <w:p w14:paraId="77B4513E"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5B9DA5E4"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El presente Decreto entrará en vigor al día siguiente de su publicación en el Periódico Oficial “Gaceta del Gobierno”.</w:t>
      </w:r>
    </w:p>
    <w:p w14:paraId="49F20B19"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65A08DCE"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Se derogan todas las disposiciones de igual o menor jerarquía que contravengan al presente Decreto.</w:t>
      </w:r>
    </w:p>
    <w:p w14:paraId="5B6CFBD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7F0739E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r w:rsidRPr="0012597A">
        <w:rPr>
          <w:rFonts w:ascii="Times New Roman" w:eastAsia="Arial MT" w:hAnsi="Times New Roman" w:cs="Times New Roman"/>
          <w:sz w:val="24"/>
          <w:szCs w:val="24"/>
        </w:rPr>
        <w:t>Lo tendrá entendido la Gobernadora del Estado, haciendo que se publique y se cumpla.</w:t>
      </w:r>
    </w:p>
    <w:p w14:paraId="534647D6"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4A3EB7A1" w14:textId="77777777" w:rsidR="0045564A" w:rsidRPr="0012597A" w:rsidRDefault="0045564A" w:rsidP="00EF1C7F">
      <w:pPr>
        <w:widowControl w:val="0"/>
        <w:autoSpaceDE w:val="0"/>
        <w:autoSpaceDN w:val="0"/>
        <w:spacing w:after="0" w:line="240" w:lineRule="auto"/>
        <w:contextualSpacing/>
        <w:mirrorIndents/>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Dado en el Palacio del Poder Legislativo, en la ciudad de Toluca de Lerdo, capital del Estado de México, a los …. días del mes de febrero del año dos mil veintiséis.</w:t>
      </w:r>
    </w:p>
    <w:p w14:paraId="631781F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17E2B356"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ATENTAMENTE</w:t>
      </w:r>
    </w:p>
    <w:p w14:paraId="6F069759"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6AE91882"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lastRenderedPageBreak/>
        <w:t>DIPUTADO MIGUEL GUTIÉRREZ</w:t>
      </w:r>
    </w:p>
    <w:p w14:paraId="0B5E11B7"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GRUPO PARLAMENTARIO DE MORENA</w:t>
      </w:r>
    </w:p>
    <w:p w14:paraId="32DA4EE8"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54FD9B6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1"/>
        <w:gridCol w:w="4489"/>
      </w:tblGrid>
      <w:tr w:rsidR="0045564A" w:rsidRPr="0012597A" w14:paraId="0F2679D0" w14:textId="77777777" w:rsidTr="007C105C">
        <w:trPr>
          <w:trHeight w:val="20"/>
          <w:jc w:val="center"/>
        </w:trPr>
        <w:tc>
          <w:tcPr>
            <w:tcW w:w="4491" w:type="dxa"/>
            <w:shd w:val="clear" w:color="auto" w:fill="FFC000"/>
          </w:tcPr>
          <w:p w14:paraId="203F49BC"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TEXTO VIGENTE</w:t>
            </w:r>
          </w:p>
          <w:p w14:paraId="36FC752F"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p>
          <w:p w14:paraId="0E285548"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LEY QUE CREA LOS ORGANISMOS PUBLICOS DESCENTRALIZADOS DE ASISTENCIA SOCIAL, DE CARÁCTER MUNICIPAL, DENOMINADOS "SISTEMAS MUNICIPALES PARA EL DESARROLLO INTEGRAL DE LA</w:t>
            </w:r>
          </w:p>
          <w:p w14:paraId="3C5C7064"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FAMILIA"</w:t>
            </w:r>
          </w:p>
        </w:tc>
        <w:tc>
          <w:tcPr>
            <w:tcW w:w="4489" w:type="dxa"/>
            <w:shd w:val="clear" w:color="auto" w:fill="FFC000"/>
          </w:tcPr>
          <w:p w14:paraId="41507FE0"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TEXTO PROPUESTO</w:t>
            </w:r>
          </w:p>
          <w:p w14:paraId="48467C28"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p>
          <w:p w14:paraId="5315E4D2"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LEY QUE CREA LOS ORGANISMOS PUBLICOS DESCENTRALIZADOS DE ASISTENCIA SOCIAL, DE CARÁCTER MUNICIPAL, DENOMINADOS "SISTEMAS MUNICIPALES PARA EL DESARROLLO INTEGRAL DE LA</w:t>
            </w:r>
          </w:p>
          <w:p w14:paraId="09F82169"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FAMILIA"</w:t>
            </w:r>
          </w:p>
        </w:tc>
      </w:tr>
      <w:tr w:rsidR="0045564A" w:rsidRPr="0012597A" w14:paraId="151347BE" w14:textId="77777777" w:rsidTr="007C105C">
        <w:trPr>
          <w:trHeight w:val="20"/>
          <w:jc w:val="center"/>
        </w:trPr>
        <w:tc>
          <w:tcPr>
            <w:tcW w:w="4491" w:type="dxa"/>
          </w:tcPr>
          <w:p w14:paraId="521BCAAC"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p>
          <w:p w14:paraId="0F3B0579" w14:textId="77777777" w:rsidR="0045564A" w:rsidRPr="0012597A" w:rsidRDefault="0045564A" w:rsidP="00EF1C7F">
            <w:pPr>
              <w:spacing w:line="240" w:lineRule="auto"/>
              <w:contextualSpacing/>
              <w:mirrorIndents/>
              <w:jc w:val="both"/>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12.- </w:t>
            </w:r>
            <w:r w:rsidRPr="0012597A">
              <w:rPr>
                <w:rFonts w:ascii="Times New Roman" w:eastAsia="Arial" w:hAnsi="Times New Roman" w:cs="Times New Roman"/>
                <w:sz w:val="24"/>
                <w:szCs w:val="24"/>
                <w:lang w:val="es-MX"/>
              </w:rPr>
              <w:t>El Órgano Superior de los Organismos será la Junta de Gobierno, la cual se integrará con un Presidente, un Secretario, un Tesorero y dos Vocales. Recayendo la Presidencia en la persona que al efecto nombre el C. Presidente Municipal, lo mismo el Secretario, que en todo caso será el Director, el Tesorero será la persona que designe el Presidente de la Junta de Gobierno y los Vocales serán dos funcionarios Municipales, cuya actividad se encuentre más relacionada con los objetivos de los Organismos.</w:t>
            </w:r>
          </w:p>
        </w:tc>
        <w:tc>
          <w:tcPr>
            <w:tcW w:w="4489" w:type="dxa"/>
          </w:tcPr>
          <w:p w14:paraId="664DB664"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p>
          <w:p w14:paraId="4E5B0673" w14:textId="77777777" w:rsidR="0045564A" w:rsidRPr="0012597A" w:rsidRDefault="0045564A" w:rsidP="00EF1C7F">
            <w:pPr>
              <w:spacing w:line="240" w:lineRule="auto"/>
              <w:contextualSpacing/>
              <w:mirrorIndents/>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Artículo 12.- ..</w:t>
            </w:r>
            <w:r w:rsidRPr="0012597A">
              <w:rPr>
                <w:rFonts w:ascii="Times New Roman" w:eastAsia="Arial" w:hAnsi="Times New Roman" w:cs="Times New Roman"/>
                <w:sz w:val="24"/>
                <w:szCs w:val="24"/>
                <w:lang w:val="es-MX"/>
              </w:rPr>
              <w:t>.</w:t>
            </w:r>
          </w:p>
        </w:tc>
      </w:tr>
      <w:tr w:rsidR="0045564A" w:rsidRPr="0012597A" w14:paraId="5C304B2B" w14:textId="77777777" w:rsidTr="007C105C">
        <w:trPr>
          <w:trHeight w:val="3541"/>
          <w:jc w:val="center"/>
        </w:trPr>
        <w:tc>
          <w:tcPr>
            <w:tcW w:w="4491" w:type="dxa"/>
          </w:tcPr>
          <w:p w14:paraId="250038D7" w14:textId="77777777" w:rsidR="0045564A" w:rsidRPr="0012597A" w:rsidRDefault="0045564A" w:rsidP="00EF1C7F">
            <w:pPr>
              <w:spacing w:line="240" w:lineRule="auto"/>
              <w:contextualSpacing/>
              <w:mirrorIndents/>
              <w:rPr>
                <w:rFonts w:ascii="Times New Roman" w:eastAsia="Arial" w:hAnsi="Times New Roman" w:cs="Times New Roman"/>
                <w:sz w:val="24"/>
                <w:szCs w:val="24"/>
                <w:lang w:val="es-MX"/>
              </w:rPr>
            </w:pPr>
          </w:p>
        </w:tc>
        <w:tc>
          <w:tcPr>
            <w:tcW w:w="4489" w:type="dxa"/>
          </w:tcPr>
          <w:p w14:paraId="149159FD"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p>
          <w:p w14:paraId="2735F622" w14:textId="77777777" w:rsidR="0045564A" w:rsidRPr="0012597A" w:rsidRDefault="0045564A" w:rsidP="00EF1C7F">
            <w:pPr>
              <w:spacing w:line="240" w:lineRule="auto"/>
              <w:contextualSpacing/>
              <w:mirrorIndents/>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En ningún caso los nombramientos del Presidente, Secretario, Tesorero y Vocales recaerán en personas que tengan o hayan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titular de la presidencia municipal.</w:t>
            </w:r>
          </w:p>
        </w:tc>
      </w:tr>
      <w:tr w:rsidR="0045564A" w:rsidRPr="0012597A" w14:paraId="3084ABA3" w14:textId="77777777" w:rsidTr="007C105C">
        <w:trPr>
          <w:trHeight w:val="1124"/>
          <w:jc w:val="center"/>
        </w:trPr>
        <w:tc>
          <w:tcPr>
            <w:tcW w:w="4491" w:type="dxa"/>
          </w:tcPr>
          <w:p w14:paraId="43C0A223"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p>
          <w:p w14:paraId="5018F9AC" w14:textId="77777777" w:rsidR="0045564A" w:rsidRPr="0012597A" w:rsidRDefault="0045564A" w:rsidP="00EF1C7F">
            <w:pPr>
              <w:spacing w:line="240" w:lineRule="auto"/>
              <w:contextualSpacing/>
              <w:mirrorIndents/>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13 Bis-C.- </w:t>
            </w:r>
            <w:r w:rsidRPr="0012597A">
              <w:rPr>
                <w:rFonts w:ascii="Times New Roman" w:eastAsia="Arial" w:hAnsi="Times New Roman" w:cs="Times New Roman"/>
                <w:sz w:val="24"/>
                <w:szCs w:val="24"/>
                <w:lang w:val="es-MX"/>
              </w:rPr>
              <w:t>Los cargos de los miembros de la Junta serán honoríficos.</w:t>
            </w:r>
          </w:p>
        </w:tc>
        <w:tc>
          <w:tcPr>
            <w:tcW w:w="4489" w:type="dxa"/>
          </w:tcPr>
          <w:p w14:paraId="692F16F8"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p>
          <w:p w14:paraId="4E911FFA" w14:textId="77777777" w:rsidR="0045564A" w:rsidRPr="0012597A" w:rsidRDefault="0045564A" w:rsidP="00EF1C7F">
            <w:pPr>
              <w:spacing w:line="240" w:lineRule="auto"/>
              <w:contextualSpacing/>
              <w:mirrorIndents/>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Derogado.</w:t>
            </w:r>
          </w:p>
        </w:tc>
      </w:tr>
    </w:tbl>
    <w:p w14:paraId="1F0B9E94"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1BCF66DD"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p w14:paraId="7EA9F09E" w14:textId="77777777" w:rsidR="0045564A" w:rsidRPr="0012597A" w:rsidRDefault="0045564A" w:rsidP="00EF1C7F">
      <w:pPr>
        <w:widowControl w:val="0"/>
        <w:autoSpaceDE w:val="0"/>
        <w:autoSpaceDN w:val="0"/>
        <w:spacing w:after="0" w:line="240" w:lineRule="auto"/>
        <w:contextualSpacing/>
        <w:mirrorIndents/>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LEY DE ASISTENCIA SOCIAL DEL ESTADO DE MÉXICO Y MUNICIPIOS</w:t>
      </w:r>
    </w:p>
    <w:p w14:paraId="5880D06A"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b/>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1"/>
        <w:gridCol w:w="4489"/>
      </w:tblGrid>
      <w:tr w:rsidR="0045564A" w:rsidRPr="0012597A" w14:paraId="3B7F0EEE" w14:textId="77777777" w:rsidTr="007C105C">
        <w:trPr>
          <w:trHeight w:val="20"/>
          <w:jc w:val="center"/>
        </w:trPr>
        <w:tc>
          <w:tcPr>
            <w:tcW w:w="4491" w:type="dxa"/>
            <w:shd w:val="clear" w:color="auto" w:fill="FFC000"/>
          </w:tcPr>
          <w:p w14:paraId="60C84574"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TEXTO VIGENTE</w:t>
            </w:r>
          </w:p>
          <w:p w14:paraId="7E1D4FE6"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p>
          <w:p w14:paraId="458F25D0"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lastRenderedPageBreak/>
              <w:t>LEY DE ASISTENCIA SOCIAL DEL ESTADO DE MÉXICO Y MUNICIPIOS</w:t>
            </w:r>
          </w:p>
        </w:tc>
        <w:tc>
          <w:tcPr>
            <w:tcW w:w="4489" w:type="dxa"/>
            <w:shd w:val="clear" w:color="auto" w:fill="FFC000"/>
          </w:tcPr>
          <w:p w14:paraId="1FAA6EC3"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lastRenderedPageBreak/>
              <w:t>TEXTO PROPUESTO</w:t>
            </w:r>
          </w:p>
          <w:p w14:paraId="6867EC47"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p>
          <w:p w14:paraId="75E05DE5" w14:textId="77777777" w:rsidR="0045564A" w:rsidRPr="0012597A" w:rsidRDefault="0045564A" w:rsidP="00EF1C7F">
            <w:pPr>
              <w:spacing w:line="240" w:lineRule="auto"/>
              <w:contextualSpacing/>
              <w:mirrorIndents/>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lastRenderedPageBreak/>
              <w:t>LEY DE ASISTENCIA SOCIAL DEL ESTADO DE MÉXICO Y MUNICIPIOS</w:t>
            </w:r>
          </w:p>
        </w:tc>
      </w:tr>
      <w:tr w:rsidR="007C105C" w:rsidRPr="0012597A" w14:paraId="1D8D2A9D" w14:textId="77777777" w:rsidTr="00732F53">
        <w:trPr>
          <w:trHeight w:val="7257"/>
          <w:jc w:val="center"/>
        </w:trPr>
        <w:tc>
          <w:tcPr>
            <w:tcW w:w="4491" w:type="dxa"/>
          </w:tcPr>
          <w:p w14:paraId="146C9A4E"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25684DA5" w14:textId="77777777" w:rsidR="007C105C" w:rsidRPr="0012597A" w:rsidRDefault="007C105C" w:rsidP="00EF1C7F">
            <w:pPr>
              <w:spacing w:line="240" w:lineRule="auto"/>
              <w:contextualSpacing/>
              <w:mirrorIndents/>
              <w:jc w:val="both"/>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21.- </w:t>
            </w:r>
            <w:r w:rsidRPr="0012597A">
              <w:rPr>
                <w:rFonts w:ascii="Times New Roman" w:eastAsia="Arial" w:hAnsi="Times New Roman" w:cs="Times New Roman"/>
                <w:sz w:val="24"/>
                <w:szCs w:val="24"/>
                <w:lang w:val="es-MX"/>
              </w:rPr>
              <w:t>El órgano superior del DIFEM será la Junta de Gobierno, la cual estará integrada de la forma siguiente:</w:t>
            </w:r>
          </w:p>
          <w:p w14:paraId="2D778C55"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5E4F671A" w14:textId="77777777" w:rsidR="007C105C" w:rsidRPr="0012597A" w:rsidRDefault="007C105C" w:rsidP="00EF1C7F">
            <w:pPr>
              <w:numPr>
                <w:ilvl w:val="0"/>
                <w:numId w:val="8"/>
              </w:numPr>
              <w:spacing w:line="240" w:lineRule="auto"/>
              <w:ind w:firstLine="0"/>
              <w:contextualSpacing/>
              <w:mirrorIndents/>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Una Presidencia, que estará a cargo de la persona Titular del Poder Ejecutivo del Estado o la persona que ella designe;</w:t>
            </w:r>
          </w:p>
          <w:p w14:paraId="27334290"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748D5A49" w14:textId="77777777" w:rsidR="007C105C" w:rsidRPr="0012597A" w:rsidRDefault="007C105C" w:rsidP="00EF1C7F">
            <w:pPr>
              <w:numPr>
                <w:ilvl w:val="0"/>
                <w:numId w:val="8"/>
              </w:numPr>
              <w:spacing w:line="240" w:lineRule="auto"/>
              <w:ind w:firstLine="0"/>
              <w:contextualSpacing/>
              <w:mirrorIndents/>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Una Vicepresidencia, que estará a cargo de la persona designada por la persona Titular del Poder Ejecutivo del Estado;</w:t>
            </w:r>
          </w:p>
          <w:p w14:paraId="6DCDA9C3"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7F54097B" w14:textId="77777777" w:rsidR="007C105C" w:rsidRPr="0012597A" w:rsidRDefault="007C105C" w:rsidP="00EF1C7F">
            <w:pPr>
              <w:numPr>
                <w:ilvl w:val="0"/>
                <w:numId w:val="8"/>
              </w:numPr>
              <w:spacing w:line="240" w:lineRule="auto"/>
              <w:contextualSpacing/>
              <w:mirrorIndents/>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La Secretaría que estará a cargo de la persona Titular de la Dirección General del DIFEM;</w:t>
            </w:r>
          </w:p>
          <w:p w14:paraId="55FCA619"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587CF502" w14:textId="77777777" w:rsidR="007C105C" w:rsidRPr="0012597A" w:rsidRDefault="007C105C" w:rsidP="00EF1C7F">
            <w:pPr>
              <w:numPr>
                <w:ilvl w:val="0"/>
                <w:numId w:val="6"/>
              </w:numPr>
              <w:spacing w:line="240" w:lineRule="auto"/>
              <w:ind w:left="0" w:firstLine="0"/>
              <w:contextualSpacing/>
              <w:mirrorIndents/>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Cinco Vocales, que serán las personas titulares de las Secretarías de: Finanzas, Educación, Ciencia, Tecnología e Innovación, Salud, Bienestar, y de la Fiscalía General de Justicia del Estado de México, y</w:t>
            </w:r>
          </w:p>
          <w:p w14:paraId="4CD02518"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682BDB9D" w14:textId="77777777" w:rsidR="007C105C" w:rsidRPr="0012597A" w:rsidRDefault="007C105C" w:rsidP="00EF1C7F">
            <w:pPr>
              <w:numPr>
                <w:ilvl w:val="0"/>
                <w:numId w:val="6"/>
              </w:numPr>
              <w:spacing w:line="240" w:lineRule="auto"/>
              <w:ind w:left="0" w:firstLine="0"/>
              <w:contextualSpacing/>
              <w:mirrorIndents/>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Una Comisaría, que estará a cargo de la persona designada por la persona Titular de la Secretaría de la Contraloría.</w:t>
            </w:r>
          </w:p>
          <w:p w14:paraId="75950454"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05F698CD" w14:textId="70D3F2BD" w:rsidR="007C105C" w:rsidRPr="0012597A" w:rsidRDefault="007C105C" w:rsidP="00EF1C7F">
            <w:pPr>
              <w:spacing w:line="240" w:lineRule="auto"/>
              <w:contextualSpacing/>
              <w:mirrorIndents/>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Los cargos de los integrantes de la Junta de Gobierno serán honoríficos.</w:t>
            </w:r>
          </w:p>
        </w:tc>
        <w:tc>
          <w:tcPr>
            <w:tcW w:w="4489" w:type="dxa"/>
          </w:tcPr>
          <w:p w14:paraId="6050A6CB"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111BAE0A" w14:textId="77777777" w:rsidR="007C105C" w:rsidRPr="0012597A" w:rsidRDefault="007C105C" w:rsidP="00EF1C7F">
            <w:pPr>
              <w:spacing w:line="240" w:lineRule="auto"/>
              <w:contextualSpacing/>
              <w:mirrorIndents/>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Artículo 21.-</w:t>
            </w:r>
            <w:r w:rsidRPr="0012597A">
              <w:rPr>
                <w:rFonts w:ascii="Times New Roman" w:eastAsia="Arial" w:hAnsi="Times New Roman" w:cs="Times New Roman"/>
                <w:b/>
                <w:sz w:val="24"/>
                <w:szCs w:val="24"/>
                <w:lang w:val="es-MX"/>
              </w:rPr>
              <w:tab/>
            </w:r>
            <w:r w:rsidRPr="0012597A">
              <w:rPr>
                <w:rFonts w:ascii="Times New Roman" w:eastAsia="Arial" w:hAnsi="Times New Roman" w:cs="Times New Roman"/>
                <w:sz w:val="24"/>
                <w:szCs w:val="24"/>
                <w:lang w:val="es-MX"/>
              </w:rPr>
              <w:t>…</w:t>
            </w:r>
          </w:p>
          <w:p w14:paraId="6DF06582"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3A732F0D"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3297A891"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08BBA3AF" w14:textId="77777777" w:rsidR="007C105C" w:rsidRPr="0012597A" w:rsidRDefault="007C105C" w:rsidP="00EF1C7F">
            <w:pPr>
              <w:numPr>
                <w:ilvl w:val="0"/>
                <w:numId w:val="7"/>
              </w:numPr>
              <w:spacing w:line="240" w:lineRule="auto"/>
              <w:contextualSpacing/>
              <w:mirrorIndents/>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a V.</w:t>
            </w:r>
            <w:r w:rsidRPr="0012597A">
              <w:rPr>
                <w:rFonts w:ascii="Times New Roman" w:eastAsia="Arial" w:hAnsi="Times New Roman" w:cs="Times New Roman"/>
                <w:b/>
                <w:sz w:val="24"/>
                <w:szCs w:val="24"/>
                <w:lang w:val="es-MX"/>
              </w:rPr>
              <w:tab/>
              <w:t>…</w:t>
            </w:r>
          </w:p>
          <w:p w14:paraId="21832C25"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40414A6D"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23D12046"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28CFEDC1"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4BE0D42A"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0B381AF0"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026E2E33" w14:textId="1458B61B"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2A4EF470" w14:textId="3204433B" w:rsidR="00CC4D1D" w:rsidRPr="0012597A" w:rsidRDefault="00CC4D1D" w:rsidP="00EF1C7F">
            <w:pPr>
              <w:spacing w:line="240" w:lineRule="auto"/>
              <w:contextualSpacing/>
              <w:mirrorIndents/>
              <w:rPr>
                <w:rFonts w:ascii="Times New Roman" w:eastAsia="Arial" w:hAnsi="Times New Roman" w:cs="Times New Roman"/>
                <w:b/>
                <w:sz w:val="24"/>
                <w:szCs w:val="24"/>
                <w:lang w:val="es-MX"/>
              </w:rPr>
            </w:pPr>
          </w:p>
          <w:p w14:paraId="68940067" w14:textId="10E064AF" w:rsidR="00CC4D1D" w:rsidRPr="0012597A" w:rsidRDefault="00CC4D1D" w:rsidP="00EF1C7F">
            <w:pPr>
              <w:spacing w:line="240" w:lineRule="auto"/>
              <w:contextualSpacing/>
              <w:mirrorIndents/>
              <w:rPr>
                <w:rFonts w:ascii="Times New Roman" w:eastAsia="Arial" w:hAnsi="Times New Roman" w:cs="Times New Roman"/>
                <w:b/>
                <w:sz w:val="24"/>
                <w:szCs w:val="24"/>
                <w:lang w:val="es-MX"/>
              </w:rPr>
            </w:pPr>
          </w:p>
          <w:p w14:paraId="0B834B52" w14:textId="46ED2FAD" w:rsidR="00CC4D1D" w:rsidRPr="0012597A" w:rsidRDefault="00CC4D1D" w:rsidP="00EF1C7F">
            <w:pPr>
              <w:spacing w:line="240" w:lineRule="auto"/>
              <w:contextualSpacing/>
              <w:mirrorIndents/>
              <w:rPr>
                <w:rFonts w:ascii="Times New Roman" w:eastAsia="Arial" w:hAnsi="Times New Roman" w:cs="Times New Roman"/>
                <w:b/>
                <w:sz w:val="24"/>
                <w:szCs w:val="24"/>
                <w:lang w:val="es-MX"/>
              </w:rPr>
            </w:pPr>
          </w:p>
          <w:p w14:paraId="144AE41B" w14:textId="181D94A3" w:rsidR="00CC4D1D" w:rsidRPr="0012597A" w:rsidRDefault="00CC4D1D" w:rsidP="00EF1C7F">
            <w:pPr>
              <w:spacing w:line="240" w:lineRule="auto"/>
              <w:contextualSpacing/>
              <w:mirrorIndents/>
              <w:rPr>
                <w:rFonts w:ascii="Times New Roman" w:eastAsia="Arial" w:hAnsi="Times New Roman" w:cs="Times New Roman"/>
                <w:b/>
                <w:sz w:val="24"/>
                <w:szCs w:val="24"/>
                <w:lang w:val="es-MX"/>
              </w:rPr>
            </w:pPr>
          </w:p>
          <w:p w14:paraId="41DBE6DD" w14:textId="2C348839" w:rsidR="00CC4D1D" w:rsidRPr="0012597A" w:rsidRDefault="00CC4D1D" w:rsidP="00EF1C7F">
            <w:pPr>
              <w:spacing w:line="240" w:lineRule="auto"/>
              <w:contextualSpacing/>
              <w:mirrorIndents/>
              <w:rPr>
                <w:rFonts w:ascii="Times New Roman" w:eastAsia="Arial" w:hAnsi="Times New Roman" w:cs="Times New Roman"/>
                <w:b/>
                <w:sz w:val="24"/>
                <w:szCs w:val="24"/>
                <w:lang w:val="es-MX"/>
              </w:rPr>
            </w:pPr>
          </w:p>
          <w:p w14:paraId="765AC7AC" w14:textId="13AB10F1" w:rsidR="00CC4D1D" w:rsidRPr="0012597A" w:rsidRDefault="00CC4D1D" w:rsidP="00EF1C7F">
            <w:pPr>
              <w:spacing w:line="240" w:lineRule="auto"/>
              <w:contextualSpacing/>
              <w:mirrorIndents/>
              <w:rPr>
                <w:rFonts w:ascii="Times New Roman" w:eastAsia="Arial" w:hAnsi="Times New Roman" w:cs="Times New Roman"/>
                <w:b/>
                <w:sz w:val="24"/>
                <w:szCs w:val="24"/>
                <w:lang w:val="es-MX"/>
              </w:rPr>
            </w:pPr>
          </w:p>
          <w:p w14:paraId="24B59FFB" w14:textId="77777777" w:rsidR="00CC4D1D" w:rsidRPr="0012597A" w:rsidRDefault="00CC4D1D" w:rsidP="00EF1C7F">
            <w:pPr>
              <w:spacing w:line="240" w:lineRule="auto"/>
              <w:contextualSpacing/>
              <w:mirrorIndents/>
              <w:rPr>
                <w:rFonts w:ascii="Times New Roman" w:eastAsia="Arial" w:hAnsi="Times New Roman" w:cs="Times New Roman"/>
                <w:b/>
                <w:sz w:val="24"/>
                <w:szCs w:val="24"/>
                <w:lang w:val="es-MX"/>
              </w:rPr>
            </w:pPr>
          </w:p>
          <w:p w14:paraId="57EF192B"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0AA55AC6"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04980160"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56797021"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0BCF7AEF"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31ABC73E"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260753A4" w14:textId="77777777" w:rsidR="007C105C" w:rsidRPr="0012597A" w:rsidRDefault="007C105C" w:rsidP="00EF1C7F">
            <w:pPr>
              <w:spacing w:line="240" w:lineRule="auto"/>
              <w:contextualSpacing/>
              <w:mirrorIndents/>
              <w:rPr>
                <w:rFonts w:ascii="Times New Roman" w:eastAsia="Arial" w:hAnsi="Times New Roman" w:cs="Times New Roman"/>
                <w:b/>
                <w:sz w:val="24"/>
                <w:szCs w:val="24"/>
                <w:lang w:val="es-MX"/>
              </w:rPr>
            </w:pPr>
          </w:p>
          <w:p w14:paraId="7F2A8715" w14:textId="02208450" w:rsidR="007C105C" w:rsidRPr="0012597A" w:rsidRDefault="007C105C" w:rsidP="00EF1C7F">
            <w:pPr>
              <w:spacing w:line="240" w:lineRule="auto"/>
              <w:contextualSpacing/>
              <w:mirrorIndents/>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En ningún caso los nombramientos del Presidente, Secretario, Tesorero y Vocales recaerán en personas que tengan o hayan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titular de la presidencia municipal.</w:t>
            </w:r>
          </w:p>
        </w:tc>
      </w:tr>
    </w:tbl>
    <w:p w14:paraId="076669AE" w14:textId="77777777" w:rsidR="009E3DA7" w:rsidRPr="0012597A" w:rsidRDefault="009E3DA7" w:rsidP="00EF1C7F">
      <w:pPr>
        <w:spacing w:after="0" w:line="240" w:lineRule="auto"/>
        <w:jc w:val="center"/>
        <w:rPr>
          <w:rFonts w:ascii="Times New Roman" w:hAnsi="Times New Roman"/>
          <w:sz w:val="24"/>
          <w:szCs w:val="24"/>
        </w:rPr>
      </w:pPr>
    </w:p>
    <w:p w14:paraId="7EF0E5B0" w14:textId="77777777" w:rsidR="009E3DA7" w:rsidRPr="0012597A" w:rsidRDefault="009E3DA7"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2D261025" w14:textId="77777777" w:rsidR="0045564A" w:rsidRPr="0012597A" w:rsidRDefault="0045564A" w:rsidP="00EF1C7F">
      <w:pPr>
        <w:widowControl w:val="0"/>
        <w:autoSpaceDE w:val="0"/>
        <w:autoSpaceDN w:val="0"/>
        <w:spacing w:after="0" w:line="240" w:lineRule="auto"/>
        <w:contextualSpacing/>
        <w:mirrorIndents/>
        <w:rPr>
          <w:rFonts w:ascii="Times New Roman" w:eastAsia="Arial MT" w:hAnsi="Times New Roman" w:cs="Times New Roman"/>
          <w:sz w:val="24"/>
          <w:szCs w:val="24"/>
        </w:rPr>
      </w:pPr>
    </w:p>
    <w:p w14:paraId="752BB3D3"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DIP. MARTHA AZUCENA CAMACHO REYNOSO. Gracias diputado Miguel Gutiérrez Morales.</w:t>
      </w:r>
    </w:p>
    <w:p w14:paraId="289E9BD1"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Se registra la iniciativa y se remite a las Comisiones Legislativas de Legislación y Administración Municipal, y de Desarrollo y Bienestar Social, para su estudio y dictamen.</w:t>
      </w:r>
    </w:p>
    <w:p w14:paraId="67CC65A2" w14:textId="77777777" w:rsidR="00791E2D" w:rsidRPr="0012597A" w:rsidRDefault="00791E2D" w:rsidP="00EF1C7F">
      <w:pPr>
        <w:spacing w:after="0" w:line="240" w:lineRule="aut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En cuanto al punto número 11 el diputado Octavio Martínez Vargas, presenta en nombre del Grupo Parlamentario del Partido morena, Iniciativa con Proyecto de Decreto por el que se </w:t>
      </w:r>
      <w:r w:rsidRPr="0012597A">
        <w:rPr>
          <w:rFonts w:ascii="Times New Roman" w:hAnsi="Times New Roman" w:cs="Times New Roman"/>
          <w:color w:val="FF0000"/>
          <w:sz w:val="24"/>
          <w:szCs w:val="24"/>
        </w:rPr>
        <w:lastRenderedPageBreak/>
        <w:t>abroga la Ley de Indulto del Estado de México, publicada en el Periódico Oficial “Gaceta del Gobierno” el día 18 de abril de 2016 y se expide la Ley de Indulto y Justicia Humanitaria del Estado de México.</w:t>
      </w:r>
    </w:p>
    <w:p w14:paraId="2763E759"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DIP. OCTAVIO MARTÍNEZ VARGAS. Con su permiso Presidenta, muy buenas tardes todas y todos.</w:t>
      </w:r>
    </w:p>
    <w:p w14:paraId="3EAEFF99"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el mes de noviembre desarrollamos un foro en esta Soberanía donde se escucharon a colectivos y a familiares de personas privadas de su libertad, a víctimas; el salón Benito Juárez fue insuficiente para efecto de poder escuchar los testimonios de docenas de vecinas y vecinos de todo el Estado de México, para exponer los casos concretos que tienen que ver con fabricaciones de delitos que han sido víctimas de la Fiscalía del Estado de México, o por casos de un inadecuado proceso judicial, una inadecuada defensa pública o privada, etcétera, etcétera.</w:t>
      </w:r>
    </w:p>
    <w:p w14:paraId="5A90683F"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Por eso hoy me permito formular una importante iniciativa que busca abrogar una ley vigente que fue aprobada en el año 2016, que tiene que ver con el indulto, la Ley del Indulto para el Estado de México y crear una nueva disposición, una nueva ley, que es la Ley del Indulto y Justicia Humanitaria, Ley de Indulto y Justicia Humanitaria y recoge en buena parte las impresiones y preocupaciones de colectivos de nuestra entidad, de familiares de personas privadas de su libertad y que están en espera de poder, que este Poder Legislativo pueda aportar elementos para encontrar una luz a todo el calvario que han cruzado en los últimos años durante familiares que tienen privados de su libertad de manera injusta.</w:t>
      </w:r>
    </w:p>
    <w:p w14:paraId="70FC26A7"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Quiero participarles que el Estado, compañeras y compañeros legisladores, uno de sus principales objetivos, es garantizar los preceptos constitucionales y de repente encontramos organismos descentralizados, la Fiscalía del Estado que no da cumplimiento a este principio que se incrementan estadísticas, se detienen a personas inocentes, no tienen recurso económico para una adecuada defensa y son sentenciados de manera injusta, 4 de cada 10 personas detenidas, se presumen han sido víctimas de fabricaciones de delito.</w:t>
      </w:r>
    </w:p>
    <w:p w14:paraId="1463D8D8"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¿Quiénes serían beneficiarios de esta Ley? Compañeras y compañeros legisladores, personas que tienen problemas de psiquiatría, valdría la pena que un día recorramos algunos reclusorios de nuestra entidad y que podamos testificar el estado en el que se encuentran las y los internos, personas las que han perdido el juicio, que se presume que en el sistema penitenciario no debe de haber menos de 500 personas en esta condición, que evidentemente no tienen un tratamiento médico, adecuado para su necesidad médica y clínica. ¿Tendrá alguna razón que estas personas sigan ahí? Personas que tienen enfermedades terminales, que requieren estar saliendo 2, 3 veces a la semana para hacer dializadas, que tienen enfermedades de diabetes aguda, cáncer y muchas más.</w:t>
      </w:r>
    </w:p>
    <w:p w14:paraId="558299D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Esta Ley busca beneficiar a los adultos mayores que se encuentran en prisión, a las comunidades étnicas que han sido violentados sus garantías, sus derechos y el acceso a un debido proceso, a grupos vulnerables, a mujeres, a quienes de una u otra manera se acredite que se le fabricaron delitos y se violentaron sus Derechos Humanos y al debido proceso.</w:t>
      </w:r>
    </w:p>
    <w:p w14:paraId="0E543F2C"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Crea y fortalece un comité técnico, consejo consultivo, el comité técnico tendrá que ser integrado por especialistas del sistema penitenciario, que puedan hacer un dictamen del comportamiento, de la valoración médica, del desarrollo, del trabajo de reinserción, de cómo socializa el interno para efecto de que pueda emitir una opinión para que eventualmente pueda haber un indulto por parte de la Titular del Ejecutivo del Estado.</w:t>
      </w:r>
    </w:p>
    <w:p w14:paraId="510836B4"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Se robustece un consejo consultivo donde participará la sociedad a través de una convocatoria eventualmente emitida por esta Soberanía; donde participen representantes de colectivos, que se han vuelto expertos en el proceso judicial penal; donde participen integrantes del Poder Judicial, del Poder Legislativo, de Derechos Humanos y será presidido por el consejero jurídico, a efecto de poder conocer, desahogar cualquier solicitud que pueda haber a efecto de poder eventualmente ser candidatas o candidatos a un indulto; esta ley es necesaria a nuestro Estado.</w:t>
      </w:r>
    </w:p>
    <w:p w14:paraId="43276850"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ab/>
        <w:t>La semana pasada rebasamos los 40 mil internos, 40 mil internos privados de su libertad, en 22 reclusorios que he subrayado y necesitamos analizar con empatía, entender el quehacer del Estado, seguro estoy que muchos de ustedes conocen alguna persona injustamente privada de la libertad; pero que no tiene acceso a la Ley de Amnistía, porque hoy carecemos de una comisión que no se ha creado o porque la Ley de Amnistía no contempla supuestos de los que aquí he esbozado.</w:t>
      </w:r>
    </w:p>
    <w:p w14:paraId="59D9A57E"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Quiero evidentemente subrayar que no se trata de abrir las puertas de los penales para liberar a delincuentes, esto no operará evidentemente para quienes han tenido más de 2 sentencias, para efecto de quienes representen un riesgo para la sociedad, no es el objeto, es reconocer que en nuestro Estado hay personas privadas de su libertad, que la Fiscalía del Estado de México ha fabricado delitos, que malos servidores públicos de la Fiscalía, no entienden el quehacer del Estado, no entienden los objetivos de nuestra Gobernadora la Maestra Delfina Gómez y frente a esta conducta desafortunada requerimos actuar.</w:t>
      </w:r>
    </w:p>
    <w:p w14:paraId="0DAECA36"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Concluyo compañera Presidenta, ojalá que pudiésemos ver con empatía esta nueva ley y que nos atrevamos a hacer un recorrido en algunos reclusorios para entender la realidad que viven internas, internos en el Sistema Penitenciario de nuestro Estado.</w:t>
      </w:r>
    </w:p>
    <w:p w14:paraId="059041A1"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Presidenta solicito amablemente pueda insertar en la Gaceta Parlamentaria, en el Diario de los Debates la iniciativa previamente registrada.</w:t>
      </w:r>
    </w:p>
    <w:p w14:paraId="0A325FF5"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Por su atención muchas gracias Presidenta.</w:t>
      </w:r>
    </w:p>
    <w:p w14:paraId="107A0764" w14:textId="77777777" w:rsidR="00AD469A" w:rsidRPr="0012597A" w:rsidRDefault="00AD469A" w:rsidP="00EF1C7F">
      <w:pPr>
        <w:pStyle w:val="Sinespaciado"/>
        <w:jc w:val="both"/>
        <w:rPr>
          <w:rFonts w:ascii="Times New Roman" w:hAnsi="Times New Roman" w:cs="Times New Roman"/>
          <w:sz w:val="24"/>
          <w:szCs w:val="24"/>
        </w:rPr>
      </w:pPr>
    </w:p>
    <w:p w14:paraId="347A3C3B" w14:textId="77777777" w:rsidR="00AD469A" w:rsidRPr="0012597A" w:rsidRDefault="00AD469A" w:rsidP="00EF1C7F">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(Se inserta documento)</w:t>
      </w:r>
    </w:p>
    <w:p w14:paraId="5065600D" w14:textId="0C3B286B" w:rsidR="00AD469A" w:rsidRPr="0012597A" w:rsidRDefault="00AD469A" w:rsidP="00EF1C7F">
      <w:pPr>
        <w:spacing w:after="0" w:line="240" w:lineRule="auto"/>
        <w:jc w:val="center"/>
        <w:rPr>
          <w:rFonts w:ascii="Times New Roman" w:hAnsi="Times New Roman" w:cs="Times New Roman"/>
          <w:sz w:val="24"/>
          <w:szCs w:val="24"/>
        </w:rPr>
      </w:pPr>
    </w:p>
    <w:p w14:paraId="548A4B04" w14:textId="586CB07E" w:rsidR="00EF1EC9" w:rsidRPr="0012597A" w:rsidRDefault="00EF1EC9" w:rsidP="00EF1C7F">
      <w:pPr>
        <w:spacing w:after="0" w:line="240" w:lineRule="auto"/>
        <w:jc w:val="center"/>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574"/>
      </w:tblGrid>
      <w:tr w:rsidR="00EF1EC9" w:rsidRPr="0012597A" w14:paraId="4F76B352" w14:textId="77777777" w:rsidTr="00EF1EC9">
        <w:trPr>
          <w:trHeight w:val="635"/>
          <w:jc w:val="center"/>
        </w:trPr>
        <w:tc>
          <w:tcPr>
            <w:tcW w:w="4573" w:type="dxa"/>
          </w:tcPr>
          <w:p w14:paraId="3F8524CA" w14:textId="77777777" w:rsidR="00EF1EC9" w:rsidRPr="0012597A" w:rsidRDefault="00EF1EC9" w:rsidP="00EF1C7F">
            <w:pPr>
              <w:pStyle w:val="Default"/>
              <w:jc w:val="both"/>
              <w:rPr>
                <w:rFonts w:ascii="Times New Roman" w:hAnsi="Times New Roman" w:cs="Times New Roman"/>
                <w:b/>
                <w:bCs/>
                <w:color w:val="auto"/>
              </w:rPr>
            </w:pPr>
            <w:r w:rsidRPr="0012597A">
              <w:rPr>
                <w:rFonts w:ascii="Times New Roman" w:hAnsi="Times New Roman" w:cs="Times New Roman"/>
                <w:b/>
                <w:bCs/>
                <w:color w:val="auto"/>
              </w:rPr>
              <w:t>CONGRESO</w:t>
            </w:r>
          </w:p>
          <w:p w14:paraId="4FE16959" w14:textId="070D10E0" w:rsidR="00EF1EC9" w:rsidRPr="0012597A" w:rsidRDefault="00EF1EC9" w:rsidP="00EF1C7F">
            <w:pPr>
              <w:pStyle w:val="Default"/>
              <w:jc w:val="both"/>
              <w:rPr>
                <w:rFonts w:ascii="Times New Roman" w:hAnsi="Times New Roman" w:cs="Times New Roman"/>
              </w:rPr>
            </w:pPr>
            <w:r w:rsidRPr="0012597A">
              <w:rPr>
                <w:rFonts w:ascii="Times New Roman" w:hAnsi="Times New Roman" w:cs="Times New Roman"/>
                <w:b/>
                <w:bCs/>
                <w:color w:val="auto"/>
              </w:rPr>
              <w:t>ESTADO DE MÉXICO</w:t>
            </w:r>
          </w:p>
        </w:tc>
        <w:tc>
          <w:tcPr>
            <w:tcW w:w="4574" w:type="dxa"/>
          </w:tcPr>
          <w:p w14:paraId="3CE6035B" w14:textId="77777777" w:rsidR="00EF1EC9" w:rsidRPr="0012597A" w:rsidRDefault="00EF1EC9" w:rsidP="00EF1C7F">
            <w:pPr>
              <w:pStyle w:val="Default"/>
              <w:jc w:val="right"/>
              <w:rPr>
                <w:rFonts w:ascii="Times New Roman" w:hAnsi="Times New Roman" w:cs="Times New Roman"/>
                <w:color w:val="auto"/>
              </w:rPr>
            </w:pPr>
            <w:r w:rsidRPr="0012597A">
              <w:rPr>
                <w:rFonts w:ascii="Times New Roman" w:hAnsi="Times New Roman" w:cs="Times New Roman"/>
                <w:color w:val="auto"/>
              </w:rPr>
              <w:t>Dip. Octavio</w:t>
            </w:r>
          </w:p>
          <w:p w14:paraId="5F1B8A3B" w14:textId="77777777" w:rsidR="00EF1EC9" w:rsidRPr="0012597A" w:rsidRDefault="00EF1EC9" w:rsidP="00EF1C7F">
            <w:pPr>
              <w:pStyle w:val="Default"/>
              <w:jc w:val="right"/>
              <w:rPr>
                <w:rFonts w:ascii="Times New Roman" w:hAnsi="Times New Roman" w:cs="Times New Roman"/>
                <w:b/>
                <w:bCs/>
                <w:color w:val="auto"/>
              </w:rPr>
            </w:pPr>
            <w:r w:rsidRPr="0012597A">
              <w:rPr>
                <w:rFonts w:ascii="Times New Roman" w:hAnsi="Times New Roman" w:cs="Times New Roman"/>
                <w:color w:val="auto"/>
              </w:rPr>
              <w:t>Martínez Vargas</w:t>
            </w:r>
          </w:p>
          <w:p w14:paraId="15935027" w14:textId="1B4D1202" w:rsidR="00EF1EC9" w:rsidRPr="0012597A" w:rsidRDefault="00EF1EC9" w:rsidP="00EF1C7F">
            <w:pPr>
              <w:pStyle w:val="Default"/>
              <w:jc w:val="right"/>
              <w:rPr>
                <w:rFonts w:ascii="Times New Roman" w:hAnsi="Times New Roman" w:cs="Times New Roman"/>
              </w:rPr>
            </w:pPr>
            <w:r w:rsidRPr="0012597A">
              <w:rPr>
                <w:rFonts w:ascii="Times New Roman" w:eastAsia="Times New Roman" w:hAnsi="Times New Roman" w:cs="Times New Roman"/>
                <w:b/>
                <w:bCs/>
                <w:color w:val="auto"/>
              </w:rPr>
              <w:t>Distrito VI-Ecatepec de Morelos</w:t>
            </w:r>
          </w:p>
        </w:tc>
      </w:tr>
    </w:tbl>
    <w:p w14:paraId="563EAA58" w14:textId="77777777" w:rsidR="00133DF3" w:rsidRPr="0012597A" w:rsidRDefault="00133DF3" w:rsidP="00EF1C7F">
      <w:pPr>
        <w:pStyle w:val="Default"/>
        <w:jc w:val="both"/>
        <w:rPr>
          <w:rFonts w:ascii="Times New Roman" w:hAnsi="Times New Roman" w:cs="Times New Roman"/>
          <w:b/>
          <w:bCs/>
          <w:color w:val="auto"/>
        </w:rPr>
      </w:pPr>
    </w:p>
    <w:p w14:paraId="4FB74D96" w14:textId="77777777" w:rsidR="00133DF3" w:rsidRPr="0012597A" w:rsidRDefault="00133DF3" w:rsidP="00EF1C7F">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"2026. Año del Humanismo Mexicano en el Estado de México”</w:t>
      </w:r>
    </w:p>
    <w:p w14:paraId="46284EC1" w14:textId="77777777" w:rsidR="00133DF3" w:rsidRPr="0012597A" w:rsidRDefault="00133DF3" w:rsidP="00EF1C7F">
      <w:pPr>
        <w:pStyle w:val="Textoindependiente"/>
        <w:spacing w:after="0" w:line="240" w:lineRule="auto"/>
        <w:rPr>
          <w:rFonts w:ascii="Times New Roman" w:hAnsi="Times New Roman" w:cs="Times New Roman"/>
          <w:sz w:val="24"/>
          <w:szCs w:val="24"/>
        </w:rPr>
      </w:pPr>
    </w:p>
    <w:p w14:paraId="6B62CA5C" w14:textId="77777777" w:rsidR="00732F53" w:rsidRPr="0012597A" w:rsidRDefault="00732F53" w:rsidP="00EF1C7F">
      <w:pPr>
        <w:widowControl w:val="0"/>
        <w:spacing w:after="0" w:line="240" w:lineRule="auto"/>
        <w:jc w:val="both"/>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Dip. Martha Azucena Camacho Reynoso</w:t>
      </w:r>
    </w:p>
    <w:p w14:paraId="39AB87AD" w14:textId="77777777" w:rsidR="00B34DDB" w:rsidRPr="0012597A" w:rsidRDefault="00732F53" w:rsidP="00EF1C7F">
      <w:pPr>
        <w:widowControl w:val="0"/>
        <w:spacing w:after="0" w:line="240" w:lineRule="auto"/>
        <w:jc w:val="both"/>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Presidenta de la Mesa Directiva</w:t>
      </w:r>
    </w:p>
    <w:p w14:paraId="47FA2ABA" w14:textId="0480D776" w:rsidR="00732F53" w:rsidRPr="0012597A" w:rsidRDefault="00732F53" w:rsidP="00EF1C7F">
      <w:pPr>
        <w:widowControl w:val="0"/>
        <w:spacing w:after="0" w:line="240" w:lineRule="auto"/>
        <w:jc w:val="both"/>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la Cámara de Diputados del Estado de México </w:t>
      </w:r>
    </w:p>
    <w:p w14:paraId="6345EC6C" w14:textId="7777777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p>
    <w:p w14:paraId="0C8BD6AF" w14:textId="7777777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bookmarkStart w:id="26" w:name="_heading=h.p5dt48idv7wi" w:colFirst="0" w:colLast="0"/>
      <w:bookmarkEnd w:id="26"/>
      <w:r w:rsidRPr="0012597A">
        <w:rPr>
          <w:rFonts w:ascii="Times New Roman" w:eastAsia="Arial" w:hAnsi="Times New Roman" w:cs="Times New Roman"/>
          <w:color w:val="000000"/>
          <w:sz w:val="24"/>
          <w:szCs w:val="24"/>
          <w:lang w:eastAsia="es-MX"/>
        </w:rPr>
        <w:t xml:space="preserve">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w:t>
      </w:r>
      <w:r w:rsidRPr="0012597A">
        <w:rPr>
          <w:rFonts w:ascii="Times New Roman" w:eastAsia="Arial" w:hAnsi="Times New Roman" w:cs="Times New Roman"/>
          <w:b/>
          <w:bCs/>
          <w:color w:val="000000"/>
          <w:sz w:val="24"/>
          <w:szCs w:val="24"/>
          <w:lang w:eastAsia="es-MX"/>
        </w:rPr>
        <w:t xml:space="preserve">Iniciativa con Proyecto de Decreto por el que se abroga la Ley de Indulto del Estado de México publicada en el Periódico Oficial “Gaceta del Gobierno” el día 18 de abril de 2016 y se expide la Ley de Indulto y Justicia Humanitaria del Estado de México, </w:t>
      </w:r>
      <w:r w:rsidRPr="0012597A">
        <w:rPr>
          <w:rFonts w:ascii="Times New Roman" w:eastAsia="Arial" w:hAnsi="Times New Roman" w:cs="Times New Roman"/>
          <w:color w:val="000000"/>
          <w:sz w:val="24"/>
          <w:szCs w:val="24"/>
          <w:lang w:eastAsia="es-MX"/>
        </w:rPr>
        <w:t>al tenor de lo siguiente:</w:t>
      </w:r>
    </w:p>
    <w:p w14:paraId="6BB7BD2E" w14:textId="77777777" w:rsidR="00732F53" w:rsidRPr="0012597A" w:rsidRDefault="00732F53" w:rsidP="00EF1C7F">
      <w:pPr>
        <w:widowControl w:val="0"/>
        <w:spacing w:after="0" w:line="240" w:lineRule="auto"/>
        <w:jc w:val="center"/>
        <w:rPr>
          <w:rFonts w:ascii="Times New Roman" w:eastAsia="Arial" w:hAnsi="Times New Roman" w:cs="Times New Roman"/>
          <w:b/>
          <w:bCs/>
          <w:sz w:val="24"/>
          <w:szCs w:val="24"/>
          <w:lang w:eastAsia="es-MX"/>
        </w:rPr>
      </w:pPr>
    </w:p>
    <w:p w14:paraId="02E1841A" w14:textId="77777777" w:rsidR="00732F53" w:rsidRPr="0012597A" w:rsidRDefault="00732F53" w:rsidP="00EF1C7F">
      <w:pPr>
        <w:widowControl w:val="0"/>
        <w:spacing w:after="0" w:line="240" w:lineRule="auto"/>
        <w:jc w:val="center"/>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EXPOSICIÓN DE MOTIVOS</w:t>
      </w:r>
    </w:p>
    <w:p w14:paraId="08FDC5DC"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20958CA0" w14:textId="26DA05D3"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El indulto es, históricamente, una de las manifestaciones más antiguas de la humanidad frente al castigo. Antes de que existieran códigos penales o sistemas judiciales complejos, ya se reconocía la necesidad de que la autoridad suprema pudiera corregir, moderar o incluso extinguir los efectos de una pena cuando ésta se volvía incompatible con la justicia material. El indulto, lejos de ser un resabio monárquico, es una institución que sobrevivió precisamente porque representa algo </w:t>
      </w:r>
      <w:r w:rsidRPr="0012597A">
        <w:rPr>
          <w:rFonts w:ascii="Times New Roman" w:eastAsia="Arial" w:hAnsi="Times New Roman" w:cs="Times New Roman"/>
          <w:sz w:val="24"/>
          <w:szCs w:val="24"/>
          <w:lang w:eastAsia="es-MX"/>
        </w:rPr>
        <w:lastRenderedPageBreak/>
        <w:t>esencial en toda comunidad política: la conciencia de que la justicia humana es siempre imperfecta, y de que el poder punitivo del Estado, para no convertirse en violencia desnuda, debe admitir espacios excepcionales en los que la compasión, la proporcionalidad y la razón corrijan los excesos, errores o desbalances que la legalidad, por sí sola, no puede prever.</w:t>
      </w:r>
    </w:p>
    <w:p w14:paraId="151E2C33"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24408BEE" w14:textId="24548B8E"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Toda sentencia es una fotografía jurídica tomada en un momento concreto, una descripción puntual de hechos y responsabilidades construida bajo reglas formales que sostienen la comisión de un ilícito y, en consecuencia, la necesidad de aplicar una pena, bajo el ius puniendi atribuido al Estado moderno. No obstante, debido a todos sus matices, la vida de un ser humano, no puede capturarse completamente en una fotografía fija, toda vez que su existencia, pese a lo efímera que resulta ser, cambia, evoluciona y se transforma de manera constante.</w:t>
      </w:r>
    </w:p>
    <w:p w14:paraId="5A7A9BC7"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5B44DD9C" w14:textId="77777777"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Por ello, un Estado democrático reconoce que la punición no es un acto mecánico, sino una decisión que se renueva cada día que una persona permanece privada de su libertad. La pena no es un hecho consumado; es un proceso vivo que se despliega en el tiempo y que debe ser permanentemente confrontado con los valores constitucionales que justifican su existencia. Sostener una pena que ha dejado de cumplir con los fines de reinserción, proporcionalidad o tutela de bienes jurídicos, equivale a mantener una forma de violencia jurídica y material que el Estado no puede validar bajo ningún argumento de legalidad. La justicia, para ser justa, debe ser dinámica, reflexiva y capaz de volver sobre sus propios pasos cuando la realidad humana lo exige. </w:t>
      </w:r>
    </w:p>
    <w:p w14:paraId="05D2563D"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7BF693B1" w14:textId="5D0451CA"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Es así como la figura del indulto debe replantearse desde el imaginario colectivo y dejar de entenderla como un favor presidencial, sino que, por el contrario, asumirse como un instrumento institucional legítimo y necesario para preservar la coherencia ética del sistema de justicia. El indulto no es un acto gracioso, ni un privilegio discrecional sin fundamento; es una válvula constitucional diseñada para corregir, humanizar y equilibrar los efectos de una pena cuando ésta ha perdido su razonabilidad, su proporcionalidad o su sentido constitucional.</w:t>
      </w:r>
    </w:p>
    <w:p w14:paraId="3628F9CF"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3D8CEE54" w14:textId="71431928"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Un sistema rígido, que se aferra a la pena como una realidad inmutable, termina convirtiéndose en un sistema ciego a las transformaciones personales, a las injusticias procesales no subsanadas, a las desigualdades estructurales que marcan el origen de muchos conflictos penales y, sobre todo, al hecho de que la reinserción social, la cual es teóricamente el fin de la pena, solo puede florecer si se admiten espacios institucionales donde las segundas oportunidades sean reales. </w:t>
      </w:r>
    </w:p>
    <w:p w14:paraId="097B8202"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629FDE43" w14:textId="09C29930"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En consecuencia, el indulto no daña ni debilita al sistema de impartición de justicia mexiquense, sino que lo obliga a repensar, redefinir y redirigir su actuar y sus decisiones. Luego entonces, el sistema debe preguntarse si la continuidad del encierro protege a alguien, si repara algo, si previene algún mal, o si, por el contrario, perpetúa un sufrimiento innecesario que la Constitución no autoriza. Y también la obliga a reconocer que la persona privada de libertad no es un acto ni un expediente, sino un ser humano capaz de transformarse, de evolucionar, de reconstruir vínculos familiares, de reformular su proyecto de vida y de aportar nuevamente a la sociedad. La justicia que concede segundas oportunidades no es menos justicia: es justicia más profunda, más madura y más consciente de las complejidades humanas que el derecho penal pretende ordenar. </w:t>
      </w:r>
    </w:p>
    <w:p w14:paraId="7E13B3CA"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2A1E90B3" w14:textId="623749B6"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En suma, el indulto también es una herramienta para atender las consecuencias humanas, sociales y estructurales que acompañan la privación de libertad prolongada. Cuando una pena se vuelve incompatible con la dignidad humana, la justicia exige un mecanismo que permita al Estado corregir esa discordancia sin recurrir a la revisión judicial de la sentencia.</w:t>
      </w:r>
    </w:p>
    <w:p w14:paraId="7A4AD896"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71A1ED21" w14:textId="2463E489"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lastRenderedPageBreak/>
        <w:t xml:space="preserve">Los datos oficiales lo evidencian: al cierre de 2024, los censos del Instituto Nacional de Estadística y Geografía (INEGI) reportaron que había 236 773 personas privadas de la libertad o internadas en centros penitenciarios y de internamiento en México. De ese total, el 63.7 % contaba con sentencia y el 36.3 % no. La tasa de ocupación promedio en los centros estatales se elevó a más de 100% en muchas entidades: por ejemplo, la entidad del Estado de México fue señalada como una de las que superaron los 238.8 reclusos por cada 100 espacios disponibles. </w:t>
      </w:r>
    </w:p>
    <w:p w14:paraId="55531709"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6C12FD7A" w14:textId="34DCA537"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La situación penitenciaria del Estado de México ofrece uno de los retratos más crudos y complejos del país. De acuerdo con el Diagnóstico Nacional de Supervisión Penitenciaria 2023, la entidad concentra 35,141 personas privadas de la libertad, lo que la convierte en el sistema penitenciario estatal más grande de México. Esta magnitud no es un dato administrativo: constituye un desafío estructural que se refleja en sobrecarga operativa, limitaciones de infraestructura, presión presupuestal y dificultades para garantizar servicios básicos y especializados a una población que, por su tamaño y composición, exige un modelo de atención diferenciada.</w:t>
      </w:r>
    </w:p>
    <w:p w14:paraId="0DACAFB0"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2F932024" w14:textId="6FA7A688"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La calificación estatal otorgada al sistema penitenciario mexiquense, en una escala del 1 al 10. es de 6.86 ubicándolo en un rango medio, pero con múltiples centros clasificados como “deficientes” en áreas clave como gobernabilidad, habitabilidad digna, acceso a la salud y reinserción social. </w:t>
      </w:r>
    </w:p>
    <w:p w14:paraId="3A44D16E" w14:textId="77777777"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Por otro lado, la composición sociodemográfica de la población recluida revela, además, las desigualdades que entran a prisión junto con la persona sentenciada. Según los datos recabados por la CNDH, en los centros estatales del país, entre ellos los 21 del Estado de México, al menos 7,441 personas privadas de la libertad pertenecen a pueblos indígenas, 7,668 son personas adultas mayores, 3,684 viven con discapacidad física, 4,593 con discapacidad psicosocial, y más de 34,770 personas presentan farmacodependencia. Si bien estas cifras corresponden al universo nacional, el Estado de México, por el tamaño de su población penitenciaria, concentra un porcentaje proporcionalmente alto de estos grupos en situación de vulnerabilidad.</w:t>
      </w:r>
    </w:p>
    <w:p w14:paraId="149ED9DA"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7D234651" w14:textId="0FBB0441"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El análisis también revela áreas críticas relacionadas con la gobernabilidad. El diagnóstico subraya que fenómenos como autogobierno, cogobierno, insuficiencia de personal de custodia y deficiencias en la supervisión institucional persisten en diversos centros del país y se hacen especialmente visibles en sistemas penitenciarios de gran escala como el del Estado de México, donde la presión poblacional agrava la capacidad de control, seguimiento y atención especializada. </w:t>
      </w:r>
    </w:p>
    <w:p w14:paraId="179F5B56"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4D4D9E11" w14:textId="2D18486D"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El Estado de México aparece, además, en los listados nacionales de centros con deficiencias graves en atención a personas adultas mayores, indígenas, mujeres con hijas e hijos, personas con VIH o con discapacidad, según las áreas de oportunidad identificadas por la CNDH entre las páginas 666 y 684 del diagnóstico anual. Estas deficiencias tienen efectos directos en la calidad de vida de las personas sentenciadas que enfrentan enfermedades crónicas, movilidad reducida, barreras lingüísticas o necesidades particulares de salud mental que los centros no están en condiciones de atender plenamente. En suma, los muros de las prisiones concentran desigualdades que vienen de mucho antes de la comisión del delito y que el propio sistema de justicia no ha sabido revertir. </w:t>
      </w:r>
    </w:p>
    <w:p w14:paraId="585B6620"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04448054" w14:textId="77777777" w:rsidR="00B34DDB"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En el ámbito procesal, las cifras tampoco son alentadoras. Hay estudios que muestran que la gran mayoría de las personas privadas de libertad manifiestan haber enfrentado algún tipo de irregularidad durante su proceso: defensas públicas saturadas o sin tiempo suficiente, defensas particulares condicionadas por la capacidad económica, falta de intérpretes o traductores para pueblos indígenas, o investigaciones iniciales deficientes que rara vez se corrigen. Estos fenómenos configuran una brecha persistente entre la justicia ideal y la justicia alcanzable para quienes carecen de recursos, redes de apoyo o capital cultural.</w:t>
      </w:r>
    </w:p>
    <w:p w14:paraId="35B5C9C5" w14:textId="52FBBED4"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p>
    <w:p w14:paraId="5D2D0998" w14:textId="77777777" w:rsidR="00B34DDB"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Este cuadro revela dos conclusiones claras. Primero: el sistema de justicia penal, aunque aparente cumplir formalmente con la ley, opera en un entorno atravesado por desigualdades económicas, sociales, culturales y de género que no pueden ignorarse al valorar la legitimidad de la ejecución de la pena. Segundo: no basta afirmar en abstracto los principios de reinserción, proporcionalidad o humanidad en la ejecución penal; es necesario contar con herramientas institucionales que permitan hacerlos efectivos cuando la realidad demuestra que la pena ha perdido su justificación original o ha derivado en una carga desproporcionada para la persona sentenciada, su familia y su comunidad.</w:t>
      </w:r>
    </w:p>
    <w:p w14:paraId="1A0A4B02" w14:textId="23D5EF5A"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p>
    <w:p w14:paraId="17EC474C" w14:textId="3DEB8C18"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Desde este diagnóstico se desprende la urgencia de una nueva Ley de Indulto para el Estado de México que, partiendo de la realidad concreta de nuestras cárceles y de los contextos de vida de las personas recluidas, redefina las causales, aclare el procedimiento, fortalezca los órganos técnicos y establezca garantías efectivas tanto para las personas privadas de la libertad como para las víctimas y para la sociedad en su conjunto. Solo así el indulto dejará de percibirse como un gesto aislado de benevolencia y se consolidará como lo que debe ser en un Estado democrático: un instrumento excepcional, pero robusto, para corregir los desajustes más graves entre la pena impuesta y los principios de dignidad, proporcionalidad e igualdad.</w:t>
      </w:r>
    </w:p>
    <w:p w14:paraId="106A4B0A"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5E77F198" w14:textId="5E0F5D4A"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La iniciativa representa una actualización profunda y necesaria frente al marco vigente, cuya estructura, criterios y procedimientos han demostrado ser insuficientes para atender la complejidad actual del sistema penitenciario y las exigencias constitucionales en materia de derechos humanos. La legislación en vigor descansa en categorías rígidas y restrictivas que no reflejan las verdaderas causas que pueden volver injusta, desproporcionada o incompatible una pena con los principios de dignidad humana, proporcionalidad o reinserción social.</w:t>
      </w:r>
    </w:p>
    <w:p w14:paraId="0E7AC2DE"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3A7C3CE5" w14:textId="0AE36ACB"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En contraste, la propuesta incorpora un catálogo moderno de causales, sustentado en evidencia objetiva, estándares nacionales e internacionales y criterios plenamente verificables, que permiten valorar situaciones de enfermedad grave, vejez, afectaciones irreversibles a hijas e hijos menores, vulneraciones documentadas al debido proceso, discriminación estructural, barreras lingüísticas y culturales, así como condiciones de vulnerabilidad acreditada. Estos supuestos no sólo acercan la figura del indulto a su sentido humanitario original, sino que lo alejan de apreciaciones moralistas o esquemas basados en méritos subjetivos.</w:t>
      </w:r>
    </w:p>
    <w:p w14:paraId="51849CF3"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4B38ED84" w14:textId="1AD7A3DD"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Asimismo, la iniciativa abandona definitivamente la distinción confusa entre indulto “necesario” e indulto “por gracia”, que en la práctica generaba criterios contradictorios, zonas de discrecionalidad excesiva e incluso fragmentación conceptual señalada por la propia jurisprudencia. En su lugar, se adopta una definición unificada, precisa y constitucional de indulto, delimitando claramente que se trata de un acto excepcional que extingue la pena sin alterar la validez de la sentencia ni los derechos de las víctimas. Esta claridad conceptual fortalece la seguridad jurídica y evita que la figura sea utilizada como un mecanismo de revisión judicial encubierto.</w:t>
      </w:r>
    </w:p>
    <w:p w14:paraId="5DB60E27"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61FCB000" w14:textId="2A842D1C"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 xml:space="preserve">La reforma también corrige uno de los principales problemas del procedimiento vigente: la ausencia de plazos claros y de obligaciones institucionales exigibles. La experiencia ha demostrado que los trámites de indulto pueden extenderse indefinidamente por omisiones administrativas o falta de trámite diligente, lo cual frustra la naturaleza humanitaria de la institución. Por ello, la propuesta establece tiempos definidos para cada etapa, fija responsabilidades concretas para las autoridades encargadas de integrar expedientes, prevé la emisión inmediata de documentos sin costo y contempla responsabilidad administrativa para quienes obstaculicen o retrasen el </w:t>
      </w:r>
      <w:r w:rsidRPr="0012597A">
        <w:rPr>
          <w:rFonts w:ascii="Times New Roman" w:eastAsia="Arial" w:hAnsi="Times New Roman" w:cs="Times New Roman"/>
          <w:sz w:val="24"/>
          <w:szCs w:val="24"/>
          <w:lang w:eastAsia="es-MX"/>
        </w:rPr>
        <w:lastRenderedPageBreak/>
        <w:t>procedimiento sin causa justificada. De esta manera, se asegura que el indulto deje de depender de la inercia burocrática y pueda resolverse dentro de márgenes razonables y verificables.</w:t>
      </w:r>
    </w:p>
    <w:p w14:paraId="2BC34E02"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35F8E20B" w14:textId="219E16CC"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En armonía con lo anterior, se fortalece el funcionamiento del Consejo Consultivo de Indulto, órgano ya existente en la normatividad vigente, pero carente de lineamientos claros sobre su naturaleza, funcionamiento y criterios de análisis. La propuesta no crea una nueva institución, sino que dota al Consejo de un marco normativo robusto que le permite emitir opiniones técnicas fundadas en parámetros objetivos, perspectivas interdisciplinarias y principios de derechos humanos. Su participación continúa siendo consultiva, pero su papel ahora está inserto en un procedimiento ordenado que le permite examinar la razonabilidad de la pena, las condiciones de vulnerabilidad de la persona sentenciada, la existencia de violaciones documentadas y la situación de las víctimas, evitando tanto la opacidad como la discrecionalidad desmedida.</w:t>
      </w:r>
    </w:p>
    <w:p w14:paraId="48DD5E8F"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28048502" w14:textId="54634449"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Finalmente, la reforma introduce medidas de acceso efectivo al procedimiento que tampoco existían en la legislación vigente: se garantiza que las personas privadas de la libertad reciban orientación adecuada, información accesible y apoyo institucional para la integración de sus solicitudes; se prohíbe expresamente cualquier forma de obstaculización; y se establecen salvaguardas para la protección de datos personales, la participación informada de las víctimas y la ejecución inmediata de las resoluciones favorables.</w:t>
      </w:r>
    </w:p>
    <w:p w14:paraId="7F3F8699"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506F5C5E" w14:textId="2F91C85F"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En su conjunto, la iniciativa transforma al indulto de un mecanismo limitado, formalista y muchas veces inoperante en un instrumento moderno, garantista y alineado con los principios constitucionales que rigen la ejecución penal. Su objetivo no es ampliar indiscriminadamente la figura, sino asegurar que pueda ser utilizada cuando la justicia material así lo exija, en beneficio no sólo de la persona sentenciada, sino también de la integridad ética del sistema penal del Estado de México.</w:t>
      </w:r>
    </w:p>
    <w:p w14:paraId="06C0BEBB" w14:textId="77777777" w:rsidR="00B34DDB" w:rsidRPr="0012597A" w:rsidRDefault="00B34DDB" w:rsidP="00EF1C7F">
      <w:pPr>
        <w:widowControl w:val="0"/>
        <w:spacing w:after="0" w:line="240" w:lineRule="auto"/>
        <w:jc w:val="both"/>
        <w:rPr>
          <w:rFonts w:ascii="Times New Roman" w:eastAsia="Arial" w:hAnsi="Times New Roman" w:cs="Times New Roman"/>
          <w:sz w:val="24"/>
          <w:szCs w:val="24"/>
          <w:lang w:eastAsia="es-MX"/>
        </w:rPr>
      </w:pPr>
    </w:p>
    <w:p w14:paraId="5B37564B" w14:textId="77777777"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sz w:val="24"/>
          <w:szCs w:val="24"/>
          <w:lang w:eastAsia="es-MX"/>
        </w:rPr>
        <w:t>En virtud de lo anterior, someto a consideración de esta honorable soberanía la presente iniciativa, conforme a lo siguiente:</w:t>
      </w:r>
    </w:p>
    <w:p w14:paraId="74F65468" w14:textId="77777777"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p>
    <w:p w14:paraId="29111FD4" w14:textId="2B61B3B9"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p>
    <w:p w14:paraId="2C4020E3" w14:textId="77777777" w:rsidR="00732F53" w:rsidRPr="0012597A" w:rsidRDefault="00732F53" w:rsidP="00EF1C7F">
      <w:pPr>
        <w:widowControl w:val="0"/>
        <w:spacing w:after="0" w:line="240" w:lineRule="auto"/>
        <w:jc w:val="both"/>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 xml:space="preserve">DECRETO NÚMERO _______ </w:t>
      </w:r>
    </w:p>
    <w:p w14:paraId="333A631B" w14:textId="77777777"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p>
    <w:p w14:paraId="22D5BFD3" w14:textId="77777777" w:rsidR="00081BD4" w:rsidRPr="0012597A" w:rsidRDefault="00732F53" w:rsidP="00EF1C7F">
      <w:pPr>
        <w:widowControl w:val="0"/>
        <w:spacing w:after="0" w:line="240" w:lineRule="auto"/>
        <w:jc w:val="both"/>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LA H. “LXII” LEGISLATURA DEL ESTADO LIBRE Y SOBERANO DE MÉXICO</w:t>
      </w:r>
    </w:p>
    <w:p w14:paraId="61F8D6F4" w14:textId="7D2CB786" w:rsidR="00732F53" w:rsidRPr="0012597A" w:rsidRDefault="00732F53" w:rsidP="00EF1C7F">
      <w:pPr>
        <w:widowControl w:val="0"/>
        <w:spacing w:after="0" w:line="240" w:lineRule="auto"/>
        <w:jc w:val="both"/>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 xml:space="preserve">DECRETA: </w:t>
      </w:r>
    </w:p>
    <w:p w14:paraId="31145D70" w14:textId="77777777" w:rsidR="00081BD4" w:rsidRPr="0012597A" w:rsidRDefault="00081BD4"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225B27CF" w14:textId="37898086" w:rsidR="00732F53" w:rsidRPr="0012597A" w:rsidRDefault="00732F53" w:rsidP="00EF1C7F">
      <w:pPr>
        <w:widowControl w:val="0"/>
        <w:spacing w:after="0" w:line="240" w:lineRule="auto"/>
        <w:jc w:val="both"/>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Decreto por el que se abroga la Ley de Indulto del de abril de  Estado de México publicada en el Periódico Oficial “Gaceta del Gobierno” el día 18 de abril de 2016 y se expide la Ley de Indulto y Justicia Humanitaria del Estado de México.</w:t>
      </w:r>
    </w:p>
    <w:p w14:paraId="1E12E986" w14:textId="77777777" w:rsidR="00732F53" w:rsidRPr="0012597A" w:rsidRDefault="00732F53"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56956B6E" w14:textId="77777777" w:rsidR="00732F53" w:rsidRPr="0012597A" w:rsidRDefault="00732F53" w:rsidP="00EF1C7F">
      <w:pPr>
        <w:widowControl w:val="0"/>
        <w:spacing w:after="0" w:line="240" w:lineRule="auto"/>
        <w:jc w:val="both"/>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 xml:space="preserve">ARTÍCULO PRIMERO: </w:t>
      </w:r>
      <w:r w:rsidRPr="0012597A">
        <w:rPr>
          <w:rFonts w:ascii="Times New Roman" w:eastAsia="Arial" w:hAnsi="Times New Roman" w:cs="Times New Roman"/>
          <w:color w:val="000000"/>
          <w:sz w:val="24"/>
          <w:szCs w:val="24"/>
          <w:lang w:eastAsia="es-MX"/>
        </w:rPr>
        <w:t>Se abroga la Ley de Indulto del de abril de  Estado de México publicada en el Periódico Oficial “Gaceta del Gobierno” el día 18 de abril de 2016.</w:t>
      </w:r>
    </w:p>
    <w:p w14:paraId="3D474C2E" w14:textId="77777777" w:rsidR="00732F53" w:rsidRPr="0012597A" w:rsidRDefault="00732F53"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734245CB" w14:textId="7777777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 xml:space="preserve">ARTÍCULO SEGUNDO: </w:t>
      </w:r>
      <w:r w:rsidRPr="0012597A">
        <w:rPr>
          <w:rFonts w:ascii="Times New Roman" w:eastAsia="Arial" w:hAnsi="Times New Roman" w:cs="Times New Roman"/>
          <w:color w:val="000000"/>
          <w:sz w:val="24"/>
          <w:szCs w:val="24"/>
          <w:lang w:eastAsia="es-MX"/>
        </w:rPr>
        <w:t>Se expide la Ley de Indulto y Justicia Humanitaria del Estado de México, conforme al siguiente articulado:</w:t>
      </w:r>
    </w:p>
    <w:p w14:paraId="507C68B8" w14:textId="7777777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p>
    <w:p w14:paraId="4FCA2AF1"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LEY DE INDULTO DEL ESTADO DE MÉXICO</w:t>
      </w:r>
    </w:p>
    <w:p w14:paraId="19DE4010"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I</w:t>
      </w:r>
    </w:p>
    <w:p w14:paraId="7E4C577D"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LAS DISPOSICIONES GENERALES</w:t>
      </w:r>
    </w:p>
    <w:p w14:paraId="4BFC353A" w14:textId="77777777" w:rsidR="00081BD4" w:rsidRPr="0012597A" w:rsidRDefault="00081BD4"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51C540A8" w14:textId="2592DE0B"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w:t>
      </w:r>
      <w:r w:rsidRPr="0012597A">
        <w:rPr>
          <w:rFonts w:ascii="Times New Roman" w:eastAsia="Arial" w:hAnsi="Times New Roman" w:cs="Times New Roman"/>
          <w:color w:val="000000"/>
          <w:sz w:val="24"/>
          <w:szCs w:val="24"/>
          <w:lang w:eastAsia="es-MX"/>
        </w:rPr>
        <w:t xml:space="preserve"> La presente Ley es de orden público e interés social y tiene por objeto establecer las bases conforme a las cuales la persona titular del Poder Ejecutivo del Estado de México podrá otorgar el indulto respecto de personas sentenciadas por delitos del fuero común, en ejercicio de la facultad conferida en el artículo 77, fracción XVII, de la Constitución Política del Estado Libre y Soberano de México. Para su aplicación intervendrán la Consejería Jurídica, la Secretaría de Seguridad, el Comité Técnico y el Consejo Consultivo, en el ámbito de sus respectivas competencias. </w:t>
      </w:r>
    </w:p>
    <w:p w14:paraId="0E5D1C06" w14:textId="77777777" w:rsidR="00081BD4" w:rsidRPr="0012597A" w:rsidRDefault="00081BD4" w:rsidP="00EF1C7F">
      <w:pPr>
        <w:widowControl w:val="0"/>
        <w:spacing w:after="0" w:line="240" w:lineRule="auto"/>
        <w:jc w:val="both"/>
        <w:rPr>
          <w:rFonts w:ascii="Times New Roman" w:eastAsia="Arial" w:hAnsi="Times New Roman" w:cs="Times New Roman"/>
          <w:color w:val="000000"/>
          <w:sz w:val="24"/>
          <w:szCs w:val="24"/>
          <w:lang w:eastAsia="es-MX"/>
        </w:rPr>
      </w:pPr>
    </w:p>
    <w:p w14:paraId="174E5CC1" w14:textId="2508C55C"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interpretación y ejecución de esta Ley se regirá por los principios de dignidad humana, legalidad, respeto al debido proceso, igualdad, no discriminación, proporcionalidad e individualización de la pena, reinserción social e interés superior de la niñez, cuando resulte aplicable. </w:t>
      </w:r>
    </w:p>
    <w:p w14:paraId="5C881038" w14:textId="77777777" w:rsidR="00081BD4" w:rsidRPr="0012597A" w:rsidRDefault="00081BD4" w:rsidP="00EF1C7F">
      <w:pPr>
        <w:widowControl w:val="0"/>
        <w:spacing w:after="0" w:line="240" w:lineRule="auto"/>
        <w:jc w:val="both"/>
        <w:rPr>
          <w:rFonts w:ascii="Times New Roman" w:eastAsia="Arial" w:hAnsi="Times New Roman" w:cs="Times New Roman"/>
          <w:color w:val="000000"/>
          <w:sz w:val="24"/>
          <w:szCs w:val="24"/>
          <w:lang w:eastAsia="es-MX"/>
        </w:rPr>
      </w:pPr>
    </w:p>
    <w:p w14:paraId="344904EC" w14:textId="6AE31E3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w:t>
      </w:r>
      <w:r w:rsidRPr="0012597A">
        <w:rPr>
          <w:rFonts w:ascii="Times New Roman" w:eastAsia="Arial" w:hAnsi="Times New Roman" w:cs="Times New Roman"/>
          <w:color w:val="000000"/>
          <w:sz w:val="24"/>
          <w:szCs w:val="24"/>
          <w:lang w:eastAsia="es-MX"/>
        </w:rPr>
        <w:t xml:space="preserve"> Para los efectos de esta Ley, el indulto constituye un acto unilateral, excepcional y discrecional de la persona titular del Poder Ejecutivo del Estado de México mediante el cual se declara la extinción total o parcial de la ejecución de la pena impuesta en sentencia firme. La concesión del indulto no afecta la validez formal ni material de la sentencia, no altera la determinación judicial sobre la responsabilidad penal, ni modifica las obligaciones de reparación del daño ni cualquier otra responsabilidad civil derivada del hecho delictivo. </w:t>
      </w:r>
    </w:p>
    <w:p w14:paraId="260B1712" w14:textId="77777777" w:rsidR="00081BD4" w:rsidRPr="0012597A" w:rsidRDefault="00081BD4" w:rsidP="00EF1C7F">
      <w:pPr>
        <w:widowControl w:val="0"/>
        <w:spacing w:after="0" w:line="240" w:lineRule="auto"/>
        <w:jc w:val="both"/>
        <w:rPr>
          <w:rFonts w:ascii="Times New Roman" w:eastAsia="Arial" w:hAnsi="Times New Roman" w:cs="Times New Roman"/>
          <w:color w:val="000000"/>
          <w:sz w:val="24"/>
          <w:szCs w:val="24"/>
          <w:lang w:eastAsia="es-MX"/>
        </w:rPr>
      </w:pPr>
    </w:p>
    <w:p w14:paraId="704E9D09" w14:textId="1280E762"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El indulto no podrá interpretarse como medio de revisión, corrección o sustitución del fallo jurisdiccional, ni como vía para controvertir la valoración de pruebas, la calificación jurídica del hecho o la decisión judicial sobre la culpabilidad de la persona sentenciada.</w:t>
      </w:r>
    </w:p>
    <w:p w14:paraId="763945E8" w14:textId="77777777" w:rsidR="00081BD4" w:rsidRPr="0012597A" w:rsidRDefault="00081BD4" w:rsidP="00EF1C7F">
      <w:pPr>
        <w:widowControl w:val="0"/>
        <w:spacing w:after="0" w:line="240" w:lineRule="auto"/>
        <w:jc w:val="both"/>
        <w:rPr>
          <w:rFonts w:ascii="Times New Roman" w:eastAsia="Arial" w:hAnsi="Times New Roman" w:cs="Times New Roman"/>
          <w:color w:val="000000"/>
          <w:sz w:val="24"/>
          <w:szCs w:val="24"/>
          <w:lang w:eastAsia="es-MX"/>
        </w:rPr>
      </w:pPr>
    </w:p>
    <w:p w14:paraId="12EB512B" w14:textId="0E3BD50A"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3.</w:t>
      </w:r>
      <w:r w:rsidRPr="0012597A">
        <w:rPr>
          <w:rFonts w:ascii="Times New Roman" w:eastAsia="Arial" w:hAnsi="Times New Roman" w:cs="Times New Roman"/>
          <w:color w:val="000000"/>
          <w:sz w:val="24"/>
          <w:szCs w:val="24"/>
          <w:lang w:eastAsia="es-MX"/>
        </w:rPr>
        <w:t xml:space="preserve"> Para los efectos de esta Ley, se entenderá por: </w:t>
      </w:r>
    </w:p>
    <w:p w14:paraId="28688892" w14:textId="77777777" w:rsidR="00081BD4" w:rsidRPr="0012597A" w:rsidRDefault="00081BD4" w:rsidP="00EF1C7F">
      <w:pPr>
        <w:widowControl w:val="0"/>
        <w:spacing w:after="0" w:line="240" w:lineRule="auto"/>
        <w:jc w:val="both"/>
        <w:rPr>
          <w:rFonts w:ascii="Times New Roman" w:eastAsia="Arial" w:hAnsi="Times New Roman" w:cs="Times New Roman"/>
          <w:color w:val="000000"/>
          <w:sz w:val="24"/>
          <w:szCs w:val="24"/>
          <w:lang w:eastAsia="es-MX"/>
        </w:rPr>
      </w:pPr>
    </w:p>
    <w:p w14:paraId="68958B80"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Autoridad penitenciaria: Instancias del Sistema Penitenciario del Estado competentes para emitir informes, dictámenes, evaluaciones, antecedentes disciplinarios y demás elementos relacionados con la situación jurídica y penitenciaria de la persona sentenciada.</w:t>
      </w:r>
    </w:p>
    <w:p w14:paraId="4C15A622"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CODHEM: La Comisión de Derechos Humanos del Estado de México, organismo autónomo encargado de la protección, defensa y promoción de los derechos humanos. </w:t>
      </w:r>
    </w:p>
    <w:p w14:paraId="7593511F"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Comité Técnico: Órgano colegiado encargado de analizar la información y antecedentes penitenciarios de la persona sentenciada, valorar los elementos técnicos disponibles sobre su evolución y condiciones de reinserción social y emitir el dictamen técnico-penitenciario fundado y motivado previsto en esta Ley. </w:t>
      </w:r>
    </w:p>
    <w:p w14:paraId="2F9C0C3F"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Consejo Consultivo: Órgano auxiliar de carácter especializado encargado de emitir opinión técnica no vinculante sobre las solicitudes de indulto y los dictámenes elaborados por el Comité Técnico. </w:t>
      </w:r>
    </w:p>
    <w:p w14:paraId="108E9BA4"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Familiar legitimado: Persona integrante de la familia de la persona sentenciada, hasta el cuarto grado, facultada para promover la solicitud de indulto conforme a esta Ley. </w:t>
      </w:r>
    </w:p>
    <w:p w14:paraId="49F59262"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Indulto: Acto unilateral, excepcional y discrecional de la persona titular del Poder Ejecutivo del Estado de México mediante el cual se extingue total o parcialmente la ejecución de la pena impuesta en sentencia firme. </w:t>
      </w:r>
    </w:p>
    <w:p w14:paraId="6CFD8F18"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Institución penitenciaria: Los centros o establecimientos penitenciarios del Estado de México destinados a la ejecución de penas y medidas de seguridad.</w:t>
      </w:r>
    </w:p>
    <w:p w14:paraId="56676F39"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Instituto de la Defensoría Pública: El Instituto de la Defensoría Pública del Estado de México, organismo encargado de brindar asesoría y representación jurídica gratuita. </w:t>
      </w:r>
    </w:p>
    <w:p w14:paraId="5922BFF0"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Ley: La Ley de Indulto del Estado de México. </w:t>
      </w:r>
    </w:p>
    <w:p w14:paraId="252A390C"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lastRenderedPageBreak/>
        <w:t xml:space="preserve">Persona sentenciada: El individuo respecto del cual existe sentencia firme dictada por autoridad jurisdiccional competente del Estado de México. </w:t>
      </w:r>
    </w:p>
    <w:p w14:paraId="5FDB598C"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Persona sentenciada en condición de habitualidad: Persona que cometa un nuevo delito siempre que los tres o más delitos anteriores se hayan realizado en un periodo que no exceda de quince años. </w:t>
      </w:r>
    </w:p>
    <w:p w14:paraId="7D07480A"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Persona sentenciada en condición de </w:t>
      </w:r>
      <w:proofErr w:type="spellStart"/>
      <w:r w:rsidRPr="0012597A">
        <w:rPr>
          <w:rFonts w:ascii="Times New Roman" w:eastAsia="Arial" w:hAnsi="Times New Roman" w:cs="Times New Roman"/>
          <w:color w:val="000000"/>
          <w:sz w:val="24"/>
          <w:szCs w:val="24"/>
          <w:lang w:eastAsia="es-MX"/>
        </w:rPr>
        <w:t>primariedad</w:t>
      </w:r>
      <w:proofErr w:type="spellEnd"/>
      <w:r w:rsidRPr="0012597A">
        <w:rPr>
          <w:rFonts w:ascii="Times New Roman" w:eastAsia="Arial" w:hAnsi="Times New Roman" w:cs="Times New Roman"/>
          <w:color w:val="000000"/>
          <w:sz w:val="24"/>
          <w:szCs w:val="24"/>
          <w:lang w:eastAsia="es-MX"/>
        </w:rPr>
        <w:t xml:space="preserve">: Persona respecto de la cual no existe sentencia firme previa por delito alguno. </w:t>
      </w:r>
    </w:p>
    <w:p w14:paraId="1B63B553"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Persona sentenciada en condición de reincidencia: Persona que cometa nuevamente un delito después de haber sido condenada mediante sentencia ejecutoriada. </w:t>
      </w:r>
    </w:p>
    <w:p w14:paraId="5B2FF735"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Solicitud de indulto: Petición formal presentada por la persona sentenciada o por quienes estén legalmente legitimados para obtener la extinción total o parcial de la ejecución de la pena. </w:t>
      </w:r>
    </w:p>
    <w:p w14:paraId="5A2BA616" w14:textId="77777777" w:rsidR="00732F53" w:rsidRPr="0012597A" w:rsidRDefault="00732F53" w:rsidP="0012453E">
      <w:pPr>
        <w:widowControl w:val="0"/>
        <w:numPr>
          <w:ilvl w:val="0"/>
          <w:numId w:val="2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Tratamiento penitenciario: Conjunto de actividades, programas, medidas y evaluaciones implementadas durante la ejecución de la pena con el propósito de favorecer la reinserción social de la persona sentenciada. </w:t>
      </w:r>
    </w:p>
    <w:p w14:paraId="65D0D8B4" w14:textId="77777777" w:rsidR="00E36381" w:rsidRPr="0012597A" w:rsidRDefault="00E36381"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578F812B" w14:textId="4B2BAE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II</w:t>
      </w:r>
    </w:p>
    <w:p w14:paraId="375B2D08"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LAS CAUSALES DE PROCEDENCIA</w:t>
      </w:r>
    </w:p>
    <w:p w14:paraId="2F02720C" w14:textId="77777777" w:rsidR="00E36381" w:rsidRPr="0012597A" w:rsidRDefault="00E36381"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3FDB60A7" w14:textId="0BDE1380"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4.</w:t>
      </w:r>
      <w:r w:rsidRPr="0012597A">
        <w:rPr>
          <w:rFonts w:ascii="Times New Roman" w:eastAsia="Arial" w:hAnsi="Times New Roman" w:cs="Times New Roman"/>
          <w:color w:val="000000"/>
          <w:sz w:val="24"/>
          <w:szCs w:val="24"/>
          <w:lang w:eastAsia="es-MX"/>
        </w:rPr>
        <w:t xml:space="preserve"> La persona titular del Poder Ejecutivo del Estado podrá conceder el indulto a personas sentenciadas por delitos del fuero común cuya sentencia condenatoria se encuentre firme y hayan agotado todos los medios de defensa ordinarios y extraordinarios previstos en la legislación procesal penal del Estado, así como los recursos y juicios de control constitucional procedentes en el ámbito federal. </w:t>
      </w:r>
    </w:p>
    <w:p w14:paraId="619EC082" w14:textId="77777777" w:rsidR="00E36381" w:rsidRPr="0012597A" w:rsidRDefault="00E36381" w:rsidP="00EF1C7F">
      <w:pPr>
        <w:widowControl w:val="0"/>
        <w:spacing w:after="0" w:line="240" w:lineRule="auto"/>
        <w:jc w:val="both"/>
        <w:rPr>
          <w:rFonts w:ascii="Times New Roman" w:eastAsia="Arial" w:hAnsi="Times New Roman" w:cs="Times New Roman"/>
          <w:color w:val="000000"/>
          <w:sz w:val="24"/>
          <w:szCs w:val="24"/>
          <w:lang w:eastAsia="es-MX"/>
        </w:rPr>
      </w:pPr>
    </w:p>
    <w:p w14:paraId="5E17AADA" w14:textId="224C1F1C"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El indulto solamente procederá cuando se actualice alguna de las siguientes causales, previo dictamen del Comité Técnico: </w:t>
      </w:r>
    </w:p>
    <w:p w14:paraId="5D522D84" w14:textId="77777777" w:rsidR="00E36381" w:rsidRPr="0012597A" w:rsidRDefault="00E36381" w:rsidP="00EF1C7F">
      <w:pPr>
        <w:widowControl w:val="0"/>
        <w:spacing w:after="0" w:line="240" w:lineRule="auto"/>
        <w:jc w:val="both"/>
        <w:rPr>
          <w:rFonts w:ascii="Times New Roman" w:eastAsia="Arial" w:hAnsi="Times New Roman" w:cs="Times New Roman"/>
          <w:color w:val="000000"/>
          <w:sz w:val="24"/>
          <w:szCs w:val="24"/>
          <w:lang w:eastAsia="es-MX"/>
        </w:rPr>
      </w:pPr>
    </w:p>
    <w:p w14:paraId="4D025246"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Padecer enfermedad grave, crónica, degenerativa o en fase terminal, acreditada mediante dictamen expedido por institución pública de salud competente, cuando dicha condición haga incompatible la permanencia en el centro penitenciario con la preservación de la vida, la integridad personal o la dignidad humana. </w:t>
      </w:r>
    </w:p>
    <w:p w14:paraId="6D1B228A"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Tener sesenta y cinco años o más, cuando las condiciones físicas o de salud acreditadas conforme a la normatividad aplicable hagan inconveniente o desproporcionada su permanencia en la institución penitenciaria, atendiendo a los principios de humanidad, proporcionalidad y dignidad en la ejecución penal. </w:t>
      </w:r>
    </w:p>
    <w:p w14:paraId="4509038A"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Tener hijas o hijos menores de edad que dependan económica, afectiva o materialmente de la persona sentenciada, cuando la continuidad de la ejecución de la pena genere un perjuicio grave, directo e irreversible en su desarrollo integral, debidamente acreditado mediante dictamen especializado, y siempre que se verifique la inexistencia de antecedentes de violencia familiar, maltrato infantil, abandono, omisión de cuidados, violencia física, psicológica o sexual, o cualquier otra conducta que haya puesto en riesgo la integridad o el desarrollo de la persona menor. </w:t>
      </w:r>
    </w:p>
    <w:p w14:paraId="05D9A545"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Existencia de indicios, debidamente documentados por autoridad competente, que permitan advertir posibles actos de omisión, negligencia, corrupción o cooptación de personas servidoras públicas que hayan intervenido en actividades de investigación, persecución penal, defensa pública, administración de justicia o cadena de custodia durante el procedimiento penal, y que hayan podido influir sustantivamente en el resultado del juicio, sin que ello implique revisión, cuestionamiento o modificación de la sentencia condenatoria. </w:t>
      </w:r>
    </w:p>
    <w:p w14:paraId="09A5FD45"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Pertenecer la persona sentenciada a un pueblo o comunidad indígena, cuando existan elementos documentados por autoridad competente que acrediten que durante el procedimiento </w:t>
      </w:r>
      <w:r w:rsidRPr="0012597A">
        <w:rPr>
          <w:rFonts w:ascii="Times New Roman" w:eastAsia="Arial" w:hAnsi="Times New Roman" w:cs="Times New Roman"/>
          <w:color w:val="000000"/>
          <w:sz w:val="24"/>
          <w:szCs w:val="24"/>
          <w:lang w:eastAsia="es-MX"/>
        </w:rPr>
        <w:lastRenderedPageBreak/>
        <w:t xml:space="preserve">penal no se respetaron sus derechos lingüísticos o culturales, no se le proporcionó defensor o intérprete competente en su lengua, o no se garantizó la intervención de sus autoridades tradicionales conforme a sus usos y costumbres. </w:t>
      </w:r>
    </w:p>
    <w:p w14:paraId="3FF1F232"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Existir elementos objetivos que acrediten que la imposición o ejecución de la pena estuvo influida por factores de discriminación estructural contrarios al derecho a la igualdad y al principio de no discriminación. </w:t>
      </w:r>
    </w:p>
    <w:p w14:paraId="3FE52F7F"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Haber prestado, antes de la comisión del delito, servicios relevantes o participación activa en acciones de beneficio social, comunitario, civil o ambiental que constituyan aportaciones significativas verificables a la colectividad, al Estado o a la Nación. </w:t>
      </w:r>
    </w:p>
    <w:p w14:paraId="565BF1FA"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Existir elementos documentados que acrediten que la conducta fue culposa, imprudencial, negligente, imperita o realizada con inobservancia del deber objetivo de cuidado, conforme a los hechos asentados en la sentencia condenatoria, sin que ello implique revisión, modificación o invalidez de dicha resolución judicial. </w:t>
      </w:r>
    </w:p>
    <w:p w14:paraId="205EF1AB"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Existir una recomendación emitida por un organismo público de derechos humanos que acredite que, durante la detención, la investigación, el procedimiento penal o la ejecución de la pena, se vulneraron derechos humanos o el debido proceso en perjuicio de la persona sentenciada. </w:t>
      </w:r>
    </w:p>
    <w:p w14:paraId="7569EB89" w14:textId="77777777" w:rsidR="00732F53" w:rsidRPr="0012597A" w:rsidRDefault="00732F53" w:rsidP="0012453E">
      <w:pPr>
        <w:widowControl w:val="0"/>
        <w:numPr>
          <w:ilvl w:val="0"/>
          <w:numId w:val="2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Que la persona sentenciada haya sido víctima, con anterioridad a la comisión del delito por el cual fue sentenciada, de violencia familiar, de género o psicológica, o que haya estado sujeta a situaciones de coerción, subordinación, explotación o control, cuando tales circunstancias, acreditadas conforme a la legislación aplicable, constituyan condiciones de vulnerabilidad que el Ejecutivo pueda considerar para efectos humanitarios en la ejecución de la pena, sin que ello implique revisión, modificación o cuestionamiento de la sentencia </w:t>
      </w:r>
      <w:proofErr w:type="spellStart"/>
      <w:r w:rsidRPr="0012597A">
        <w:rPr>
          <w:rFonts w:ascii="Times New Roman" w:eastAsia="Arial" w:hAnsi="Times New Roman" w:cs="Times New Roman"/>
          <w:color w:val="000000"/>
          <w:sz w:val="24"/>
          <w:szCs w:val="24"/>
          <w:lang w:eastAsia="es-MX"/>
        </w:rPr>
        <w:t>condenatori</w:t>
      </w:r>
      <w:proofErr w:type="spellEnd"/>
      <w:r w:rsidRPr="0012597A">
        <w:rPr>
          <w:rFonts w:ascii="Times New Roman" w:eastAsia="Arial" w:hAnsi="Times New Roman" w:cs="Times New Roman"/>
          <w:color w:val="000000"/>
          <w:sz w:val="24"/>
          <w:szCs w:val="24"/>
          <w:lang w:eastAsia="es-MX"/>
        </w:rPr>
        <w:t>.</w:t>
      </w:r>
    </w:p>
    <w:p w14:paraId="37F18D12"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7B7DCC5E" w14:textId="48BDC108"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5.</w:t>
      </w:r>
      <w:r w:rsidRPr="0012597A">
        <w:rPr>
          <w:rFonts w:ascii="Times New Roman" w:eastAsia="Arial" w:hAnsi="Times New Roman" w:cs="Times New Roman"/>
          <w:color w:val="000000"/>
          <w:sz w:val="24"/>
          <w:szCs w:val="24"/>
          <w:lang w:eastAsia="es-MX"/>
        </w:rPr>
        <w:t xml:space="preserve"> Además de la actualización de alguna de las causales previstas en el artículo anterior, la persona sentenciada deberá acreditar el cumplimiento de los plazos mínimos siguientes: </w:t>
      </w:r>
    </w:p>
    <w:p w14:paraId="32A3336A"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24163E0B" w14:textId="77777777" w:rsidR="00732F53" w:rsidRPr="0012597A" w:rsidRDefault="00732F53" w:rsidP="0012453E">
      <w:pPr>
        <w:widowControl w:val="0"/>
        <w:numPr>
          <w:ilvl w:val="0"/>
          <w:numId w:val="12"/>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Haber cumplido al menos una quinta parte de la pena privativa de libertad cuando ésta no exceda de cinco años. </w:t>
      </w:r>
    </w:p>
    <w:p w14:paraId="0456E445" w14:textId="77777777" w:rsidR="00732F53" w:rsidRPr="0012597A" w:rsidRDefault="00732F53" w:rsidP="0012453E">
      <w:pPr>
        <w:widowControl w:val="0"/>
        <w:numPr>
          <w:ilvl w:val="0"/>
          <w:numId w:val="12"/>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Haber cumplido al menos una tercera parte de la pena privativa de libertad cuando ésta sea mayor de cinco y no exceda de veinte años. </w:t>
      </w:r>
    </w:p>
    <w:p w14:paraId="147FEE5B" w14:textId="77777777" w:rsidR="00732F53" w:rsidRPr="0012597A" w:rsidRDefault="00732F53" w:rsidP="0012453E">
      <w:pPr>
        <w:widowControl w:val="0"/>
        <w:numPr>
          <w:ilvl w:val="0"/>
          <w:numId w:val="12"/>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Haber cumplido al menos la mitad de la pena privativa de libertad cuando ésta exceda de veinte años. </w:t>
      </w:r>
    </w:p>
    <w:p w14:paraId="7FBEB2BB"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0AE7D0E2" w14:textId="39F82560"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No serán exigibles los plazos señalados en las fracciones anteriores cuando la solicitud de indulto se funde en las causales previstas en las fracciones I, II, III, IV, V, VI y IX del artículo 4 de esta Ley, ni </w:t>
      </w:r>
      <w:proofErr w:type="spellStart"/>
      <w:r w:rsidRPr="0012597A">
        <w:rPr>
          <w:rFonts w:ascii="Times New Roman" w:eastAsia="Arial" w:hAnsi="Times New Roman" w:cs="Times New Roman"/>
          <w:color w:val="000000"/>
          <w:sz w:val="24"/>
          <w:szCs w:val="24"/>
          <w:lang w:eastAsia="es-MX"/>
        </w:rPr>
        <w:t>cuando</w:t>
      </w:r>
      <w:proofErr w:type="spellEnd"/>
      <w:r w:rsidRPr="0012597A">
        <w:rPr>
          <w:rFonts w:ascii="Times New Roman" w:eastAsia="Arial" w:hAnsi="Times New Roman" w:cs="Times New Roman"/>
          <w:color w:val="000000"/>
          <w:sz w:val="24"/>
          <w:szCs w:val="24"/>
          <w:lang w:eastAsia="es-MX"/>
        </w:rPr>
        <w:t xml:space="preserve"> del análisis integral del caso se advierta una la carencia de equidad o razonabilidad manifiesta entre la conducta atribuida, las circunstancias de su comisión y la extensión de la pena impuesta. </w:t>
      </w:r>
    </w:p>
    <w:p w14:paraId="73C1C34E"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7A452DF0" w14:textId="6B6E75A1"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 xml:space="preserve">Artículo 6. </w:t>
      </w:r>
      <w:r w:rsidRPr="0012597A">
        <w:rPr>
          <w:rFonts w:ascii="Times New Roman" w:eastAsia="Arial" w:hAnsi="Times New Roman" w:cs="Times New Roman"/>
          <w:color w:val="000000"/>
          <w:sz w:val="24"/>
          <w:szCs w:val="24"/>
          <w:lang w:eastAsia="es-MX"/>
        </w:rPr>
        <w:t>Para efectos de la aplicación de esta Ley, el Consejo Consultivo determinará que la ejecución de la pena impuesta carece de razonabilidad o equidad humanitaria, sin prejuzgar sobre la validez de la sentencia ni sobre los criterios de individualización determinados por la autoridad jurisdiccional, cuando se acredite alguno de los supuestos siguientes:</w:t>
      </w:r>
    </w:p>
    <w:p w14:paraId="07A389B8"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4B004719" w14:textId="77777777" w:rsidR="00732F53" w:rsidRPr="0012597A" w:rsidRDefault="00732F53" w:rsidP="0012453E">
      <w:pPr>
        <w:widowControl w:val="0"/>
        <w:numPr>
          <w:ilvl w:val="0"/>
          <w:numId w:val="2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Inequidad manifiesta en el cumplimiento de la pena. Cuando, como consecuencia de modificaciones al marco jurídico aplicable o de la adopción de nuevos estándares nacionales o internacionales en materia de derechos humanos, la pena actualmente ejecutada sea sustancialmente más severa que la prevista o aplicada para conductas de naturaleza equivalente, configurando una diferencia objetiva y desproporcionada respecto del marco sancionador vigente.</w:t>
      </w:r>
    </w:p>
    <w:p w14:paraId="64B46E1C" w14:textId="77777777" w:rsidR="00732F53" w:rsidRPr="0012597A" w:rsidRDefault="00732F53" w:rsidP="0012453E">
      <w:pPr>
        <w:widowControl w:val="0"/>
        <w:numPr>
          <w:ilvl w:val="0"/>
          <w:numId w:val="2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lastRenderedPageBreak/>
        <w:t>Incompatibilidad con los fines constitucionales de la pena. Cuando los estudios técnicos, psicológicos, criminológicos o interdisciplinarios emitidos por las autoridades penitenciarias y valorados por el Consejo Consultivo acrediten que la persona sentenciada ha alcanzado los objetivos de reinserción social previstos en el artículo 18 de la Constitución Política de los Estados Unidos Mexicanos, y que la continuidad de su internamiento carezca de función preventiva, protectora, resocializadora o de seguridad.</w:t>
      </w:r>
    </w:p>
    <w:p w14:paraId="63BBB0B4" w14:textId="77777777" w:rsidR="007F0C07" w:rsidRPr="0012597A" w:rsidRDefault="007F0C07"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78F114D1" w14:textId="27E6FE6F"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III</w:t>
      </w:r>
    </w:p>
    <w:p w14:paraId="53B87E4D"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LOS SUPUESTOS DE IMPROCEDENCIA</w:t>
      </w:r>
    </w:p>
    <w:p w14:paraId="13D8A154"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67D22ADC" w14:textId="78B1D72C"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7.</w:t>
      </w:r>
      <w:r w:rsidRPr="0012597A">
        <w:rPr>
          <w:rFonts w:ascii="Times New Roman" w:eastAsia="Arial" w:hAnsi="Times New Roman" w:cs="Times New Roman"/>
          <w:color w:val="000000"/>
          <w:sz w:val="24"/>
          <w:szCs w:val="24"/>
          <w:lang w:eastAsia="es-MX"/>
        </w:rPr>
        <w:t xml:space="preserve"> En ningún caso podrán gozar del indulto: </w:t>
      </w:r>
    </w:p>
    <w:p w14:paraId="5998B402"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04C3206D" w14:textId="77777777" w:rsidR="00732F53" w:rsidRPr="0012597A" w:rsidRDefault="00732F53" w:rsidP="0012453E">
      <w:pPr>
        <w:widowControl w:val="0"/>
        <w:numPr>
          <w:ilvl w:val="0"/>
          <w:numId w:val="1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personas sentenciadas reincidentes o habituales. </w:t>
      </w:r>
    </w:p>
    <w:p w14:paraId="4CBFBBA8" w14:textId="77777777" w:rsidR="00732F53" w:rsidRPr="0012597A" w:rsidRDefault="00732F53" w:rsidP="0012453E">
      <w:pPr>
        <w:widowControl w:val="0"/>
        <w:numPr>
          <w:ilvl w:val="0"/>
          <w:numId w:val="1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personas sentenciadas que hayan sido condenadas penalmente mediante diversas sentencias ejecutoriadas. </w:t>
      </w:r>
    </w:p>
    <w:p w14:paraId="728EEF80" w14:textId="77777777" w:rsidR="00732F53" w:rsidRPr="0012597A" w:rsidRDefault="00732F53" w:rsidP="0012453E">
      <w:pPr>
        <w:widowControl w:val="0"/>
        <w:numPr>
          <w:ilvl w:val="0"/>
          <w:numId w:val="1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personas sentenciadas que, por haber sido procedente la acumulación establecida en la legislación penal correspondiente, hayan sido condenadas ejecutoriamente en una sola sentencia por dos o más delitos cometidos en actos distintos. </w:t>
      </w:r>
    </w:p>
    <w:p w14:paraId="7086E8AC" w14:textId="77777777" w:rsidR="00732F53" w:rsidRPr="0012597A" w:rsidRDefault="00732F53" w:rsidP="0012453E">
      <w:pPr>
        <w:widowControl w:val="0"/>
        <w:numPr>
          <w:ilvl w:val="0"/>
          <w:numId w:val="1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Las personas sentenciadas respecto de las cuales el Comité Técnico, mediante dictamen debidamente fundado y motivado, determine la existencia de un riesgo cierto, actual, grave y objetivamente acreditado para la víctima, la comunidad o el propio centro penitenciario, directamente atribuible a la concesión del indulto.</w:t>
      </w:r>
    </w:p>
    <w:p w14:paraId="02991356" w14:textId="77777777" w:rsidR="00732F53" w:rsidRPr="0012597A" w:rsidRDefault="00732F53" w:rsidP="0012453E">
      <w:pPr>
        <w:widowControl w:val="0"/>
        <w:numPr>
          <w:ilvl w:val="0"/>
          <w:numId w:val="1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personas privadas de la libertad que cuenten con reporte disciplinario de mala conducta y sanción firme impuesta dentro del año anterior a la solicitud. </w:t>
      </w:r>
    </w:p>
    <w:p w14:paraId="45877FAB" w14:textId="77777777" w:rsidR="00732F53" w:rsidRPr="0012597A" w:rsidRDefault="00732F53" w:rsidP="0012453E">
      <w:pPr>
        <w:widowControl w:val="0"/>
        <w:numPr>
          <w:ilvl w:val="0"/>
          <w:numId w:val="1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personas sentenciadas que tengan pendiente otro proceso penal, hasta que en éste se dicte sentencia ejecutoriada y ésta sea absolutoria. </w:t>
      </w:r>
    </w:p>
    <w:p w14:paraId="48DFFA1A" w14:textId="77777777" w:rsidR="007F0C07" w:rsidRPr="0012597A" w:rsidRDefault="007F0C07"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7A398A27" w14:textId="523EA8D6"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IV</w:t>
      </w:r>
    </w:p>
    <w:p w14:paraId="0C75F282"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LAS GARANTÍAS PARA EL EJERCICIO DEL INDULTO</w:t>
      </w:r>
    </w:p>
    <w:p w14:paraId="0398CA5B"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23E50DEA" w14:textId="538A818C"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8.</w:t>
      </w:r>
      <w:r w:rsidRPr="0012597A">
        <w:rPr>
          <w:rFonts w:ascii="Times New Roman" w:eastAsia="Arial" w:hAnsi="Times New Roman" w:cs="Times New Roman"/>
          <w:color w:val="000000"/>
          <w:sz w:val="24"/>
          <w:szCs w:val="24"/>
          <w:lang w:eastAsia="es-MX"/>
        </w:rPr>
        <w:t xml:space="preserve"> Las autoridades penitenciarias deberán garantizar, de manera continua y por los medios accesibles disponibles en los centros de reclusión, la difusión clara, incluyente y comprensible de la información relativa a los derechos, requisitos y procedimientos previstos en esta Ley. </w:t>
      </w:r>
    </w:p>
    <w:p w14:paraId="2FF44F72"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255395B0" w14:textId="1797A72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Asimismo, deberán proporcionar a las personas sentenciadas, y cuando corresponda a sus familiares legitimados, la orientación institucional necesaria para identificar los requisitos aplicables, la documentación requerida y las etapas del trámite de solicitud de indulto, asegurando que dicha información sea accesible para personas con discapacidad, integrantes de pueblos y comunidades indígenas o personas que requieran apoyos específicos para su comprensión. </w:t>
      </w:r>
    </w:p>
    <w:p w14:paraId="5C112F3C"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12A245F3" w14:textId="4A989EC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9.</w:t>
      </w:r>
      <w:r w:rsidRPr="0012597A">
        <w:rPr>
          <w:rFonts w:ascii="Times New Roman" w:eastAsia="Arial" w:hAnsi="Times New Roman" w:cs="Times New Roman"/>
          <w:color w:val="000000"/>
          <w:sz w:val="24"/>
          <w:szCs w:val="24"/>
          <w:lang w:eastAsia="es-MX"/>
        </w:rPr>
        <w:t xml:space="preserve"> Las autoridades penitenciarias deberán garantizar que ninguna persona sentenciada vea obstaculizado, restringido o condicionado el ejercicio de su derecho a presentar una solicitud de indulto, ni directa ni indirectamente, por motivos disciplinarios, administrativos, personales o de cualquier naturaleza ajena a los requisitos establecidos en esta Ley. </w:t>
      </w:r>
    </w:p>
    <w:p w14:paraId="39C7C58B"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766239EA" w14:textId="1A4DE7F1"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En todo momento deberá respetarse la dignidad de las personas sentenciadas y asegurarse que las actuaciones vinculadas con el trámite del indulto se desarrollen sin discriminación, sin represalias y sin condicionamientos indebidos, conforme a los principios de legalidad, igualdad y debido proceso en la ejecución penal. </w:t>
      </w:r>
    </w:p>
    <w:p w14:paraId="4A9FE17C" w14:textId="77777777" w:rsidR="007F0C07" w:rsidRPr="0012597A" w:rsidRDefault="007F0C07"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3154C084" w14:textId="3FF239CA"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V</w:t>
      </w:r>
    </w:p>
    <w:p w14:paraId="1B6A6132" w14:textId="77777777" w:rsidR="00732F53" w:rsidRPr="0012597A" w:rsidRDefault="00732F53" w:rsidP="00EF1C7F">
      <w:pPr>
        <w:widowControl w:val="0"/>
        <w:spacing w:after="0" w:line="240" w:lineRule="auto"/>
        <w:jc w:val="center"/>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DE LOS ORGANISMOS AUXILIARES</w:t>
      </w:r>
    </w:p>
    <w:p w14:paraId="1F367947"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5B1F7B74" w14:textId="729A297C"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10.</w:t>
      </w:r>
      <w:r w:rsidRPr="0012597A">
        <w:rPr>
          <w:rFonts w:ascii="Times New Roman" w:eastAsia="Arial" w:hAnsi="Times New Roman" w:cs="Times New Roman"/>
          <w:color w:val="000000"/>
          <w:sz w:val="24"/>
          <w:szCs w:val="24"/>
          <w:lang w:eastAsia="es-MX"/>
        </w:rPr>
        <w:t xml:space="preserve"> El Comité Técnico es un órgano colegiado de carácter técnico-penitenciario de la Subsecretaría de Control Penitenciario, encargado de emitir el dictamen técnico previsto en esta Ley, con base en la valoración de los antecedentes, informes y elementos vinculados con la ejecución de la sentencia de la persona solicitante del indulto. </w:t>
      </w:r>
    </w:p>
    <w:p w14:paraId="6C0E2849"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61CFE522" w14:textId="762C5FF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11.</w:t>
      </w:r>
      <w:r w:rsidRPr="0012597A">
        <w:rPr>
          <w:rFonts w:ascii="Times New Roman" w:eastAsia="Arial" w:hAnsi="Times New Roman" w:cs="Times New Roman"/>
          <w:color w:val="000000"/>
          <w:sz w:val="24"/>
          <w:szCs w:val="24"/>
          <w:lang w:eastAsia="es-MX"/>
        </w:rPr>
        <w:t xml:space="preserve"> El Comité Técnico se integrará por:</w:t>
      </w:r>
    </w:p>
    <w:p w14:paraId="1F6B8DA2"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7F963AF0"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titular de la Subsecretaría de Control Penitenciario, quien lo presidirá; </w:t>
      </w:r>
    </w:p>
    <w:p w14:paraId="4160177A"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Secretaría o el Secretario Ejecutivo, designado por la persona titular de la Subsecretaría de Control Penitenciario, con derecho a voz pero sin voto; </w:t>
      </w:r>
    </w:p>
    <w:p w14:paraId="1E717AC4"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responsable del área técnica en materia criminológica del sistema penitenciario; </w:t>
      </w:r>
    </w:p>
    <w:p w14:paraId="027F63B5"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responsable del área médica del sistema penitenciario; </w:t>
      </w:r>
    </w:p>
    <w:p w14:paraId="6C20DA90"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responsable del área psicológica del sistema penitenciario; </w:t>
      </w:r>
    </w:p>
    <w:p w14:paraId="436DAEEA"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responsable del área de trabajo social del sistema penitenciario; </w:t>
      </w:r>
    </w:p>
    <w:p w14:paraId="61DC2770"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Una persona representante de la Coordinación de Reinserción Social del Estado; </w:t>
      </w:r>
    </w:p>
    <w:p w14:paraId="55E1EB1F"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titular de la dirección del centro penitenciario donde se encuentre la persona sentenciada cuya solicitud se analice, y </w:t>
      </w:r>
    </w:p>
    <w:p w14:paraId="5705F2A1" w14:textId="77777777" w:rsidR="00732F53" w:rsidRPr="0012597A" w:rsidRDefault="00732F53" w:rsidP="0012453E">
      <w:pPr>
        <w:widowControl w:val="0"/>
        <w:numPr>
          <w:ilvl w:val="0"/>
          <w:numId w:val="1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Una persona representante del Instituto de la Defensoría Pública del Estado de México, con derecho a voz pero sin voto. </w:t>
      </w:r>
    </w:p>
    <w:p w14:paraId="3DC10610"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1A39F9AF" w14:textId="7C254B2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personas integrantes del Comité Técnico deberán contar con los conocimientos técnicos y la experiencia profesional necesarios para el adecuado ejercicio de sus funciones, conforme a las disposiciones administrativas aplicables. </w:t>
      </w:r>
    </w:p>
    <w:p w14:paraId="5F4D1CD7"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3D2C7755" w14:textId="2C585FF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12.</w:t>
      </w:r>
      <w:r w:rsidRPr="0012597A">
        <w:rPr>
          <w:rFonts w:ascii="Times New Roman" w:eastAsia="Arial" w:hAnsi="Times New Roman" w:cs="Times New Roman"/>
          <w:color w:val="000000"/>
          <w:sz w:val="24"/>
          <w:szCs w:val="24"/>
          <w:lang w:eastAsia="es-MX"/>
        </w:rPr>
        <w:t xml:space="preserve"> Corresponde al Comité Técnico: </w:t>
      </w:r>
    </w:p>
    <w:p w14:paraId="556643DF"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6DEAB9AA" w14:textId="77777777" w:rsidR="00732F53" w:rsidRPr="0012597A" w:rsidRDefault="00732F53" w:rsidP="0012453E">
      <w:pPr>
        <w:widowControl w:val="0"/>
        <w:numPr>
          <w:ilvl w:val="0"/>
          <w:numId w:val="1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Analizar la documentación penitenciaria, antecedentes y registros remitidos por la Secretaría de Seguridad; </w:t>
      </w:r>
    </w:p>
    <w:p w14:paraId="60E19B07" w14:textId="77777777" w:rsidR="00732F53" w:rsidRPr="0012597A" w:rsidRDefault="00732F53" w:rsidP="0012453E">
      <w:pPr>
        <w:widowControl w:val="0"/>
        <w:numPr>
          <w:ilvl w:val="0"/>
          <w:numId w:val="1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Verificar la participación de la persona sentenciada en actividades laborales, educativas, de capacitación, de tratamiento o de reinserción social; </w:t>
      </w:r>
    </w:p>
    <w:p w14:paraId="4A054784" w14:textId="77777777" w:rsidR="00732F53" w:rsidRPr="0012597A" w:rsidRDefault="00732F53" w:rsidP="0012453E">
      <w:pPr>
        <w:widowControl w:val="0"/>
        <w:numPr>
          <w:ilvl w:val="0"/>
          <w:numId w:val="1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Evaluar, con base en los registros institucionales, la evolución conductual, disciplinaria y social de la persona sentenciada durante la ejecución de su pena; </w:t>
      </w:r>
    </w:p>
    <w:p w14:paraId="479562FA" w14:textId="77777777" w:rsidR="00732F53" w:rsidRPr="0012597A" w:rsidRDefault="00732F53" w:rsidP="0012453E">
      <w:pPr>
        <w:widowControl w:val="0"/>
        <w:numPr>
          <w:ilvl w:val="0"/>
          <w:numId w:val="1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Determinar, cuando proceda, si existen condiciones de riesgo cierto, actual y objetivamente acreditado para la víctima, la comunidad o el centro penitenciario derivadas de la eventual concesión del indulto; </w:t>
      </w:r>
    </w:p>
    <w:p w14:paraId="4902EA5C" w14:textId="77777777" w:rsidR="00732F53" w:rsidRPr="0012597A" w:rsidRDefault="00732F53" w:rsidP="0012453E">
      <w:pPr>
        <w:widowControl w:val="0"/>
        <w:numPr>
          <w:ilvl w:val="0"/>
          <w:numId w:val="1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Emitir el dictamen técnico-penitenciario correspondiente, debidamente fundado y motivado, dentro de los plazos establecidos en esta Ley; </w:t>
      </w:r>
    </w:p>
    <w:p w14:paraId="0FE5A796" w14:textId="77777777" w:rsidR="00732F53" w:rsidRPr="0012597A" w:rsidRDefault="00732F53" w:rsidP="0012453E">
      <w:pPr>
        <w:widowControl w:val="0"/>
        <w:numPr>
          <w:ilvl w:val="0"/>
          <w:numId w:val="1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Remitir dicho dictamen a la Secretaría de Seguridad para los efectos legales conducentes; y </w:t>
      </w:r>
    </w:p>
    <w:p w14:paraId="785AE900" w14:textId="77777777" w:rsidR="00732F53" w:rsidRPr="0012597A" w:rsidRDefault="00732F53" w:rsidP="0012453E">
      <w:pPr>
        <w:widowControl w:val="0"/>
        <w:numPr>
          <w:ilvl w:val="0"/>
          <w:numId w:val="15"/>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Ejercer las demás atribuciones que le confieran esta Ley y demás disposiciones aplicables. </w:t>
      </w:r>
    </w:p>
    <w:p w14:paraId="6417BD61"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52A99817" w14:textId="4F46A43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13.</w:t>
      </w:r>
      <w:r w:rsidRPr="0012597A">
        <w:rPr>
          <w:rFonts w:ascii="Times New Roman" w:eastAsia="Arial" w:hAnsi="Times New Roman" w:cs="Times New Roman"/>
          <w:color w:val="000000"/>
          <w:sz w:val="24"/>
          <w:szCs w:val="24"/>
          <w:lang w:eastAsia="es-MX"/>
        </w:rPr>
        <w:t xml:space="preserve"> El Consejo Consultivo de Indulto es un órgano colegiado de carácter interinstitucional, consultivo y no vinculante, encargado de emitir la opinión integral prevista en esta Ley, mediante el análisis jurídico, institucional, social y de derechos humanos de los expedientes de solicitud de indulto que le remita la Consejería Jurídica. </w:t>
      </w:r>
    </w:p>
    <w:p w14:paraId="2A61AD92"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4F3C8432" w14:textId="7DC930CA"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Su opinión se formulará con base en los principios de dignidad humana, legalidad, racionalidad, proporcionalidad, debido proceso, igualdad, perspectiva de género, interculturalidad y reinserción social. </w:t>
      </w:r>
    </w:p>
    <w:p w14:paraId="11179B59" w14:textId="77777777" w:rsidR="007F0C07" w:rsidRPr="0012597A" w:rsidRDefault="007F0C07"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5FA843D6" w14:textId="51AF71D6"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14.</w:t>
      </w:r>
      <w:r w:rsidRPr="0012597A">
        <w:rPr>
          <w:rFonts w:ascii="Times New Roman" w:eastAsia="Arial" w:hAnsi="Times New Roman" w:cs="Times New Roman"/>
          <w:color w:val="000000"/>
          <w:sz w:val="24"/>
          <w:szCs w:val="24"/>
          <w:lang w:eastAsia="es-MX"/>
        </w:rPr>
        <w:t xml:space="preserve"> El Consejo Consultivo de Indulto se integrará por: </w:t>
      </w:r>
    </w:p>
    <w:p w14:paraId="52AEF20B" w14:textId="77777777" w:rsidR="007F0C07" w:rsidRPr="0012597A" w:rsidRDefault="007F0C07" w:rsidP="00EF1C7F">
      <w:pPr>
        <w:widowControl w:val="0"/>
        <w:spacing w:after="0" w:line="240" w:lineRule="auto"/>
        <w:jc w:val="both"/>
        <w:rPr>
          <w:rFonts w:ascii="Times New Roman" w:eastAsia="Arial" w:hAnsi="Times New Roman" w:cs="Times New Roman"/>
          <w:color w:val="000000"/>
          <w:sz w:val="24"/>
          <w:szCs w:val="24"/>
          <w:lang w:eastAsia="es-MX"/>
        </w:rPr>
      </w:pPr>
    </w:p>
    <w:p w14:paraId="553F4221" w14:textId="77777777" w:rsidR="00732F53" w:rsidRPr="0012597A" w:rsidRDefault="00732F53" w:rsidP="0012453E">
      <w:pPr>
        <w:widowControl w:val="0"/>
        <w:numPr>
          <w:ilvl w:val="0"/>
          <w:numId w:val="1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titular de la Consejería Jurídica del Poder Ejecutivo del Estado, quien lo presidirá; </w:t>
      </w:r>
    </w:p>
    <w:p w14:paraId="76D8E093" w14:textId="77777777" w:rsidR="00732F53" w:rsidRPr="0012597A" w:rsidRDefault="00732F53" w:rsidP="0012453E">
      <w:pPr>
        <w:widowControl w:val="0"/>
        <w:numPr>
          <w:ilvl w:val="0"/>
          <w:numId w:val="1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Una persona designada por la Consejería Jurídica, quien fungirá como Secretaría o Secretario Ejecutivo, con derecho a voz pero sin voto; </w:t>
      </w:r>
    </w:p>
    <w:p w14:paraId="792C5984" w14:textId="7C862FFC" w:rsidR="00732F53" w:rsidRPr="0012597A" w:rsidRDefault="00732F53" w:rsidP="0012453E">
      <w:pPr>
        <w:widowControl w:val="0"/>
        <w:numPr>
          <w:ilvl w:val="0"/>
          <w:numId w:val="16"/>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Las personas vocales siguientes:</w:t>
      </w:r>
    </w:p>
    <w:p w14:paraId="42EBCA3C" w14:textId="77777777" w:rsidR="0002039C" w:rsidRPr="0012597A" w:rsidRDefault="0002039C"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5730F5F" w14:textId="77777777"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titular de la Secretaría de Seguridad, o la persona representante que designe; </w:t>
      </w:r>
    </w:p>
    <w:p w14:paraId="1A217114" w14:textId="77777777"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Dos magistradas o magistrados del Tribunal Superior de Justicia del Estado de México, con experiencia en materia penal, designados por el Pleno de dicho Tribunal; </w:t>
      </w:r>
    </w:p>
    <w:p w14:paraId="0FFBBD46" w14:textId="77777777"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Dos diputadas o diputados integrantes de la Comisión de Administración y Procuración de Justicia de la Legislatura del Estado de México, designados por dicha Comisión; </w:t>
      </w:r>
    </w:p>
    <w:p w14:paraId="4798D1F7" w14:textId="77777777"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titular de la Comisión de Derechos Humanos del Estado de México, o la persona representante que designe; </w:t>
      </w:r>
    </w:p>
    <w:p w14:paraId="4CBBB8A9" w14:textId="77777777"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titular del Sistema para el Desarrollo Integral de la Familia del Estado de México, o la persona representante que designe; </w:t>
      </w:r>
    </w:p>
    <w:p w14:paraId="58A8139E" w14:textId="77777777"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titular de la Comisión Ejecutiva de Atención a Víctimas del Estado de México, o la persona representante que designe; </w:t>
      </w:r>
    </w:p>
    <w:p w14:paraId="430587A3" w14:textId="77777777"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Una persona académica de la Universidad Autónoma del Estado de México, designada por el Consejo Universitario, con experiencia acreditada en materia penal, ejecución penal, derechos humanos, política criminal o disciplinas afines;</w:t>
      </w:r>
    </w:p>
    <w:p w14:paraId="46315FFE" w14:textId="07DCD5E3" w:rsidR="00732F53" w:rsidRPr="0012597A" w:rsidRDefault="00732F53" w:rsidP="0012453E">
      <w:pPr>
        <w:widowControl w:val="0"/>
        <w:numPr>
          <w:ilvl w:val="0"/>
          <w:numId w:val="17"/>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Dos personas ciudadanas, electas mediante convocatoria pública emitida por la Legislatura del Estado de México, quienes deberán acreditar experiencia en derechos humanos, justicia penal, reinserción social o acompañamiento comunitario.</w:t>
      </w:r>
    </w:p>
    <w:p w14:paraId="3E061B7D" w14:textId="77777777" w:rsidR="0002039C" w:rsidRPr="0012597A" w:rsidRDefault="0002039C"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F3C5CB3" w14:textId="7F311F60"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El Consejo Consultivo podrá invitar, con derecho a voz pero sin voto, a personas especialistas en derechos humanos, trabajo social, psicología, criminología, medicina, política criminal, reinserción social, así como a representantes de organizaciones de la sociedad civil con experiencia acreditada en atención a personas privadas de la libertad o grupos en situación de vulnerabilidad, cuando su participación sea necesaria para el análisis de un caso o la emisión de una opinión.</w:t>
      </w:r>
    </w:p>
    <w:p w14:paraId="1A8DA734" w14:textId="77777777" w:rsidR="0002039C" w:rsidRPr="0012597A" w:rsidRDefault="0002039C" w:rsidP="00EF1C7F">
      <w:pPr>
        <w:widowControl w:val="0"/>
        <w:spacing w:after="0" w:line="240" w:lineRule="auto"/>
        <w:jc w:val="both"/>
        <w:rPr>
          <w:rFonts w:ascii="Times New Roman" w:eastAsia="Arial" w:hAnsi="Times New Roman" w:cs="Times New Roman"/>
          <w:color w:val="000000"/>
          <w:sz w:val="24"/>
          <w:szCs w:val="24"/>
          <w:lang w:eastAsia="es-MX"/>
        </w:rPr>
      </w:pPr>
    </w:p>
    <w:p w14:paraId="79BD3F87" w14:textId="58527B8F"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El Consejo Consultivo celebrará sesión ordinaria cuando menos una vez al mes para analizar las solicitudes de indulto que hayan sido sometidas a consideración por la Consejería Jurídica. En los periodos en que no exista solicitud registrada, no será necesaria la celebración de la sesión ordinaria. Sin perjuicio de lo anterior, podrán convocarse sesiones extraordinarias cuando las características del caso lo ameriten.</w:t>
      </w:r>
    </w:p>
    <w:p w14:paraId="6F5AFCEE" w14:textId="77777777" w:rsidR="0026207E" w:rsidRPr="0012597A" w:rsidRDefault="0026207E" w:rsidP="00EF1C7F">
      <w:pPr>
        <w:widowControl w:val="0"/>
        <w:spacing w:after="0" w:line="240" w:lineRule="auto"/>
        <w:jc w:val="both"/>
        <w:rPr>
          <w:rFonts w:ascii="Times New Roman" w:eastAsia="Arial" w:hAnsi="Times New Roman" w:cs="Times New Roman"/>
          <w:color w:val="000000"/>
          <w:sz w:val="24"/>
          <w:szCs w:val="24"/>
          <w:lang w:eastAsia="es-MX"/>
        </w:rPr>
      </w:pPr>
    </w:p>
    <w:p w14:paraId="6C3B0BA9" w14:textId="10A62A74"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15.</w:t>
      </w:r>
      <w:r w:rsidRPr="0012597A">
        <w:rPr>
          <w:rFonts w:ascii="Times New Roman" w:eastAsia="Arial" w:hAnsi="Times New Roman" w:cs="Times New Roman"/>
          <w:color w:val="000000"/>
          <w:sz w:val="24"/>
          <w:szCs w:val="24"/>
          <w:lang w:eastAsia="es-MX"/>
        </w:rPr>
        <w:t xml:space="preserve"> Corresponde al Consejo Consultivo de Indulto:</w:t>
      </w:r>
    </w:p>
    <w:p w14:paraId="51B75E82" w14:textId="77777777" w:rsidR="0026207E" w:rsidRPr="0012597A" w:rsidRDefault="0026207E" w:rsidP="00EF1C7F">
      <w:pPr>
        <w:widowControl w:val="0"/>
        <w:spacing w:after="0" w:line="240" w:lineRule="auto"/>
        <w:jc w:val="both"/>
        <w:rPr>
          <w:rFonts w:ascii="Times New Roman" w:eastAsia="Arial" w:hAnsi="Times New Roman" w:cs="Times New Roman"/>
          <w:color w:val="000000"/>
          <w:sz w:val="24"/>
          <w:szCs w:val="24"/>
          <w:lang w:eastAsia="es-MX"/>
        </w:rPr>
      </w:pPr>
    </w:p>
    <w:p w14:paraId="303B48B5" w14:textId="6F5B4A8B" w:rsidR="00732F53" w:rsidRPr="0012597A" w:rsidRDefault="00C20F46"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 </w:t>
      </w:r>
      <w:r w:rsidR="00732F53" w:rsidRPr="0012597A">
        <w:rPr>
          <w:rFonts w:ascii="Times New Roman" w:eastAsia="Arial" w:hAnsi="Times New Roman" w:cs="Times New Roman"/>
          <w:color w:val="000000"/>
          <w:sz w:val="24"/>
          <w:szCs w:val="24"/>
          <w:lang w:eastAsia="es-MX"/>
        </w:rPr>
        <w:t xml:space="preserve">Analizar el expediente jurídico y administrativo del indulto; </w:t>
      </w:r>
    </w:p>
    <w:p w14:paraId="6D611A66" w14:textId="77777777" w:rsidR="00732F53" w:rsidRPr="0012597A" w:rsidRDefault="00732F53"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Evaluar la razonabilidad y proporcionalidad de la pena cuya extinción se solicita, sin revisar, modificar o invalidar la sentencia condenatoria; </w:t>
      </w:r>
    </w:p>
    <w:p w14:paraId="413EA24E" w14:textId="77777777" w:rsidR="00732F53" w:rsidRPr="0012597A" w:rsidRDefault="00732F53"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Valorar la existencia de indicios documentados sobre violaciones graves al debido proceso, </w:t>
      </w:r>
      <w:r w:rsidRPr="0012597A">
        <w:rPr>
          <w:rFonts w:ascii="Times New Roman" w:eastAsia="Arial" w:hAnsi="Times New Roman" w:cs="Times New Roman"/>
          <w:color w:val="000000"/>
          <w:sz w:val="24"/>
          <w:szCs w:val="24"/>
          <w:lang w:eastAsia="es-MX"/>
        </w:rPr>
        <w:lastRenderedPageBreak/>
        <w:t xml:space="preserve">afectaciones a derechos humanos o irregularidades institucionales que hayan podido incidir en el procedimiento penal; </w:t>
      </w:r>
    </w:p>
    <w:p w14:paraId="1AE56FDE" w14:textId="77777777" w:rsidR="00732F53" w:rsidRPr="0012597A" w:rsidRDefault="00732F53"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Considerar la situación de las víctimas, el impacto en su esfera jurídica y las medidas de protección necesarias, evitando cualquier forma de revictimización; </w:t>
      </w:r>
    </w:p>
    <w:p w14:paraId="6F014FD8" w14:textId="77777777" w:rsidR="00732F53" w:rsidRPr="0012597A" w:rsidRDefault="00732F53"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Analizar la condición de vulnerabilidad de la persona sentenciada, incluyendo edad, salud, discapacidad, situación familiar, pertenencia indígena, condiciones socioeconómicas o cualquier otra circunstancia relevante; </w:t>
      </w:r>
    </w:p>
    <w:p w14:paraId="2060F427" w14:textId="77777777" w:rsidR="00732F53" w:rsidRPr="0012597A" w:rsidRDefault="00732F53"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Emitir una opinión integral, debidamente fundada y motivada, respecto de la procedencia o improcedencia del indulto, y remitirla a la Consejería Jurídica para los efectos legales conducentes; </w:t>
      </w:r>
    </w:p>
    <w:p w14:paraId="42833830" w14:textId="77777777" w:rsidR="00732F53" w:rsidRPr="0012597A" w:rsidRDefault="00732F53"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Solicitar, por conducto de la Consejería Jurídica, información complementaria a las instituciones competentes cuando resulte necesaria para su deliberación; y </w:t>
      </w:r>
    </w:p>
    <w:p w14:paraId="3F0F4FDF" w14:textId="77777777" w:rsidR="00732F53" w:rsidRPr="0012597A" w:rsidRDefault="00732F53" w:rsidP="0012453E">
      <w:pPr>
        <w:widowControl w:val="0"/>
        <w:numPr>
          <w:ilvl w:val="0"/>
          <w:numId w:val="2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Ejercer las demás atribuciones previstas en esta Ley y en las disposiciones aplicables. </w:t>
      </w:r>
    </w:p>
    <w:p w14:paraId="70A80BDE" w14:textId="77777777" w:rsidR="0026207E" w:rsidRPr="0012597A" w:rsidRDefault="0026207E"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4977EDF6" w14:textId="02B18E2D"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VI</w:t>
      </w:r>
    </w:p>
    <w:p w14:paraId="18F0C8F1"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LAS SOLICITUDES</w:t>
      </w:r>
    </w:p>
    <w:p w14:paraId="39B4CE97" w14:textId="77777777" w:rsidR="00C20F46" w:rsidRPr="0012597A" w:rsidRDefault="00C20F46"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68597F78" w14:textId="68663EEF"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16.</w:t>
      </w:r>
      <w:r w:rsidRPr="0012597A">
        <w:rPr>
          <w:rFonts w:ascii="Times New Roman" w:eastAsia="Arial" w:hAnsi="Times New Roman" w:cs="Times New Roman"/>
          <w:color w:val="000000"/>
          <w:sz w:val="24"/>
          <w:szCs w:val="24"/>
          <w:lang w:eastAsia="es-MX"/>
        </w:rPr>
        <w:t xml:space="preserve"> La solicitud de indulto podrá presentarse por: </w:t>
      </w:r>
    </w:p>
    <w:p w14:paraId="35894CFD" w14:textId="77777777" w:rsidR="00C20F46" w:rsidRPr="0012597A" w:rsidRDefault="00C20F46" w:rsidP="00EF1C7F">
      <w:pPr>
        <w:widowControl w:val="0"/>
        <w:spacing w:after="0" w:line="240" w:lineRule="auto"/>
        <w:jc w:val="both"/>
        <w:rPr>
          <w:rFonts w:ascii="Times New Roman" w:eastAsia="Arial" w:hAnsi="Times New Roman" w:cs="Times New Roman"/>
          <w:color w:val="000000"/>
          <w:sz w:val="24"/>
          <w:szCs w:val="24"/>
          <w:lang w:eastAsia="es-MX"/>
        </w:rPr>
      </w:pPr>
    </w:p>
    <w:p w14:paraId="4C7C0818" w14:textId="77777777" w:rsidR="00732F53" w:rsidRPr="0012597A" w:rsidRDefault="00732F53" w:rsidP="0012453E">
      <w:pPr>
        <w:widowControl w:val="0"/>
        <w:numPr>
          <w:ilvl w:val="0"/>
          <w:numId w:val="1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sentenciada. </w:t>
      </w:r>
    </w:p>
    <w:p w14:paraId="4D4F50F7" w14:textId="77777777" w:rsidR="00732F53" w:rsidRPr="0012597A" w:rsidRDefault="00732F53" w:rsidP="0012453E">
      <w:pPr>
        <w:widowControl w:val="0"/>
        <w:numPr>
          <w:ilvl w:val="0"/>
          <w:numId w:val="1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personas familiares legitimadas hasta el cuarto grado, cuando actúen en representación de la persona sentenciada, acreditando la relación correspondiente. </w:t>
      </w:r>
    </w:p>
    <w:p w14:paraId="76E2022C" w14:textId="77777777" w:rsidR="00732F53" w:rsidRPr="0012597A" w:rsidRDefault="00732F53" w:rsidP="0012453E">
      <w:pPr>
        <w:widowControl w:val="0"/>
        <w:numPr>
          <w:ilvl w:val="0"/>
          <w:numId w:val="1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persona defensora pública o particular, siempre que cuente con poder, representación o acreditación jurídica válida otorgada por la persona sentenciada. </w:t>
      </w:r>
    </w:p>
    <w:p w14:paraId="577A4825" w14:textId="77777777" w:rsidR="00732F53" w:rsidRPr="0012597A" w:rsidRDefault="00732F53" w:rsidP="0012453E">
      <w:pPr>
        <w:widowControl w:val="0"/>
        <w:numPr>
          <w:ilvl w:val="0"/>
          <w:numId w:val="1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Comisión de Derechos Humanos del Estado de México, cuando la solicitud derive de una recomendación, informe especial, actuación de oficio o documento oficial que evidencie la posible existencia de violaciones graves a derechos humanos en perjuicio de la persona sentenciada. </w:t>
      </w:r>
    </w:p>
    <w:p w14:paraId="092E9E85" w14:textId="77777777" w:rsidR="00732F53" w:rsidRPr="0012597A" w:rsidRDefault="00732F53" w:rsidP="0012453E">
      <w:pPr>
        <w:widowControl w:val="0"/>
        <w:numPr>
          <w:ilvl w:val="0"/>
          <w:numId w:val="18"/>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El Instituto de la Defensoría Pública, a petición de la persona sentenciada o de sus familiares, en términos de sus atribuciones legales. </w:t>
      </w:r>
    </w:p>
    <w:p w14:paraId="191B2C27" w14:textId="77777777" w:rsidR="00D07C19" w:rsidRPr="0012597A" w:rsidRDefault="00D07C19" w:rsidP="00EF1C7F">
      <w:pPr>
        <w:widowControl w:val="0"/>
        <w:spacing w:after="0" w:line="240" w:lineRule="auto"/>
        <w:jc w:val="both"/>
        <w:rPr>
          <w:rFonts w:ascii="Times New Roman" w:eastAsia="Arial" w:hAnsi="Times New Roman" w:cs="Times New Roman"/>
          <w:color w:val="000000"/>
          <w:sz w:val="24"/>
          <w:szCs w:val="24"/>
          <w:lang w:eastAsia="es-MX"/>
        </w:rPr>
      </w:pPr>
    </w:p>
    <w:p w14:paraId="5C83F715" w14:textId="4B193954"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Cuando la solicitud sea promovida por la Comisión de Derechos Humanos del Estado de México, se requerirá el consentimiento expreso de la persona sentenciada. Dicho consentimiento no será exigible cuando la persona sentenciada se encuentre imposibilitada para otorgarlo por razones médicas, cognitivas o de discapacidad, debidamente acreditadas mediante dictamen emitido por una institución pública de salud.</w:t>
      </w:r>
    </w:p>
    <w:p w14:paraId="21B92EB9" w14:textId="77777777" w:rsidR="00D07C19" w:rsidRPr="0012597A" w:rsidRDefault="00D07C19" w:rsidP="00EF1C7F">
      <w:pPr>
        <w:widowControl w:val="0"/>
        <w:spacing w:after="0" w:line="240" w:lineRule="auto"/>
        <w:jc w:val="both"/>
        <w:rPr>
          <w:rFonts w:ascii="Times New Roman" w:eastAsia="Arial" w:hAnsi="Times New Roman" w:cs="Times New Roman"/>
          <w:color w:val="000000"/>
          <w:sz w:val="24"/>
          <w:szCs w:val="24"/>
          <w:lang w:eastAsia="es-MX"/>
        </w:rPr>
      </w:pPr>
    </w:p>
    <w:p w14:paraId="4DAAC542" w14:textId="7F0DC4A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17.</w:t>
      </w:r>
      <w:r w:rsidRPr="0012597A">
        <w:rPr>
          <w:rFonts w:ascii="Times New Roman" w:eastAsia="Arial" w:hAnsi="Times New Roman" w:cs="Times New Roman"/>
          <w:color w:val="000000"/>
          <w:sz w:val="24"/>
          <w:szCs w:val="24"/>
          <w:lang w:eastAsia="es-MX"/>
        </w:rPr>
        <w:t xml:space="preserve"> La solicitud de indulto podrá presentarse en forma física o electrónica, conforme a lo siguiente:</w:t>
      </w:r>
    </w:p>
    <w:p w14:paraId="4E3E37B9" w14:textId="77777777" w:rsidR="00D07C19" w:rsidRPr="0012597A" w:rsidRDefault="00D07C19" w:rsidP="00EF1C7F">
      <w:pPr>
        <w:widowControl w:val="0"/>
        <w:spacing w:after="0" w:line="240" w:lineRule="auto"/>
        <w:jc w:val="both"/>
        <w:rPr>
          <w:rFonts w:ascii="Times New Roman" w:eastAsia="Arial" w:hAnsi="Times New Roman" w:cs="Times New Roman"/>
          <w:color w:val="000000"/>
          <w:sz w:val="24"/>
          <w:szCs w:val="24"/>
          <w:lang w:eastAsia="es-MX"/>
        </w:rPr>
      </w:pPr>
    </w:p>
    <w:p w14:paraId="2B5E4CA5" w14:textId="77777777" w:rsidR="00732F53" w:rsidRPr="0012597A" w:rsidRDefault="00732F53" w:rsidP="0012453E">
      <w:pPr>
        <w:widowControl w:val="0"/>
        <w:numPr>
          <w:ilvl w:val="0"/>
          <w:numId w:val="19"/>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En forma física, mediante escrito dirigido a la persona titular del Poder Ejecutivo del Estado. </w:t>
      </w:r>
    </w:p>
    <w:p w14:paraId="5BAF1D59" w14:textId="3D117443" w:rsidR="00732F53" w:rsidRPr="0012597A" w:rsidRDefault="00732F53" w:rsidP="0012453E">
      <w:pPr>
        <w:widowControl w:val="0"/>
        <w:numPr>
          <w:ilvl w:val="0"/>
          <w:numId w:val="19"/>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En forma electrónica, mediante el sistema digital que establezca el Gobierno del Estado para tal efecto, el cual permitirá la presentación de la solicitud y la incorporación de la documentación necesaria.</w:t>
      </w:r>
    </w:p>
    <w:p w14:paraId="61A60B19" w14:textId="77777777" w:rsidR="00D07C19" w:rsidRPr="0012597A" w:rsidRDefault="00D07C19"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805BD24" w14:textId="7777777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Las solicitudes presentadas bajo cualquiera de estas modalidades tendrán la misma validez jurídica y producirán los efectos legales correspondientes. </w:t>
      </w:r>
    </w:p>
    <w:p w14:paraId="65FDE96D" w14:textId="77777777" w:rsidR="00D07C19" w:rsidRPr="0012597A" w:rsidRDefault="00D07C19"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3F35F7CD" w14:textId="3A04B95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18.</w:t>
      </w:r>
      <w:r w:rsidRPr="0012597A">
        <w:rPr>
          <w:rFonts w:ascii="Times New Roman" w:eastAsia="Arial" w:hAnsi="Times New Roman" w:cs="Times New Roman"/>
          <w:color w:val="000000"/>
          <w:sz w:val="24"/>
          <w:szCs w:val="24"/>
          <w:lang w:eastAsia="es-MX"/>
        </w:rPr>
        <w:t xml:space="preserve"> La solicitud de indulto deberá contener: </w:t>
      </w:r>
    </w:p>
    <w:p w14:paraId="624710BA" w14:textId="77777777" w:rsidR="00D07C19" w:rsidRPr="0012597A" w:rsidRDefault="00D07C19" w:rsidP="00EF1C7F">
      <w:pPr>
        <w:widowControl w:val="0"/>
        <w:spacing w:after="0" w:line="240" w:lineRule="auto"/>
        <w:jc w:val="both"/>
        <w:rPr>
          <w:rFonts w:ascii="Times New Roman" w:eastAsia="Arial" w:hAnsi="Times New Roman" w:cs="Times New Roman"/>
          <w:color w:val="000000"/>
          <w:sz w:val="24"/>
          <w:szCs w:val="24"/>
          <w:lang w:eastAsia="es-MX"/>
        </w:rPr>
      </w:pPr>
    </w:p>
    <w:p w14:paraId="147058A1" w14:textId="77777777" w:rsidR="00732F53" w:rsidRPr="0012597A" w:rsidRDefault="00732F53" w:rsidP="0012453E">
      <w:pPr>
        <w:widowControl w:val="0"/>
        <w:numPr>
          <w:ilvl w:val="0"/>
          <w:numId w:val="20"/>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Identificación oficial de la persona sentenciada y, en su caso, de quien la promueva en su representación, acreditando la legitimación correspondiente. </w:t>
      </w:r>
    </w:p>
    <w:p w14:paraId="3504D435" w14:textId="58F0DB54" w:rsidR="00732F53" w:rsidRPr="0012597A" w:rsidRDefault="00732F53" w:rsidP="0012453E">
      <w:pPr>
        <w:widowControl w:val="0"/>
        <w:numPr>
          <w:ilvl w:val="0"/>
          <w:numId w:val="20"/>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Los datos necesarios para la identificación de la sentencia, incluyendo: </w:t>
      </w:r>
    </w:p>
    <w:p w14:paraId="2B1B1277" w14:textId="77777777" w:rsidR="00D07C19" w:rsidRPr="0012597A" w:rsidRDefault="00D07C19"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54DC62E" w14:textId="77777777" w:rsidR="00732F53" w:rsidRPr="0012597A" w:rsidRDefault="00732F53" w:rsidP="0012453E">
      <w:pPr>
        <w:widowControl w:val="0"/>
        <w:numPr>
          <w:ilvl w:val="0"/>
          <w:numId w:val="21"/>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Número de causa penal. </w:t>
      </w:r>
    </w:p>
    <w:p w14:paraId="63B88CC7" w14:textId="77777777" w:rsidR="00732F53" w:rsidRPr="0012597A" w:rsidRDefault="00732F53" w:rsidP="0012453E">
      <w:pPr>
        <w:widowControl w:val="0"/>
        <w:numPr>
          <w:ilvl w:val="0"/>
          <w:numId w:val="21"/>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Número de carpeta de investigación o averiguación previa. </w:t>
      </w:r>
    </w:p>
    <w:p w14:paraId="39FDA5BB" w14:textId="77777777" w:rsidR="00732F53" w:rsidRPr="0012597A" w:rsidRDefault="00732F53" w:rsidP="0012453E">
      <w:pPr>
        <w:widowControl w:val="0"/>
        <w:numPr>
          <w:ilvl w:val="0"/>
          <w:numId w:val="21"/>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Órgano jurisdiccional de radicación. </w:t>
      </w:r>
    </w:p>
    <w:p w14:paraId="52CBBEF0" w14:textId="77777777" w:rsidR="00732F53" w:rsidRPr="0012597A" w:rsidRDefault="00732F53" w:rsidP="0012453E">
      <w:pPr>
        <w:widowControl w:val="0"/>
        <w:numPr>
          <w:ilvl w:val="0"/>
          <w:numId w:val="21"/>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identificación del centro penitenciario en el que la persona sentenciada se encuentre compurgando la pena. </w:t>
      </w:r>
    </w:p>
    <w:p w14:paraId="6D68EC61" w14:textId="77777777" w:rsidR="00732F53" w:rsidRPr="0012597A" w:rsidRDefault="00732F53" w:rsidP="0012453E">
      <w:pPr>
        <w:widowControl w:val="0"/>
        <w:numPr>
          <w:ilvl w:val="0"/>
          <w:numId w:val="21"/>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Tipo penal por el cual se solicite el indulto, así como la fecha de su comisión. </w:t>
      </w:r>
    </w:p>
    <w:p w14:paraId="6D41345B" w14:textId="77777777" w:rsidR="00732F53" w:rsidRPr="0012597A" w:rsidRDefault="00732F53" w:rsidP="0012453E">
      <w:pPr>
        <w:widowControl w:val="0"/>
        <w:numPr>
          <w:ilvl w:val="0"/>
          <w:numId w:val="21"/>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Copia certificada de la sentencia firme. </w:t>
      </w:r>
    </w:p>
    <w:p w14:paraId="79826F48" w14:textId="39A89EAF" w:rsidR="00732F53" w:rsidRPr="0012597A" w:rsidRDefault="00732F53" w:rsidP="0012453E">
      <w:pPr>
        <w:widowControl w:val="0"/>
        <w:numPr>
          <w:ilvl w:val="0"/>
          <w:numId w:val="21"/>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Constancia de antecedentes penales.</w:t>
      </w:r>
    </w:p>
    <w:p w14:paraId="14DC8328" w14:textId="77777777" w:rsidR="00D07C19" w:rsidRPr="0012597A" w:rsidRDefault="00D07C19"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BF41079" w14:textId="77777777" w:rsidR="00732F53" w:rsidRPr="0012597A" w:rsidRDefault="00732F53" w:rsidP="0012453E">
      <w:pPr>
        <w:widowControl w:val="0"/>
        <w:numPr>
          <w:ilvl w:val="0"/>
          <w:numId w:val="20"/>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causal prevista en esta Ley en la que se funde la solicitud. </w:t>
      </w:r>
    </w:p>
    <w:p w14:paraId="246AE8E3" w14:textId="77777777" w:rsidR="00D07C19" w:rsidRPr="0012597A" w:rsidRDefault="00D07C19" w:rsidP="00EF1C7F">
      <w:pPr>
        <w:widowControl w:val="0"/>
        <w:spacing w:after="0" w:line="240" w:lineRule="auto"/>
        <w:jc w:val="both"/>
        <w:rPr>
          <w:rFonts w:ascii="Times New Roman" w:eastAsia="Arial" w:hAnsi="Times New Roman" w:cs="Times New Roman"/>
          <w:color w:val="000000"/>
          <w:sz w:val="24"/>
          <w:szCs w:val="24"/>
          <w:lang w:eastAsia="es-MX"/>
        </w:rPr>
      </w:pPr>
    </w:p>
    <w:p w14:paraId="7D28BA69" w14:textId="0D1A7236"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La falta de alguno de los requisitos anteriores no será motivo para tener por no presentada la solicitud. Recibida y turnada la solicitud a la Consejería Jurídica, ésta verificará el cumplimiento de los requisitos del presente artículo y, en caso de advertir omisiones, prevendrá a la persona promovente para que las subsane dentro del plazo de quince días hábiles, indicando con precisión la documentación o información faltante y el medio para aportarla. Si la prevención no se atiende dentro del plazo concedido, la solicitud se tendrá por no presentada, mediante acuerdo debidamente fundado y motivado.</w:t>
      </w:r>
    </w:p>
    <w:p w14:paraId="4A9C2DF9" w14:textId="77777777" w:rsidR="00D07C19" w:rsidRPr="0012597A" w:rsidRDefault="00D07C19" w:rsidP="00EF1C7F">
      <w:pPr>
        <w:widowControl w:val="0"/>
        <w:spacing w:after="0" w:line="240" w:lineRule="auto"/>
        <w:jc w:val="both"/>
        <w:rPr>
          <w:rFonts w:ascii="Times New Roman" w:eastAsia="Arial" w:hAnsi="Times New Roman" w:cs="Times New Roman"/>
          <w:color w:val="000000"/>
          <w:sz w:val="24"/>
          <w:szCs w:val="24"/>
          <w:lang w:eastAsia="es-MX"/>
        </w:rPr>
      </w:pPr>
    </w:p>
    <w:p w14:paraId="1E8440CA" w14:textId="649C97AD"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19.</w:t>
      </w:r>
      <w:r w:rsidRPr="0012597A">
        <w:rPr>
          <w:rFonts w:ascii="Times New Roman" w:eastAsia="Arial" w:hAnsi="Times New Roman" w:cs="Times New Roman"/>
          <w:color w:val="000000"/>
          <w:sz w:val="24"/>
          <w:szCs w:val="24"/>
          <w:lang w:eastAsia="es-MX"/>
        </w:rPr>
        <w:t xml:space="preserve"> Una vez integrada la solicitud en términos de lo dispuesto en el artículo anterior, la Consejería Jurídica verificará: </w:t>
      </w:r>
    </w:p>
    <w:p w14:paraId="6673A91A" w14:textId="77777777" w:rsidR="00D07C19" w:rsidRPr="0012597A" w:rsidRDefault="00D07C19" w:rsidP="00EF1C7F">
      <w:pPr>
        <w:widowControl w:val="0"/>
        <w:spacing w:after="0" w:line="240" w:lineRule="auto"/>
        <w:jc w:val="both"/>
        <w:rPr>
          <w:rFonts w:ascii="Times New Roman" w:eastAsia="Arial" w:hAnsi="Times New Roman" w:cs="Times New Roman"/>
          <w:color w:val="000000"/>
          <w:sz w:val="24"/>
          <w:szCs w:val="24"/>
          <w:lang w:eastAsia="es-MX"/>
        </w:rPr>
      </w:pPr>
    </w:p>
    <w:p w14:paraId="52B63590" w14:textId="77777777" w:rsidR="00732F53" w:rsidRPr="0012597A" w:rsidRDefault="00732F53" w:rsidP="0012453E">
      <w:pPr>
        <w:widowControl w:val="0"/>
        <w:numPr>
          <w:ilvl w:val="0"/>
          <w:numId w:val="22"/>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Que la persona promovente se encuentre legitimada conforme a lo dispuesto en esta Ley; </w:t>
      </w:r>
    </w:p>
    <w:p w14:paraId="3331A749" w14:textId="77777777" w:rsidR="00732F53" w:rsidRPr="0012597A" w:rsidRDefault="00732F53" w:rsidP="0012453E">
      <w:pPr>
        <w:widowControl w:val="0"/>
        <w:numPr>
          <w:ilvl w:val="0"/>
          <w:numId w:val="22"/>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Que la sentencia penal que motiva la solicitud sea irrevocable y ejecutoriada; </w:t>
      </w:r>
    </w:p>
    <w:p w14:paraId="12EB6A6C" w14:textId="77777777" w:rsidR="00732F53" w:rsidRPr="0012597A" w:rsidRDefault="00732F53" w:rsidP="0012453E">
      <w:pPr>
        <w:widowControl w:val="0"/>
        <w:numPr>
          <w:ilvl w:val="0"/>
          <w:numId w:val="22"/>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Que no subsistan medios de defensa ordinarios o extraordinarios pendientes de resolución; y </w:t>
      </w:r>
    </w:p>
    <w:p w14:paraId="6C5E6EF9" w14:textId="77777777" w:rsidR="00732F53" w:rsidRPr="0012597A" w:rsidRDefault="00732F53" w:rsidP="0012453E">
      <w:pPr>
        <w:widowControl w:val="0"/>
        <w:numPr>
          <w:ilvl w:val="0"/>
          <w:numId w:val="22"/>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Que no se actualice alguna de las causales de improcedencia previstas en el artículo 7 de esta Ley. </w:t>
      </w:r>
    </w:p>
    <w:p w14:paraId="5C37005E"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7DD43A11" w14:textId="49D71B16"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Cuando la solicitud cumpla con todos los elementos previstos en las fracciones anteriores, la Consejería Jurídica la admitirá y registrará para continuar con la tramitación establecida en esta Ley. En caso contrario, la Consejería Jurídica desechará la solicitud mediante acuerdo debidamente fundado y motivado. </w:t>
      </w:r>
    </w:p>
    <w:p w14:paraId="22DEEF9C" w14:textId="77777777" w:rsidR="00F44758" w:rsidRPr="0012597A" w:rsidRDefault="00F44758"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51C4A8DE" w14:textId="5A2D9CA3"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VII</w:t>
      </w:r>
    </w:p>
    <w:p w14:paraId="008F2EE2"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DEL PROCEDIMIENTO</w:t>
      </w:r>
    </w:p>
    <w:p w14:paraId="1D1DB1E6" w14:textId="77777777" w:rsidR="00F44758" w:rsidRPr="0012597A" w:rsidRDefault="00F44758"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10064C9A" w14:textId="53FCAC2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20.</w:t>
      </w:r>
      <w:r w:rsidRPr="0012597A">
        <w:rPr>
          <w:rFonts w:ascii="Times New Roman" w:eastAsia="Arial" w:hAnsi="Times New Roman" w:cs="Times New Roman"/>
          <w:color w:val="000000"/>
          <w:sz w:val="24"/>
          <w:szCs w:val="24"/>
          <w:lang w:eastAsia="es-MX"/>
        </w:rPr>
        <w:t xml:space="preserve"> Admitida y registrada la solicitud, la Consejería Jurídica ordenará a la Secretaría de Seguridad la integración del expediente correspondiente con la información administrativa, penitenciaria, técnica o documental necesaria para el análisis del caso, incluyendo, al menos:</w:t>
      </w:r>
    </w:p>
    <w:p w14:paraId="1F653B46"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5CB561C6" w14:textId="77777777" w:rsidR="00732F53" w:rsidRPr="0012597A" w:rsidRDefault="00732F53" w:rsidP="0012453E">
      <w:pPr>
        <w:widowControl w:val="0"/>
        <w:numPr>
          <w:ilvl w:val="0"/>
          <w:numId w:val="2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El informe emitido por la autoridad penitenciaria del centro en el que la persona sentenciada se encuentre compurgando su pena, que contenga la descripción de su conducta, los centros en los que haya estado recluida, los motivos de sus reubicaciones, el tiempo compurgado y las </w:t>
      </w:r>
      <w:r w:rsidRPr="0012597A">
        <w:rPr>
          <w:rFonts w:ascii="Times New Roman" w:eastAsia="Arial" w:hAnsi="Times New Roman" w:cs="Times New Roman"/>
          <w:color w:val="000000"/>
          <w:sz w:val="24"/>
          <w:szCs w:val="24"/>
          <w:lang w:eastAsia="es-MX"/>
        </w:rPr>
        <w:lastRenderedPageBreak/>
        <w:t xml:space="preserve">circunstancias de cumplimiento; </w:t>
      </w:r>
    </w:p>
    <w:p w14:paraId="3574C641" w14:textId="77777777" w:rsidR="00732F53" w:rsidRPr="0012597A" w:rsidRDefault="00732F53" w:rsidP="0012453E">
      <w:pPr>
        <w:widowControl w:val="0"/>
        <w:numPr>
          <w:ilvl w:val="0"/>
          <w:numId w:val="2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Los antecedentes penitenciarios, incluidos los registros disciplinarios, fichas </w:t>
      </w:r>
      <w:proofErr w:type="spellStart"/>
      <w:r w:rsidRPr="0012597A">
        <w:rPr>
          <w:rFonts w:ascii="Times New Roman" w:eastAsia="Arial" w:hAnsi="Times New Roman" w:cs="Times New Roman"/>
          <w:color w:val="000000"/>
          <w:sz w:val="24"/>
          <w:szCs w:val="24"/>
          <w:lang w:eastAsia="es-MX"/>
        </w:rPr>
        <w:t>signaléticas</w:t>
      </w:r>
      <w:proofErr w:type="spellEnd"/>
      <w:r w:rsidRPr="0012597A">
        <w:rPr>
          <w:rFonts w:ascii="Times New Roman" w:eastAsia="Arial" w:hAnsi="Times New Roman" w:cs="Times New Roman"/>
          <w:color w:val="000000"/>
          <w:sz w:val="24"/>
          <w:szCs w:val="24"/>
          <w:lang w:eastAsia="es-MX"/>
        </w:rPr>
        <w:t xml:space="preserve">, evaluaciones criminológicas, laborales, educativas, clínicas y de tratamiento; </w:t>
      </w:r>
    </w:p>
    <w:p w14:paraId="5BE67B30" w14:textId="77777777" w:rsidR="00732F53" w:rsidRPr="0012597A" w:rsidRDefault="00732F53" w:rsidP="0012453E">
      <w:pPr>
        <w:widowControl w:val="0"/>
        <w:numPr>
          <w:ilvl w:val="0"/>
          <w:numId w:val="23"/>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información complementaria que resulte necesaria para efectos del dictamen técnico previsto en esta Ley. </w:t>
      </w:r>
    </w:p>
    <w:p w14:paraId="4B6A5D17"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3410B688" w14:textId="7DE694A4"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La Secretaría de Seguridad recabará la información requerida dentro de un plazo de quince días hábiles contado a partir de la recepción del requerimiento, a través de los conductos institucionales correspondientes; en casos debidamente justificados, dicho plazo podrá ampliarse por una sola ocasión hasta por cinco días hábiles adicionales.</w:t>
      </w:r>
    </w:p>
    <w:p w14:paraId="11E1474D"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00374DEF" w14:textId="5F4900D4"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21.</w:t>
      </w:r>
      <w:r w:rsidRPr="0012597A">
        <w:rPr>
          <w:rFonts w:ascii="Times New Roman" w:eastAsia="Arial" w:hAnsi="Times New Roman" w:cs="Times New Roman"/>
          <w:color w:val="000000"/>
          <w:sz w:val="24"/>
          <w:szCs w:val="24"/>
          <w:lang w:eastAsia="es-MX"/>
        </w:rPr>
        <w:t xml:space="preserve"> Las autoridades competentes deberán expedir y remitir, sin costo y con carácter prioritario, las constancias, certificaciones, informes o documentos que sean solicitados para la integración del expediente previsto en esta Ley.</w:t>
      </w:r>
    </w:p>
    <w:p w14:paraId="0EB1AFCB"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64B58B16" w14:textId="2820711D"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El incumplimiento de esta obligación generará responsabilidad administrativa conforme a la legislación aplicable, sin perjuicio de las responsabilidades civiles o penales que resulten procedentes.</w:t>
      </w:r>
    </w:p>
    <w:p w14:paraId="7FA03BB3"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23A5ACDA" w14:textId="6695EAA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22.</w:t>
      </w:r>
      <w:r w:rsidRPr="0012597A">
        <w:rPr>
          <w:rFonts w:ascii="Times New Roman" w:eastAsia="Arial" w:hAnsi="Times New Roman" w:cs="Times New Roman"/>
          <w:color w:val="000000"/>
          <w:sz w:val="24"/>
          <w:szCs w:val="24"/>
          <w:lang w:eastAsia="es-MX"/>
        </w:rPr>
        <w:t xml:space="preserve"> La Secretaría de Seguridad someterá a consideración del Comité Técnico el expediente para que emita el dictamen técnico-penitenciario previsto en esta Ley. El Comité Técnico contará con un plazo de cinco días hábiles, contado a partir de la recepción del expediente, para emitir y remitir dicho dictamen a la Secretaría de Seguridad.</w:t>
      </w:r>
    </w:p>
    <w:p w14:paraId="2058FE6A"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25E4F19A" w14:textId="4E3AA2AB"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Corresponde a la Secretaría de Seguridad incorporar el dictamen emitido por el Comité Técnico al expediente y, dentro de un plazo no mayor a dos días hábiles, deberá entregar a la Consejería Jurídica el expediente integro para los efectos legales correspondientes.</w:t>
      </w:r>
    </w:p>
    <w:p w14:paraId="3A7F486C"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5B156295" w14:textId="60F863DC"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23.</w:t>
      </w:r>
      <w:r w:rsidRPr="0012597A">
        <w:rPr>
          <w:rFonts w:ascii="Times New Roman" w:eastAsia="Arial" w:hAnsi="Times New Roman" w:cs="Times New Roman"/>
          <w:color w:val="000000"/>
          <w:sz w:val="24"/>
          <w:szCs w:val="24"/>
          <w:lang w:eastAsia="es-MX"/>
        </w:rPr>
        <w:t xml:space="preserve"> Una vez que el expediente se encuentre en condiciones de continuar con el procedimiento previsto en esta Ley, competerá a la Consejería Jurídica someter la solicitud y el expediente respectivo a consideración del Consejo Consultivo de Indulto, proporcionando a sus integrantes los elementos necesarios para su análisis y deliberación.</w:t>
      </w:r>
    </w:p>
    <w:p w14:paraId="341BD02E" w14:textId="77777777" w:rsidR="00F44758" w:rsidRPr="0012597A" w:rsidRDefault="00F44758" w:rsidP="00EF1C7F">
      <w:pPr>
        <w:widowControl w:val="0"/>
        <w:spacing w:after="0" w:line="240" w:lineRule="auto"/>
        <w:jc w:val="both"/>
        <w:rPr>
          <w:rFonts w:ascii="Times New Roman" w:eastAsia="Arial" w:hAnsi="Times New Roman" w:cs="Times New Roman"/>
          <w:color w:val="000000"/>
          <w:sz w:val="24"/>
          <w:szCs w:val="24"/>
          <w:lang w:eastAsia="es-MX"/>
        </w:rPr>
      </w:pPr>
    </w:p>
    <w:p w14:paraId="5E73CC76" w14:textId="7777777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El Consejo Consultivo emitirá la opinión correspondiente, la cual podrá ser en sentido favorable o desfavorable respecto de la procedencia del indulto, y tendrá carácter no vinculante, debiendo hacerse de conocimiento del Poder Ejecutivo dentro de los cinco días hábiles siguientes a la notificación de dicha opinión, conforme a las formalidades que establezca la normatividad aplicable. </w:t>
      </w:r>
    </w:p>
    <w:p w14:paraId="00951829" w14:textId="77777777" w:rsidR="00F44758" w:rsidRPr="0012597A" w:rsidRDefault="00F44758"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1B77BF02" w14:textId="2A0E45B6"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VIII</w:t>
      </w:r>
    </w:p>
    <w:p w14:paraId="5BE77808"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LA VICTIMA</w:t>
      </w:r>
    </w:p>
    <w:p w14:paraId="2ADCF46E" w14:textId="77777777" w:rsidR="00F44758" w:rsidRPr="0012597A" w:rsidRDefault="00F44758"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59F4AF9C" w14:textId="1E0BD284"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24.</w:t>
      </w:r>
      <w:r w:rsidRPr="0012597A">
        <w:rPr>
          <w:rFonts w:ascii="Times New Roman" w:eastAsia="Arial" w:hAnsi="Times New Roman" w:cs="Times New Roman"/>
          <w:color w:val="000000"/>
          <w:sz w:val="24"/>
          <w:szCs w:val="24"/>
          <w:lang w:eastAsia="es-MX"/>
        </w:rPr>
        <w:t xml:space="preserve"> La víctima u ofendido será notificada del inicio del procedimiento de indulto y podrá ejercer su derecho de audiencia por sí, por sus familiares o por sus representantes legales, cuando corresponda, dentro del plazo que establezca la normatividad aplicable. El derecho de audiencia podrá ejercerse por escrito o de manera oral ante la Consejería Jurídica, la cual levantará el acta correspondiente y deberá integrar las manifestaciones formuladas al expediente para su consideración en las etapas subsecuentes.</w:t>
      </w:r>
    </w:p>
    <w:p w14:paraId="4697C2A8" w14:textId="77777777" w:rsidR="00037898" w:rsidRPr="0012597A" w:rsidRDefault="00037898" w:rsidP="00EF1C7F">
      <w:pPr>
        <w:widowControl w:val="0"/>
        <w:spacing w:after="0" w:line="240" w:lineRule="auto"/>
        <w:jc w:val="both"/>
        <w:rPr>
          <w:rFonts w:ascii="Times New Roman" w:eastAsia="Arial" w:hAnsi="Times New Roman" w:cs="Times New Roman"/>
          <w:color w:val="000000"/>
          <w:sz w:val="24"/>
          <w:szCs w:val="24"/>
          <w:lang w:eastAsia="es-MX"/>
        </w:rPr>
      </w:pPr>
    </w:p>
    <w:p w14:paraId="1B01D24F" w14:textId="77777777"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lastRenderedPageBreak/>
        <w:t xml:space="preserve">Durante el procedimiento previsto en esta Ley, las autoridades competentes garantizarán el respeto a los derechos de la víctima u ofendido. La intervención de la víctima u ofendido no condicionará la continuación del procedimiento, pero sus manifestaciones deberán ser valoradas por la persona titular del Poder Ejecutivo para la determinación correspondiente. </w:t>
      </w:r>
    </w:p>
    <w:p w14:paraId="06C3B8E6" w14:textId="77777777" w:rsidR="003F2F4C" w:rsidRPr="0012597A" w:rsidRDefault="003F2F4C" w:rsidP="00EF1C7F">
      <w:pPr>
        <w:widowControl w:val="0"/>
        <w:spacing w:after="0" w:line="240" w:lineRule="auto"/>
        <w:jc w:val="center"/>
        <w:rPr>
          <w:rFonts w:ascii="Times New Roman" w:eastAsia="Arial" w:hAnsi="Times New Roman" w:cs="Times New Roman"/>
          <w:b/>
          <w:bCs/>
          <w:color w:val="000000"/>
          <w:sz w:val="24"/>
          <w:szCs w:val="24"/>
          <w:lang w:eastAsia="es-MX"/>
        </w:rPr>
      </w:pPr>
    </w:p>
    <w:p w14:paraId="2FEDE3FC" w14:textId="4516623E"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IX</w:t>
      </w:r>
    </w:p>
    <w:p w14:paraId="545018BB"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LA RESOLUCIÓN</w:t>
      </w:r>
    </w:p>
    <w:p w14:paraId="0F5E7AE1" w14:textId="77777777" w:rsidR="003F2F4C" w:rsidRPr="0012597A" w:rsidRDefault="003F2F4C"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1FD1A423" w14:textId="1D98F0E6"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25.</w:t>
      </w:r>
      <w:r w:rsidRPr="0012597A">
        <w:rPr>
          <w:rFonts w:ascii="Times New Roman" w:eastAsia="Arial" w:hAnsi="Times New Roman" w:cs="Times New Roman"/>
          <w:color w:val="000000"/>
          <w:sz w:val="24"/>
          <w:szCs w:val="24"/>
          <w:lang w:eastAsia="es-MX"/>
        </w:rPr>
        <w:t xml:space="preserve"> Con base en el estudio y análisis de la solicitud, en el dictamen emitido por el Comité Técnico, en la opinión formulada por el Consejo Consultivo de Indulto y en las manifestaciones que, en su caso, hubieren expresado la víctima, sus familiares o sus representantes legales, la persona titular del Poder Ejecutivo del Estado ejercerá la facultad constitucional discrecional para resolver sobre la procedencia o improcedencia del indulto, mediante acuerdo debidamente fundado y motivado. Para la elaboración del proyecto de resolución, el Poder Ejecutivo podrá contar con el apoyo técnico y jurídico de la Consejería Jurídica. </w:t>
      </w:r>
    </w:p>
    <w:p w14:paraId="35FCB9B0" w14:textId="77777777" w:rsidR="003F2F4C" w:rsidRPr="0012597A" w:rsidRDefault="003F2F4C" w:rsidP="00EF1C7F">
      <w:pPr>
        <w:widowControl w:val="0"/>
        <w:spacing w:after="0" w:line="240" w:lineRule="auto"/>
        <w:jc w:val="both"/>
        <w:rPr>
          <w:rFonts w:ascii="Times New Roman" w:eastAsia="Arial" w:hAnsi="Times New Roman" w:cs="Times New Roman"/>
          <w:color w:val="000000"/>
          <w:sz w:val="24"/>
          <w:szCs w:val="24"/>
          <w:lang w:eastAsia="es-MX"/>
        </w:rPr>
      </w:pPr>
    </w:p>
    <w:p w14:paraId="4892A343" w14:textId="369CBC9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Si la resolución concede el indulto, se ordenará la extinción total o parcial de la ejecución de la pena en los términos que determine, sin afectar la validez de la sentencia ni las obligaciones civiles derivadas del hecho delictivo, debiendo instruirse a la autoridad penitenciaria para que realice las actuaciones necesarias para su cumplimiento. </w:t>
      </w:r>
    </w:p>
    <w:p w14:paraId="4902640D" w14:textId="77777777" w:rsidR="003F2F4C" w:rsidRPr="0012597A" w:rsidRDefault="003F2F4C" w:rsidP="00EF1C7F">
      <w:pPr>
        <w:widowControl w:val="0"/>
        <w:spacing w:after="0" w:line="240" w:lineRule="auto"/>
        <w:jc w:val="both"/>
        <w:rPr>
          <w:rFonts w:ascii="Times New Roman" w:eastAsia="Arial" w:hAnsi="Times New Roman" w:cs="Times New Roman"/>
          <w:color w:val="000000"/>
          <w:sz w:val="24"/>
          <w:szCs w:val="24"/>
          <w:lang w:eastAsia="es-MX"/>
        </w:rPr>
      </w:pPr>
    </w:p>
    <w:p w14:paraId="3C8E254B" w14:textId="77ABF0A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Si la resolución niega el indulto, deberán precisarse las razones legales y fácticas que sustenten su improcedencia, sin perjuicio de que la persona sentenciada pueda presentar una nueva solicitud cuando concurran elementos supervenientes conforme a esta Ley.</w:t>
      </w:r>
    </w:p>
    <w:p w14:paraId="1A3D36AE"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343993ED" w14:textId="3967613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El acuerdo que emita la persona titular del Poder Ejecutivo deberá notificarse a la persona sentenciada, a su defensa, a la víctima u ofendido, a la autoridad penitenciaria y a las instituciones competentes para su ejecución en un plazo no mayor a 15 días hábiles posteriores a la recepción de la opinión emitida por el Consejo Consultivo de Indulto.</w:t>
      </w:r>
    </w:p>
    <w:p w14:paraId="4E0A4B8F"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1FECB13C"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CAPITULO X</w:t>
      </w:r>
    </w:p>
    <w:p w14:paraId="5657FEDF" w14:textId="77777777" w:rsidR="00732F53" w:rsidRPr="0012597A" w:rsidRDefault="00732F53" w:rsidP="00EF1C7F">
      <w:pPr>
        <w:widowControl w:val="0"/>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DE LOS EFECTOS Y RESPONSABILIDADES</w:t>
      </w:r>
    </w:p>
    <w:p w14:paraId="613549B5" w14:textId="77777777" w:rsidR="002D2D01" w:rsidRPr="0012597A" w:rsidRDefault="002D2D01" w:rsidP="00EF1C7F">
      <w:pPr>
        <w:widowControl w:val="0"/>
        <w:spacing w:after="0" w:line="240" w:lineRule="auto"/>
        <w:jc w:val="both"/>
        <w:rPr>
          <w:rFonts w:ascii="Times New Roman" w:eastAsia="Arial" w:hAnsi="Times New Roman" w:cs="Times New Roman"/>
          <w:b/>
          <w:bCs/>
          <w:color w:val="000000"/>
          <w:sz w:val="24"/>
          <w:szCs w:val="24"/>
          <w:lang w:eastAsia="es-MX"/>
        </w:rPr>
      </w:pPr>
    </w:p>
    <w:p w14:paraId="08D99412" w14:textId="0D4B25FE"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26.</w:t>
      </w:r>
      <w:r w:rsidRPr="0012597A">
        <w:rPr>
          <w:rFonts w:ascii="Times New Roman" w:eastAsia="Arial" w:hAnsi="Times New Roman" w:cs="Times New Roman"/>
          <w:color w:val="000000"/>
          <w:sz w:val="24"/>
          <w:szCs w:val="24"/>
          <w:lang w:eastAsia="es-MX"/>
        </w:rPr>
        <w:t xml:space="preserve"> La autoridad penitenciaria del centro en el que se encuentre internada la persona sentenciada deberá ejecutar la resolución de indulto dentro del plazo máximo de veinticuatro horas contadas a partir de la recepción del acuerdo respectivo, realizando las actuaciones materiales necesarias para su cumplimiento y levantando el acta correspondiente.</w:t>
      </w:r>
    </w:p>
    <w:p w14:paraId="16FD2A1D"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1E122EF6" w14:textId="42C5FB26"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La Secretaría de Seguridad verificará la correcta ejecución del indulto y emitirá, en su caso, las constancias administrativas que acrediten la modificación del estatus penitenciario de la persona beneficiada.</w:t>
      </w:r>
    </w:p>
    <w:p w14:paraId="4040C68F"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3AA06497" w14:textId="47A69910"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27.</w:t>
      </w:r>
      <w:r w:rsidRPr="0012597A">
        <w:rPr>
          <w:rFonts w:ascii="Times New Roman" w:eastAsia="Arial" w:hAnsi="Times New Roman" w:cs="Times New Roman"/>
          <w:color w:val="000000"/>
          <w:sz w:val="24"/>
          <w:szCs w:val="24"/>
          <w:lang w:eastAsia="es-MX"/>
        </w:rPr>
        <w:t xml:space="preserve"> Las personas servidoras públicas que retrasen, impidan u obstaculicen el trámite, análisis, deliberación, emisión de dictámenes, integración del expediente, celebración de sesiones o ejecución del indulto, incurrirán en responsabilidad administrativa, sin perjuicio de las responsabilidades civiles o penales que resulten procedentes.</w:t>
      </w:r>
    </w:p>
    <w:p w14:paraId="0A49AE0B"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363FCACD" w14:textId="1B0379E3"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28.</w:t>
      </w:r>
      <w:r w:rsidRPr="0012597A">
        <w:rPr>
          <w:rFonts w:ascii="Times New Roman" w:eastAsia="Arial" w:hAnsi="Times New Roman" w:cs="Times New Roman"/>
          <w:color w:val="000000"/>
          <w:sz w:val="24"/>
          <w:szCs w:val="24"/>
          <w:lang w:eastAsia="es-MX"/>
        </w:rPr>
        <w:t xml:space="preserve"> La información personal, penitenciaria, médica, psicológica, social, criminológica o de cualquier otra naturaleza que se genere, recabe o integre con motivo del procedimiento de </w:t>
      </w:r>
      <w:r w:rsidRPr="0012597A">
        <w:rPr>
          <w:rFonts w:ascii="Times New Roman" w:eastAsia="Arial" w:hAnsi="Times New Roman" w:cs="Times New Roman"/>
          <w:color w:val="000000"/>
          <w:sz w:val="24"/>
          <w:szCs w:val="24"/>
          <w:lang w:eastAsia="es-MX"/>
        </w:rPr>
        <w:lastRenderedPageBreak/>
        <w:t>indulto tendrá carácter reservado. Su tratamiento, acceso, uso, transmisión y resguardo se sujetarán a los fines establecidos en esta Ley y a lo dispuesto por la normatividad aplicable en materia de protección de datos personales, transparencia y archivos.</w:t>
      </w:r>
    </w:p>
    <w:p w14:paraId="6F67AAEA"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4853DB10" w14:textId="744B181F"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29.</w:t>
      </w:r>
      <w:r w:rsidRPr="0012597A">
        <w:rPr>
          <w:rFonts w:ascii="Times New Roman" w:eastAsia="Arial" w:hAnsi="Times New Roman" w:cs="Times New Roman"/>
          <w:color w:val="000000"/>
          <w:sz w:val="24"/>
          <w:szCs w:val="24"/>
          <w:lang w:eastAsia="es-MX"/>
        </w:rPr>
        <w:t xml:space="preserve"> Cuando se conceda el indulto, las autoridades competentes deberán garantizar, en el ámbito de sus atribuciones, la adopción de las medidas de protección que correspondan para salvaguardar los derechos e integridad de la víctima u ofendido, de conformidad con lo establecido en la legislación aplicable en materia de víctimas. La implementación de dichas medidas no suspenderá ni condicionará la ejecución del indulto, pero deberán instrumentarse de manera inmediata y efectiva.</w:t>
      </w:r>
    </w:p>
    <w:p w14:paraId="7FE94EC6"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5407BE51" w14:textId="2EF297AF"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30.</w:t>
      </w:r>
      <w:r w:rsidRPr="0012597A">
        <w:rPr>
          <w:rFonts w:ascii="Times New Roman" w:eastAsia="Arial" w:hAnsi="Times New Roman" w:cs="Times New Roman"/>
          <w:color w:val="000000"/>
          <w:sz w:val="24"/>
          <w:szCs w:val="24"/>
          <w:lang w:eastAsia="es-MX"/>
        </w:rPr>
        <w:t xml:space="preserve"> La autoridad penitenciaria y las instituciones competentes en materia de reinserción social deberán dar seguimiento a la situación de la persona beneficiaria del indulto exclusivamente para fines estadísticos, de evaluación institucional o de coordinación interinstitucional, sin que ello implique supervisión, restricción de derechos o condiciones adicionales.</w:t>
      </w:r>
    </w:p>
    <w:p w14:paraId="2BB1E8F2"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481D0A88" w14:textId="028ECE16"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31.</w:t>
      </w:r>
      <w:r w:rsidRPr="0012597A">
        <w:rPr>
          <w:rFonts w:ascii="Times New Roman" w:eastAsia="Arial" w:hAnsi="Times New Roman" w:cs="Times New Roman"/>
          <w:color w:val="000000"/>
          <w:sz w:val="24"/>
          <w:szCs w:val="24"/>
          <w:lang w:eastAsia="es-MX"/>
        </w:rPr>
        <w:t xml:space="preserve"> El indulto concedido será irrevocable y producirá efectos definitivos desde el momento de su emisión. La resolución que lo otorgue no podrá modificarse, suspenderse, revisarse ni dejarse sin efectos por hechos posteriores, y extinguirá de manera permanente la ejecución de la pena impuesta, sin perjuicio de las responsabilidades administrativas o penales que resulten procedentes para quienes intervengan ilícitamente en su tramitación.</w:t>
      </w:r>
    </w:p>
    <w:p w14:paraId="3B84D4DE"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1D29ECD5" w14:textId="4D0E87F8" w:rsidR="00732F53" w:rsidRPr="0012597A" w:rsidRDefault="00732F53" w:rsidP="00EF1C7F">
      <w:pPr>
        <w:widowControl w:val="0"/>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32.</w:t>
      </w:r>
      <w:r w:rsidRPr="0012597A">
        <w:rPr>
          <w:rFonts w:ascii="Times New Roman" w:eastAsia="Arial" w:hAnsi="Times New Roman" w:cs="Times New Roman"/>
          <w:color w:val="000000"/>
          <w:sz w:val="24"/>
          <w:szCs w:val="24"/>
          <w:lang w:eastAsia="es-MX"/>
        </w:rPr>
        <w:t xml:space="preserve"> La persona titular del Poder Ejecutivo del Estado deberá remitir a la Legislatura, durante el primer periodo ordinario de sesiones de cada año, un informe anual sobre la operación del procedimiento de indulto correspondiente al ejercicio inmediato anterior. El informe deberá contener, cuando menos:</w:t>
      </w:r>
    </w:p>
    <w:p w14:paraId="41831D9E" w14:textId="77777777" w:rsidR="002D2D01" w:rsidRPr="0012597A" w:rsidRDefault="002D2D01" w:rsidP="00EF1C7F">
      <w:pPr>
        <w:widowControl w:val="0"/>
        <w:spacing w:after="0" w:line="240" w:lineRule="auto"/>
        <w:jc w:val="both"/>
        <w:rPr>
          <w:rFonts w:ascii="Times New Roman" w:eastAsia="Arial" w:hAnsi="Times New Roman" w:cs="Times New Roman"/>
          <w:color w:val="000000"/>
          <w:sz w:val="24"/>
          <w:szCs w:val="24"/>
          <w:lang w:eastAsia="es-MX"/>
        </w:rPr>
      </w:pPr>
    </w:p>
    <w:p w14:paraId="6C6F70A8" w14:textId="77777777" w:rsidR="00732F53" w:rsidRPr="0012597A" w:rsidRDefault="00732F53" w:rsidP="0012453E">
      <w:pPr>
        <w:widowControl w:val="0"/>
        <w:numPr>
          <w:ilvl w:val="0"/>
          <w:numId w:val="2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El número total de solicitudes de indulto recibidas, admitidas y desechadas. </w:t>
      </w:r>
    </w:p>
    <w:p w14:paraId="0A41CF9A" w14:textId="77777777" w:rsidR="00732F53" w:rsidRPr="0012597A" w:rsidRDefault="00732F53" w:rsidP="0012453E">
      <w:pPr>
        <w:widowControl w:val="0"/>
        <w:numPr>
          <w:ilvl w:val="0"/>
          <w:numId w:val="2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El número de indultos concedidos y negados, desagregados conforme a las causales de procedencia o improcedencia previstas en esta Ley; </w:t>
      </w:r>
    </w:p>
    <w:p w14:paraId="19C5F015" w14:textId="44FBCC19" w:rsidR="00732F53" w:rsidRPr="0012597A" w:rsidRDefault="00732F53" w:rsidP="0012453E">
      <w:pPr>
        <w:widowControl w:val="0"/>
        <w:numPr>
          <w:ilvl w:val="0"/>
          <w:numId w:val="2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La información estadística relevante relativa a las personas solicitantes, incluyendo sus características sociodemográficas y las condiciones de vulnerabilidad acreditadas durante el trámite;</w:t>
      </w:r>
    </w:p>
    <w:p w14:paraId="599824C0" w14:textId="61CC8CF0" w:rsidR="00732F53" w:rsidRPr="0012597A" w:rsidRDefault="00732F53" w:rsidP="0012453E">
      <w:pPr>
        <w:widowControl w:val="0"/>
        <w:numPr>
          <w:ilvl w:val="0"/>
          <w:numId w:val="2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 xml:space="preserve">La información estadística relativa a las medidas de protección y seguridad implementadas en de las </w:t>
      </w:r>
      <w:r w:rsidR="002D2D01" w:rsidRPr="0012597A">
        <w:rPr>
          <w:rFonts w:ascii="Times New Roman" w:eastAsia="Arial" w:hAnsi="Times New Roman" w:cs="Times New Roman"/>
          <w:color w:val="000000"/>
          <w:sz w:val="24"/>
          <w:szCs w:val="24"/>
          <w:lang w:eastAsia="es-MX"/>
        </w:rPr>
        <w:t>víctimas</w:t>
      </w:r>
      <w:r w:rsidRPr="0012597A">
        <w:rPr>
          <w:rFonts w:ascii="Times New Roman" w:eastAsia="Arial" w:hAnsi="Times New Roman" w:cs="Times New Roman"/>
          <w:color w:val="000000"/>
          <w:sz w:val="24"/>
          <w:szCs w:val="24"/>
          <w:lang w:eastAsia="es-MX"/>
        </w:rPr>
        <w:t xml:space="preserve"> u ofendidos.</w:t>
      </w:r>
    </w:p>
    <w:p w14:paraId="3CC6D2C2" w14:textId="366FCAE5" w:rsidR="00732F53" w:rsidRPr="0012597A" w:rsidRDefault="00732F53" w:rsidP="0012453E">
      <w:pPr>
        <w:widowControl w:val="0"/>
        <w:numPr>
          <w:ilvl w:val="0"/>
          <w:numId w:val="2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Las acciones adoptadas por las autoridades competentes para asegurar la observancia efectiva de los principios de dignidad humana, proporcionalidad, debido proceso, igualdad y reinserción social en el análisis y resolución de las solicitudes; y</w:t>
      </w:r>
    </w:p>
    <w:p w14:paraId="329043BB" w14:textId="378FCC80" w:rsidR="00732F53" w:rsidRPr="0012597A" w:rsidRDefault="00732F53" w:rsidP="0012453E">
      <w:pPr>
        <w:widowControl w:val="0"/>
        <w:numPr>
          <w:ilvl w:val="0"/>
          <w:numId w:val="24"/>
        </w:numPr>
        <w:pBdr>
          <w:top w:val="nil"/>
          <w:left w:val="nil"/>
          <w:bottom w:val="nil"/>
          <w:right w:val="nil"/>
          <w:between w:val="nil"/>
        </w:pBdr>
        <w:spacing w:after="0" w:line="240" w:lineRule="auto"/>
        <w:ind w:left="0" w:firstLine="0"/>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color w:val="000000"/>
          <w:sz w:val="24"/>
          <w:szCs w:val="24"/>
          <w:lang w:eastAsia="es-MX"/>
        </w:rPr>
        <w:t>Los elementos cuantitativos y cualitativos adicionales que resulten pertinentes para evaluar el funcionamiento, eficacia e impacto institucional del procedimiento de indulto.</w:t>
      </w:r>
    </w:p>
    <w:p w14:paraId="22A51CA0" w14:textId="77777777" w:rsidR="002D2D01" w:rsidRPr="0012597A" w:rsidRDefault="002D2D01"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3831BF2" w14:textId="3F987436" w:rsidR="00732F53" w:rsidRPr="0012597A" w:rsidRDefault="00732F53"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12597A">
        <w:rPr>
          <w:rFonts w:ascii="Times New Roman" w:eastAsia="Arial" w:hAnsi="Times New Roman" w:cs="Times New Roman"/>
          <w:b/>
          <w:bCs/>
          <w:color w:val="000000"/>
          <w:sz w:val="24"/>
          <w:szCs w:val="24"/>
          <w:lang w:eastAsia="es-MX"/>
        </w:rPr>
        <w:t>Artículo 33.</w:t>
      </w:r>
      <w:r w:rsidRPr="0012597A">
        <w:rPr>
          <w:rFonts w:ascii="Times New Roman" w:eastAsia="Arial" w:hAnsi="Times New Roman" w:cs="Times New Roman"/>
          <w:color w:val="000000"/>
          <w:sz w:val="24"/>
          <w:szCs w:val="24"/>
          <w:lang w:eastAsia="es-MX"/>
        </w:rPr>
        <w:t xml:space="preserve"> La Legislatura del Estado deberá realizar, al menos cada cinco años, un proceso de revisión y evaluación integral del contenido de esta Ley, con el propósito de verificar su vigencia, eficacia, impacto y armonización con los estándares constitucionales y de derechos humanos aplicables. En su caso, deberá emitir las reformas necesarias para asegurar su actualización y correcta operación.</w:t>
      </w:r>
    </w:p>
    <w:p w14:paraId="56AF112F" w14:textId="77777777" w:rsidR="004F3D6F" w:rsidRPr="0012597A" w:rsidRDefault="004F3D6F" w:rsidP="00EF1C7F">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7D409E7" w14:textId="77777777" w:rsidR="00732F53" w:rsidRPr="0012597A" w:rsidRDefault="00732F53" w:rsidP="00EF1C7F">
      <w:pPr>
        <w:widowControl w:val="0"/>
        <w:spacing w:after="0" w:line="240" w:lineRule="auto"/>
        <w:jc w:val="center"/>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T R A N S I T O R I O S</w:t>
      </w:r>
    </w:p>
    <w:p w14:paraId="65C132F8" w14:textId="77777777" w:rsidR="004F3D6F" w:rsidRPr="0012597A" w:rsidRDefault="004F3D6F" w:rsidP="00EF1C7F">
      <w:pPr>
        <w:widowControl w:val="0"/>
        <w:spacing w:after="0" w:line="240" w:lineRule="auto"/>
        <w:jc w:val="both"/>
        <w:rPr>
          <w:rFonts w:ascii="Times New Roman" w:eastAsia="Arial" w:hAnsi="Times New Roman" w:cs="Times New Roman"/>
          <w:b/>
          <w:bCs/>
          <w:sz w:val="24"/>
          <w:szCs w:val="24"/>
          <w:lang w:eastAsia="es-MX"/>
        </w:rPr>
      </w:pPr>
    </w:p>
    <w:p w14:paraId="5C8CA77A" w14:textId="3E36F22F" w:rsidR="00732F53" w:rsidRPr="0012597A" w:rsidRDefault="00732F53" w:rsidP="00EF1C7F">
      <w:pPr>
        <w:widowControl w:val="0"/>
        <w:spacing w:after="0" w:line="240" w:lineRule="auto"/>
        <w:jc w:val="both"/>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lastRenderedPageBreak/>
        <w:t xml:space="preserve">PRIMERO. </w:t>
      </w:r>
      <w:r w:rsidRPr="0012597A">
        <w:rPr>
          <w:rFonts w:ascii="Times New Roman" w:eastAsia="Arial" w:hAnsi="Times New Roman" w:cs="Times New Roman"/>
          <w:sz w:val="24"/>
          <w:szCs w:val="24"/>
          <w:lang w:eastAsia="es-MX"/>
        </w:rPr>
        <w:t>La presente Ley entrará en vigor al día siguiente de su publicación en el Periódico Oficial “Gaceta del Gobierno”.</w:t>
      </w:r>
    </w:p>
    <w:p w14:paraId="5CF5D8A7" w14:textId="77777777" w:rsidR="004F3D6F" w:rsidRPr="0012597A" w:rsidRDefault="004F3D6F" w:rsidP="00EF1C7F">
      <w:pPr>
        <w:widowControl w:val="0"/>
        <w:spacing w:after="0" w:line="240" w:lineRule="auto"/>
        <w:jc w:val="both"/>
        <w:rPr>
          <w:rFonts w:ascii="Times New Roman" w:eastAsia="Arial" w:hAnsi="Times New Roman" w:cs="Times New Roman"/>
          <w:b/>
          <w:bCs/>
          <w:sz w:val="24"/>
          <w:szCs w:val="24"/>
          <w:lang w:eastAsia="es-MX"/>
        </w:rPr>
      </w:pPr>
    </w:p>
    <w:p w14:paraId="1B01D4E1" w14:textId="3EEE8A63" w:rsidR="00732F53" w:rsidRPr="0012597A" w:rsidRDefault="00732F53" w:rsidP="00EF1C7F">
      <w:pPr>
        <w:widowControl w:val="0"/>
        <w:spacing w:after="0" w:line="240" w:lineRule="auto"/>
        <w:jc w:val="both"/>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 xml:space="preserve">SEGUNDO. </w:t>
      </w:r>
      <w:r w:rsidRPr="0012597A">
        <w:rPr>
          <w:rFonts w:ascii="Times New Roman" w:eastAsia="Arial" w:hAnsi="Times New Roman" w:cs="Times New Roman"/>
          <w:sz w:val="24"/>
          <w:szCs w:val="24"/>
          <w:lang w:eastAsia="es-MX"/>
        </w:rPr>
        <w:t>Se abrogan todas las disposiciones de igual o menor jerarquía que contravengan lo establecido en esta Ley.</w:t>
      </w:r>
    </w:p>
    <w:p w14:paraId="603FD087" w14:textId="77777777" w:rsidR="004F3D6F" w:rsidRPr="0012597A" w:rsidRDefault="004F3D6F" w:rsidP="00EF1C7F">
      <w:pPr>
        <w:widowControl w:val="0"/>
        <w:spacing w:after="0" w:line="240" w:lineRule="auto"/>
        <w:jc w:val="both"/>
        <w:rPr>
          <w:rFonts w:ascii="Times New Roman" w:eastAsia="Arial" w:hAnsi="Times New Roman" w:cs="Times New Roman"/>
          <w:b/>
          <w:bCs/>
          <w:sz w:val="24"/>
          <w:szCs w:val="24"/>
          <w:lang w:eastAsia="es-MX"/>
        </w:rPr>
      </w:pPr>
    </w:p>
    <w:p w14:paraId="3050823F" w14:textId="41DA557A" w:rsidR="00732F53" w:rsidRPr="0012597A" w:rsidRDefault="00732F53" w:rsidP="00EF1C7F">
      <w:pPr>
        <w:widowControl w:val="0"/>
        <w:spacing w:after="0" w:line="240" w:lineRule="auto"/>
        <w:jc w:val="both"/>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 xml:space="preserve">TERCERO. </w:t>
      </w:r>
      <w:r w:rsidRPr="0012597A">
        <w:rPr>
          <w:rFonts w:ascii="Times New Roman" w:eastAsia="Arial" w:hAnsi="Times New Roman" w:cs="Times New Roman"/>
          <w:sz w:val="24"/>
          <w:szCs w:val="24"/>
          <w:lang w:eastAsia="es-MX"/>
        </w:rPr>
        <w:t>El Consejo Consultivo de Indulto deberá instalarse formalmente dentro de los noventa días naturales siguientes a la entrada en vigor de esta Ley. Hasta en tanto ocurra dicha instalación, las solicitudes de indulto serán tramitadas conforme a lo previsto en este ordenamiento y turnadas al Consejo en cuanto quede legalmente constituido.</w:t>
      </w:r>
    </w:p>
    <w:p w14:paraId="700DF12D" w14:textId="77777777" w:rsidR="004F3D6F" w:rsidRPr="0012597A" w:rsidRDefault="004F3D6F" w:rsidP="00EF1C7F">
      <w:pPr>
        <w:widowControl w:val="0"/>
        <w:spacing w:after="0" w:line="240" w:lineRule="auto"/>
        <w:jc w:val="both"/>
        <w:rPr>
          <w:rFonts w:ascii="Times New Roman" w:eastAsia="Arial" w:hAnsi="Times New Roman" w:cs="Times New Roman"/>
          <w:b/>
          <w:bCs/>
          <w:sz w:val="24"/>
          <w:szCs w:val="24"/>
          <w:lang w:eastAsia="es-MX"/>
        </w:rPr>
      </w:pPr>
    </w:p>
    <w:p w14:paraId="1BA181CE" w14:textId="6FBE0774" w:rsidR="00732F53" w:rsidRPr="0012597A" w:rsidRDefault="00732F53" w:rsidP="00EF1C7F">
      <w:pPr>
        <w:widowControl w:val="0"/>
        <w:spacing w:after="0" w:line="240" w:lineRule="auto"/>
        <w:jc w:val="both"/>
        <w:rPr>
          <w:rFonts w:ascii="Times New Roman" w:eastAsia="Arial" w:hAnsi="Times New Roman" w:cs="Times New Roman"/>
          <w:b/>
          <w:bCs/>
          <w:sz w:val="24"/>
          <w:szCs w:val="24"/>
          <w:lang w:eastAsia="es-MX"/>
        </w:rPr>
      </w:pPr>
      <w:r w:rsidRPr="0012597A">
        <w:rPr>
          <w:rFonts w:ascii="Times New Roman" w:eastAsia="Arial" w:hAnsi="Times New Roman" w:cs="Times New Roman"/>
          <w:b/>
          <w:bCs/>
          <w:sz w:val="24"/>
          <w:szCs w:val="24"/>
          <w:lang w:eastAsia="es-MX"/>
        </w:rPr>
        <w:t xml:space="preserve">CUARTO. </w:t>
      </w:r>
      <w:r w:rsidRPr="0012597A">
        <w:rPr>
          <w:rFonts w:ascii="Times New Roman" w:eastAsia="Arial" w:hAnsi="Times New Roman" w:cs="Times New Roman"/>
          <w:sz w:val="24"/>
          <w:szCs w:val="24"/>
          <w:lang w:eastAsia="es-MX"/>
        </w:rPr>
        <w:t>El Poder Ejecutivo del Estado, por conducto de la Consejería Jurídica y de la Secretaría de Seguridad, deberá emitir las disposiciones administrativas necesarias para la correcta aplicación de esta Ley dentro de los noventa días naturales siguientes a su entrada en vigor.</w:t>
      </w:r>
    </w:p>
    <w:p w14:paraId="6830E27A" w14:textId="77777777" w:rsidR="004F3D6F" w:rsidRPr="0012597A" w:rsidRDefault="004F3D6F" w:rsidP="00EF1C7F">
      <w:pPr>
        <w:widowControl w:val="0"/>
        <w:spacing w:after="0" w:line="240" w:lineRule="auto"/>
        <w:jc w:val="both"/>
        <w:rPr>
          <w:rFonts w:ascii="Times New Roman" w:eastAsia="Arial" w:hAnsi="Times New Roman" w:cs="Times New Roman"/>
          <w:b/>
          <w:bCs/>
          <w:sz w:val="24"/>
          <w:szCs w:val="24"/>
          <w:lang w:eastAsia="es-MX"/>
        </w:rPr>
      </w:pPr>
    </w:p>
    <w:p w14:paraId="1DFD8A4A" w14:textId="77777777" w:rsidR="00732F53" w:rsidRPr="0012597A" w:rsidRDefault="00732F53" w:rsidP="00EF1C7F">
      <w:pPr>
        <w:widowControl w:val="0"/>
        <w:spacing w:after="0" w:line="240" w:lineRule="auto"/>
        <w:jc w:val="both"/>
        <w:rPr>
          <w:rFonts w:ascii="Times New Roman" w:eastAsia="Arial" w:hAnsi="Times New Roman" w:cs="Times New Roman"/>
          <w:sz w:val="24"/>
          <w:szCs w:val="24"/>
          <w:lang w:eastAsia="es-MX"/>
        </w:rPr>
      </w:pPr>
      <w:r w:rsidRPr="0012597A">
        <w:rPr>
          <w:rFonts w:ascii="Times New Roman" w:eastAsia="Arial" w:hAnsi="Times New Roman" w:cs="Times New Roman"/>
          <w:b/>
          <w:bCs/>
          <w:sz w:val="24"/>
          <w:szCs w:val="24"/>
          <w:lang w:eastAsia="es-MX"/>
        </w:rPr>
        <w:t xml:space="preserve">QUINTO. </w:t>
      </w:r>
      <w:r w:rsidRPr="0012597A">
        <w:rPr>
          <w:rFonts w:ascii="Times New Roman" w:eastAsia="Arial" w:hAnsi="Times New Roman" w:cs="Times New Roman"/>
          <w:sz w:val="24"/>
          <w:szCs w:val="24"/>
          <w:lang w:eastAsia="es-MX"/>
        </w:rPr>
        <w:t>Los expedientes de indulto que, a la fecha de entrada en vigor de esta Ley, se encuentren en trámite, deberán ajustarse a sus disposiciones en la etapa procesal en la que se encuentren, respetando las actuaciones ya realizadas y sin perjuicio de los derechos adquiridos de las personas promoventes.</w:t>
      </w:r>
    </w:p>
    <w:p w14:paraId="1A44A491" w14:textId="77777777" w:rsidR="004F3D6F" w:rsidRPr="0012597A" w:rsidRDefault="004F3D6F" w:rsidP="00EF1C7F">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lang w:eastAsia="es-MX"/>
        </w:rPr>
      </w:pPr>
    </w:p>
    <w:p w14:paraId="22AEF32E" w14:textId="366D4D8B" w:rsidR="00732F53" w:rsidRPr="0012597A" w:rsidRDefault="00732F53" w:rsidP="00EF1C7F">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lang w:eastAsia="es-MX"/>
        </w:rPr>
      </w:pPr>
      <w:r w:rsidRPr="0012597A">
        <w:rPr>
          <w:rFonts w:ascii="Times New Roman" w:eastAsia="Arial" w:hAnsi="Times New Roman" w:cs="Times New Roman"/>
          <w:b/>
          <w:bCs/>
          <w:color w:val="000000"/>
          <w:sz w:val="24"/>
          <w:szCs w:val="24"/>
          <w:lang w:eastAsia="es-MX"/>
        </w:rPr>
        <w:t>Dip. Octavio Martínez Vargas</w:t>
      </w:r>
    </w:p>
    <w:p w14:paraId="5C22AA8A" w14:textId="6BC59D50" w:rsidR="00AD469A" w:rsidRPr="0012597A" w:rsidRDefault="00AD469A" w:rsidP="00EF1C7F">
      <w:pPr>
        <w:spacing w:after="0" w:line="240" w:lineRule="auto"/>
        <w:jc w:val="center"/>
        <w:rPr>
          <w:rFonts w:ascii="Times New Roman" w:hAnsi="Times New Roman" w:cs="Times New Roman"/>
          <w:sz w:val="24"/>
          <w:szCs w:val="24"/>
        </w:rPr>
      </w:pPr>
    </w:p>
    <w:p w14:paraId="38F5457A" w14:textId="77777777" w:rsidR="00AD469A" w:rsidRPr="0012597A" w:rsidRDefault="00AD469A"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34772EE4" w14:textId="77777777" w:rsidR="00AD469A" w:rsidRPr="0012597A" w:rsidRDefault="00AD469A" w:rsidP="00EF1C7F">
      <w:pPr>
        <w:spacing w:after="0" w:line="240" w:lineRule="auto"/>
        <w:jc w:val="center"/>
        <w:rPr>
          <w:rFonts w:ascii="Times New Roman" w:hAnsi="Times New Roman"/>
          <w:sz w:val="24"/>
          <w:szCs w:val="24"/>
        </w:rPr>
      </w:pPr>
    </w:p>
    <w:p w14:paraId="499802C2" w14:textId="491AAB06"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DIP. MARTHA AZUCENA CAMACHO REYNOSO. Gracias diputado Octavio Martínez Vargas.</w:t>
      </w:r>
    </w:p>
    <w:p w14:paraId="67AEB4A0" w14:textId="77777777" w:rsidR="00791E2D" w:rsidRPr="0012597A" w:rsidRDefault="00791E2D" w:rsidP="00EF1C7F">
      <w:pPr>
        <w:spacing w:after="0" w:line="240" w:lineRule="aut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Se registra la iniciativa y se remite a las Comisiones Legislativas de Gobernación y Puntos Constitucionales y de Procuración y Administración de Justicia para su estudio y dictamen.</w:t>
      </w:r>
    </w:p>
    <w:p w14:paraId="34544A66"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acatamiento al punto número 12, la diputada Zaira Cedillo Silva presenta, en nombre del Grupo Parlamentario del Partido Morena, Iniciativa con Proyecto de Decreto por el que se reforman diversas disposiciones de la Ley de Igualdad de Trato de Oportunidades entre hombres y Mujeres del Estado de México y la Ley de Trabajo de los Servidores Públicos del Estado de México y Municipios para eliminar la brecha salarial de género.</w:t>
      </w:r>
    </w:p>
    <w:p w14:paraId="20B6F097"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DIP. ZAIRA CEDILLO SILVA. Gracias. Con su venia Presidenta, saludo a mis compañeras, compañeros, compañere legisladores, a las vecinas y los vecinos que nos ven a través de las diferentes plataformas digitales.</w:t>
      </w:r>
    </w:p>
    <w:p w14:paraId="253899EA"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Hace más de 100 años, Hermila Galindo levantó la voz para decir algo que sigue vigente, que las mujeres tenemos el derecho de decidir nuestro propio destino. Hoy esa lucha no ha terminado. Hoy hablo por más de 3 millones de mujeres que en el Estado de México trabajan todos los días, en la formalidad, en la informalidad o sin recibir un salario y que siguen enfrentando una desigualdad estructural que ya no debería de existir; porque sí la ley lo dice claro, a trabajo igual salario igual, por lo que es importante seguir trabajando y legislando en favor de la equidad salarial.</w:t>
      </w:r>
    </w:p>
    <w:p w14:paraId="07755D4F"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Las mujeres siguen ganando entre un 14% y un 18% menos que los hombres por el mismo trabajo y además cargan con jornadas invisibles más de 39 horas semanales de trabajo que no es remunerado y no es por falta de capacidad, millones de mujeres sostienen hogares, economías y también comunidades enteras y aun así ganan menos, ganan menos por el mismo trabajo, menos por las mismas horas, menos simplemente por ser mujeres.</w:t>
      </w:r>
    </w:p>
    <w:p w14:paraId="3C895520"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La brecha salarial es una realidad documentada y exige una respuesta institucional. Por eso nuestra iniciativa tiene un punto de partida muy claro; la desigualdad estructural la combatimos </w:t>
      </w:r>
      <w:r w:rsidRPr="0012597A">
        <w:rPr>
          <w:rFonts w:ascii="Times New Roman" w:hAnsi="Times New Roman" w:cs="Times New Roman"/>
          <w:color w:val="FF0000"/>
          <w:sz w:val="24"/>
          <w:szCs w:val="24"/>
        </w:rPr>
        <w:lastRenderedPageBreak/>
        <w:t xml:space="preserve">entre todas y entre todos y en este Congreso nuestro trabajo es construir el camino de la igualdad y esto tiene que traducirse en reglas, en mecanismos y también en resultados. </w:t>
      </w:r>
    </w:p>
    <w:p w14:paraId="7B9373A7"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La Presidenta Claudia Sheinbaum Pardo hace algunos meses envió reformas constitucionales, incluido también el tema de la brecha salarial, para fortalecer esta iniciativa nuestra Gobernadora, la Maestra Delfina Gómez Álvarez, presentó una iniciativa de reforma constitucional orientada a fortalecer el principio de igualdad sustantiva y a establecer de manera expresa el derecho de toda persona a un trabajo digno.</w:t>
      </w:r>
    </w:p>
    <w:p w14:paraId="62C8D55C"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En ese contexto, hoy lo que proponemos es reconocer la brecha salarial en la ley, establecer una herramienta para reducirla y fortalecer la responsabilidad del Estado como un garante de la igualdad, en el sector privado, el sector social, así también desde el Estado; a trabajo igual salario igual en cualquier espacio.</w:t>
      </w:r>
    </w:p>
    <w:p w14:paraId="4DAE28D3"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Cuando una mujer gana menos, no solamente pierde ella, pierde su familia, pierde su comunidad y pierde también la sociedad. Así que no, la brecha salarial no es un asunto menor y tampoco no es un asunto nada más de mujeres, es un asunto de justicia, es un asunto de dignidad y es un asunto también del Estado. </w:t>
      </w:r>
    </w:p>
    <w:p w14:paraId="2D6110E7"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Hoy tenemos la oportunidad de desmontar esa estructura que sostiene desigualdades y nosotros en este Congreso del Estado de México no podemos desperdiciarla; lo tenemos claro, la igualdad no es un favor, no es una concesión, la igualdad es un derecho y se debe de garantizar. Que una mujer gane menos por su trabajo es limitar su autonomía, su desarrollo y es limitar sus oportunidades, al igual que las de toda su familia.</w:t>
      </w:r>
    </w:p>
    <w:p w14:paraId="7FD2371F"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Hoy es tiempo de mujeres y es tiempo de terminar con la brecha salarial.</w:t>
      </w:r>
    </w:p>
    <w:p w14:paraId="3E998BDC"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solicito se inserte de manera íntegra la presente iniciativa a la “Gaceta Parlamentaria” y al Diario de los Debates.</w:t>
      </w:r>
    </w:p>
    <w:p w14:paraId="23974A78"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Es </w:t>
      </w:r>
      <w:proofErr w:type="spellStart"/>
      <w:r w:rsidRPr="0012597A">
        <w:rPr>
          <w:rFonts w:ascii="Times New Roman" w:hAnsi="Times New Roman" w:cs="Times New Roman"/>
          <w:color w:val="FF0000"/>
          <w:sz w:val="24"/>
          <w:szCs w:val="24"/>
        </w:rPr>
        <w:t>cuanto</w:t>
      </w:r>
      <w:proofErr w:type="spellEnd"/>
      <w:r w:rsidRPr="0012597A">
        <w:rPr>
          <w:rFonts w:ascii="Times New Roman" w:hAnsi="Times New Roman" w:cs="Times New Roman"/>
          <w:color w:val="FF0000"/>
          <w:sz w:val="24"/>
          <w:szCs w:val="24"/>
        </w:rPr>
        <w:t>.</w:t>
      </w:r>
    </w:p>
    <w:p w14:paraId="0853A1E7" w14:textId="77777777" w:rsidR="00FB015E" w:rsidRPr="0012597A" w:rsidRDefault="00FB015E" w:rsidP="00EF1C7F">
      <w:pPr>
        <w:pStyle w:val="Sinespaciado"/>
        <w:jc w:val="both"/>
        <w:rPr>
          <w:rFonts w:ascii="Times New Roman" w:hAnsi="Times New Roman" w:cs="Times New Roman"/>
          <w:sz w:val="24"/>
          <w:szCs w:val="24"/>
        </w:rPr>
      </w:pPr>
    </w:p>
    <w:p w14:paraId="0B76D78A" w14:textId="77777777" w:rsidR="00FB015E" w:rsidRPr="0012597A" w:rsidRDefault="00FB015E"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69377A95" w14:textId="77777777" w:rsidR="00FB015E" w:rsidRPr="0012597A" w:rsidRDefault="00FB015E" w:rsidP="00EF1C7F">
      <w:pPr>
        <w:spacing w:after="0" w:line="240" w:lineRule="auto"/>
        <w:jc w:val="center"/>
        <w:rPr>
          <w:rFonts w:ascii="Times New Roman" w:hAnsi="Times New Roman"/>
          <w:sz w:val="24"/>
          <w:szCs w:val="24"/>
        </w:rPr>
      </w:pPr>
    </w:p>
    <w:p w14:paraId="777C515E" w14:textId="77777777" w:rsidR="00FB015E" w:rsidRPr="0012597A" w:rsidRDefault="00FB015E" w:rsidP="00EF1C7F">
      <w:pPr>
        <w:spacing w:after="0" w:line="240" w:lineRule="auto"/>
        <w:jc w:val="both"/>
        <w:rPr>
          <w:rFonts w:ascii="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B015E" w:rsidRPr="0012597A" w14:paraId="6DA5587E" w14:textId="77777777" w:rsidTr="00BA4C6F">
        <w:trPr>
          <w:jc w:val="center"/>
        </w:trPr>
        <w:tc>
          <w:tcPr>
            <w:tcW w:w="4414" w:type="dxa"/>
          </w:tcPr>
          <w:p w14:paraId="774A7BF8" w14:textId="77777777" w:rsidR="00FB015E" w:rsidRPr="0012597A" w:rsidRDefault="00FB015E" w:rsidP="00EF1C7F">
            <w:pPr>
              <w:autoSpaceDE w:val="0"/>
              <w:autoSpaceDN w:val="0"/>
              <w:adjustRightInd w:val="0"/>
              <w:spacing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CONGRESO</w:t>
            </w:r>
          </w:p>
          <w:p w14:paraId="7F82C237" w14:textId="77777777" w:rsidR="00FB015E" w:rsidRPr="0012597A" w:rsidRDefault="00FB015E" w:rsidP="00EF1C7F">
            <w:pPr>
              <w:autoSpaceDE w:val="0"/>
              <w:autoSpaceDN w:val="0"/>
              <w:adjustRightInd w:val="0"/>
              <w:spacing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ESTADO DE MÉXICO</w:t>
            </w:r>
          </w:p>
          <w:p w14:paraId="5661B230" w14:textId="77777777" w:rsidR="00FB015E" w:rsidRPr="0012597A" w:rsidRDefault="00FB015E" w:rsidP="00EF1C7F">
            <w:pPr>
              <w:spacing w:line="240" w:lineRule="auto"/>
              <w:jc w:val="both"/>
              <w:rPr>
                <w:rFonts w:ascii="Times New Roman" w:hAnsi="Times New Roman" w:cs="Times New Roman"/>
                <w:sz w:val="24"/>
                <w:szCs w:val="24"/>
              </w:rPr>
            </w:pPr>
          </w:p>
        </w:tc>
        <w:tc>
          <w:tcPr>
            <w:tcW w:w="4414" w:type="dxa"/>
          </w:tcPr>
          <w:p w14:paraId="7CFDBF2A" w14:textId="77777777" w:rsidR="00FB015E" w:rsidRPr="0012597A" w:rsidRDefault="00FB015E" w:rsidP="00EF1C7F">
            <w:pPr>
              <w:spacing w:line="240" w:lineRule="auto"/>
              <w:jc w:val="center"/>
              <w:rPr>
                <w:rFonts w:ascii="Times New Roman" w:hAnsi="Times New Roman" w:cs="Times New Roman"/>
                <w:sz w:val="24"/>
                <w:szCs w:val="24"/>
              </w:rPr>
            </w:pPr>
            <w:r w:rsidRPr="0012597A">
              <w:rPr>
                <w:rFonts w:ascii="Times New Roman" w:hAnsi="Times New Roman" w:cs="Times New Roman"/>
                <w:b/>
                <w:sz w:val="24"/>
                <w:szCs w:val="24"/>
              </w:rPr>
              <w:t>ZAIRA</w:t>
            </w:r>
          </w:p>
          <w:p w14:paraId="2D9BA565" w14:textId="77777777" w:rsidR="00FB015E" w:rsidRPr="0012597A" w:rsidRDefault="00FB015E" w:rsidP="00EF1C7F">
            <w:pPr>
              <w:spacing w:line="240" w:lineRule="auto"/>
              <w:jc w:val="center"/>
              <w:rPr>
                <w:rFonts w:ascii="Times New Roman" w:hAnsi="Times New Roman" w:cs="Times New Roman"/>
                <w:sz w:val="24"/>
                <w:szCs w:val="24"/>
              </w:rPr>
            </w:pPr>
            <w:r w:rsidRPr="0012597A">
              <w:rPr>
                <w:rFonts w:ascii="Times New Roman" w:hAnsi="Times New Roman" w:cs="Times New Roman"/>
                <w:sz w:val="24"/>
                <w:szCs w:val="24"/>
              </w:rPr>
              <w:t>CEDILLO SILVA</w:t>
            </w:r>
          </w:p>
          <w:p w14:paraId="4724E656" w14:textId="77777777" w:rsidR="00FB015E" w:rsidRPr="0012597A" w:rsidRDefault="00FB015E" w:rsidP="00EF1C7F">
            <w:pPr>
              <w:spacing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DIPUTADA DE ECATEPEC</w:t>
            </w:r>
          </w:p>
        </w:tc>
      </w:tr>
    </w:tbl>
    <w:p w14:paraId="7B40BF26" w14:textId="77777777" w:rsidR="00FB015E" w:rsidRPr="0012597A" w:rsidRDefault="00FB015E" w:rsidP="00EF1C7F">
      <w:pPr>
        <w:autoSpaceDE w:val="0"/>
        <w:autoSpaceDN w:val="0"/>
        <w:adjustRightInd w:val="0"/>
        <w:spacing w:after="0" w:line="240" w:lineRule="auto"/>
        <w:jc w:val="both"/>
        <w:rPr>
          <w:rFonts w:ascii="Times New Roman" w:hAnsi="Times New Roman" w:cs="Times New Roman"/>
          <w:b/>
          <w:bCs/>
          <w:sz w:val="24"/>
          <w:szCs w:val="24"/>
        </w:rPr>
      </w:pPr>
    </w:p>
    <w:p w14:paraId="7DF20BDD" w14:textId="77777777" w:rsidR="00FB015E" w:rsidRPr="0012597A" w:rsidRDefault="00FB015E" w:rsidP="00EF1C7F">
      <w:pPr>
        <w:spacing w:after="0" w:line="240" w:lineRule="auto"/>
        <w:jc w:val="right"/>
        <w:rPr>
          <w:rFonts w:ascii="Times New Roman" w:hAnsi="Times New Roman" w:cs="Times New Roman"/>
          <w:sz w:val="24"/>
          <w:szCs w:val="24"/>
        </w:rPr>
      </w:pPr>
      <w:r w:rsidRPr="0012597A">
        <w:rPr>
          <w:rFonts w:ascii="Times New Roman" w:hAnsi="Times New Roman" w:cs="Times New Roman"/>
          <w:sz w:val="24"/>
          <w:szCs w:val="24"/>
        </w:rPr>
        <w:t>Toluca de Lerdo, México; a 19 de Marzo de 2026.</w:t>
      </w:r>
    </w:p>
    <w:p w14:paraId="49BE0F40" w14:textId="77777777" w:rsidR="00FB015E" w:rsidRPr="0012597A" w:rsidRDefault="00FB015E" w:rsidP="00EF1C7F">
      <w:pPr>
        <w:spacing w:after="0" w:line="240" w:lineRule="auto"/>
        <w:jc w:val="both"/>
        <w:rPr>
          <w:rFonts w:ascii="Times New Roman" w:hAnsi="Times New Roman" w:cs="Times New Roman"/>
          <w:sz w:val="24"/>
          <w:szCs w:val="24"/>
        </w:rPr>
      </w:pPr>
    </w:p>
    <w:p w14:paraId="1B5BEEBB"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DIPUTADA MARTHA AZUCENA CAMACHO REYNOSO</w:t>
      </w:r>
    </w:p>
    <w:p w14:paraId="30E245AA"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PRESIDENTA DE LA DIRECTIVA DE LA</w:t>
      </w:r>
    </w:p>
    <w:p w14:paraId="73975A67"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H. “LXII” LEGISLATURA DEL ESTADO LIBRE Y</w:t>
      </w:r>
    </w:p>
    <w:p w14:paraId="107424D8"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SOBERANO DE MÉXICO</w:t>
      </w:r>
    </w:p>
    <w:p w14:paraId="52B63D06"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PRESENTE</w:t>
      </w:r>
    </w:p>
    <w:p w14:paraId="344FDEC1" w14:textId="77777777" w:rsidR="00FB015E" w:rsidRPr="0012597A" w:rsidRDefault="00FB015E" w:rsidP="00EF1C7F">
      <w:pPr>
        <w:spacing w:after="0" w:line="240" w:lineRule="auto"/>
        <w:jc w:val="both"/>
        <w:rPr>
          <w:rFonts w:ascii="Times New Roman" w:hAnsi="Times New Roman" w:cs="Times New Roman"/>
          <w:sz w:val="24"/>
          <w:szCs w:val="24"/>
        </w:rPr>
      </w:pPr>
    </w:p>
    <w:p w14:paraId="77216834"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Quien suscribe, Diputada Zaira Cedillo Silva, integrante del grupo parlamentario de morena en la H. LXII Legislatura del Estado Libre y Soberano de México; con fundamento en los artículos 116 de la Constitución Política del Estado Libre y Soberano de México; 38 fracción IV, 78 de la Ley Orgánica del Poder Legislativo del Estado Libre y Soberano de México; así como 72 de su reglamento; someto a consideración de esta Honorable Legislatura el siguiente </w:t>
      </w:r>
      <w:r w:rsidRPr="0012597A">
        <w:rPr>
          <w:rFonts w:ascii="Times New Roman" w:hAnsi="Times New Roman" w:cs="Times New Roman"/>
          <w:b/>
          <w:bCs/>
          <w:sz w:val="24"/>
          <w:szCs w:val="24"/>
        </w:rPr>
        <w:t>Iniciativa con proyecto de decreto por el que se reforma y adicionan diversas disposiciones de la Ley de Igualdad de Trato y Oportunidades entre Mujeres y Hombres del Estado de México y de la Ley del Trabajo de los Servidores Púbicos del Estado y Municipios, en materia de Eliminar la Brecha Salarial</w:t>
      </w:r>
      <w:r w:rsidRPr="0012597A">
        <w:rPr>
          <w:rFonts w:ascii="Times New Roman" w:hAnsi="Times New Roman" w:cs="Times New Roman"/>
          <w:sz w:val="24"/>
          <w:szCs w:val="24"/>
        </w:rPr>
        <w:t>, conforme a la siguiente:</w:t>
      </w:r>
    </w:p>
    <w:p w14:paraId="57A787C7" w14:textId="77777777" w:rsidR="00FB015E" w:rsidRPr="0012597A" w:rsidRDefault="00FB015E" w:rsidP="00EF1C7F">
      <w:pPr>
        <w:spacing w:after="0" w:line="240" w:lineRule="auto"/>
        <w:jc w:val="both"/>
        <w:rPr>
          <w:rFonts w:ascii="Times New Roman" w:hAnsi="Times New Roman" w:cs="Times New Roman"/>
          <w:sz w:val="24"/>
          <w:szCs w:val="24"/>
        </w:rPr>
      </w:pPr>
    </w:p>
    <w:p w14:paraId="5110C4EB" w14:textId="77777777" w:rsidR="00FB015E" w:rsidRPr="0012597A" w:rsidRDefault="00FB015E" w:rsidP="00EF1C7F">
      <w:pPr>
        <w:spacing w:after="0"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EXPOSICIÓN DE MOTIVOS</w:t>
      </w:r>
    </w:p>
    <w:p w14:paraId="0B5F4D3B" w14:textId="77777777" w:rsidR="00FB015E" w:rsidRPr="0012597A" w:rsidRDefault="00FB015E" w:rsidP="00EF1C7F">
      <w:pPr>
        <w:spacing w:after="0" w:line="240" w:lineRule="auto"/>
        <w:jc w:val="both"/>
        <w:rPr>
          <w:rFonts w:ascii="Times New Roman" w:hAnsi="Times New Roman" w:cs="Times New Roman"/>
          <w:sz w:val="24"/>
          <w:szCs w:val="24"/>
        </w:rPr>
      </w:pPr>
    </w:p>
    <w:p w14:paraId="62228C73"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La igualdad entre mujeres y hombres constituye uno de los principios fundamentales del Estado democrático de derecho y un pilar indispensable para la construcción de sociedades más justas, incluyentes y equitativas. En México, este principio ha sido reconocido tanto en el marco constitucional como en diversos instrumentos internacionales suscritos por el Estado mexicano, tales como la Convención sobre la Eliminación de Todas las Formas de Discriminación contra la Mujer (CEDAW) y el Convenio 100 de la Organización Internacional del Trabajo sobre igualdad de remuneración.</w:t>
      </w:r>
    </w:p>
    <w:p w14:paraId="62730492" w14:textId="77777777" w:rsidR="00FB015E" w:rsidRPr="0012597A" w:rsidRDefault="00FB015E" w:rsidP="00EF1C7F">
      <w:pPr>
        <w:spacing w:after="0" w:line="240" w:lineRule="auto"/>
        <w:jc w:val="both"/>
        <w:rPr>
          <w:rFonts w:ascii="Times New Roman" w:hAnsi="Times New Roman" w:cs="Times New Roman"/>
          <w:sz w:val="24"/>
          <w:szCs w:val="24"/>
        </w:rPr>
      </w:pPr>
    </w:p>
    <w:p w14:paraId="71834B59"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No obstante los avances normativos, persisten brechas estructurales que limitan el pleno ejercicio de los derechos laborales de las mujeres, particularmente en lo relativo a la </w:t>
      </w:r>
      <w:r w:rsidRPr="0012597A">
        <w:rPr>
          <w:rFonts w:ascii="Times New Roman" w:eastAsiaTheme="majorEastAsia" w:hAnsi="Times New Roman" w:cs="Times New Roman"/>
          <w:bCs/>
          <w:sz w:val="24"/>
          <w:szCs w:val="24"/>
          <w:lang w:eastAsia="es-MX"/>
        </w:rPr>
        <w:t>igualdad salarial</w:t>
      </w:r>
      <w:r w:rsidRPr="0012597A">
        <w:rPr>
          <w:rFonts w:ascii="Times New Roman" w:eastAsia="Times New Roman" w:hAnsi="Times New Roman" w:cs="Times New Roman"/>
          <w:b/>
          <w:bCs/>
          <w:sz w:val="24"/>
          <w:szCs w:val="24"/>
          <w:lang w:eastAsia="es-MX"/>
        </w:rPr>
        <w:t>.</w:t>
      </w:r>
      <w:r w:rsidRPr="0012597A">
        <w:rPr>
          <w:rFonts w:ascii="Times New Roman" w:eastAsia="Times New Roman" w:hAnsi="Times New Roman" w:cs="Times New Roman"/>
          <w:sz w:val="24"/>
          <w:szCs w:val="24"/>
          <w:lang w:eastAsia="es-MX"/>
        </w:rPr>
        <w:t xml:space="preserve"> La brecha salarial de género representa una de las manifestaciones más visibles de la desigualdad económica entre mujeres y hombres, al reflejar condiciones históricas de discriminación, segregación laboral y desigual acceso a oportunidades de desarrollo profesional.</w:t>
      </w:r>
    </w:p>
    <w:p w14:paraId="54EE8E44"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5ED4A722"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En atención a esta problemática, el 15 de noviembre de 2024 se publicó en el Diario Oficial de la Federación el Decreto por el que se reforman diversas disposiciones de la Constitución Política de los Estados Unidos Mexicanos en materia de igualdad sustantiva y erradicación de la brecha salarial de género. Dicha reforma constitucional establece con claridad el principio de que “a trabajo igual corresponderá salario igual”, e impone a las entidades federativas la obligación de adecuar su marco jurídico para implementar mecanismos que permitan reducir y eliminar las desigualdades salariales derivadas del género.</w:t>
      </w:r>
    </w:p>
    <w:p w14:paraId="1F1CBACA" w14:textId="77777777" w:rsidR="00FB015E" w:rsidRPr="0012597A" w:rsidRDefault="00FB015E" w:rsidP="00EF1C7F">
      <w:pPr>
        <w:spacing w:after="0" w:line="240" w:lineRule="auto"/>
        <w:jc w:val="both"/>
        <w:rPr>
          <w:rFonts w:ascii="Times New Roman" w:hAnsi="Times New Roman" w:cs="Times New Roman"/>
          <w:sz w:val="24"/>
          <w:szCs w:val="24"/>
        </w:rPr>
      </w:pPr>
    </w:p>
    <w:p w14:paraId="2C369F64"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En congruencia con este mandato constitucional, el </w:t>
      </w:r>
      <w:r w:rsidRPr="0012597A">
        <w:rPr>
          <w:rFonts w:ascii="Times New Roman" w:eastAsiaTheme="majorEastAsia" w:hAnsi="Times New Roman" w:cs="Times New Roman"/>
          <w:bCs/>
          <w:sz w:val="24"/>
          <w:szCs w:val="24"/>
          <w:lang w:eastAsia="es-MX"/>
        </w:rPr>
        <w:t>Gobierno del Estado de México</w:t>
      </w:r>
      <w:r w:rsidRPr="0012597A">
        <w:rPr>
          <w:rFonts w:ascii="Times New Roman" w:eastAsia="Times New Roman" w:hAnsi="Times New Roman" w:cs="Times New Roman"/>
          <w:b/>
          <w:bCs/>
          <w:sz w:val="24"/>
          <w:szCs w:val="24"/>
          <w:lang w:eastAsia="es-MX"/>
        </w:rPr>
        <w:t xml:space="preserve">, </w:t>
      </w:r>
      <w:r w:rsidRPr="0012597A">
        <w:rPr>
          <w:rFonts w:ascii="Times New Roman" w:eastAsia="Times New Roman" w:hAnsi="Times New Roman" w:cs="Times New Roman"/>
          <w:sz w:val="24"/>
          <w:szCs w:val="24"/>
          <w:lang w:eastAsia="es-MX"/>
        </w:rPr>
        <w:t xml:space="preserve">encabezado por la Gobernadora </w:t>
      </w:r>
      <w:r w:rsidRPr="0012597A">
        <w:rPr>
          <w:rFonts w:ascii="Times New Roman" w:eastAsiaTheme="majorEastAsia" w:hAnsi="Times New Roman" w:cs="Times New Roman"/>
          <w:bCs/>
          <w:sz w:val="24"/>
          <w:szCs w:val="24"/>
          <w:lang w:eastAsia="es-MX"/>
        </w:rPr>
        <w:t>Delfina Gómez Álvarez</w:t>
      </w:r>
      <w:r w:rsidRPr="0012597A">
        <w:rPr>
          <w:rFonts w:ascii="Times New Roman" w:eastAsia="Times New Roman" w:hAnsi="Times New Roman" w:cs="Times New Roman"/>
          <w:b/>
          <w:bCs/>
          <w:sz w:val="24"/>
          <w:szCs w:val="24"/>
          <w:lang w:eastAsia="es-MX"/>
        </w:rPr>
        <w:t xml:space="preserve">, </w:t>
      </w:r>
      <w:r w:rsidRPr="0012597A">
        <w:rPr>
          <w:rFonts w:ascii="Times New Roman" w:eastAsia="Times New Roman" w:hAnsi="Times New Roman" w:cs="Times New Roman"/>
          <w:sz w:val="24"/>
          <w:szCs w:val="24"/>
          <w:lang w:eastAsia="es-MX"/>
        </w:rPr>
        <w:t xml:space="preserve">presentó ante esta Soberanía una iniciativa de reforma constitucional orientada a fortalecer el principio de igualdad sustantiva y establecer de manera expresa el derecho de toda persona a un trabajo digno, en el que </w:t>
      </w:r>
      <w:r w:rsidRPr="0012597A">
        <w:rPr>
          <w:rFonts w:ascii="Times New Roman" w:eastAsiaTheme="majorEastAsia" w:hAnsi="Times New Roman" w:cs="Times New Roman"/>
          <w:bCs/>
          <w:sz w:val="24"/>
          <w:szCs w:val="24"/>
          <w:lang w:eastAsia="es-MX"/>
        </w:rPr>
        <w:t>a trabajo igual corresponda salario igual, sin distinción de sexo, género o nacionalidad</w:t>
      </w:r>
      <w:r w:rsidRPr="0012597A">
        <w:rPr>
          <w:rFonts w:ascii="Times New Roman" w:eastAsia="Times New Roman" w:hAnsi="Times New Roman" w:cs="Times New Roman"/>
          <w:b/>
          <w:bCs/>
          <w:sz w:val="24"/>
          <w:szCs w:val="24"/>
          <w:lang w:eastAsia="es-MX"/>
        </w:rPr>
        <w:t>.</w:t>
      </w:r>
      <w:r w:rsidRPr="0012597A">
        <w:rPr>
          <w:rFonts w:ascii="Times New Roman" w:eastAsia="Times New Roman" w:hAnsi="Times New Roman" w:cs="Times New Roman"/>
          <w:sz w:val="24"/>
          <w:szCs w:val="24"/>
          <w:lang w:eastAsia="es-MX"/>
        </w:rPr>
        <w:t xml:space="preserve"> Esta reforma representa un paso significativo hacia la construcción de un marco jurídico estatal que garantice condiciones reales de igualdad en el ámbito laboral.</w:t>
      </w:r>
    </w:p>
    <w:p w14:paraId="468D8829"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3EAD55A6"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Sin embargo, para que este principio constitucional se materialice en la vida cotidiana de las personas, resulta indispensable fortalecer también la </w:t>
      </w:r>
      <w:r w:rsidRPr="0012597A">
        <w:rPr>
          <w:rFonts w:ascii="Times New Roman" w:eastAsiaTheme="majorEastAsia" w:hAnsi="Times New Roman" w:cs="Times New Roman"/>
          <w:bCs/>
          <w:sz w:val="24"/>
          <w:szCs w:val="24"/>
          <w:lang w:eastAsia="es-MX"/>
        </w:rPr>
        <w:t>legislación secundaria</w:t>
      </w:r>
      <w:r w:rsidRPr="0012597A">
        <w:rPr>
          <w:rFonts w:ascii="Times New Roman" w:eastAsia="Times New Roman" w:hAnsi="Times New Roman" w:cs="Times New Roman"/>
          <w:b/>
          <w:bCs/>
          <w:sz w:val="24"/>
          <w:szCs w:val="24"/>
          <w:lang w:eastAsia="es-MX"/>
        </w:rPr>
        <w:t>,</w:t>
      </w:r>
      <w:r w:rsidRPr="0012597A">
        <w:rPr>
          <w:rFonts w:ascii="Times New Roman" w:eastAsia="Times New Roman" w:hAnsi="Times New Roman" w:cs="Times New Roman"/>
          <w:sz w:val="24"/>
          <w:szCs w:val="24"/>
          <w:lang w:eastAsia="es-MX"/>
        </w:rPr>
        <w:t xml:space="preserve"> incorporando definiciones claras, mecanismos institucionales y acciones específicas que permitan prevenir, atender y erradicar la brecha salarial de género.</w:t>
      </w:r>
    </w:p>
    <w:p w14:paraId="1ABBA975"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2C60B36A"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En el Estado de México, segunda entidad con mayor densidad de población del país, las desigualdades económicas entre mujeres y hombres continúan siendo una realidad. De acuerdo con datos de la Encuesta Nacional de Ocupación y Empleo del Instituto Nacional de Estadística y Geografía, durante 2024 las mujeres percibieron en promedio entre 14% y 18% menos ingresos laborales que los hombres por trabajos comparables</w:t>
      </w:r>
      <w:r w:rsidRPr="0012597A">
        <w:rPr>
          <w:rFonts w:ascii="Times New Roman" w:hAnsi="Times New Roman" w:cs="Times New Roman"/>
          <w:sz w:val="24"/>
          <w:szCs w:val="24"/>
          <w:vertAlign w:val="superscript"/>
        </w:rPr>
        <w:t>1</w:t>
      </w:r>
      <w:r w:rsidRPr="0012597A">
        <w:rPr>
          <w:rFonts w:ascii="Times New Roman" w:hAnsi="Times New Roman" w:cs="Times New Roman"/>
          <w:sz w:val="24"/>
          <w:szCs w:val="24"/>
        </w:rPr>
        <w:t>.</w:t>
      </w:r>
    </w:p>
    <w:p w14:paraId="14CFAF0B" w14:textId="77777777" w:rsidR="00FB015E" w:rsidRPr="0012597A" w:rsidRDefault="00FB015E" w:rsidP="00EF1C7F">
      <w:pPr>
        <w:spacing w:after="0" w:line="240" w:lineRule="auto"/>
        <w:jc w:val="both"/>
        <w:rPr>
          <w:rFonts w:ascii="Times New Roman" w:hAnsi="Times New Roman" w:cs="Times New Roman"/>
          <w:sz w:val="24"/>
          <w:szCs w:val="24"/>
        </w:rPr>
      </w:pPr>
    </w:p>
    <w:p w14:paraId="7E7B020C"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Asimismo, cifras del Observatorio Laboral de la Secretaría del Trabajo y Previsión Social indican que, a nivel nacional, las mujeres perciben aproximadamente 84 pesos por cada 100 pesos que reciben los hombres</w:t>
      </w:r>
      <w:r w:rsidRPr="0012597A">
        <w:rPr>
          <w:rFonts w:ascii="Times New Roman" w:hAnsi="Times New Roman" w:cs="Times New Roman"/>
          <w:sz w:val="24"/>
          <w:szCs w:val="24"/>
          <w:vertAlign w:val="superscript"/>
        </w:rPr>
        <w:t>2</w:t>
      </w:r>
      <w:r w:rsidRPr="0012597A">
        <w:rPr>
          <w:rFonts w:ascii="Times New Roman" w:hAnsi="Times New Roman" w:cs="Times New Roman"/>
          <w:sz w:val="24"/>
          <w:szCs w:val="24"/>
        </w:rPr>
        <w:t>, lo que refleja una desigualdad persistente en el mercado laboral.</w:t>
      </w:r>
    </w:p>
    <w:p w14:paraId="500A8A62" w14:textId="77777777" w:rsidR="00FB015E" w:rsidRPr="0012597A" w:rsidRDefault="00FB015E" w:rsidP="00EF1C7F">
      <w:pPr>
        <w:spacing w:after="0" w:line="240" w:lineRule="auto"/>
        <w:jc w:val="both"/>
        <w:rPr>
          <w:rFonts w:ascii="Times New Roman" w:hAnsi="Times New Roman" w:cs="Times New Roman"/>
          <w:sz w:val="24"/>
          <w:szCs w:val="24"/>
        </w:rPr>
      </w:pPr>
    </w:p>
    <w:p w14:paraId="3F6BAD8A"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lastRenderedPageBreak/>
        <w:t>De igual forma, el Instituto Nacional de Estadística y Geografía señala que las mujeres destinan en promedio más de 39 horas semanales al trabajo doméstico y de cuidados no remunerados, mientras que los hombres dedican alrededor de 15 horas</w:t>
      </w:r>
      <w:r w:rsidRPr="0012597A">
        <w:rPr>
          <w:rFonts w:ascii="Times New Roman" w:hAnsi="Times New Roman" w:cs="Times New Roman"/>
          <w:sz w:val="24"/>
          <w:szCs w:val="24"/>
          <w:vertAlign w:val="superscript"/>
        </w:rPr>
        <w:t>3</w:t>
      </w:r>
      <w:r w:rsidRPr="0012597A">
        <w:rPr>
          <w:rFonts w:ascii="Times New Roman" w:hAnsi="Times New Roman" w:cs="Times New Roman"/>
          <w:sz w:val="24"/>
          <w:szCs w:val="24"/>
        </w:rPr>
        <w:t>, situación que limita el acceso de las mujeres a empleos mejor remunerados y oportunidades de desarrollo profesional.</w:t>
      </w:r>
    </w:p>
    <w:p w14:paraId="20ED5C1B" w14:textId="77777777" w:rsidR="00FB015E" w:rsidRPr="0012597A" w:rsidRDefault="00FB015E" w:rsidP="00EF1C7F">
      <w:pPr>
        <w:spacing w:after="0" w:line="240" w:lineRule="auto"/>
        <w:jc w:val="both"/>
        <w:rPr>
          <w:rFonts w:ascii="Times New Roman" w:hAnsi="Times New Roman" w:cs="Times New Roman"/>
          <w:sz w:val="24"/>
          <w:szCs w:val="24"/>
        </w:rPr>
      </w:pPr>
    </w:p>
    <w:p w14:paraId="4CF32A89"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Por otra parte, el Plan de Desarrollo del Estado de México 2023-2029 reconoce la igualdad de género como un eje transversal de las políticas públicas y establece la necesidad de impulsar acciones institucionales orientadas a reducir las brechas económicas y laborales que afectan a las mujeres. Esto es fundamental cuando se observan las distancias en la   ocupación laboral por género, donde tres de cada cinco puestos de trabajo están ocupados por hombres.</w:t>
      </w:r>
    </w:p>
    <w:p w14:paraId="27B3A27D" w14:textId="77777777" w:rsidR="00FB015E" w:rsidRPr="0012597A" w:rsidRDefault="00FB015E" w:rsidP="00EF1C7F">
      <w:pPr>
        <w:spacing w:after="0" w:line="240" w:lineRule="auto"/>
        <w:jc w:val="both"/>
        <w:rPr>
          <w:rFonts w:ascii="Times New Roman" w:hAnsi="Times New Roman" w:cs="Times New Roman"/>
          <w:sz w:val="24"/>
          <w:szCs w:val="24"/>
        </w:rPr>
      </w:pPr>
    </w:p>
    <w:p w14:paraId="316D4B49"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En este contexto, la presente iniciativa propone </w:t>
      </w:r>
      <w:r w:rsidRPr="0012597A">
        <w:rPr>
          <w:rFonts w:ascii="Times New Roman" w:eastAsiaTheme="majorEastAsia" w:hAnsi="Times New Roman" w:cs="Times New Roman"/>
          <w:bCs/>
          <w:sz w:val="24"/>
          <w:szCs w:val="24"/>
          <w:lang w:eastAsia="es-MX"/>
        </w:rPr>
        <w:t>fortalecer el marco jurídico estatal en materia de igualdad laboral</w:t>
      </w:r>
      <w:r w:rsidRPr="0012597A">
        <w:rPr>
          <w:rFonts w:ascii="Times New Roman" w:eastAsia="Times New Roman" w:hAnsi="Times New Roman" w:cs="Times New Roman"/>
          <w:sz w:val="24"/>
          <w:szCs w:val="24"/>
          <w:lang w:eastAsia="es-MX"/>
        </w:rPr>
        <w:t xml:space="preserve"> mediante la incorporación de definiciones normativas sobre </w:t>
      </w:r>
      <w:r w:rsidRPr="0012597A">
        <w:rPr>
          <w:rFonts w:ascii="Times New Roman" w:eastAsiaTheme="majorEastAsia" w:hAnsi="Times New Roman" w:cs="Times New Roman"/>
          <w:bCs/>
          <w:sz w:val="24"/>
          <w:szCs w:val="24"/>
          <w:lang w:eastAsia="es-MX"/>
        </w:rPr>
        <w:t>brecha salarial de género</w:t>
      </w:r>
      <w:r w:rsidRPr="0012597A">
        <w:rPr>
          <w:rFonts w:ascii="Times New Roman" w:eastAsia="Times New Roman" w:hAnsi="Times New Roman" w:cs="Times New Roman"/>
          <w:b/>
          <w:bCs/>
          <w:sz w:val="24"/>
          <w:szCs w:val="24"/>
          <w:lang w:eastAsia="es-MX"/>
        </w:rPr>
        <w:t xml:space="preserve"> </w:t>
      </w:r>
      <w:r w:rsidRPr="0012597A">
        <w:rPr>
          <w:rFonts w:ascii="Times New Roman" w:eastAsia="Times New Roman" w:hAnsi="Times New Roman" w:cs="Times New Roman"/>
          <w:sz w:val="24"/>
          <w:szCs w:val="24"/>
          <w:lang w:eastAsia="es-MX"/>
        </w:rPr>
        <w:t>e</w:t>
      </w:r>
      <w:r w:rsidRPr="0012597A">
        <w:rPr>
          <w:rFonts w:ascii="Times New Roman" w:eastAsia="Times New Roman" w:hAnsi="Times New Roman" w:cs="Times New Roman"/>
          <w:b/>
          <w:bCs/>
          <w:sz w:val="24"/>
          <w:szCs w:val="24"/>
          <w:lang w:eastAsia="es-MX"/>
        </w:rPr>
        <w:t xml:space="preserve"> </w:t>
      </w:r>
      <w:r w:rsidRPr="0012597A">
        <w:rPr>
          <w:rFonts w:ascii="Times New Roman" w:eastAsiaTheme="majorEastAsia" w:hAnsi="Times New Roman" w:cs="Times New Roman"/>
          <w:bCs/>
          <w:sz w:val="24"/>
          <w:szCs w:val="24"/>
          <w:lang w:eastAsia="es-MX"/>
        </w:rPr>
        <w:t>igualdad salarial</w:t>
      </w:r>
      <w:r w:rsidRPr="0012597A">
        <w:rPr>
          <w:rFonts w:ascii="Times New Roman" w:eastAsia="Times New Roman" w:hAnsi="Times New Roman" w:cs="Times New Roman"/>
          <w:b/>
          <w:bCs/>
          <w:sz w:val="24"/>
          <w:szCs w:val="24"/>
          <w:lang w:eastAsia="es-MX"/>
        </w:rPr>
        <w:t>,</w:t>
      </w:r>
      <w:r w:rsidRPr="0012597A">
        <w:rPr>
          <w:rFonts w:ascii="Times New Roman" w:eastAsia="Times New Roman" w:hAnsi="Times New Roman" w:cs="Times New Roman"/>
          <w:sz w:val="24"/>
          <w:szCs w:val="24"/>
          <w:lang w:eastAsia="es-MX"/>
        </w:rPr>
        <w:t xml:space="preserve"> así como la implementación de mecanismos orientados a prevenir y erradicar prácticas retributivas discriminatorias en el ámbito público y privado.</w:t>
      </w:r>
    </w:p>
    <w:p w14:paraId="48EDF9FF"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6C9C9A9A"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De manera específica, la iniciativa plantea reformar y adicionar disposiciones de la </w:t>
      </w:r>
      <w:r w:rsidRPr="0012597A">
        <w:rPr>
          <w:rFonts w:ascii="Times New Roman" w:eastAsiaTheme="majorEastAsia" w:hAnsi="Times New Roman" w:cs="Times New Roman"/>
          <w:bCs/>
          <w:sz w:val="24"/>
          <w:szCs w:val="24"/>
          <w:lang w:eastAsia="es-MX"/>
        </w:rPr>
        <w:t>Ley de Igualdad de Trato y Oportunidades entre Mujeres y Hombres del Estado de México</w:t>
      </w:r>
      <w:r w:rsidRPr="0012597A">
        <w:rPr>
          <w:rFonts w:ascii="Times New Roman" w:eastAsia="Times New Roman" w:hAnsi="Times New Roman" w:cs="Times New Roman"/>
          <w:b/>
          <w:bCs/>
          <w:sz w:val="24"/>
          <w:szCs w:val="24"/>
          <w:lang w:eastAsia="es-MX"/>
        </w:rPr>
        <w:t>,</w:t>
      </w:r>
      <w:r w:rsidRPr="0012597A">
        <w:rPr>
          <w:rFonts w:ascii="Times New Roman" w:eastAsia="Times New Roman" w:hAnsi="Times New Roman" w:cs="Times New Roman"/>
          <w:sz w:val="24"/>
          <w:szCs w:val="24"/>
          <w:lang w:eastAsia="es-MX"/>
        </w:rPr>
        <w:t xml:space="preserve"> a fin de establecer con claridad el principio de igualdad salarial y facultar a las autoridades estatales y municipales para implementar políticas públicas, acciones afirmativas y mecanismos de supervisión que permitan reducir la brecha salarial y la segregación laboral por razón de género.</w:t>
      </w:r>
    </w:p>
    <w:p w14:paraId="4EE40686"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1CDB10D5"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Asimismo, se propone armonizar estas disposiciones con la </w:t>
      </w:r>
      <w:r w:rsidRPr="0012597A">
        <w:rPr>
          <w:rFonts w:ascii="Times New Roman" w:eastAsiaTheme="majorEastAsia" w:hAnsi="Times New Roman" w:cs="Times New Roman"/>
          <w:bCs/>
          <w:sz w:val="24"/>
          <w:szCs w:val="24"/>
          <w:lang w:eastAsia="es-MX"/>
        </w:rPr>
        <w:t>Ley del Trabajo de los Servidores Públicos del Estado y Municipios</w:t>
      </w:r>
      <w:r w:rsidRPr="0012597A">
        <w:rPr>
          <w:rFonts w:ascii="Times New Roman" w:eastAsia="Times New Roman" w:hAnsi="Times New Roman" w:cs="Times New Roman"/>
          <w:b/>
          <w:sz w:val="24"/>
          <w:szCs w:val="24"/>
          <w:lang w:eastAsia="es-MX"/>
        </w:rPr>
        <w:t xml:space="preserve">, </w:t>
      </w:r>
      <w:r w:rsidRPr="0012597A">
        <w:rPr>
          <w:rFonts w:ascii="Times New Roman" w:eastAsia="Times New Roman" w:hAnsi="Times New Roman" w:cs="Times New Roman"/>
          <w:sz w:val="24"/>
          <w:szCs w:val="24"/>
          <w:lang w:eastAsia="es-MX"/>
        </w:rPr>
        <w:t>incorporando la obligación institucional de eliminar prácticas retributivas desiguales dentro del servicio público, promoviendo condiciones laborales basadas en la igualdad sustantiva.</w:t>
      </w:r>
    </w:p>
    <w:p w14:paraId="1B21802A"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6F3E9B5B"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Estas reformas no solo responden a un mandato constitucional, sino que también representan un compromiso ético y social con la construcción de una economía más incluyente. Garantizar la igualdad salarial no solo beneficia a las mujeres, sino que fortalece el desarrollo económico del Estado, incrementa la productividad y contribuye a reducir las desigualdades sociales.</w:t>
      </w:r>
    </w:p>
    <w:p w14:paraId="4FDAD291"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18CCDCB8"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La evidencia internacional demuestra que los países que han reducido significativamente sus brechas de género en el mercado laboral han experimentado mayores niveles de crecimiento económico, innovación y bienestar social. En este sentido, avanzar hacia la igualdad salarial constituye no solo una obligación jurídica, sino también una estrategia de desarrollo sostenible.</w:t>
      </w:r>
    </w:p>
    <w:p w14:paraId="063C42BC"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50D8C923"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En consecuencia, la presente iniciativa busca consolidar un marco normativo que permita avanzar hacia una verdadera</w:t>
      </w:r>
      <w:r w:rsidRPr="0012597A">
        <w:rPr>
          <w:rFonts w:ascii="Times New Roman" w:eastAsia="Times New Roman" w:hAnsi="Times New Roman" w:cs="Times New Roman"/>
          <w:b/>
          <w:bCs/>
          <w:sz w:val="24"/>
          <w:szCs w:val="24"/>
          <w:lang w:eastAsia="es-MX"/>
        </w:rPr>
        <w:t xml:space="preserve"> </w:t>
      </w:r>
      <w:r w:rsidRPr="0012597A">
        <w:rPr>
          <w:rFonts w:ascii="Times New Roman" w:eastAsiaTheme="majorEastAsia" w:hAnsi="Times New Roman" w:cs="Times New Roman"/>
          <w:bCs/>
          <w:sz w:val="24"/>
          <w:szCs w:val="24"/>
          <w:lang w:eastAsia="es-MX"/>
        </w:rPr>
        <w:t>igualdad sustantiva entre mujeres y hombres en el ámbito laboral</w:t>
      </w:r>
      <w:r w:rsidRPr="0012597A">
        <w:rPr>
          <w:rFonts w:ascii="Times New Roman" w:eastAsia="Times New Roman" w:hAnsi="Times New Roman" w:cs="Times New Roman"/>
          <w:b/>
          <w:bCs/>
          <w:sz w:val="24"/>
          <w:szCs w:val="24"/>
          <w:lang w:eastAsia="es-MX"/>
        </w:rPr>
        <w:t>,</w:t>
      </w:r>
      <w:r w:rsidRPr="0012597A">
        <w:rPr>
          <w:rFonts w:ascii="Times New Roman" w:eastAsia="Times New Roman" w:hAnsi="Times New Roman" w:cs="Times New Roman"/>
          <w:sz w:val="24"/>
          <w:szCs w:val="24"/>
          <w:lang w:eastAsia="es-MX"/>
        </w:rPr>
        <w:t xml:space="preserve"> garantizando que el principio de </w:t>
      </w:r>
      <w:r w:rsidRPr="0012597A">
        <w:rPr>
          <w:rFonts w:ascii="Times New Roman" w:eastAsiaTheme="majorEastAsia" w:hAnsi="Times New Roman" w:cs="Times New Roman"/>
          <w:bCs/>
          <w:sz w:val="24"/>
          <w:szCs w:val="24"/>
          <w:lang w:eastAsia="es-MX"/>
        </w:rPr>
        <w:t>“a trabajo igual, salario igual”</w:t>
      </w:r>
      <w:r w:rsidRPr="0012597A">
        <w:rPr>
          <w:rFonts w:ascii="Times New Roman" w:eastAsia="Times New Roman" w:hAnsi="Times New Roman" w:cs="Times New Roman"/>
          <w:sz w:val="24"/>
          <w:szCs w:val="24"/>
          <w:lang w:eastAsia="es-MX"/>
        </w:rPr>
        <w:t xml:space="preserve"> se traduzca en políticas públicas efectivas, mecanismos institucionales de supervisión y condiciones laborales libres de discriminación.</w:t>
      </w:r>
    </w:p>
    <w:p w14:paraId="27A92F50"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2088E39C"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Con ello, desde el Congreso del Estado de México reafirmamos el compromiso con la protección de los derechos humanos, la igualdad de género y la construcción de una sociedad más justa, donde todas las personas puedan acceder a las mismas oportunidades de desarrollo, reconocimiento y bienestar.</w:t>
      </w:r>
    </w:p>
    <w:p w14:paraId="3E909F74"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4D41FF6E"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Por lo anteriormente expuesto, se somete a la consideración de esta Honorable Legislatura la presente Iniciativa de Decreto.</w:t>
      </w:r>
    </w:p>
    <w:p w14:paraId="77F0F414" w14:textId="77777777" w:rsidR="00FB015E" w:rsidRPr="0012597A" w:rsidRDefault="00FB015E" w:rsidP="00EF1C7F">
      <w:pPr>
        <w:spacing w:after="0" w:line="240" w:lineRule="auto"/>
        <w:jc w:val="both"/>
        <w:rPr>
          <w:rFonts w:ascii="Times New Roman" w:eastAsia="Times New Roman" w:hAnsi="Times New Roman" w:cs="Times New Roman"/>
          <w:sz w:val="24"/>
          <w:szCs w:val="24"/>
          <w:lang w:eastAsia="es-MX"/>
        </w:rPr>
      </w:pPr>
    </w:p>
    <w:p w14:paraId="71D08A4A" w14:textId="77777777" w:rsidR="00FB015E" w:rsidRPr="0012597A" w:rsidRDefault="00FB015E" w:rsidP="00EF1C7F">
      <w:pPr>
        <w:spacing w:after="0" w:line="240" w:lineRule="auto"/>
        <w:jc w:val="center"/>
        <w:rPr>
          <w:rFonts w:ascii="Times New Roman" w:hAnsi="Times New Roman" w:cs="Times New Roman"/>
          <w:b/>
          <w:bCs/>
          <w:sz w:val="24"/>
          <w:szCs w:val="24"/>
        </w:rPr>
      </w:pPr>
    </w:p>
    <w:p w14:paraId="68562FCB" w14:textId="77777777" w:rsidR="00FB015E" w:rsidRPr="0012597A" w:rsidRDefault="00FB015E" w:rsidP="00EF1C7F">
      <w:pPr>
        <w:spacing w:after="0"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PROYECTO DE DECRETO</w:t>
      </w:r>
    </w:p>
    <w:p w14:paraId="4D7462C6" w14:textId="77777777" w:rsidR="00FB015E" w:rsidRPr="0012597A" w:rsidRDefault="00FB015E" w:rsidP="00EF1C7F">
      <w:pPr>
        <w:spacing w:after="0" w:line="240" w:lineRule="auto"/>
        <w:jc w:val="center"/>
        <w:rPr>
          <w:rFonts w:ascii="Times New Roman" w:hAnsi="Times New Roman" w:cs="Times New Roman"/>
          <w:b/>
          <w:bCs/>
          <w:sz w:val="24"/>
          <w:szCs w:val="24"/>
        </w:rPr>
      </w:pPr>
    </w:p>
    <w:p w14:paraId="04FE3294"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 xml:space="preserve">Artículo Primero.- </w:t>
      </w:r>
      <w:r w:rsidRPr="0012597A">
        <w:rPr>
          <w:rFonts w:ascii="Times New Roman" w:hAnsi="Times New Roman" w:cs="Times New Roman"/>
          <w:sz w:val="24"/>
          <w:szCs w:val="24"/>
        </w:rPr>
        <w:t xml:space="preserve">Se adiciona la fracción segunda y la fracción décimo primera recorriéndose las subsecuentes del artículo 6 y se adicionan las fracciones </w:t>
      </w:r>
      <w:r w:rsidRPr="0012597A">
        <w:rPr>
          <w:rFonts w:ascii="Times New Roman" w:hAnsi="Times New Roman" w:cs="Times New Roman"/>
          <w:b/>
          <w:bCs/>
          <w:sz w:val="24"/>
          <w:szCs w:val="24"/>
        </w:rPr>
        <w:t xml:space="preserve">XVIII, XIX y XX </w:t>
      </w:r>
      <w:r w:rsidRPr="0012597A">
        <w:rPr>
          <w:rFonts w:ascii="Times New Roman" w:hAnsi="Times New Roman" w:cs="Times New Roman"/>
          <w:sz w:val="24"/>
          <w:szCs w:val="24"/>
        </w:rPr>
        <w:t xml:space="preserve">de la Ley de Igualdad de Trato y Oportunidades entre Mujeres y Hombres del Estado de México. </w:t>
      </w:r>
    </w:p>
    <w:p w14:paraId="26E719C8" w14:textId="77777777" w:rsidR="00FB015E" w:rsidRPr="0012597A" w:rsidRDefault="00FB015E" w:rsidP="00EF1C7F">
      <w:pPr>
        <w:spacing w:after="0" w:line="240" w:lineRule="auto"/>
        <w:jc w:val="both"/>
        <w:rPr>
          <w:rFonts w:ascii="Times New Roman" w:hAnsi="Times New Roman" w:cs="Times New Roman"/>
          <w:sz w:val="24"/>
          <w:szCs w:val="24"/>
        </w:rPr>
      </w:pPr>
    </w:p>
    <w:p w14:paraId="0AD4C21C" w14:textId="77777777" w:rsidR="00FB015E" w:rsidRPr="0012597A" w:rsidRDefault="00FB015E" w:rsidP="00EF1C7F">
      <w:pPr>
        <w:spacing w:after="0" w:line="240" w:lineRule="auto"/>
        <w:jc w:val="both"/>
        <w:rPr>
          <w:rFonts w:ascii="Times New Roman" w:hAnsi="Times New Roman" w:cs="Times New Roman"/>
          <w:bCs/>
          <w:sz w:val="24"/>
          <w:szCs w:val="24"/>
        </w:rPr>
      </w:pPr>
      <w:r w:rsidRPr="0012597A">
        <w:rPr>
          <w:rFonts w:ascii="Times New Roman" w:hAnsi="Times New Roman" w:cs="Times New Roman"/>
          <w:b/>
          <w:sz w:val="24"/>
          <w:szCs w:val="24"/>
        </w:rPr>
        <w:t>Artículo 6.-</w:t>
      </w:r>
      <w:r w:rsidRPr="0012597A">
        <w:rPr>
          <w:rFonts w:ascii="Times New Roman" w:hAnsi="Times New Roman" w:cs="Times New Roman"/>
          <w:bCs/>
          <w:sz w:val="24"/>
          <w:szCs w:val="24"/>
        </w:rPr>
        <w:t xml:space="preserve"> …</w:t>
      </w:r>
    </w:p>
    <w:p w14:paraId="1F276558" w14:textId="77777777" w:rsidR="00FB015E" w:rsidRPr="0012597A" w:rsidRDefault="00FB015E" w:rsidP="00EF1C7F">
      <w:pPr>
        <w:spacing w:after="0" w:line="240" w:lineRule="auto"/>
        <w:jc w:val="both"/>
        <w:rPr>
          <w:rFonts w:ascii="Times New Roman" w:hAnsi="Times New Roman" w:cs="Times New Roman"/>
          <w:bCs/>
          <w:sz w:val="24"/>
          <w:szCs w:val="24"/>
        </w:rPr>
      </w:pPr>
    </w:p>
    <w:p w14:paraId="4567AB26" w14:textId="27097DF0" w:rsidR="00FB015E" w:rsidRPr="0012597A" w:rsidRDefault="00FB015E" w:rsidP="00EF1C7F">
      <w:pPr>
        <w:spacing w:after="0"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I</w:t>
      </w:r>
      <w:r w:rsidR="0075478A" w:rsidRPr="0012597A">
        <w:rPr>
          <w:rFonts w:ascii="Times New Roman" w:hAnsi="Times New Roman" w:cs="Times New Roman"/>
          <w:bCs/>
          <w:sz w:val="24"/>
          <w:szCs w:val="24"/>
        </w:rPr>
        <w:t xml:space="preserve">. </w:t>
      </w:r>
      <w:r w:rsidRPr="0012597A">
        <w:rPr>
          <w:rFonts w:ascii="Times New Roman" w:hAnsi="Times New Roman" w:cs="Times New Roman"/>
          <w:bCs/>
          <w:sz w:val="24"/>
          <w:szCs w:val="24"/>
        </w:rPr>
        <w:t>…</w:t>
      </w:r>
    </w:p>
    <w:p w14:paraId="351DA3E7" w14:textId="77777777" w:rsidR="00FB015E" w:rsidRPr="0012597A" w:rsidRDefault="00FB015E" w:rsidP="00EF1C7F">
      <w:pPr>
        <w:spacing w:after="0" w:line="240" w:lineRule="auto"/>
        <w:jc w:val="both"/>
        <w:rPr>
          <w:rFonts w:ascii="Times New Roman" w:hAnsi="Times New Roman" w:cs="Times New Roman"/>
          <w:bCs/>
          <w:sz w:val="24"/>
          <w:szCs w:val="24"/>
        </w:rPr>
      </w:pPr>
    </w:p>
    <w:p w14:paraId="4D259941"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II. Brecha salarial de género. Es la diferencia de retribución salarial entre mujeres y hombres por razones de género, respecto a la realización de un trabajo remunerado de igual valor</w:t>
      </w:r>
      <w:r w:rsidRPr="0012597A">
        <w:rPr>
          <w:rFonts w:ascii="Times New Roman" w:hAnsi="Times New Roman" w:cs="Times New Roman"/>
          <w:sz w:val="24"/>
          <w:szCs w:val="24"/>
        </w:rPr>
        <w:t>;</w:t>
      </w:r>
    </w:p>
    <w:p w14:paraId="36751F44" w14:textId="77777777" w:rsidR="00FB015E" w:rsidRPr="0012597A" w:rsidRDefault="00FB015E" w:rsidP="00EF1C7F">
      <w:pPr>
        <w:spacing w:after="0" w:line="240" w:lineRule="auto"/>
        <w:jc w:val="both"/>
        <w:rPr>
          <w:rFonts w:ascii="Times New Roman" w:hAnsi="Times New Roman" w:cs="Times New Roman"/>
          <w:sz w:val="24"/>
          <w:szCs w:val="24"/>
        </w:rPr>
      </w:pPr>
    </w:p>
    <w:p w14:paraId="463D4693" w14:textId="77777777" w:rsidR="00FB015E" w:rsidRPr="0012597A" w:rsidRDefault="00FB015E" w:rsidP="00EF1C7F">
      <w:pPr>
        <w:spacing w:after="0"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 xml:space="preserve">III. a X. </w:t>
      </w:r>
    </w:p>
    <w:p w14:paraId="37C94B32" w14:textId="77777777" w:rsidR="00FB015E" w:rsidRPr="0012597A" w:rsidRDefault="00FB015E" w:rsidP="00EF1C7F">
      <w:pPr>
        <w:spacing w:after="0" w:line="240" w:lineRule="auto"/>
        <w:jc w:val="both"/>
        <w:rPr>
          <w:rFonts w:ascii="Times New Roman" w:hAnsi="Times New Roman" w:cs="Times New Roman"/>
          <w:b/>
          <w:bCs/>
          <w:sz w:val="24"/>
          <w:szCs w:val="24"/>
        </w:rPr>
      </w:pPr>
    </w:p>
    <w:p w14:paraId="4056962E"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XI. Igualdad salarial. Remuneración igual por un trabajo de igual valor, sin distinguir el sexo, el género, la identidad de género, el origen étnico, la orientación sexual, la edad, las discapacidades, la condición social, económica, de salud o jurídica, entre otras.</w:t>
      </w:r>
    </w:p>
    <w:p w14:paraId="54CC3475" w14:textId="77777777" w:rsidR="00FB015E" w:rsidRPr="0012597A" w:rsidRDefault="00FB015E" w:rsidP="00EF1C7F">
      <w:pPr>
        <w:spacing w:after="0" w:line="240" w:lineRule="auto"/>
        <w:jc w:val="both"/>
        <w:rPr>
          <w:rFonts w:ascii="Times New Roman" w:hAnsi="Times New Roman" w:cs="Times New Roman"/>
          <w:b/>
          <w:bCs/>
          <w:sz w:val="24"/>
          <w:szCs w:val="24"/>
        </w:rPr>
      </w:pPr>
    </w:p>
    <w:p w14:paraId="39054CDD"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XII. a XX.</w:t>
      </w:r>
    </w:p>
    <w:p w14:paraId="1B628464" w14:textId="77777777" w:rsidR="00FB015E" w:rsidRPr="0012597A" w:rsidRDefault="00FB015E" w:rsidP="00EF1C7F">
      <w:pPr>
        <w:spacing w:after="0" w:line="240" w:lineRule="auto"/>
        <w:jc w:val="both"/>
        <w:rPr>
          <w:rFonts w:ascii="Times New Roman" w:hAnsi="Times New Roman" w:cs="Times New Roman"/>
          <w:b/>
          <w:bCs/>
          <w:sz w:val="24"/>
          <w:szCs w:val="24"/>
        </w:rPr>
      </w:pPr>
    </w:p>
    <w:p w14:paraId="2D7DBC75" w14:textId="77777777" w:rsidR="00FB015E" w:rsidRPr="0012597A" w:rsidRDefault="00FB015E" w:rsidP="00EF1C7F">
      <w:pPr>
        <w:spacing w:after="0" w:line="240" w:lineRule="auto"/>
        <w:rPr>
          <w:rFonts w:ascii="Times New Roman" w:hAnsi="Times New Roman" w:cs="Times New Roman"/>
          <w:bCs/>
          <w:sz w:val="24"/>
          <w:szCs w:val="24"/>
        </w:rPr>
      </w:pPr>
      <w:r w:rsidRPr="0012597A">
        <w:rPr>
          <w:rFonts w:ascii="Times New Roman" w:hAnsi="Times New Roman" w:cs="Times New Roman"/>
          <w:b/>
          <w:sz w:val="24"/>
          <w:szCs w:val="24"/>
        </w:rPr>
        <w:t>Artículo 30.-</w:t>
      </w:r>
      <w:r w:rsidRPr="0012597A">
        <w:rPr>
          <w:rFonts w:ascii="Times New Roman" w:hAnsi="Times New Roman" w:cs="Times New Roman"/>
          <w:bCs/>
          <w:sz w:val="24"/>
          <w:szCs w:val="24"/>
        </w:rPr>
        <w:t xml:space="preserve"> …</w:t>
      </w:r>
    </w:p>
    <w:p w14:paraId="4BB39CF6" w14:textId="77777777" w:rsidR="00FB015E" w:rsidRPr="0012597A" w:rsidRDefault="00FB015E" w:rsidP="00EF1C7F">
      <w:pPr>
        <w:spacing w:after="0" w:line="240" w:lineRule="auto"/>
        <w:rPr>
          <w:rFonts w:ascii="Times New Roman" w:hAnsi="Times New Roman" w:cs="Times New Roman"/>
          <w:bCs/>
          <w:sz w:val="24"/>
          <w:szCs w:val="24"/>
        </w:rPr>
      </w:pPr>
    </w:p>
    <w:p w14:paraId="449955A5" w14:textId="77777777" w:rsidR="00FB015E" w:rsidRPr="0012597A" w:rsidRDefault="00FB015E" w:rsidP="00EF1C7F">
      <w:pPr>
        <w:spacing w:after="0" w:line="240" w:lineRule="auto"/>
        <w:rPr>
          <w:rFonts w:ascii="Times New Roman" w:hAnsi="Times New Roman" w:cs="Times New Roman"/>
          <w:bCs/>
          <w:sz w:val="24"/>
          <w:szCs w:val="24"/>
        </w:rPr>
      </w:pPr>
      <w:r w:rsidRPr="0012597A">
        <w:rPr>
          <w:rFonts w:ascii="Times New Roman" w:hAnsi="Times New Roman" w:cs="Times New Roman"/>
          <w:bCs/>
          <w:sz w:val="24"/>
          <w:szCs w:val="24"/>
        </w:rPr>
        <w:t xml:space="preserve">I. a XVII. </w:t>
      </w:r>
    </w:p>
    <w:p w14:paraId="49777155" w14:textId="77777777" w:rsidR="00FB015E" w:rsidRPr="0012597A" w:rsidRDefault="00FB015E" w:rsidP="00EF1C7F">
      <w:pPr>
        <w:spacing w:after="0" w:line="240" w:lineRule="auto"/>
        <w:jc w:val="both"/>
        <w:rPr>
          <w:rFonts w:ascii="Times New Roman" w:hAnsi="Times New Roman" w:cs="Times New Roman"/>
          <w:b/>
          <w:bCs/>
          <w:sz w:val="24"/>
          <w:szCs w:val="24"/>
        </w:rPr>
      </w:pPr>
    </w:p>
    <w:p w14:paraId="0643B448"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 xml:space="preserve">V. </w:t>
      </w:r>
      <w:r w:rsidRPr="0012597A">
        <w:rPr>
          <w:rFonts w:ascii="Times New Roman" w:hAnsi="Times New Roman" w:cs="Times New Roman"/>
          <w:sz w:val="24"/>
          <w:szCs w:val="24"/>
        </w:rPr>
        <w:t>Implementar acciones</w:t>
      </w:r>
      <w:r w:rsidRPr="0012597A">
        <w:rPr>
          <w:rFonts w:ascii="Times New Roman" w:hAnsi="Times New Roman" w:cs="Times New Roman"/>
          <w:b/>
          <w:bCs/>
          <w:sz w:val="24"/>
          <w:szCs w:val="24"/>
        </w:rPr>
        <w:t xml:space="preserve"> y mecanismos institucionales orientados a reducir y erradicar la brecha salarial y la segregación laboral de las personas por razón de su sexo o género en el mercado de trabajo, promoviendo condiciones de igualdad salarial, oportunidades de ascenso y acceso a puestos de liderazgo;</w:t>
      </w:r>
    </w:p>
    <w:p w14:paraId="6E67DEEF" w14:textId="77777777" w:rsidR="00FB015E" w:rsidRPr="0012597A" w:rsidRDefault="00FB015E" w:rsidP="00EF1C7F">
      <w:pPr>
        <w:spacing w:after="0" w:line="240" w:lineRule="auto"/>
        <w:jc w:val="both"/>
        <w:rPr>
          <w:rFonts w:ascii="Times New Roman" w:hAnsi="Times New Roman" w:cs="Times New Roman"/>
          <w:b/>
          <w:bCs/>
          <w:sz w:val="24"/>
          <w:szCs w:val="24"/>
        </w:rPr>
      </w:pPr>
    </w:p>
    <w:p w14:paraId="21E05A2E" w14:textId="77777777" w:rsidR="00FB015E" w:rsidRPr="0012597A" w:rsidRDefault="00FB015E" w:rsidP="00EF1C7F">
      <w:pPr>
        <w:spacing w:after="0"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 xml:space="preserve">VI. </w:t>
      </w:r>
      <w:r w:rsidRPr="0012597A">
        <w:rPr>
          <w:rFonts w:ascii="Times New Roman" w:hAnsi="Times New Roman" w:cs="Times New Roman"/>
          <w:sz w:val="24"/>
          <w:szCs w:val="24"/>
        </w:rPr>
        <w:t xml:space="preserve">Fomentar el acceso al trabajo de las personas </w:t>
      </w:r>
      <w:r w:rsidRPr="0012597A">
        <w:rPr>
          <w:rFonts w:ascii="Times New Roman" w:hAnsi="Times New Roman" w:cs="Times New Roman"/>
          <w:b/>
          <w:bCs/>
          <w:sz w:val="24"/>
          <w:szCs w:val="24"/>
        </w:rPr>
        <w:t xml:space="preserve">que, debido a su sexo o género, se encuentren </w:t>
      </w:r>
      <w:r w:rsidRPr="0012597A">
        <w:rPr>
          <w:rFonts w:ascii="Times New Roman" w:hAnsi="Times New Roman" w:cs="Times New Roman"/>
          <w:sz w:val="24"/>
          <w:szCs w:val="24"/>
        </w:rPr>
        <w:t>relegadas de puestos directivos</w:t>
      </w:r>
      <w:r w:rsidRPr="0012597A">
        <w:rPr>
          <w:rFonts w:ascii="Times New Roman" w:hAnsi="Times New Roman" w:cs="Times New Roman"/>
          <w:b/>
          <w:bCs/>
          <w:sz w:val="24"/>
          <w:szCs w:val="24"/>
        </w:rPr>
        <w:t xml:space="preserve"> o de toma de decisiones, mediante políticas de capacitación, profesionalización y promoción laboral que contribuyan a disminuir y erradicar la brecha salarial de género;</w:t>
      </w:r>
    </w:p>
    <w:p w14:paraId="36F06B28" w14:textId="77777777" w:rsidR="00FB015E" w:rsidRPr="0012597A" w:rsidRDefault="00FB015E" w:rsidP="00EF1C7F">
      <w:pPr>
        <w:spacing w:after="0" w:line="240" w:lineRule="auto"/>
        <w:jc w:val="both"/>
        <w:rPr>
          <w:rFonts w:ascii="Times New Roman" w:hAnsi="Times New Roman" w:cs="Times New Roman"/>
          <w:b/>
          <w:bCs/>
          <w:sz w:val="24"/>
          <w:szCs w:val="24"/>
        </w:rPr>
      </w:pPr>
    </w:p>
    <w:p w14:paraId="404BAC35" w14:textId="77777777" w:rsidR="00FB015E" w:rsidRPr="0012597A" w:rsidRDefault="00FB015E" w:rsidP="00EF1C7F">
      <w:pPr>
        <w:spacing w:after="0" w:line="240" w:lineRule="auto"/>
        <w:rPr>
          <w:rFonts w:ascii="Times New Roman" w:hAnsi="Times New Roman" w:cs="Times New Roman"/>
          <w:bCs/>
          <w:sz w:val="24"/>
          <w:szCs w:val="24"/>
        </w:rPr>
      </w:pPr>
      <w:r w:rsidRPr="0012597A">
        <w:rPr>
          <w:rFonts w:ascii="Times New Roman" w:hAnsi="Times New Roman" w:cs="Times New Roman"/>
          <w:bCs/>
          <w:sz w:val="24"/>
          <w:szCs w:val="24"/>
        </w:rPr>
        <w:t>VII. a XVII.</w:t>
      </w:r>
    </w:p>
    <w:p w14:paraId="321A3C74" w14:textId="77777777" w:rsidR="00FB015E" w:rsidRPr="0012597A" w:rsidRDefault="00FB015E" w:rsidP="00EF1C7F">
      <w:pPr>
        <w:spacing w:after="0" w:line="240" w:lineRule="auto"/>
        <w:jc w:val="both"/>
        <w:rPr>
          <w:rFonts w:ascii="Times New Roman" w:hAnsi="Times New Roman" w:cs="Times New Roman"/>
          <w:b/>
          <w:bCs/>
          <w:sz w:val="24"/>
          <w:szCs w:val="24"/>
        </w:rPr>
      </w:pPr>
    </w:p>
    <w:p w14:paraId="338E07C2"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XVIII. Promover, vigilar y garantizar el principio de igualdad salarial, mediante la implementación de políticas, mecanismos de supervisión y acciones afirmativas que aseguren condiciones de igualdad en la remuneración dentro de los ámbitos público, social y privado.</w:t>
      </w:r>
    </w:p>
    <w:p w14:paraId="6ACC5A3E" w14:textId="77777777" w:rsidR="00FB015E" w:rsidRPr="0012597A" w:rsidRDefault="00FB015E" w:rsidP="00EF1C7F">
      <w:pPr>
        <w:spacing w:after="0" w:line="240" w:lineRule="auto"/>
        <w:jc w:val="both"/>
        <w:rPr>
          <w:rFonts w:ascii="Times New Roman" w:hAnsi="Times New Roman" w:cs="Times New Roman"/>
          <w:sz w:val="24"/>
          <w:szCs w:val="24"/>
        </w:rPr>
      </w:pPr>
    </w:p>
    <w:p w14:paraId="3CAEE247"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 xml:space="preserve">Artículo Segundo. - </w:t>
      </w:r>
      <w:r w:rsidRPr="0012597A">
        <w:rPr>
          <w:rFonts w:ascii="Times New Roman" w:hAnsi="Times New Roman" w:cs="Times New Roman"/>
          <w:sz w:val="24"/>
          <w:szCs w:val="24"/>
        </w:rPr>
        <w:t xml:space="preserve">Se adiciona la fracción tercera, recorriéndose las subsecuentes del artículo 98 de la Ley del Trabajo de los Servidores Púbicos del Estado y Municipios. </w:t>
      </w:r>
    </w:p>
    <w:p w14:paraId="1C2B8B0C" w14:textId="77777777" w:rsidR="00FB015E" w:rsidRPr="0012597A" w:rsidRDefault="00FB015E" w:rsidP="00EF1C7F">
      <w:pPr>
        <w:spacing w:after="0" w:line="240" w:lineRule="auto"/>
        <w:jc w:val="both"/>
        <w:rPr>
          <w:rFonts w:ascii="Times New Roman" w:hAnsi="Times New Roman" w:cs="Times New Roman"/>
          <w:sz w:val="24"/>
          <w:szCs w:val="24"/>
        </w:rPr>
      </w:pPr>
    </w:p>
    <w:p w14:paraId="4D820940" w14:textId="77777777" w:rsidR="00FB015E" w:rsidRPr="0012597A" w:rsidRDefault="00FB015E" w:rsidP="00EF1C7F">
      <w:pPr>
        <w:spacing w:after="0" w:line="240" w:lineRule="auto"/>
        <w:rPr>
          <w:rFonts w:ascii="Times New Roman" w:hAnsi="Times New Roman" w:cs="Times New Roman"/>
          <w:bCs/>
          <w:sz w:val="24"/>
          <w:szCs w:val="24"/>
        </w:rPr>
      </w:pPr>
      <w:r w:rsidRPr="0012597A">
        <w:rPr>
          <w:rFonts w:ascii="Times New Roman" w:hAnsi="Times New Roman" w:cs="Times New Roman"/>
          <w:b/>
          <w:sz w:val="24"/>
          <w:szCs w:val="24"/>
        </w:rPr>
        <w:t>Artículo 98.-</w:t>
      </w:r>
      <w:r w:rsidRPr="0012597A">
        <w:rPr>
          <w:rFonts w:ascii="Times New Roman" w:hAnsi="Times New Roman" w:cs="Times New Roman"/>
          <w:bCs/>
          <w:sz w:val="24"/>
          <w:szCs w:val="24"/>
        </w:rPr>
        <w:t xml:space="preserve"> …</w:t>
      </w:r>
    </w:p>
    <w:p w14:paraId="10A9B771" w14:textId="77777777" w:rsidR="00FB015E" w:rsidRPr="0012597A" w:rsidRDefault="00FB015E" w:rsidP="00EF1C7F">
      <w:pPr>
        <w:spacing w:after="0" w:line="240" w:lineRule="auto"/>
        <w:rPr>
          <w:rFonts w:ascii="Times New Roman" w:hAnsi="Times New Roman" w:cs="Times New Roman"/>
          <w:bCs/>
          <w:sz w:val="24"/>
          <w:szCs w:val="24"/>
        </w:rPr>
      </w:pPr>
    </w:p>
    <w:p w14:paraId="59EF1FB3" w14:textId="77777777" w:rsidR="00FB015E" w:rsidRPr="0012597A" w:rsidRDefault="00FB015E" w:rsidP="00EF1C7F">
      <w:pPr>
        <w:spacing w:after="0" w:line="240" w:lineRule="auto"/>
        <w:rPr>
          <w:rFonts w:ascii="Times New Roman" w:hAnsi="Times New Roman" w:cs="Times New Roman"/>
          <w:bCs/>
          <w:sz w:val="24"/>
          <w:szCs w:val="24"/>
        </w:rPr>
      </w:pPr>
      <w:r w:rsidRPr="0012597A">
        <w:rPr>
          <w:rFonts w:ascii="Times New Roman" w:hAnsi="Times New Roman" w:cs="Times New Roman"/>
          <w:bCs/>
          <w:sz w:val="24"/>
          <w:szCs w:val="24"/>
        </w:rPr>
        <w:t xml:space="preserve">I. a II. </w:t>
      </w:r>
    </w:p>
    <w:p w14:paraId="459FF1F7" w14:textId="77777777" w:rsidR="00FB015E" w:rsidRPr="0012597A" w:rsidRDefault="00FB015E" w:rsidP="00EF1C7F">
      <w:pPr>
        <w:spacing w:after="0" w:line="240" w:lineRule="auto"/>
        <w:jc w:val="both"/>
        <w:rPr>
          <w:rFonts w:ascii="Times New Roman" w:hAnsi="Times New Roman" w:cs="Times New Roman"/>
          <w:b/>
          <w:sz w:val="24"/>
          <w:szCs w:val="24"/>
        </w:rPr>
      </w:pPr>
    </w:p>
    <w:p w14:paraId="241265B4" w14:textId="77777777" w:rsidR="00FB015E" w:rsidRPr="0012597A" w:rsidRDefault="00FB015E" w:rsidP="00EF1C7F">
      <w:pPr>
        <w:spacing w:after="0" w:line="240" w:lineRule="auto"/>
        <w:jc w:val="both"/>
        <w:rPr>
          <w:rFonts w:ascii="Times New Roman" w:hAnsi="Times New Roman" w:cs="Times New Roman"/>
          <w:b/>
          <w:sz w:val="24"/>
          <w:szCs w:val="24"/>
        </w:rPr>
      </w:pPr>
      <w:r w:rsidRPr="0012597A">
        <w:rPr>
          <w:rFonts w:ascii="Times New Roman" w:hAnsi="Times New Roman" w:cs="Times New Roman"/>
          <w:b/>
          <w:sz w:val="24"/>
          <w:szCs w:val="24"/>
        </w:rPr>
        <w:t xml:space="preserve">III. Eliminar la brecha salarial de género; se promoverán acciones para erradicar las prácticas retributivas desiguales y garantizar la igualdad sustantiva, de conformidad con lo dispuesto en la Ley de Igualdad de Trato y Oportunidades entre Mujeres y Hombres del Estado de México. </w:t>
      </w:r>
    </w:p>
    <w:p w14:paraId="70D45D1D" w14:textId="77777777" w:rsidR="00FB015E" w:rsidRPr="0012597A" w:rsidRDefault="00FB015E" w:rsidP="00EF1C7F">
      <w:pPr>
        <w:spacing w:after="0" w:line="240" w:lineRule="auto"/>
        <w:jc w:val="both"/>
        <w:rPr>
          <w:rFonts w:ascii="Times New Roman" w:hAnsi="Times New Roman" w:cs="Times New Roman"/>
          <w:b/>
          <w:sz w:val="24"/>
          <w:szCs w:val="24"/>
        </w:rPr>
      </w:pPr>
    </w:p>
    <w:p w14:paraId="1E05209E" w14:textId="77777777" w:rsidR="00FB015E" w:rsidRPr="0012597A" w:rsidRDefault="00FB015E" w:rsidP="00EF1C7F">
      <w:pPr>
        <w:spacing w:after="0"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 xml:space="preserve">IV. a XXII. </w:t>
      </w:r>
    </w:p>
    <w:p w14:paraId="45C10346" w14:textId="77777777" w:rsidR="00FB015E" w:rsidRPr="0012597A" w:rsidRDefault="00FB015E" w:rsidP="00EF1C7F">
      <w:pPr>
        <w:spacing w:after="0" w:line="240" w:lineRule="auto"/>
        <w:jc w:val="center"/>
        <w:rPr>
          <w:rFonts w:ascii="Times New Roman" w:hAnsi="Times New Roman" w:cs="Times New Roman"/>
          <w:b/>
          <w:sz w:val="24"/>
          <w:szCs w:val="24"/>
        </w:rPr>
      </w:pPr>
    </w:p>
    <w:p w14:paraId="18A75EE9" w14:textId="77777777" w:rsidR="00FB015E" w:rsidRPr="0012597A" w:rsidRDefault="00FB015E" w:rsidP="00EF1C7F">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ARTÍCULOS TRANSITORIOS</w:t>
      </w:r>
    </w:p>
    <w:p w14:paraId="67F0D93F" w14:textId="77777777" w:rsidR="00FB015E" w:rsidRPr="0012597A" w:rsidRDefault="00FB015E" w:rsidP="00EF1C7F">
      <w:pPr>
        <w:spacing w:after="0" w:line="240" w:lineRule="auto"/>
        <w:jc w:val="both"/>
        <w:rPr>
          <w:rFonts w:ascii="Times New Roman" w:hAnsi="Times New Roman" w:cs="Times New Roman"/>
          <w:b/>
          <w:bCs/>
          <w:sz w:val="24"/>
          <w:szCs w:val="24"/>
        </w:rPr>
      </w:pPr>
    </w:p>
    <w:p w14:paraId="1DCB4677"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ARTÍCULO PRIMERO. -</w:t>
      </w:r>
      <w:r w:rsidRPr="0012597A">
        <w:rPr>
          <w:rFonts w:ascii="Times New Roman" w:hAnsi="Times New Roman" w:cs="Times New Roman"/>
          <w:sz w:val="24"/>
          <w:szCs w:val="24"/>
        </w:rPr>
        <w:t xml:space="preserve">  Publíquese el presente acuerdo en el Periódico Oficial “Gaceta del Gobierno”</w:t>
      </w:r>
    </w:p>
    <w:p w14:paraId="1A5B1162" w14:textId="77777777" w:rsidR="00FB015E" w:rsidRPr="0012597A" w:rsidRDefault="00FB015E" w:rsidP="00EF1C7F">
      <w:pPr>
        <w:spacing w:after="0" w:line="240" w:lineRule="auto"/>
        <w:jc w:val="both"/>
        <w:rPr>
          <w:rFonts w:ascii="Times New Roman" w:hAnsi="Times New Roman" w:cs="Times New Roman"/>
          <w:sz w:val="24"/>
          <w:szCs w:val="24"/>
        </w:rPr>
      </w:pPr>
    </w:p>
    <w:p w14:paraId="32B6A163"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ARTÍCULO SEGUNDO-</w:t>
      </w:r>
      <w:r w:rsidRPr="0012597A">
        <w:rPr>
          <w:rFonts w:ascii="Times New Roman" w:hAnsi="Times New Roman" w:cs="Times New Roman"/>
          <w:sz w:val="24"/>
          <w:szCs w:val="24"/>
        </w:rPr>
        <w:t xml:space="preserve"> El presente acuerdo entrara en vigor al día siguiente de su publicación en el Periódico Oficial “Gaceta del Gobierno”</w:t>
      </w:r>
    </w:p>
    <w:p w14:paraId="235A2311" w14:textId="77777777" w:rsidR="00FB015E" w:rsidRPr="0012597A" w:rsidRDefault="00FB015E" w:rsidP="00EF1C7F">
      <w:pPr>
        <w:spacing w:after="0" w:line="240" w:lineRule="auto"/>
        <w:jc w:val="both"/>
        <w:rPr>
          <w:rFonts w:ascii="Times New Roman" w:hAnsi="Times New Roman" w:cs="Times New Roman"/>
          <w:sz w:val="24"/>
          <w:szCs w:val="24"/>
        </w:rPr>
      </w:pPr>
    </w:p>
    <w:p w14:paraId="53FFFD52"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Dado en el Palacio del Poder Legislativo de Toluca de Lerdo a los __ días del mes de ___ del año 2026</w:t>
      </w:r>
    </w:p>
    <w:p w14:paraId="1EA60AD5" w14:textId="77777777" w:rsidR="00FB015E" w:rsidRPr="0012597A" w:rsidRDefault="00FB015E" w:rsidP="00EF1C7F">
      <w:pPr>
        <w:spacing w:after="0" w:line="240" w:lineRule="auto"/>
        <w:jc w:val="center"/>
        <w:rPr>
          <w:rFonts w:ascii="Times New Roman" w:hAnsi="Times New Roman" w:cs="Times New Roman"/>
          <w:sz w:val="24"/>
          <w:szCs w:val="24"/>
        </w:rPr>
      </w:pPr>
    </w:p>
    <w:p w14:paraId="62FA5143" w14:textId="77777777" w:rsidR="00FB015E" w:rsidRPr="0012597A" w:rsidRDefault="00FB015E" w:rsidP="00EF1C7F">
      <w:pPr>
        <w:spacing w:after="0"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 xml:space="preserve">Atentamente </w:t>
      </w:r>
    </w:p>
    <w:p w14:paraId="380C66E9" w14:textId="77777777" w:rsidR="00FB015E" w:rsidRPr="0012597A" w:rsidRDefault="00FB015E" w:rsidP="00EF1C7F">
      <w:pPr>
        <w:spacing w:after="0"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 xml:space="preserve">Diputada Zaira Cedillo Silva </w:t>
      </w:r>
    </w:p>
    <w:p w14:paraId="4ED4BDE1" w14:textId="77777777" w:rsidR="00FB015E" w:rsidRPr="0012597A" w:rsidRDefault="00FB015E" w:rsidP="00EF1C7F">
      <w:pPr>
        <w:spacing w:after="0"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 xml:space="preserve">Grupo Parlamentario morena </w:t>
      </w:r>
    </w:p>
    <w:p w14:paraId="52853448" w14:textId="77777777" w:rsidR="00FB015E" w:rsidRPr="0012597A" w:rsidRDefault="00FB015E" w:rsidP="00EF1C7F">
      <w:pPr>
        <w:spacing w:after="0" w:line="240" w:lineRule="auto"/>
        <w:jc w:val="center"/>
        <w:rPr>
          <w:rFonts w:ascii="Times New Roman" w:hAnsi="Times New Roman" w:cs="Times New Roman"/>
          <w:b/>
          <w:bCs/>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FB015E" w:rsidRPr="0012597A" w14:paraId="3CC1EBE1" w14:textId="77777777" w:rsidTr="00BA4C6F">
        <w:trPr>
          <w:jc w:val="center"/>
        </w:trPr>
        <w:tc>
          <w:tcPr>
            <w:tcW w:w="9356" w:type="dxa"/>
          </w:tcPr>
          <w:p w14:paraId="5B339C4D" w14:textId="77777777" w:rsidR="00FB015E" w:rsidRPr="0012597A" w:rsidRDefault="00FB015E" w:rsidP="0012453E">
            <w:pPr>
              <w:numPr>
                <w:ilvl w:val="0"/>
                <w:numId w:val="29"/>
              </w:numPr>
              <w:spacing w:line="240" w:lineRule="auto"/>
              <w:ind w:left="0" w:firstLine="0"/>
              <w:contextualSpacing/>
              <w:rPr>
                <w:rFonts w:ascii="Times New Roman" w:hAnsi="Times New Roman" w:cs="Times New Roman"/>
                <w:sz w:val="24"/>
                <w:szCs w:val="24"/>
              </w:rPr>
            </w:pPr>
            <w:r w:rsidRPr="0012597A">
              <w:rPr>
                <w:rFonts w:ascii="Times New Roman" w:hAnsi="Times New Roman" w:cs="Times New Roman"/>
                <w:sz w:val="24"/>
                <w:szCs w:val="24"/>
              </w:rPr>
              <w:t xml:space="preserve">Instituto Nacional de Estadística y Geografía. (2024). Encuesta Nacional de Ocupación y Empleo (ENOE). INEGI. </w:t>
            </w:r>
            <w:hyperlink r:id="rId45" w:history="1">
              <w:r w:rsidRPr="0012597A">
                <w:rPr>
                  <w:rFonts w:ascii="Times New Roman" w:hAnsi="Times New Roman" w:cs="Times New Roman"/>
                  <w:color w:val="0563C1" w:themeColor="hyperlink"/>
                  <w:sz w:val="24"/>
                  <w:szCs w:val="24"/>
                  <w:u w:val="single"/>
                </w:rPr>
                <w:t>https://www.inegi.org.mx</w:t>
              </w:r>
            </w:hyperlink>
          </w:p>
          <w:p w14:paraId="66001042" w14:textId="77777777" w:rsidR="00FB015E" w:rsidRPr="0012597A" w:rsidRDefault="00FB015E" w:rsidP="0012453E">
            <w:pPr>
              <w:numPr>
                <w:ilvl w:val="0"/>
                <w:numId w:val="29"/>
              </w:numPr>
              <w:spacing w:line="240" w:lineRule="auto"/>
              <w:ind w:left="0" w:firstLine="0"/>
              <w:contextualSpacing/>
              <w:rPr>
                <w:rFonts w:ascii="Times New Roman" w:hAnsi="Times New Roman" w:cs="Times New Roman"/>
                <w:sz w:val="24"/>
                <w:szCs w:val="24"/>
              </w:rPr>
            </w:pPr>
            <w:r w:rsidRPr="0012597A">
              <w:rPr>
                <w:rFonts w:ascii="Times New Roman" w:hAnsi="Times New Roman" w:cs="Times New Roman"/>
                <w:sz w:val="24"/>
                <w:szCs w:val="24"/>
              </w:rPr>
              <w:t xml:space="preserve">Secretaría del Trabajo y Previsión Social. (2024). Observatorio Laboral de México: Indicadores de brecha salarial de género. Gobierno de México. </w:t>
            </w:r>
            <w:hyperlink r:id="rId46" w:history="1">
              <w:r w:rsidRPr="0012597A">
                <w:rPr>
                  <w:rFonts w:ascii="Times New Roman" w:hAnsi="Times New Roman" w:cs="Times New Roman"/>
                  <w:color w:val="0563C1" w:themeColor="hyperlink"/>
                  <w:sz w:val="24"/>
                  <w:szCs w:val="24"/>
                  <w:u w:val="single"/>
                </w:rPr>
                <w:t>https://www.observatoriolaboral.gob.mx</w:t>
              </w:r>
            </w:hyperlink>
          </w:p>
          <w:p w14:paraId="2B7CAF76" w14:textId="77777777" w:rsidR="00FB015E" w:rsidRPr="0012597A" w:rsidRDefault="00FB015E" w:rsidP="0012453E">
            <w:pPr>
              <w:numPr>
                <w:ilvl w:val="0"/>
                <w:numId w:val="29"/>
              </w:numPr>
              <w:spacing w:line="240" w:lineRule="auto"/>
              <w:ind w:left="0" w:firstLine="0"/>
              <w:contextualSpacing/>
              <w:rPr>
                <w:rFonts w:ascii="Times New Roman" w:hAnsi="Times New Roman" w:cs="Times New Roman"/>
                <w:sz w:val="24"/>
                <w:szCs w:val="24"/>
              </w:rPr>
            </w:pPr>
            <w:r w:rsidRPr="0012597A">
              <w:rPr>
                <w:rFonts w:ascii="Times New Roman" w:hAnsi="Times New Roman" w:cs="Times New Roman"/>
                <w:sz w:val="24"/>
                <w:szCs w:val="24"/>
              </w:rPr>
              <w:t>Instituto Nacional de Estadística y Geografía. (2023). Cuenta Satélite del Trabajo No Remunerado de los Hogares de México. INEGI.</w:t>
            </w:r>
          </w:p>
          <w:p w14:paraId="69640287" w14:textId="77777777" w:rsidR="00FB015E" w:rsidRPr="0012597A" w:rsidRDefault="00FB015E" w:rsidP="00EF1C7F">
            <w:pPr>
              <w:spacing w:line="240" w:lineRule="auto"/>
              <w:rPr>
                <w:rFonts w:ascii="Times New Roman" w:hAnsi="Times New Roman" w:cs="Times New Roman"/>
                <w:b/>
                <w:bCs/>
                <w:sz w:val="24"/>
                <w:szCs w:val="24"/>
              </w:rPr>
            </w:pPr>
          </w:p>
        </w:tc>
      </w:tr>
    </w:tbl>
    <w:p w14:paraId="7682F3B9" w14:textId="77777777" w:rsidR="00FB015E" w:rsidRPr="0012597A" w:rsidRDefault="00FB015E" w:rsidP="00EF1C7F">
      <w:pPr>
        <w:spacing w:after="0" w:line="240" w:lineRule="auto"/>
        <w:rPr>
          <w:rFonts w:ascii="Times New Roman" w:hAnsi="Times New Roman" w:cs="Times New Roman"/>
          <w:b/>
          <w:bCs/>
          <w:sz w:val="24"/>
          <w:szCs w:val="24"/>
        </w:rPr>
      </w:pPr>
    </w:p>
    <w:p w14:paraId="18CCEA02" w14:textId="77777777" w:rsidR="00FB015E" w:rsidRPr="0012597A" w:rsidRDefault="00FB015E" w:rsidP="00EF1C7F">
      <w:pPr>
        <w:spacing w:after="0"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CUADRO COMPARATIVO</w:t>
      </w:r>
    </w:p>
    <w:p w14:paraId="083A147D" w14:textId="77777777" w:rsidR="00FB015E" w:rsidRPr="0012597A" w:rsidRDefault="00FB015E" w:rsidP="00EF1C7F">
      <w:pPr>
        <w:spacing w:after="0" w:line="240" w:lineRule="auto"/>
        <w:jc w:val="center"/>
        <w:rPr>
          <w:rFonts w:ascii="Times New Roman" w:hAnsi="Times New Roman" w:cs="Times New Roman"/>
          <w:b/>
          <w:bCs/>
          <w:sz w:val="24"/>
          <w:szCs w:val="24"/>
        </w:rPr>
      </w:pPr>
    </w:p>
    <w:p w14:paraId="3730B702"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Artículo Primero.</w:t>
      </w:r>
      <w:r w:rsidRPr="0012597A">
        <w:rPr>
          <w:rFonts w:ascii="Times New Roman" w:hAnsi="Times New Roman" w:cs="Times New Roman"/>
          <w:sz w:val="24"/>
          <w:szCs w:val="24"/>
        </w:rPr>
        <w:t xml:space="preserve"> - Se adiciona la fracción segunda y la fracción décimo primera recorriéndose las subsecuentes del artículo 6 y se adicionan las fracciones </w:t>
      </w:r>
      <w:r w:rsidRPr="0012597A">
        <w:rPr>
          <w:rFonts w:ascii="Times New Roman" w:hAnsi="Times New Roman" w:cs="Times New Roman"/>
          <w:b/>
          <w:bCs/>
          <w:sz w:val="24"/>
          <w:szCs w:val="24"/>
        </w:rPr>
        <w:t xml:space="preserve">XVIII, XIX y XX </w:t>
      </w:r>
      <w:r w:rsidRPr="0012597A">
        <w:rPr>
          <w:rFonts w:ascii="Times New Roman" w:hAnsi="Times New Roman" w:cs="Times New Roman"/>
          <w:sz w:val="24"/>
          <w:szCs w:val="24"/>
        </w:rPr>
        <w:t xml:space="preserve">de la Ley de Igualdad de Trato y Oportunidades entre Mujeres y Hombres del Estado de México. </w:t>
      </w:r>
    </w:p>
    <w:p w14:paraId="62E99906" w14:textId="77777777" w:rsidR="00FB015E" w:rsidRPr="0012597A" w:rsidRDefault="00FB015E" w:rsidP="00EF1C7F">
      <w:pPr>
        <w:spacing w:after="0" w:line="240" w:lineRule="auto"/>
        <w:rPr>
          <w:rFonts w:ascii="Times New Roman" w:hAnsi="Times New Roman" w:cs="Times New Roman"/>
          <w:sz w:val="24"/>
          <w:szCs w:val="24"/>
        </w:rPr>
      </w:pPr>
    </w:p>
    <w:tbl>
      <w:tblPr>
        <w:tblStyle w:val="Tablaconcuadrcula1"/>
        <w:tblW w:w="0" w:type="auto"/>
        <w:jc w:val="center"/>
        <w:tblLook w:val="04A0" w:firstRow="1" w:lastRow="0" w:firstColumn="1" w:lastColumn="0" w:noHBand="0" w:noVBand="1"/>
      </w:tblPr>
      <w:tblGrid>
        <w:gridCol w:w="4673"/>
        <w:gridCol w:w="4678"/>
      </w:tblGrid>
      <w:tr w:rsidR="00FB015E" w:rsidRPr="0012597A" w14:paraId="497DF451" w14:textId="77777777" w:rsidTr="00BA4C6F">
        <w:trPr>
          <w:jc w:val="center"/>
        </w:trPr>
        <w:tc>
          <w:tcPr>
            <w:tcW w:w="4673" w:type="dxa"/>
            <w:shd w:val="clear" w:color="auto" w:fill="808080" w:themeFill="background1" w:themeFillShade="80"/>
          </w:tcPr>
          <w:p w14:paraId="36A05817" w14:textId="77777777" w:rsidR="00FB015E" w:rsidRPr="0012597A" w:rsidRDefault="00FB015E" w:rsidP="00EF1C7F">
            <w:pPr>
              <w:spacing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Texto actual</w:t>
            </w:r>
          </w:p>
        </w:tc>
        <w:tc>
          <w:tcPr>
            <w:tcW w:w="4678" w:type="dxa"/>
            <w:shd w:val="clear" w:color="auto" w:fill="808080" w:themeFill="background1" w:themeFillShade="80"/>
          </w:tcPr>
          <w:p w14:paraId="40604D30" w14:textId="77777777" w:rsidR="00FB015E" w:rsidRPr="0012597A" w:rsidRDefault="00FB015E" w:rsidP="00EF1C7F">
            <w:pPr>
              <w:spacing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Texto Propuesto</w:t>
            </w:r>
          </w:p>
        </w:tc>
      </w:tr>
      <w:tr w:rsidR="00FB015E" w:rsidRPr="0012597A" w14:paraId="2D3C0AA6" w14:textId="77777777" w:rsidTr="00BA4C6F">
        <w:trPr>
          <w:jc w:val="center"/>
        </w:trPr>
        <w:tc>
          <w:tcPr>
            <w:tcW w:w="4673" w:type="dxa"/>
          </w:tcPr>
          <w:p w14:paraId="0012A504"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Artículo 6.- …</w:t>
            </w:r>
          </w:p>
          <w:p w14:paraId="665138E8" w14:textId="77777777" w:rsidR="00FB015E" w:rsidRPr="0012597A" w:rsidRDefault="00FB015E" w:rsidP="00EF1C7F">
            <w:pPr>
              <w:spacing w:line="240" w:lineRule="auto"/>
              <w:rPr>
                <w:rFonts w:ascii="Times New Roman" w:hAnsi="Times New Roman" w:cs="Times New Roman"/>
                <w:bCs/>
                <w:sz w:val="24"/>
                <w:szCs w:val="24"/>
              </w:rPr>
            </w:pPr>
          </w:p>
          <w:p w14:paraId="55010DCC"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I….</w:t>
            </w:r>
          </w:p>
          <w:p w14:paraId="247B39B5" w14:textId="77777777" w:rsidR="00FB015E" w:rsidRPr="0012597A" w:rsidRDefault="00FB015E" w:rsidP="00EF1C7F">
            <w:pPr>
              <w:spacing w:line="240" w:lineRule="auto"/>
              <w:rPr>
                <w:rFonts w:ascii="Times New Roman" w:hAnsi="Times New Roman" w:cs="Times New Roman"/>
                <w:bCs/>
                <w:sz w:val="24"/>
                <w:szCs w:val="24"/>
              </w:rPr>
            </w:pPr>
          </w:p>
          <w:p w14:paraId="26618C21"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II. Derogada</w:t>
            </w:r>
          </w:p>
          <w:p w14:paraId="07498A62" w14:textId="77777777" w:rsidR="00FB015E" w:rsidRPr="0012597A" w:rsidRDefault="00FB015E" w:rsidP="00EF1C7F">
            <w:pPr>
              <w:spacing w:line="240" w:lineRule="auto"/>
              <w:rPr>
                <w:rFonts w:ascii="Times New Roman" w:hAnsi="Times New Roman" w:cs="Times New Roman"/>
                <w:bCs/>
                <w:sz w:val="24"/>
                <w:szCs w:val="24"/>
              </w:rPr>
            </w:pPr>
          </w:p>
          <w:p w14:paraId="2B4E9484" w14:textId="77777777" w:rsidR="00FB015E" w:rsidRPr="0012597A" w:rsidRDefault="00FB015E" w:rsidP="00EF1C7F">
            <w:pPr>
              <w:spacing w:line="240" w:lineRule="auto"/>
              <w:rPr>
                <w:rFonts w:ascii="Times New Roman" w:hAnsi="Times New Roman" w:cs="Times New Roman"/>
                <w:bCs/>
                <w:sz w:val="24"/>
                <w:szCs w:val="24"/>
              </w:rPr>
            </w:pPr>
          </w:p>
          <w:p w14:paraId="00A4474D" w14:textId="77777777" w:rsidR="00FB015E" w:rsidRPr="0012597A" w:rsidRDefault="00FB015E" w:rsidP="00EF1C7F">
            <w:pPr>
              <w:spacing w:line="240" w:lineRule="auto"/>
              <w:rPr>
                <w:rFonts w:ascii="Times New Roman" w:hAnsi="Times New Roman" w:cs="Times New Roman"/>
                <w:bCs/>
                <w:sz w:val="24"/>
                <w:szCs w:val="24"/>
              </w:rPr>
            </w:pPr>
          </w:p>
          <w:p w14:paraId="3950030E" w14:textId="77777777" w:rsidR="00FB015E" w:rsidRPr="0012597A" w:rsidRDefault="00FB015E" w:rsidP="00EF1C7F">
            <w:pPr>
              <w:spacing w:line="240" w:lineRule="auto"/>
              <w:rPr>
                <w:rFonts w:ascii="Times New Roman" w:hAnsi="Times New Roman" w:cs="Times New Roman"/>
                <w:bCs/>
                <w:sz w:val="24"/>
                <w:szCs w:val="24"/>
              </w:rPr>
            </w:pPr>
          </w:p>
          <w:p w14:paraId="4D91FEC3" w14:textId="77777777" w:rsidR="00FB015E" w:rsidRPr="0012597A" w:rsidRDefault="00FB015E" w:rsidP="00EF1C7F">
            <w:pPr>
              <w:spacing w:line="240" w:lineRule="auto"/>
              <w:rPr>
                <w:rFonts w:ascii="Times New Roman" w:hAnsi="Times New Roman" w:cs="Times New Roman"/>
                <w:bCs/>
                <w:sz w:val="24"/>
                <w:szCs w:val="24"/>
              </w:rPr>
            </w:pPr>
          </w:p>
          <w:p w14:paraId="74E75980"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lastRenderedPageBreak/>
              <w:t>III. a X.</w:t>
            </w:r>
          </w:p>
          <w:p w14:paraId="6A617B75" w14:textId="77777777" w:rsidR="00FB015E" w:rsidRPr="0012597A" w:rsidRDefault="00FB015E" w:rsidP="00EF1C7F">
            <w:pPr>
              <w:spacing w:line="240" w:lineRule="auto"/>
              <w:rPr>
                <w:rFonts w:ascii="Times New Roman" w:hAnsi="Times New Roman" w:cs="Times New Roman"/>
                <w:bCs/>
                <w:sz w:val="24"/>
                <w:szCs w:val="24"/>
              </w:rPr>
            </w:pPr>
          </w:p>
          <w:p w14:paraId="38CA305D" w14:textId="77777777" w:rsidR="00FB015E" w:rsidRPr="0012597A" w:rsidRDefault="00FB015E" w:rsidP="00EF1C7F">
            <w:pPr>
              <w:spacing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 xml:space="preserve">XI. </w:t>
            </w:r>
            <w:r w:rsidRPr="0012597A">
              <w:rPr>
                <w:rFonts w:ascii="Times New Roman" w:hAnsi="Times New Roman" w:cs="Times New Roman"/>
                <w:sz w:val="24"/>
                <w:szCs w:val="24"/>
              </w:rPr>
              <w:t>Lenguaje no sexista: Aquél que evita estereotipos, usos y expresiones que refuercen actitudes de desigualdad entre mujeres y hombres;</w:t>
            </w:r>
            <w:r w:rsidRPr="0012597A">
              <w:rPr>
                <w:rFonts w:ascii="Times New Roman" w:hAnsi="Times New Roman" w:cs="Times New Roman"/>
                <w:bCs/>
                <w:sz w:val="24"/>
                <w:szCs w:val="24"/>
              </w:rPr>
              <w:t xml:space="preserve"> </w:t>
            </w:r>
          </w:p>
          <w:p w14:paraId="3FAE391A" w14:textId="77777777" w:rsidR="00FB015E" w:rsidRPr="0012597A" w:rsidRDefault="00FB015E" w:rsidP="00EF1C7F">
            <w:pPr>
              <w:spacing w:line="240" w:lineRule="auto"/>
              <w:jc w:val="both"/>
              <w:rPr>
                <w:rFonts w:ascii="Times New Roman" w:hAnsi="Times New Roman" w:cs="Times New Roman"/>
                <w:bCs/>
                <w:sz w:val="24"/>
                <w:szCs w:val="24"/>
              </w:rPr>
            </w:pPr>
          </w:p>
          <w:p w14:paraId="109E0644" w14:textId="77777777" w:rsidR="00FB015E" w:rsidRPr="0012597A" w:rsidRDefault="00FB015E" w:rsidP="00EF1C7F">
            <w:pPr>
              <w:spacing w:line="240" w:lineRule="auto"/>
              <w:jc w:val="both"/>
              <w:rPr>
                <w:rFonts w:ascii="Times New Roman" w:hAnsi="Times New Roman" w:cs="Times New Roman"/>
                <w:bCs/>
                <w:sz w:val="24"/>
                <w:szCs w:val="24"/>
              </w:rPr>
            </w:pPr>
          </w:p>
          <w:p w14:paraId="19632A4F" w14:textId="77777777" w:rsidR="00FB015E" w:rsidRPr="0012597A" w:rsidRDefault="00FB015E" w:rsidP="00EF1C7F">
            <w:pPr>
              <w:spacing w:line="240" w:lineRule="auto"/>
              <w:jc w:val="both"/>
              <w:rPr>
                <w:rFonts w:ascii="Times New Roman" w:hAnsi="Times New Roman" w:cs="Times New Roman"/>
                <w:bCs/>
                <w:sz w:val="24"/>
                <w:szCs w:val="24"/>
              </w:rPr>
            </w:pPr>
          </w:p>
          <w:p w14:paraId="0C5AD6BE"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 xml:space="preserve">XII. a XIX. </w:t>
            </w:r>
          </w:p>
          <w:p w14:paraId="13ECF9CA" w14:textId="77777777" w:rsidR="00FB015E" w:rsidRPr="0012597A" w:rsidRDefault="00FB015E" w:rsidP="00EF1C7F">
            <w:pPr>
              <w:spacing w:line="240" w:lineRule="auto"/>
              <w:rPr>
                <w:rFonts w:ascii="Times New Roman" w:hAnsi="Times New Roman" w:cs="Times New Roman"/>
                <w:sz w:val="24"/>
                <w:szCs w:val="24"/>
              </w:rPr>
            </w:pPr>
          </w:p>
        </w:tc>
        <w:tc>
          <w:tcPr>
            <w:tcW w:w="4678" w:type="dxa"/>
          </w:tcPr>
          <w:p w14:paraId="053767CB"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lastRenderedPageBreak/>
              <w:t>Artículo 6.- …</w:t>
            </w:r>
          </w:p>
          <w:p w14:paraId="39958D12" w14:textId="77777777" w:rsidR="00FB015E" w:rsidRPr="0012597A" w:rsidRDefault="00FB015E" w:rsidP="00EF1C7F">
            <w:pPr>
              <w:spacing w:line="240" w:lineRule="auto"/>
              <w:rPr>
                <w:rFonts w:ascii="Times New Roman" w:hAnsi="Times New Roman" w:cs="Times New Roman"/>
                <w:bCs/>
                <w:sz w:val="24"/>
                <w:szCs w:val="24"/>
              </w:rPr>
            </w:pPr>
          </w:p>
          <w:p w14:paraId="3951B977"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I….</w:t>
            </w:r>
          </w:p>
          <w:p w14:paraId="0F44E07A" w14:textId="77777777" w:rsidR="00FB015E" w:rsidRPr="0012597A" w:rsidRDefault="00FB015E" w:rsidP="00EF1C7F">
            <w:pPr>
              <w:spacing w:line="240" w:lineRule="auto"/>
              <w:rPr>
                <w:rFonts w:ascii="Times New Roman" w:hAnsi="Times New Roman" w:cs="Times New Roman"/>
                <w:sz w:val="24"/>
                <w:szCs w:val="24"/>
              </w:rPr>
            </w:pPr>
          </w:p>
          <w:p w14:paraId="60645E6B" w14:textId="77777777" w:rsidR="00FB015E" w:rsidRPr="0012597A" w:rsidRDefault="00FB015E" w:rsidP="00EF1C7F">
            <w:pPr>
              <w:spacing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II. Brecha salarial de género. Es la diferencia de retribución salarial entre mujeres y hombres por razones de género, respecto a la realización de un trabajo remunerado de igual valor</w:t>
            </w:r>
            <w:r w:rsidRPr="0012597A">
              <w:rPr>
                <w:rFonts w:ascii="Times New Roman" w:hAnsi="Times New Roman" w:cs="Times New Roman"/>
                <w:sz w:val="24"/>
                <w:szCs w:val="24"/>
              </w:rPr>
              <w:t>;</w:t>
            </w:r>
          </w:p>
          <w:p w14:paraId="05870E42" w14:textId="77777777" w:rsidR="00FB015E" w:rsidRPr="0012597A" w:rsidRDefault="00FB015E" w:rsidP="00EF1C7F">
            <w:pPr>
              <w:spacing w:line="240" w:lineRule="auto"/>
              <w:jc w:val="both"/>
              <w:rPr>
                <w:rFonts w:ascii="Times New Roman" w:hAnsi="Times New Roman" w:cs="Times New Roman"/>
                <w:sz w:val="24"/>
                <w:szCs w:val="24"/>
              </w:rPr>
            </w:pPr>
          </w:p>
          <w:p w14:paraId="293AB638"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lastRenderedPageBreak/>
              <w:t xml:space="preserve">III. a X. </w:t>
            </w:r>
          </w:p>
          <w:p w14:paraId="4C6D5DAE" w14:textId="77777777" w:rsidR="00FB015E" w:rsidRPr="0012597A" w:rsidRDefault="00FB015E" w:rsidP="00EF1C7F">
            <w:pPr>
              <w:spacing w:line="240" w:lineRule="auto"/>
              <w:jc w:val="both"/>
              <w:rPr>
                <w:rFonts w:ascii="Times New Roman" w:hAnsi="Times New Roman" w:cs="Times New Roman"/>
                <w:sz w:val="24"/>
                <w:szCs w:val="24"/>
              </w:rPr>
            </w:pPr>
          </w:p>
          <w:p w14:paraId="1AAFC62A" w14:textId="77777777" w:rsidR="00FB015E" w:rsidRPr="0012597A" w:rsidRDefault="00FB015E" w:rsidP="00EF1C7F">
            <w:pPr>
              <w:spacing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XI. Igualdad salarial. Remuneración igual por un trabajo de igual valor, sin distinguir el sexo, el género, la identidad de género, el origen étnico, la orientación sexual, la edad, las discapacidades, la condición social, económica, de salud o jurídica, entre otras.</w:t>
            </w:r>
          </w:p>
          <w:p w14:paraId="6451E696" w14:textId="77777777" w:rsidR="00FB015E" w:rsidRPr="0012597A" w:rsidRDefault="00FB015E" w:rsidP="00EF1C7F">
            <w:pPr>
              <w:spacing w:line="240" w:lineRule="auto"/>
              <w:jc w:val="both"/>
              <w:rPr>
                <w:rFonts w:ascii="Times New Roman" w:hAnsi="Times New Roman" w:cs="Times New Roman"/>
                <w:b/>
                <w:bCs/>
                <w:sz w:val="24"/>
                <w:szCs w:val="24"/>
              </w:rPr>
            </w:pPr>
          </w:p>
          <w:p w14:paraId="35080493" w14:textId="77777777" w:rsidR="00FB015E" w:rsidRPr="0012597A" w:rsidRDefault="00FB015E" w:rsidP="00EF1C7F">
            <w:pPr>
              <w:spacing w:line="240" w:lineRule="auto"/>
              <w:jc w:val="both"/>
              <w:rPr>
                <w:rFonts w:ascii="Times New Roman" w:hAnsi="Times New Roman" w:cs="Times New Roman"/>
                <w:b/>
                <w:bCs/>
                <w:sz w:val="24"/>
                <w:szCs w:val="24"/>
              </w:rPr>
            </w:pPr>
            <w:r w:rsidRPr="0012597A">
              <w:rPr>
                <w:rFonts w:ascii="Times New Roman" w:hAnsi="Times New Roman" w:cs="Times New Roman"/>
                <w:sz w:val="24"/>
                <w:szCs w:val="24"/>
              </w:rPr>
              <w:t>XII. a XX.</w:t>
            </w:r>
          </w:p>
          <w:p w14:paraId="0FA44D74" w14:textId="77777777" w:rsidR="00FB015E" w:rsidRPr="0012597A" w:rsidRDefault="00FB015E" w:rsidP="00EF1C7F">
            <w:pPr>
              <w:spacing w:line="240" w:lineRule="auto"/>
              <w:rPr>
                <w:rFonts w:ascii="Times New Roman" w:hAnsi="Times New Roman" w:cs="Times New Roman"/>
                <w:sz w:val="24"/>
                <w:szCs w:val="24"/>
              </w:rPr>
            </w:pPr>
          </w:p>
        </w:tc>
      </w:tr>
      <w:tr w:rsidR="00FB015E" w:rsidRPr="0012597A" w14:paraId="2E72428F" w14:textId="77777777" w:rsidTr="00BA4C6F">
        <w:trPr>
          <w:jc w:val="center"/>
        </w:trPr>
        <w:tc>
          <w:tcPr>
            <w:tcW w:w="4673" w:type="dxa"/>
          </w:tcPr>
          <w:p w14:paraId="73713BEC"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Artículo 30.- …</w:t>
            </w:r>
          </w:p>
          <w:p w14:paraId="5A14C0B9" w14:textId="77777777" w:rsidR="00FB015E" w:rsidRPr="0012597A" w:rsidRDefault="00FB015E" w:rsidP="00EF1C7F">
            <w:pPr>
              <w:spacing w:line="240" w:lineRule="auto"/>
              <w:rPr>
                <w:rFonts w:ascii="Times New Roman" w:hAnsi="Times New Roman" w:cs="Times New Roman"/>
                <w:bCs/>
                <w:sz w:val="24"/>
                <w:szCs w:val="24"/>
              </w:rPr>
            </w:pPr>
          </w:p>
          <w:p w14:paraId="693259F0"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 xml:space="preserve">I. a IV. </w:t>
            </w:r>
          </w:p>
          <w:p w14:paraId="4BB13922" w14:textId="77777777" w:rsidR="00FB015E" w:rsidRPr="0012597A" w:rsidRDefault="00FB015E" w:rsidP="00EF1C7F">
            <w:pPr>
              <w:spacing w:line="240" w:lineRule="auto"/>
              <w:rPr>
                <w:rFonts w:ascii="Times New Roman" w:hAnsi="Times New Roman" w:cs="Times New Roman"/>
                <w:b/>
                <w:sz w:val="24"/>
                <w:szCs w:val="24"/>
              </w:rPr>
            </w:pPr>
          </w:p>
          <w:p w14:paraId="68E9AB3C" w14:textId="77777777" w:rsidR="00FB015E" w:rsidRPr="0012597A" w:rsidRDefault="00FB015E" w:rsidP="00EF1C7F">
            <w:pPr>
              <w:autoSpaceDE w:val="0"/>
              <w:autoSpaceDN w:val="0"/>
              <w:adjustRightInd w:val="0"/>
              <w:spacing w:line="240" w:lineRule="auto"/>
              <w:jc w:val="both"/>
              <w:rPr>
                <w:rFonts w:ascii="Times New Roman" w:hAnsi="Times New Roman" w:cs="Times New Roman"/>
                <w:sz w:val="24"/>
                <w:szCs w:val="24"/>
              </w:rPr>
            </w:pPr>
            <w:r w:rsidRPr="0012597A">
              <w:rPr>
                <w:rFonts w:ascii="Times New Roman" w:hAnsi="Times New Roman" w:cs="Times New Roman"/>
                <w:bCs/>
                <w:sz w:val="24"/>
                <w:szCs w:val="24"/>
              </w:rPr>
              <w:t>V.</w:t>
            </w:r>
            <w:r w:rsidRPr="0012597A">
              <w:rPr>
                <w:rFonts w:ascii="Times New Roman" w:hAnsi="Times New Roman" w:cs="Times New Roman"/>
                <w:sz w:val="24"/>
                <w:szCs w:val="24"/>
              </w:rPr>
              <w:t xml:space="preserve"> Implementar acciones afirmativas para reducir los factores que relegan la incorporación de las personas al ámbito laboral, en razón de su sexo a fin de erradicarlos; </w:t>
            </w:r>
          </w:p>
          <w:p w14:paraId="675B0D7D" w14:textId="77777777" w:rsidR="00FB015E" w:rsidRPr="0012597A" w:rsidRDefault="00FB015E" w:rsidP="00EF1C7F">
            <w:pPr>
              <w:autoSpaceDE w:val="0"/>
              <w:autoSpaceDN w:val="0"/>
              <w:adjustRightInd w:val="0"/>
              <w:spacing w:line="240" w:lineRule="auto"/>
              <w:jc w:val="both"/>
              <w:rPr>
                <w:rFonts w:ascii="Times New Roman" w:hAnsi="Times New Roman" w:cs="Times New Roman"/>
                <w:sz w:val="24"/>
                <w:szCs w:val="24"/>
              </w:rPr>
            </w:pPr>
          </w:p>
          <w:p w14:paraId="38D7B282" w14:textId="2CE3B2C7" w:rsidR="00FB015E" w:rsidRPr="0012597A" w:rsidRDefault="00FB015E" w:rsidP="00EF1C7F">
            <w:pPr>
              <w:autoSpaceDE w:val="0"/>
              <w:autoSpaceDN w:val="0"/>
              <w:adjustRightInd w:val="0"/>
              <w:spacing w:line="240" w:lineRule="auto"/>
              <w:jc w:val="both"/>
              <w:rPr>
                <w:rFonts w:ascii="Times New Roman" w:hAnsi="Times New Roman" w:cs="Times New Roman"/>
                <w:sz w:val="24"/>
                <w:szCs w:val="24"/>
              </w:rPr>
            </w:pPr>
          </w:p>
          <w:p w14:paraId="364E5562" w14:textId="77777777" w:rsidR="0075478A" w:rsidRPr="0012597A" w:rsidRDefault="0075478A" w:rsidP="00EF1C7F">
            <w:pPr>
              <w:autoSpaceDE w:val="0"/>
              <w:autoSpaceDN w:val="0"/>
              <w:adjustRightInd w:val="0"/>
              <w:spacing w:line="240" w:lineRule="auto"/>
              <w:jc w:val="both"/>
              <w:rPr>
                <w:rFonts w:ascii="Times New Roman" w:hAnsi="Times New Roman" w:cs="Times New Roman"/>
                <w:sz w:val="24"/>
                <w:szCs w:val="24"/>
              </w:rPr>
            </w:pPr>
          </w:p>
          <w:p w14:paraId="45E7F2A1" w14:textId="77777777" w:rsidR="00FB015E" w:rsidRPr="0012597A" w:rsidRDefault="00FB015E" w:rsidP="00EF1C7F">
            <w:pPr>
              <w:spacing w:line="240" w:lineRule="auto"/>
              <w:rPr>
                <w:rFonts w:ascii="Times New Roman" w:hAnsi="Times New Roman" w:cs="Times New Roman"/>
                <w:b/>
                <w:sz w:val="24"/>
                <w:szCs w:val="24"/>
              </w:rPr>
            </w:pPr>
          </w:p>
          <w:p w14:paraId="6E53D650" w14:textId="77777777" w:rsidR="00FB015E" w:rsidRPr="0012597A" w:rsidRDefault="00FB015E" w:rsidP="00EF1C7F">
            <w:pPr>
              <w:autoSpaceDE w:val="0"/>
              <w:autoSpaceDN w:val="0"/>
              <w:adjustRightInd w:val="0"/>
              <w:spacing w:line="240" w:lineRule="auto"/>
              <w:jc w:val="both"/>
              <w:rPr>
                <w:rFonts w:ascii="Times New Roman" w:hAnsi="Times New Roman" w:cs="Times New Roman"/>
                <w:sz w:val="24"/>
                <w:szCs w:val="24"/>
              </w:rPr>
            </w:pPr>
            <w:r w:rsidRPr="0012597A">
              <w:rPr>
                <w:rFonts w:ascii="Times New Roman" w:hAnsi="Times New Roman" w:cs="Times New Roman"/>
                <w:bCs/>
                <w:sz w:val="24"/>
                <w:szCs w:val="24"/>
              </w:rPr>
              <w:t>VI.</w:t>
            </w:r>
            <w:r w:rsidRPr="0012597A">
              <w:rPr>
                <w:rFonts w:ascii="Times New Roman" w:hAnsi="Times New Roman" w:cs="Times New Roman"/>
                <w:sz w:val="24"/>
                <w:szCs w:val="24"/>
              </w:rPr>
              <w:t xml:space="preserve"> Fomentar el acceso al trabajo de las personas que en razón de su sexo están relegadas de puestos directivos y generar los mecanismos necesarios para su capacitación;</w:t>
            </w:r>
          </w:p>
          <w:p w14:paraId="2151B460" w14:textId="77777777" w:rsidR="00FB015E" w:rsidRPr="0012597A" w:rsidRDefault="00FB015E" w:rsidP="00EF1C7F">
            <w:pPr>
              <w:spacing w:line="240" w:lineRule="auto"/>
              <w:rPr>
                <w:rFonts w:ascii="Times New Roman" w:hAnsi="Times New Roman" w:cs="Times New Roman"/>
                <w:b/>
                <w:sz w:val="24"/>
                <w:szCs w:val="24"/>
              </w:rPr>
            </w:pPr>
          </w:p>
          <w:p w14:paraId="56817D59" w14:textId="77777777" w:rsidR="00FB015E" w:rsidRPr="0012597A" w:rsidRDefault="00FB015E" w:rsidP="00EF1C7F">
            <w:pPr>
              <w:spacing w:line="240" w:lineRule="auto"/>
              <w:rPr>
                <w:rFonts w:ascii="Times New Roman" w:hAnsi="Times New Roman" w:cs="Times New Roman"/>
                <w:b/>
                <w:sz w:val="24"/>
                <w:szCs w:val="24"/>
              </w:rPr>
            </w:pPr>
          </w:p>
          <w:p w14:paraId="40B29B32" w14:textId="77777777" w:rsidR="00FB015E" w:rsidRPr="0012597A" w:rsidRDefault="00FB015E" w:rsidP="00EF1C7F">
            <w:pPr>
              <w:spacing w:line="240" w:lineRule="auto"/>
              <w:rPr>
                <w:rFonts w:ascii="Times New Roman" w:hAnsi="Times New Roman" w:cs="Times New Roman"/>
                <w:b/>
                <w:sz w:val="24"/>
                <w:szCs w:val="24"/>
              </w:rPr>
            </w:pPr>
          </w:p>
          <w:p w14:paraId="1EF89B2B" w14:textId="762E6950" w:rsidR="00FB015E" w:rsidRPr="0012597A" w:rsidRDefault="00FB015E" w:rsidP="00EF1C7F">
            <w:pPr>
              <w:spacing w:line="240" w:lineRule="auto"/>
              <w:rPr>
                <w:rFonts w:ascii="Times New Roman" w:hAnsi="Times New Roman" w:cs="Times New Roman"/>
                <w:b/>
                <w:sz w:val="24"/>
                <w:szCs w:val="24"/>
              </w:rPr>
            </w:pPr>
          </w:p>
          <w:p w14:paraId="6D8B24A9" w14:textId="77777777" w:rsidR="0075478A" w:rsidRPr="0012597A" w:rsidRDefault="0075478A" w:rsidP="00EF1C7F">
            <w:pPr>
              <w:spacing w:line="240" w:lineRule="auto"/>
              <w:rPr>
                <w:rFonts w:ascii="Times New Roman" w:hAnsi="Times New Roman" w:cs="Times New Roman"/>
                <w:b/>
                <w:sz w:val="24"/>
                <w:szCs w:val="24"/>
              </w:rPr>
            </w:pPr>
          </w:p>
          <w:p w14:paraId="42657778"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VII. a XVII.</w:t>
            </w:r>
          </w:p>
          <w:p w14:paraId="5C3AC695" w14:textId="77777777" w:rsidR="00FB015E" w:rsidRPr="0012597A" w:rsidRDefault="00FB015E" w:rsidP="00EF1C7F">
            <w:pPr>
              <w:spacing w:line="240" w:lineRule="auto"/>
              <w:rPr>
                <w:rFonts w:ascii="Times New Roman" w:hAnsi="Times New Roman" w:cs="Times New Roman"/>
                <w:b/>
                <w:sz w:val="24"/>
                <w:szCs w:val="24"/>
              </w:rPr>
            </w:pPr>
          </w:p>
        </w:tc>
        <w:tc>
          <w:tcPr>
            <w:tcW w:w="4678" w:type="dxa"/>
          </w:tcPr>
          <w:p w14:paraId="55E12136"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Artículo 30.- …</w:t>
            </w:r>
          </w:p>
          <w:p w14:paraId="38C401B7" w14:textId="77777777" w:rsidR="00FB015E" w:rsidRPr="0012597A" w:rsidRDefault="00FB015E" w:rsidP="00EF1C7F">
            <w:pPr>
              <w:spacing w:line="240" w:lineRule="auto"/>
              <w:rPr>
                <w:rFonts w:ascii="Times New Roman" w:hAnsi="Times New Roman" w:cs="Times New Roman"/>
                <w:bCs/>
                <w:sz w:val="24"/>
                <w:szCs w:val="24"/>
              </w:rPr>
            </w:pPr>
          </w:p>
          <w:p w14:paraId="52828EF0"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 xml:space="preserve">I. a XVII. </w:t>
            </w:r>
          </w:p>
          <w:p w14:paraId="75B275A2" w14:textId="77777777" w:rsidR="00FB015E" w:rsidRPr="0012597A" w:rsidRDefault="00FB015E" w:rsidP="00EF1C7F">
            <w:pPr>
              <w:spacing w:line="240" w:lineRule="auto"/>
              <w:rPr>
                <w:rFonts w:ascii="Times New Roman" w:hAnsi="Times New Roman" w:cs="Times New Roman"/>
                <w:bCs/>
                <w:sz w:val="24"/>
                <w:szCs w:val="24"/>
              </w:rPr>
            </w:pPr>
          </w:p>
          <w:p w14:paraId="5A57CFFF" w14:textId="77777777" w:rsidR="00FB015E" w:rsidRPr="0012597A" w:rsidRDefault="00FB015E" w:rsidP="00EF1C7F">
            <w:pPr>
              <w:spacing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 xml:space="preserve">V. </w:t>
            </w:r>
            <w:r w:rsidRPr="0012597A">
              <w:rPr>
                <w:rFonts w:ascii="Times New Roman" w:hAnsi="Times New Roman" w:cs="Times New Roman"/>
                <w:sz w:val="24"/>
                <w:szCs w:val="24"/>
              </w:rPr>
              <w:t>Implementar acciones</w:t>
            </w:r>
            <w:r w:rsidRPr="0012597A">
              <w:rPr>
                <w:rFonts w:ascii="Times New Roman" w:hAnsi="Times New Roman" w:cs="Times New Roman"/>
                <w:b/>
                <w:bCs/>
                <w:sz w:val="24"/>
                <w:szCs w:val="24"/>
              </w:rPr>
              <w:t xml:space="preserve"> y mecanismos institucionales orientados a reducir y erradicar la brecha salarial y la segregación laboral de las personas por razón de su sexo o género en el mercado de trabajo, promoviendo condiciones de igualdad salarial, oportunidades de ascenso y acceso a puestos de liderazgo;</w:t>
            </w:r>
          </w:p>
          <w:p w14:paraId="75D3451F" w14:textId="77777777" w:rsidR="00FB015E" w:rsidRPr="0012597A" w:rsidRDefault="00FB015E" w:rsidP="00EF1C7F">
            <w:pPr>
              <w:spacing w:line="240" w:lineRule="auto"/>
              <w:jc w:val="both"/>
              <w:rPr>
                <w:rFonts w:ascii="Times New Roman" w:hAnsi="Times New Roman" w:cs="Times New Roman"/>
                <w:b/>
                <w:bCs/>
                <w:sz w:val="24"/>
                <w:szCs w:val="24"/>
              </w:rPr>
            </w:pPr>
          </w:p>
          <w:p w14:paraId="450FAE26" w14:textId="77777777" w:rsidR="00FB015E" w:rsidRPr="0012597A" w:rsidRDefault="00FB015E" w:rsidP="00EF1C7F">
            <w:pPr>
              <w:spacing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 xml:space="preserve">VI. </w:t>
            </w:r>
            <w:r w:rsidRPr="0012597A">
              <w:rPr>
                <w:rFonts w:ascii="Times New Roman" w:hAnsi="Times New Roman" w:cs="Times New Roman"/>
                <w:sz w:val="24"/>
                <w:szCs w:val="24"/>
              </w:rPr>
              <w:t xml:space="preserve">Fomentar el acceso al trabajo de las personas </w:t>
            </w:r>
            <w:r w:rsidRPr="0012597A">
              <w:rPr>
                <w:rFonts w:ascii="Times New Roman" w:hAnsi="Times New Roman" w:cs="Times New Roman"/>
                <w:b/>
                <w:bCs/>
                <w:sz w:val="24"/>
                <w:szCs w:val="24"/>
              </w:rPr>
              <w:t xml:space="preserve">que, debido a su sexo o género, se encuentren </w:t>
            </w:r>
            <w:r w:rsidRPr="0012597A">
              <w:rPr>
                <w:rFonts w:ascii="Times New Roman" w:hAnsi="Times New Roman" w:cs="Times New Roman"/>
                <w:sz w:val="24"/>
                <w:szCs w:val="24"/>
              </w:rPr>
              <w:t>relegadas de puestos directivos</w:t>
            </w:r>
            <w:r w:rsidRPr="0012597A">
              <w:rPr>
                <w:rFonts w:ascii="Times New Roman" w:hAnsi="Times New Roman" w:cs="Times New Roman"/>
                <w:b/>
                <w:bCs/>
                <w:sz w:val="24"/>
                <w:szCs w:val="24"/>
              </w:rPr>
              <w:t xml:space="preserve"> o de toma de decisiones, mediante políticas de capacitación, profesionalización y promoción laboral que contribuyan a disminuir y erradicar la brecha salarial de género;</w:t>
            </w:r>
          </w:p>
          <w:p w14:paraId="0598B343" w14:textId="77777777" w:rsidR="00FB015E" w:rsidRPr="0012597A" w:rsidRDefault="00FB015E" w:rsidP="00EF1C7F">
            <w:pPr>
              <w:spacing w:line="240" w:lineRule="auto"/>
              <w:jc w:val="both"/>
              <w:rPr>
                <w:rFonts w:ascii="Times New Roman" w:hAnsi="Times New Roman" w:cs="Times New Roman"/>
                <w:b/>
                <w:bCs/>
                <w:sz w:val="24"/>
                <w:szCs w:val="24"/>
              </w:rPr>
            </w:pPr>
          </w:p>
          <w:p w14:paraId="4E21C171" w14:textId="77777777" w:rsidR="00FB015E" w:rsidRPr="0012597A" w:rsidRDefault="00FB015E" w:rsidP="00EF1C7F">
            <w:pPr>
              <w:spacing w:line="240" w:lineRule="auto"/>
              <w:rPr>
                <w:rFonts w:ascii="Times New Roman" w:hAnsi="Times New Roman" w:cs="Times New Roman"/>
                <w:bCs/>
                <w:sz w:val="24"/>
                <w:szCs w:val="24"/>
              </w:rPr>
            </w:pPr>
            <w:r w:rsidRPr="0012597A">
              <w:rPr>
                <w:rFonts w:ascii="Times New Roman" w:hAnsi="Times New Roman" w:cs="Times New Roman"/>
                <w:bCs/>
                <w:sz w:val="24"/>
                <w:szCs w:val="24"/>
              </w:rPr>
              <w:t>VII. a XVII.</w:t>
            </w:r>
          </w:p>
          <w:p w14:paraId="0006FD6C" w14:textId="77777777" w:rsidR="00FB015E" w:rsidRPr="0012597A" w:rsidRDefault="00FB015E" w:rsidP="00EF1C7F">
            <w:pPr>
              <w:spacing w:line="240" w:lineRule="auto"/>
              <w:jc w:val="both"/>
              <w:rPr>
                <w:rFonts w:ascii="Times New Roman" w:hAnsi="Times New Roman" w:cs="Times New Roman"/>
                <w:b/>
                <w:bCs/>
                <w:sz w:val="24"/>
                <w:szCs w:val="24"/>
              </w:rPr>
            </w:pPr>
          </w:p>
          <w:p w14:paraId="2734C4E5" w14:textId="77777777" w:rsidR="00FB015E" w:rsidRPr="0012597A" w:rsidRDefault="00FB015E" w:rsidP="00EF1C7F">
            <w:pPr>
              <w:spacing w:line="240" w:lineRule="auto"/>
              <w:jc w:val="both"/>
              <w:rPr>
                <w:rFonts w:ascii="Times New Roman" w:hAnsi="Times New Roman" w:cs="Times New Roman"/>
                <w:b/>
                <w:bCs/>
                <w:sz w:val="24"/>
                <w:szCs w:val="24"/>
              </w:rPr>
            </w:pPr>
            <w:r w:rsidRPr="0012597A">
              <w:rPr>
                <w:rFonts w:ascii="Times New Roman" w:hAnsi="Times New Roman" w:cs="Times New Roman"/>
                <w:b/>
                <w:bCs/>
                <w:sz w:val="24"/>
                <w:szCs w:val="24"/>
              </w:rPr>
              <w:t>XVIII. Promover, vigilar y garantizar el principio de igualdad salarial, mediante la implementación de políticas, mecanismos de supervisión y acciones afirmativas que aseguren condiciones de igualdad en la remuneración dentro de los ámbitos público, social y privado.</w:t>
            </w:r>
          </w:p>
        </w:tc>
      </w:tr>
    </w:tbl>
    <w:p w14:paraId="7070465B" w14:textId="77777777" w:rsidR="00FB015E" w:rsidRPr="0012597A" w:rsidRDefault="00FB015E" w:rsidP="00EF1C7F">
      <w:pPr>
        <w:spacing w:after="0" w:line="240" w:lineRule="auto"/>
        <w:rPr>
          <w:rFonts w:ascii="Times New Roman" w:hAnsi="Times New Roman" w:cs="Times New Roman"/>
          <w:sz w:val="24"/>
          <w:szCs w:val="24"/>
        </w:rPr>
      </w:pPr>
    </w:p>
    <w:p w14:paraId="1E480C2B" w14:textId="77777777" w:rsidR="00FB015E" w:rsidRPr="0012597A" w:rsidRDefault="00FB015E"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b/>
          <w:bCs/>
          <w:sz w:val="24"/>
          <w:szCs w:val="24"/>
        </w:rPr>
        <w:t xml:space="preserve">Artículo Segundo. - </w:t>
      </w:r>
      <w:r w:rsidRPr="0012597A">
        <w:rPr>
          <w:rFonts w:ascii="Times New Roman" w:hAnsi="Times New Roman" w:cs="Times New Roman"/>
          <w:sz w:val="24"/>
          <w:szCs w:val="24"/>
        </w:rPr>
        <w:t xml:space="preserve">Se adiciona la fracción tercera, recorriéndose las subsecuentes del artículo 98 de la Ley del Trabajo de los Servidores Púbicos del Estado y Municipios. </w:t>
      </w:r>
    </w:p>
    <w:p w14:paraId="4D0791E1" w14:textId="77777777" w:rsidR="00FB015E" w:rsidRPr="0012597A" w:rsidRDefault="00FB015E" w:rsidP="00EF1C7F">
      <w:pPr>
        <w:spacing w:after="0" w:line="240" w:lineRule="auto"/>
        <w:rPr>
          <w:rFonts w:ascii="Times New Roman" w:hAnsi="Times New Roman" w:cs="Times New Roman"/>
          <w:sz w:val="24"/>
          <w:szCs w:val="24"/>
        </w:rPr>
      </w:pPr>
    </w:p>
    <w:tbl>
      <w:tblPr>
        <w:tblStyle w:val="Tablaconcuadrcula1"/>
        <w:tblW w:w="9506" w:type="dxa"/>
        <w:jc w:val="center"/>
        <w:tblLook w:val="04A0" w:firstRow="1" w:lastRow="0" w:firstColumn="1" w:lastColumn="0" w:noHBand="0" w:noVBand="1"/>
      </w:tblPr>
      <w:tblGrid>
        <w:gridCol w:w="4753"/>
        <w:gridCol w:w="4753"/>
      </w:tblGrid>
      <w:tr w:rsidR="00FB015E" w:rsidRPr="0012597A" w14:paraId="2A8F7682" w14:textId="77777777" w:rsidTr="00733672">
        <w:trPr>
          <w:trHeight w:val="20"/>
          <w:jc w:val="center"/>
        </w:trPr>
        <w:tc>
          <w:tcPr>
            <w:tcW w:w="4753" w:type="dxa"/>
            <w:shd w:val="clear" w:color="auto" w:fill="808080" w:themeFill="background1" w:themeFillShade="80"/>
          </w:tcPr>
          <w:p w14:paraId="367450C9" w14:textId="77777777" w:rsidR="00FB015E" w:rsidRPr="0012597A" w:rsidRDefault="00FB015E" w:rsidP="00EF1C7F">
            <w:pPr>
              <w:spacing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Texto actual</w:t>
            </w:r>
          </w:p>
        </w:tc>
        <w:tc>
          <w:tcPr>
            <w:tcW w:w="4753" w:type="dxa"/>
            <w:shd w:val="clear" w:color="auto" w:fill="808080" w:themeFill="background1" w:themeFillShade="80"/>
          </w:tcPr>
          <w:p w14:paraId="274C0603" w14:textId="77777777" w:rsidR="00FB015E" w:rsidRPr="0012597A" w:rsidRDefault="00FB015E" w:rsidP="00EF1C7F">
            <w:pPr>
              <w:spacing w:line="240" w:lineRule="auto"/>
              <w:jc w:val="center"/>
              <w:rPr>
                <w:rFonts w:ascii="Times New Roman" w:hAnsi="Times New Roman" w:cs="Times New Roman"/>
                <w:b/>
                <w:bCs/>
                <w:sz w:val="24"/>
                <w:szCs w:val="24"/>
              </w:rPr>
            </w:pPr>
            <w:r w:rsidRPr="0012597A">
              <w:rPr>
                <w:rFonts w:ascii="Times New Roman" w:hAnsi="Times New Roman" w:cs="Times New Roman"/>
                <w:b/>
                <w:bCs/>
                <w:sz w:val="24"/>
                <w:szCs w:val="24"/>
              </w:rPr>
              <w:t>Texto Propuesto</w:t>
            </w:r>
          </w:p>
        </w:tc>
      </w:tr>
      <w:tr w:rsidR="00FB015E" w:rsidRPr="0012597A" w14:paraId="48000A1D" w14:textId="77777777" w:rsidTr="00733672">
        <w:trPr>
          <w:trHeight w:val="20"/>
          <w:jc w:val="center"/>
        </w:trPr>
        <w:tc>
          <w:tcPr>
            <w:tcW w:w="4753" w:type="dxa"/>
          </w:tcPr>
          <w:p w14:paraId="5CC235C3" w14:textId="77777777" w:rsidR="00FB015E" w:rsidRPr="0012597A" w:rsidRDefault="00FB015E" w:rsidP="00EF1C7F">
            <w:pPr>
              <w:spacing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Artículo 98.- …</w:t>
            </w:r>
          </w:p>
          <w:p w14:paraId="21956032" w14:textId="77777777" w:rsidR="00FB015E" w:rsidRPr="0012597A" w:rsidRDefault="00FB015E" w:rsidP="00EF1C7F">
            <w:pPr>
              <w:spacing w:line="240" w:lineRule="auto"/>
              <w:jc w:val="both"/>
              <w:rPr>
                <w:rFonts w:ascii="Times New Roman" w:hAnsi="Times New Roman" w:cs="Times New Roman"/>
                <w:bCs/>
                <w:sz w:val="24"/>
                <w:szCs w:val="24"/>
              </w:rPr>
            </w:pPr>
          </w:p>
          <w:p w14:paraId="7A981648" w14:textId="77777777" w:rsidR="00FB015E" w:rsidRPr="0012597A" w:rsidRDefault="00FB015E" w:rsidP="00EF1C7F">
            <w:pPr>
              <w:spacing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I. a II.</w:t>
            </w:r>
          </w:p>
          <w:p w14:paraId="379BCA3C" w14:textId="77777777" w:rsidR="00FB015E" w:rsidRPr="0012597A" w:rsidRDefault="00FB015E" w:rsidP="00EF1C7F">
            <w:pPr>
              <w:spacing w:line="240" w:lineRule="auto"/>
              <w:jc w:val="both"/>
              <w:rPr>
                <w:rFonts w:ascii="Times New Roman" w:hAnsi="Times New Roman" w:cs="Times New Roman"/>
                <w:bCs/>
                <w:sz w:val="24"/>
                <w:szCs w:val="24"/>
              </w:rPr>
            </w:pPr>
          </w:p>
          <w:p w14:paraId="6EAA1FDC" w14:textId="77777777" w:rsidR="00FB015E" w:rsidRPr="0012597A" w:rsidRDefault="00FB015E" w:rsidP="00EF1C7F">
            <w:pPr>
              <w:spacing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 xml:space="preserve">III. </w:t>
            </w:r>
            <w:r w:rsidRPr="0012597A">
              <w:rPr>
                <w:rFonts w:ascii="Times New Roman" w:hAnsi="Times New Roman" w:cs="Times New Roman"/>
                <w:sz w:val="24"/>
                <w:szCs w:val="24"/>
              </w:rPr>
              <w:t>Pagar oportunamente los sueldos devengados por los servidores públicos;</w:t>
            </w:r>
          </w:p>
          <w:p w14:paraId="0F952061" w14:textId="77777777" w:rsidR="00FB015E" w:rsidRPr="0012597A" w:rsidRDefault="00FB015E" w:rsidP="00EF1C7F">
            <w:pPr>
              <w:spacing w:line="240" w:lineRule="auto"/>
              <w:jc w:val="both"/>
              <w:rPr>
                <w:rFonts w:ascii="Times New Roman" w:hAnsi="Times New Roman" w:cs="Times New Roman"/>
                <w:bCs/>
                <w:sz w:val="24"/>
                <w:szCs w:val="24"/>
              </w:rPr>
            </w:pPr>
          </w:p>
          <w:p w14:paraId="6707DA9D" w14:textId="77777777" w:rsidR="00FB015E" w:rsidRPr="0012597A" w:rsidRDefault="00FB015E" w:rsidP="00EF1C7F">
            <w:pPr>
              <w:spacing w:line="240" w:lineRule="auto"/>
              <w:jc w:val="both"/>
              <w:rPr>
                <w:rFonts w:ascii="Times New Roman" w:hAnsi="Times New Roman" w:cs="Times New Roman"/>
                <w:bCs/>
                <w:sz w:val="24"/>
                <w:szCs w:val="24"/>
              </w:rPr>
            </w:pPr>
          </w:p>
          <w:p w14:paraId="335AADC6" w14:textId="77777777" w:rsidR="00FB015E" w:rsidRPr="0012597A" w:rsidRDefault="00FB015E" w:rsidP="00EF1C7F">
            <w:pPr>
              <w:spacing w:line="240" w:lineRule="auto"/>
              <w:jc w:val="both"/>
              <w:rPr>
                <w:rFonts w:ascii="Times New Roman" w:hAnsi="Times New Roman" w:cs="Times New Roman"/>
                <w:bCs/>
                <w:sz w:val="24"/>
                <w:szCs w:val="24"/>
              </w:rPr>
            </w:pPr>
          </w:p>
          <w:p w14:paraId="38C95E9F" w14:textId="77777777" w:rsidR="00FB015E" w:rsidRPr="0012597A" w:rsidRDefault="00FB015E" w:rsidP="00EF1C7F">
            <w:pPr>
              <w:spacing w:line="240" w:lineRule="auto"/>
              <w:jc w:val="both"/>
              <w:rPr>
                <w:rFonts w:ascii="Times New Roman" w:hAnsi="Times New Roman" w:cs="Times New Roman"/>
                <w:bCs/>
                <w:sz w:val="24"/>
                <w:szCs w:val="24"/>
              </w:rPr>
            </w:pPr>
          </w:p>
          <w:p w14:paraId="485592C5" w14:textId="77777777" w:rsidR="00FB015E" w:rsidRPr="0012597A" w:rsidRDefault="00FB015E" w:rsidP="00EF1C7F">
            <w:pPr>
              <w:spacing w:line="240" w:lineRule="auto"/>
              <w:jc w:val="both"/>
              <w:rPr>
                <w:rFonts w:ascii="Times New Roman" w:hAnsi="Times New Roman" w:cs="Times New Roman"/>
                <w:bCs/>
                <w:sz w:val="24"/>
                <w:szCs w:val="24"/>
              </w:rPr>
            </w:pPr>
          </w:p>
          <w:p w14:paraId="15EC5D0C" w14:textId="77777777" w:rsidR="00FB015E" w:rsidRPr="0012597A" w:rsidRDefault="00FB015E" w:rsidP="00EF1C7F">
            <w:pPr>
              <w:spacing w:line="240" w:lineRule="auto"/>
              <w:jc w:val="both"/>
              <w:rPr>
                <w:rFonts w:ascii="Times New Roman" w:hAnsi="Times New Roman" w:cs="Times New Roman"/>
                <w:bCs/>
                <w:sz w:val="24"/>
                <w:szCs w:val="24"/>
              </w:rPr>
            </w:pPr>
          </w:p>
          <w:p w14:paraId="27BA41CB" w14:textId="77777777" w:rsidR="00FB015E" w:rsidRPr="0012597A" w:rsidRDefault="00FB015E" w:rsidP="00EF1C7F">
            <w:pPr>
              <w:spacing w:line="240" w:lineRule="auto"/>
              <w:jc w:val="both"/>
              <w:rPr>
                <w:rFonts w:ascii="Times New Roman" w:hAnsi="Times New Roman" w:cs="Times New Roman"/>
                <w:sz w:val="24"/>
                <w:szCs w:val="24"/>
              </w:rPr>
            </w:pPr>
            <w:r w:rsidRPr="0012597A">
              <w:rPr>
                <w:rFonts w:ascii="Times New Roman" w:hAnsi="Times New Roman" w:cs="Times New Roman"/>
                <w:bCs/>
                <w:sz w:val="24"/>
                <w:szCs w:val="24"/>
              </w:rPr>
              <w:t>IV. a XXI.</w:t>
            </w:r>
          </w:p>
        </w:tc>
        <w:tc>
          <w:tcPr>
            <w:tcW w:w="4753" w:type="dxa"/>
          </w:tcPr>
          <w:p w14:paraId="2F7AD792" w14:textId="77777777" w:rsidR="00FB015E" w:rsidRPr="0012597A" w:rsidRDefault="00FB015E" w:rsidP="00EF1C7F">
            <w:pPr>
              <w:spacing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lastRenderedPageBreak/>
              <w:t>Artículo 6.- …</w:t>
            </w:r>
          </w:p>
          <w:p w14:paraId="16ACD92E" w14:textId="77777777" w:rsidR="00FB015E" w:rsidRPr="0012597A" w:rsidRDefault="00FB015E" w:rsidP="00EF1C7F">
            <w:pPr>
              <w:spacing w:line="240" w:lineRule="auto"/>
              <w:jc w:val="both"/>
              <w:rPr>
                <w:rFonts w:ascii="Times New Roman" w:hAnsi="Times New Roman" w:cs="Times New Roman"/>
                <w:bCs/>
                <w:sz w:val="24"/>
                <w:szCs w:val="24"/>
              </w:rPr>
            </w:pPr>
          </w:p>
          <w:p w14:paraId="001464B9" w14:textId="77777777" w:rsidR="00FB015E" w:rsidRPr="0012597A" w:rsidRDefault="00FB015E" w:rsidP="00EF1C7F">
            <w:pPr>
              <w:spacing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I. a II.</w:t>
            </w:r>
          </w:p>
          <w:p w14:paraId="2968CABA" w14:textId="77777777" w:rsidR="00FB015E" w:rsidRPr="0012597A" w:rsidRDefault="00FB015E" w:rsidP="00EF1C7F">
            <w:pPr>
              <w:spacing w:line="240" w:lineRule="auto"/>
              <w:jc w:val="both"/>
              <w:rPr>
                <w:rFonts w:ascii="Times New Roman" w:hAnsi="Times New Roman" w:cs="Times New Roman"/>
                <w:sz w:val="24"/>
                <w:szCs w:val="24"/>
              </w:rPr>
            </w:pPr>
          </w:p>
          <w:p w14:paraId="3435F9EB" w14:textId="77777777" w:rsidR="00FB015E" w:rsidRPr="0012597A" w:rsidRDefault="00FB015E" w:rsidP="00EF1C7F">
            <w:pPr>
              <w:spacing w:line="240" w:lineRule="auto"/>
              <w:jc w:val="both"/>
              <w:rPr>
                <w:rFonts w:ascii="Times New Roman" w:hAnsi="Times New Roman" w:cs="Times New Roman"/>
                <w:b/>
                <w:sz w:val="24"/>
                <w:szCs w:val="24"/>
              </w:rPr>
            </w:pPr>
            <w:r w:rsidRPr="0012597A">
              <w:rPr>
                <w:rFonts w:ascii="Times New Roman" w:hAnsi="Times New Roman" w:cs="Times New Roman"/>
                <w:b/>
                <w:sz w:val="24"/>
                <w:szCs w:val="24"/>
              </w:rPr>
              <w:t xml:space="preserve">III. Eliminar la brecha salarial de género; se promoverán acciones para erradicar las prácticas retributivas desiguales y garantizar la igualdad sustantiva, de conformidad con lo dispuesto en la Ley de Igualdad de Trato y Oportunidades entre Mujeres y Hombres del Estado de México. </w:t>
            </w:r>
          </w:p>
          <w:p w14:paraId="15C18444" w14:textId="77777777" w:rsidR="00FB015E" w:rsidRPr="0012597A" w:rsidRDefault="00FB015E" w:rsidP="00EF1C7F">
            <w:pPr>
              <w:spacing w:line="240" w:lineRule="auto"/>
              <w:jc w:val="both"/>
              <w:rPr>
                <w:rFonts w:ascii="Times New Roman" w:hAnsi="Times New Roman" w:cs="Times New Roman"/>
                <w:sz w:val="24"/>
                <w:szCs w:val="24"/>
              </w:rPr>
            </w:pPr>
          </w:p>
          <w:p w14:paraId="3BFBDAA7" w14:textId="77777777" w:rsidR="00FB015E" w:rsidRPr="0012597A" w:rsidRDefault="00FB015E" w:rsidP="00EF1C7F">
            <w:pPr>
              <w:spacing w:line="240" w:lineRule="auto"/>
              <w:jc w:val="both"/>
              <w:rPr>
                <w:rFonts w:ascii="Times New Roman" w:hAnsi="Times New Roman" w:cs="Times New Roman"/>
                <w:bCs/>
                <w:sz w:val="24"/>
                <w:szCs w:val="24"/>
              </w:rPr>
            </w:pPr>
            <w:r w:rsidRPr="0012597A">
              <w:rPr>
                <w:rFonts w:ascii="Times New Roman" w:hAnsi="Times New Roman" w:cs="Times New Roman"/>
                <w:bCs/>
                <w:sz w:val="24"/>
                <w:szCs w:val="24"/>
              </w:rPr>
              <w:t xml:space="preserve">IV. a XXII. </w:t>
            </w:r>
          </w:p>
        </w:tc>
      </w:tr>
    </w:tbl>
    <w:p w14:paraId="1066A1D7" w14:textId="77777777" w:rsidR="00FB015E" w:rsidRPr="0012597A" w:rsidRDefault="00FB015E" w:rsidP="00EF1C7F">
      <w:pPr>
        <w:spacing w:after="0" w:line="240" w:lineRule="auto"/>
        <w:jc w:val="center"/>
        <w:rPr>
          <w:rFonts w:ascii="Times New Roman" w:hAnsi="Times New Roman"/>
          <w:sz w:val="24"/>
          <w:szCs w:val="24"/>
        </w:rPr>
      </w:pPr>
    </w:p>
    <w:p w14:paraId="4C5B644F" w14:textId="77777777" w:rsidR="00FB015E" w:rsidRPr="0012597A" w:rsidRDefault="00FB015E"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6924152C" w14:textId="77777777" w:rsidR="00FB015E" w:rsidRPr="0012597A" w:rsidRDefault="00FB015E" w:rsidP="00EF1C7F">
      <w:pPr>
        <w:spacing w:after="0" w:line="240" w:lineRule="auto"/>
        <w:jc w:val="center"/>
        <w:rPr>
          <w:rFonts w:ascii="Times New Roman" w:hAnsi="Times New Roman"/>
          <w:sz w:val="24"/>
          <w:szCs w:val="24"/>
        </w:rPr>
      </w:pPr>
    </w:p>
    <w:p w14:paraId="7E10A55F" w14:textId="58CBCC21"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DIP. MARTHA AZUCENA CAMACHO REYNOSO. Gracias diputada Zaira Cedillo Silva.</w:t>
      </w:r>
    </w:p>
    <w:p w14:paraId="5FA52E29"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Se registra la iniciativa y se remite a las Comisiones Legislativas Para la Igualdad de Género y de Trabajo, Previsión Social y Seguridad Social para su estudio y dictamen. </w:t>
      </w:r>
    </w:p>
    <w:p w14:paraId="5EE8D673" w14:textId="44F0D65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cuanto al punto número 13, el diputado Valentín Martínez Castillo presenta, en nombre del Grupo Parlamentario del Partido morena, Iniciativa con Proyecto de Decreto por el que se reforman y adicionan diversas disposiciones de la Ley Orgánica Municipal del Estado de México en materia de modernización, validez jurídica y difusión electrónica de la Gaceta Municipal.</w:t>
      </w:r>
    </w:p>
    <w:p w14:paraId="2577E7C6"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DIP. VALENTÍN MARTÍNEZ CASTILLO. Gracias. Nuevamente estoy entre ustedes y comparezco ante este Pleno, gracias. </w:t>
      </w:r>
    </w:p>
    <w:p w14:paraId="0403634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Hace unos minutos me preguntaron mis compañeros que si no iba a responder al comentario que me hizo la diputada Itzel y les decía que no, finalmente están en su derecho de hacer cualquier tipo de señalamiento, de circunstancia, solamente faltan los datos correctos y de ahí, bueno, es importante, creo que se tome en cuenta que ningún gobierno saliente será juzgado por un gobierno entrante y nunca sucederá, cuando uno toma protesta lo que lo que firmemente se declara, es que si se hace bien o si se hace mal, el pueblo se lo demandará y creo que es importante que se haga una revisión de cómo se han hecho las cosas. </w:t>
      </w:r>
    </w:p>
    <w:p w14:paraId="11049E85"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Al final, las familias tienen el pulso más claro, nosotros como legisladores podemos observar las cosas desde un punto de vista diferente, observar las regiones, observar los municipios, tener un criterio, posiblemente estemos de acuerdo o no, pero el Pueblo tiene el pulso exacto de las cosas y ellos pueden determinar qué es lo que se hace en ese sentido y para eso es importante que se revise tan solo lo que acaba de publicar el OSFEM y el OSFEM dijo que hay de parte del DIF de Ozumba exactamente 1.6 millones que estaban preguntando cómo se dieron y éstos los ocultaron abajo de la alfombra y está señalado en el tema del OSFEM, hay que revisar las noticias de ADN Noticias, dónde publica cuál es el manejo que se está dando. </w:t>
      </w:r>
    </w:p>
    <w:p w14:paraId="7942143A"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Creo que es importante educar a los nuevos presidentes municipales y que hagan un buen trabajo para que se pueda decir que se representa verdaderamente los valores, los principios que rigen la 4ª Transformación, no tenemos nada en contra de nadie, soy respetuoso de los comentarios, no es la primera vez que se increpa en la en el asesinato y desaparición de una señorita de Ozumba, también se hizo la misma circunstancia, guardé silencio y dije no estamos en disposición, porque entiendo que los legisladores estamos aquí para ser pacificadores; el pueblo, ya tiene demasiada ira, demasiada cólera, hay demasiados señalamientos y tenemos que ponernos a la altura de las circunstancias y tenemos que buscar como legisladores dar buenas respuestas, yo no vengo aquí a modelar, vengo a ser útil y vengo a trabajar para hacer las cosas de una manera respetuosa siempre.</w:t>
      </w:r>
    </w:p>
    <w:p w14:paraId="770EF2F2" w14:textId="54DDF5FF"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 xml:space="preserve">Tengo una idea muy clara de lo que se tiene que hacer con el pueblo y del por qué se sostuvo un proyecto de la </w:t>
      </w:r>
      <w:r w:rsidR="004A5250" w:rsidRPr="0012597A">
        <w:rPr>
          <w:rFonts w:ascii="Times New Roman" w:hAnsi="Times New Roman" w:cs="Times New Roman"/>
          <w:color w:val="FF0000"/>
          <w:sz w:val="24"/>
          <w:szCs w:val="24"/>
        </w:rPr>
        <w:t>Cuarta</w:t>
      </w:r>
      <w:r w:rsidRPr="0012597A">
        <w:rPr>
          <w:rFonts w:ascii="Times New Roman" w:hAnsi="Times New Roman" w:cs="Times New Roman"/>
          <w:color w:val="FF0000"/>
          <w:sz w:val="24"/>
          <w:szCs w:val="24"/>
        </w:rPr>
        <w:t xml:space="preserve"> Transformación. ¿Por qué estaban hartos del régimen antiguo? Que llegaban este de una manera despectiva, que veían al pueblo por debajo del hombro, que actuaban como si tuviéramos que hacerles reverencia y no era lo correcto, no sustituimos a unos déspotas por otros. </w:t>
      </w:r>
    </w:p>
    <w:p w14:paraId="138B341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El gobierno tiene que estar siempre allegado al pueblo y trabajar de la mano con él, ese es el objetivo, sin el afán de generar más polémica y respetando siempre los comentarios, que diputada Itzel, mis respetos para usted siempre.</w:t>
      </w:r>
    </w:p>
    <w:p w14:paraId="5E5AFC4C"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Con el permiso de la Mesa, con su venia, querida Presidenta diputada Martha Azucena Camacho Reynoso.</w:t>
      </w:r>
    </w:p>
    <w:p w14:paraId="638DDF8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Diputadas, diputados, integrantes de la Mesa Directiva.</w:t>
      </w:r>
    </w:p>
    <w:p w14:paraId="54C60C4C"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Compañeras, compañeros diputados todos, saludo a los representantes de los medios de comunicación que cubren esta fuente, así como a quienes nos siguen por las diferentes plataformas digitales de esta Legislatura. </w:t>
      </w:r>
    </w:p>
    <w:p w14:paraId="4CD2A4E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Acudo a esta tribuna a nombre del Grupo Parlamentario de morena para presentar una iniciativa que responde al compromiso de nuestro movimiento con la transformación de la vida pública, representando un paso firme hacia la modernización, la transparencia y la eficiencia en el ámbito municipal del Estado de México. </w:t>
      </w:r>
    </w:p>
    <w:p w14:paraId="480D6EAA"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Fíjense que esta propuesta tiene un antecedente claro en la reforma impulsada por nuestra Gobernadora me refiero a la Maestra Delfina Gómez Álvarez para la digitalización del periódico oficial “Gaceta del Gobierno”, la cual marcó un parteaguas en la simplificación de trámites, hoy lo que lo que proponemos es armonizar ese avance con la vida municipal, no podemos seguir sosteniendo un modelo en la Gaceta Municipal que dependa de impresiones limitadas e inaccesibles, que solo se coloque en los estrados de un de un municipio o de alguna Secretaría. </w:t>
      </w:r>
    </w:p>
    <w:p w14:paraId="465B3870" w14:textId="77777777" w:rsidR="00791E2D" w:rsidRPr="0012597A" w:rsidRDefault="00791E2D" w:rsidP="00EF1C7F">
      <w:pPr>
        <w:pStyle w:val="Sinespaciado"/>
        <w:shd w:val="clear" w:color="auto" w:fill="FFFFFF" w:themeFill="background1"/>
        <w:jc w:val="both"/>
        <w:rPr>
          <w:rFonts w:ascii="Times New Roman" w:hAnsi="Times New Roman" w:cs="Times New Roman"/>
          <w:color w:val="FF0000"/>
          <w:sz w:val="24"/>
          <w:szCs w:val="24"/>
        </w:rPr>
      </w:pPr>
      <w:r w:rsidRPr="0012597A">
        <w:rPr>
          <w:rFonts w:ascii="Times New Roman" w:hAnsi="Times New Roman" w:cs="Times New Roman"/>
          <w:color w:val="00B050"/>
          <w:sz w:val="24"/>
          <w:szCs w:val="24"/>
        </w:rPr>
        <w:tab/>
      </w:r>
      <w:r w:rsidRPr="0012597A">
        <w:rPr>
          <w:rFonts w:ascii="Times New Roman" w:hAnsi="Times New Roman" w:cs="Times New Roman"/>
          <w:color w:val="FF0000"/>
          <w:sz w:val="24"/>
          <w:szCs w:val="24"/>
        </w:rPr>
        <w:t>La realidad es que hoy ya se consulta todo de manera digital, pero al no tener reconocimiento legal pleno, su valor es meramente informativo, generando incertidumbre jurídica; e</w:t>
      </w:r>
      <w:r w:rsidRPr="0012597A">
        <w:rPr>
          <w:rFonts w:ascii="Times New Roman" w:hAnsi="Times New Roman" w:cs="Times New Roman"/>
          <w:color w:val="FF0000"/>
          <w:sz w:val="24"/>
          <w:szCs w:val="24"/>
          <w:shd w:val="clear" w:color="auto" w:fill="FFFFFF"/>
        </w:rPr>
        <w:t>sta</w:t>
      </w:r>
      <w:r w:rsidRPr="0012597A">
        <w:rPr>
          <w:rFonts w:ascii="Times New Roman" w:hAnsi="Times New Roman" w:cs="Times New Roman"/>
          <w:color w:val="FF0000"/>
          <w:sz w:val="24"/>
          <w:szCs w:val="24"/>
        </w:rPr>
        <w:t xml:space="preserve"> iniciativa corrige esta contradicción al proponer que la Gaceta Municipal, en su versión electrónica tenga plena validez jurídica, siempre que sea validada mediante firma electrónica o sello digital por el Secretario del Ayuntamiento. </w:t>
      </w:r>
    </w:p>
    <w:p w14:paraId="349101DF"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Para lograrlo, planteamos reformar y adicionar disposiciones claves de la Ley Orgánica Municipal, en el artículo 30 establecemos que la difusión de los acuerdos de Cabildo se realice en formato electrónico con validez de documento público.</w:t>
      </w:r>
    </w:p>
    <w:p w14:paraId="3A01920B"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el artículo 31 redefinimos la atribución del Ayuntamiento para privilegiar este formato digital con el mismo valor probatorio que el impreso.</w:t>
      </w:r>
    </w:p>
    <w:p w14:paraId="694C7527"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Por su parte, los artículos 48 y 165 precisan que la publicación electrónica será un requisito indispensable para que bandos, reglamentos y disposiciones de observancia general produzcan efectos jurídicos y entren en vigor.</w:t>
      </w:r>
    </w:p>
    <w:p w14:paraId="35374C1C"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Finalmente, los artículos 91 y 160 fortalecen la responsabilidad del secretario en la autenticidad de los documentos y aseguran su máxima difusión y publicidad. </w:t>
      </w:r>
    </w:p>
    <w:p w14:paraId="256F9A14"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Esta propuesta se enmarca en el Plan de Desarrollo del Estado de México 2023-2029, bajo el Eje de Cero Corrupción y Gobierno del Pueblo; con ello, garantizamos certeza jurídica, fortalecemos el principio de máxima publicidad y avanzamos hacia una administración más austera, eficiente y sustentable.</w:t>
      </w:r>
    </w:p>
    <w:p w14:paraId="4576A4D1"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Estamos ante una reforma que reconoce una realidad que ya existe pero que hoy carece de sustento legal, estamos ante una iniciativa que acerca el gobierno a la gente, porque gobernar también es informar de manera accesible y digital. </w:t>
      </w:r>
    </w:p>
    <w:p w14:paraId="739DBE90"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 xml:space="preserve">Por lo anteriormente expuesto, someto a la consideración de esta Soberanía la presente Iniciativa con Proyecto de Decreto solicitando a nuestra Presidencia se registre en sus términos, </w:t>
      </w:r>
      <w:r w:rsidRPr="0012597A">
        <w:rPr>
          <w:rFonts w:ascii="Times New Roman" w:hAnsi="Times New Roman" w:cs="Times New Roman"/>
          <w:color w:val="FF0000"/>
          <w:sz w:val="24"/>
          <w:szCs w:val="24"/>
        </w:rPr>
        <w:lastRenderedPageBreak/>
        <w:t xml:space="preserve">sea inscrita en la Gaceta Parlamentaria y el Diario de Debates y se le dé trámite legislativo y reglamentario aplicable. </w:t>
      </w:r>
    </w:p>
    <w:p w14:paraId="05A495F3"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Es cuanto querida Presidenta. Gracias.</w:t>
      </w:r>
    </w:p>
    <w:p w14:paraId="190145EE" w14:textId="77777777" w:rsidR="00B32505" w:rsidRPr="0012597A" w:rsidRDefault="00B32505" w:rsidP="00EF1C7F">
      <w:pPr>
        <w:pStyle w:val="Sinespaciado"/>
        <w:jc w:val="both"/>
        <w:rPr>
          <w:rFonts w:ascii="Times New Roman" w:hAnsi="Times New Roman" w:cs="Times New Roman"/>
          <w:sz w:val="24"/>
          <w:szCs w:val="24"/>
        </w:rPr>
      </w:pPr>
    </w:p>
    <w:p w14:paraId="60E48424" w14:textId="77777777" w:rsidR="00B32505" w:rsidRPr="0012597A" w:rsidRDefault="00B32505"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39AE3A43" w14:textId="77777777" w:rsidR="00B32505" w:rsidRPr="0012597A" w:rsidRDefault="00B32505" w:rsidP="00EF1C7F">
      <w:pPr>
        <w:spacing w:after="0" w:line="240" w:lineRule="auto"/>
        <w:jc w:val="center"/>
        <w:rPr>
          <w:rFonts w:ascii="Times New Roman" w:hAnsi="Times New Roman"/>
          <w:sz w:val="24"/>
          <w:szCs w:val="24"/>
        </w:rPr>
      </w:pPr>
    </w:p>
    <w:p w14:paraId="687C31B0"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Dip. Valentín Martínez Castillo</w:t>
      </w:r>
    </w:p>
    <w:p w14:paraId="7F8B11F0"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Distrito XXVIII Amecameca</w:t>
      </w:r>
    </w:p>
    <w:p w14:paraId="153C1EB3"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p>
    <w:p w14:paraId="3E726BE7"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“2026. Año del Humanismo Mexicano en el Estado de México”</w:t>
      </w:r>
    </w:p>
    <w:p w14:paraId="46A26392"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5ED2AC08" w14:textId="77777777" w:rsidR="00B32505" w:rsidRPr="0012597A" w:rsidRDefault="00B32505" w:rsidP="00EF1C7F">
      <w:pPr>
        <w:widowControl w:val="0"/>
        <w:autoSpaceDE w:val="0"/>
        <w:autoSpaceDN w:val="0"/>
        <w:spacing w:after="0" w:line="240" w:lineRule="auto"/>
        <w:jc w:val="right"/>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Toluca de Lerdo, Méx., a 23 de enero de 2026.</w:t>
      </w:r>
    </w:p>
    <w:p w14:paraId="531EA07F"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9001010"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DIPUTADA</w:t>
      </w:r>
    </w:p>
    <w:p w14:paraId="72750D2D"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MARTHA AZUCENA CAMACHO REYNOSO</w:t>
      </w:r>
    </w:p>
    <w:p w14:paraId="0F876F9C"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PRESIDENTA DE LA H. “LXII” LEGISLATURA DEL</w:t>
      </w:r>
    </w:p>
    <w:p w14:paraId="59D17BAD"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CONGRESO DEL ESTADO DE MÉXICO</w:t>
      </w:r>
    </w:p>
    <w:p w14:paraId="54828B0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P R E S E N T E</w:t>
      </w:r>
    </w:p>
    <w:p w14:paraId="2F1CEDC1"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03D9C6E8"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VALENTÍN MARTÍNEZ CASTILLO</w:t>
      </w:r>
      <w:r w:rsidRPr="0012597A">
        <w:rPr>
          <w:rFonts w:ascii="Times New Roman" w:eastAsia="Microsoft Sans Serif" w:hAnsi="Times New Roman" w:cs="Times New Roman"/>
          <w:sz w:val="24"/>
          <w:szCs w:val="24"/>
        </w:rPr>
        <w:t xml:space="preserve">, Diputado Local por el Distrito 28 Amecameca e integrante del Grupo Parlamentario de </w:t>
      </w:r>
      <w:r w:rsidRPr="0012597A">
        <w:rPr>
          <w:rFonts w:ascii="Times New Roman" w:eastAsia="Microsoft Sans Serif" w:hAnsi="Times New Roman" w:cs="Times New Roman"/>
          <w:b/>
          <w:sz w:val="24"/>
          <w:szCs w:val="24"/>
        </w:rPr>
        <w:t xml:space="preserve">morena </w:t>
      </w:r>
      <w:r w:rsidRPr="0012597A">
        <w:rPr>
          <w:rFonts w:ascii="Times New Roman" w:eastAsia="Microsoft Sans Serif" w:hAnsi="Times New Roman" w:cs="Times New Roman"/>
          <w:sz w:val="24"/>
          <w:szCs w:val="24"/>
        </w:rPr>
        <w:t xml:space="preserve">en esta LXII Legislatura, con fundamento en lo dispuesto en los el artículo 61 fracción I de la Constitución Política del Estado Libre y Soberano de México, así como los artículos 23 fracción I y 57 fracción I de la Ley Orgánica del Poder Legislativo del Estado Libre y Soberano de México, así como 68 y demás relativos de su reglamento, someto a la consideración de esta Honorable Asamblea, la presente </w:t>
      </w:r>
      <w:r w:rsidRPr="0012597A">
        <w:rPr>
          <w:rFonts w:ascii="Times New Roman" w:eastAsia="Microsoft Sans Serif" w:hAnsi="Times New Roman" w:cs="Times New Roman"/>
          <w:b/>
          <w:sz w:val="24"/>
          <w:szCs w:val="24"/>
        </w:rPr>
        <w:t>INICIATIVA CON PROYECTO DE DECRETO POR EL QUE SE REFORMAN Y ADICIONAN DIVERSAS DISPOSICIONES DE LA LEY ORGÁNICA MUNICIPAL DEL ESTADO DE MÉXICO, EN MATERIA DE MODERNIZACIÓN, VALIDEZ JURÍDICA Y DIFUSIÓN ELECTRÓNICA DE LA GACETA MUNICIPAL</w:t>
      </w:r>
      <w:r w:rsidRPr="0012597A">
        <w:rPr>
          <w:rFonts w:ascii="Times New Roman" w:eastAsia="Microsoft Sans Serif" w:hAnsi="Times New Roman" w:cs="Times New Roman"/>
          <w:sz w:val="24"/>
          <w:szCs w:val="24"/>
        </w:rPr>
        <w:t>, con sustento en la siguiente:</w:t>
      </w:r>
    </w:p>
    <w:p w14:paraId="54B051D3"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B3FF78D" w14:textId="77777777" w:rsidR="00B32505" w:rsidRPr="0012597A" w:rsidRDefault="00B32505"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Exposición de Motivos</w:t>
      </w:r>
    </w:p>
    <w:p w14:paraId="3008A547"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56B97274"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En los últimos años, el Estado de México ha avanzado de manera sostenida en la modernización de su marco jurídico y administrativo, particularmente en lo relativo a los mecanismos de difusión oficial de los actos de autoridad. Este proceso responde a la necesidad de fortalecer la certeza jurídica, garantizar la máxima publicidad de las disposiciones normativas y ampliar el acceso efectivo de la población a la información pública, en congruencia con un modelo de gobierno cercano, transparente, austero y eficiente.</w:t>
      </w:r>
    </w:p>
    <w:p w14:paraId="2368A7E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0FF1C7F"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 xml:space="preserve">En este contexto, en el mes de mayo de dos mil veinticinco, nuestra gobernadora, la Maestra Delfina Gómez Álvarez, promovió y concretó la reforma a la Ley del Periódico Oficial “Gaceta del Gobierno” del Estado de México, sustentándola en el Plan de Desarrollo del Estado de México dos mil veintitrés a dos mil veintinueve, como instrumento rector de la planeación estatal. En la exposición de motivos de dicha reforma se enfatizó que la validez jurídica, la autenticidad y la obligatoriedad de los actos de autoridad no deben depender del soporte material de su publicación, sino de la integridad, accesibilidad y confiabilidad de los medios electrónicos mediante los cuales se difunden, privilegiando el uso de tecnologías de la información como herramienta para fortalecer el Estado de derecho, garantizar la máxima publicidad, ampliar el acceso efectivo de la población a la información pública y promover una administración pública más eficiente y responsable en el </w:t>
      </w:r>
      <w:r w:rsidRPr="0012597A">
        <w:rPr>
          <w:rFonts w:ascii="Times New Roman" w:eastAsia="Microsoft Sans Serif" w:hAnsi="Times New Roman" w:cs="Times New Roman"/>
          <w:sz w:val="24"/>
          <w:szCs w:val="24"/>
        </w:rPr>
        <w:lastRenderedPageBreak/>
        <w:t>uso de los recursos.</w:t>
      </w:r>
    </w:p>
    <w:p w14:paraId="55F4EF1B"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3085B6C7"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La reforma estatal antes referida, así como la iniciativa concurrente presentada por el Grupo Parlamentario de Movimiento de Regeneración Nacional y sus integrantes, entre quienes destaca el diputado Gerardo Pliego, coincidieron en señalar que la digitalización de los órganos oficiales de difusión constituye una medida estructural para consolidar un gobierno moderno, reducir cargas administrativas innecesarias, optimizar recursos públicos y avanzar hacia prácticas sostenibles y respetuosas del medio ambiente. Bajo estos mismos principios, la presente iniciativa no pretende reabrir ni duplicar la reforma ya realizada a la legislación estatal, sino armonizar el marco jurídico municipal para que las normas que regulan las publicaciones oficiales en el Estado de México se rijan por criterios homogéneos de legalidad, autenticidad, máxima publicidad, accesibilidad y certeza jurídica.</w:t>
      </w:r>
    </w:p>
    <w:p w14:paraId="14C1B8AD"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66D68A27"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En el ámbito municipal, la Ley Orgánica Municipal del Estado de México reconoce como atribución del ayuntamiento la edición y difusión de la Gaceta Municipal, y asigna al secretario del ayuntamiento la responsabilidad de su integración y publicación. Sin embargo, la regulación vigente no establece de manera expresa la primacía ni la validez jurídica plena de su versión electrónica. En la práctica administrativa, la mayoría de los municipios imprime únicamente un número simbólico de ejemplares de su Gaceta Municipal, destinados casi exclusivamente a su fijación en los estrados municipales, como un acto de carácter formal que no garantiza una difusión real ni efectiva. Paralelamente, un número cada vez más significativo de ayuntamientos ha optado por publicar la Gaceta Municipal en formato electrónico a través de sus páginas oficiales de internet, reconociendo que este medio resulta más accesible, inmediato y funcional para la ciudadanía.</w:t>
      </w:r>
    </w:p>
    <w:p w14:paraId="4F7EFB0B"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p>
    <w:p w14:paraId="5571BF05"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No obstante, al carecer de un reconocimiento legal expreso, estas publicaciones digitales conservan un carácter meramente informativo, lo que genera incertidumbre respecto de su vigencia, obligatoriedad y oponibilidad frente a terceros.</w:t>
      </w:r>
    </w:p>
    <w:p w14:paraId="07B9FD7C"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53E2949"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En este sentido, la reforma que se propone al artículo treinta de la Ley Orgánica Municipal del Estado de México atiende directamente esta problemática, al precisar que la difusión mensual de los acuerdos de cabildo deberá realizarse en la Gaceta Municipal en su versión electrónica, estableciendo de manera expresa que dicha versión tendrá validez legal y carácter de documento público cuando sea emitida por la Secretaría del Ayuntamiento y validada mediante firma electrónica avanzada o sello electrónico. Con ello, se fortalece la transparencia de las sesiones, se garantiza el acceso oportuno a los acuerdos y al sentido de la votación de las y los integrantes del ayuntamiento, y se dota de certeza jurídica a los documentos electrónicos que integran las actas, incluidas las versiones estenográficas o videograbadas que deberán estar disponibles en los portales oficiales. Asimismo, se prevé la impresión de un número limitado de ejemplares físicos de la Gaceta Municipal exclusivamente para efectos de evidencia documental y para garantizar la continuidad de la publicación en casos de fuerza mayor, superando el esquema actual de impresión simbólica y reconociendo al formato electrónico como el medio principal y preferente de difusión oficial.</w:t>
      </w:r>
    </w:p>
    <w:p w14:paraId="3CC28194"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CF1DD1E"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 xml:space="preserve">En concordancia con lo anterior, la modificación al artículo treinta y uno redefine la atribución del ayuntamiento para editar, publicar y difundir la Gaceta Municipal como órgano oficial de comunicación gubernamental, estableciendo de manera expresa que su edición electrónica, debidamente firmada digitalmente por la autoridad facultada, tendrá el mismo valor jurídico y probatorio que la versión impresa para todos los efectos legales, administrativos y judiciales. Esta </w:t>
      </w:r>
      <w:r w:rsidRPr="0012597A">
        <w:rPr>
          <w:rFonts w:ascii="Times New Roman" w:eastAsia="Microsoft Sans Serif" w:hAnsi="Times New Roman" w:cs="Times New Roman"/>
          <w:sz w:val="24"/>
          <w:szCs w:val="24"/>
        </w:rPr>
        <w:lastRenderedPageBreak/>
        <w:t>disposición consolida a la Gaceta Municipal electrónica como el instrumento oficial para la difusión de los acuerdos de cabildo y de los actos de interés público, alineando el ámbito municipal con los estándares ya adoptados en el orden estatal.</w:t>
      </w:r>
    </w:p>
    <w:p w14:paraId="35BC6CE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18AB1C82"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La reforma al artículo cuarenta y ocho fortalece la entrada en vigor del Bando Municipal, los reglamentos y las normas de carácter general, al establecer con claridad que su publicación electrónica en la Gaceta Municipal constituye el medio idóneo para su difusión y obligatoriedad, reforzando la certeza jurídica y eliminando ambigüedades respecto de los efectos legales de las disposiciones municipales.</w:t>
      </w:r>
    </w:p>
    <w:p w14:paraId="77717659"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6D62D57"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Por su parte, la modificación al artículo noventa y uno precisa las atribuciones del secretario del ayuntamiento como responsable de la edición, publicación y difusión de la Gaceta Municipal, incorporando la obligación de validar su versión electrónica mediante firma electrónica avanzada o sello electrónico, en términos de la legislación aplicable en materia de gobierno digital. Con ello, se garantiza la autenticidad, integridad e inalterabilidad del contenido publicado, dotando de plena confianza jurídica a los actos difundidos por este medio.</w:t>
      </w:r>
    </w:p>
    <w:p w14:paraId="719649E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2D9F1BCF"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En lo relativo a los artículos ciento sesenta y ciento sesenta y cinco, la reforma establece de manera expresa que la publicación del Bando Municipal, sus reformas, los reglamentos, los acuerdos y demás disposiciones de observancia general en la Gaceta Municipal electrónica será requisito indispensable para que produzcan efectos jurídicos vinculantes frente a los particulares. Esta precisión resulta fundamental para cerrar vacíos normativos, prevenir controversias y dotar de plena certeza jurídica a la actuación municipal, sin impedir que dichos instrumentos se difundan adicionalmente por otros medios para su mayor conocimiento por parte de la población.</w:t>
      </w:r>
    </w:p>
    <w:p w14:paraId="4BFAA0D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68F99E10"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A efecto de dotar de plena claridad, congruencia normativa y transparencia legislativa al alcance de la presente iniciativa, se incorpora el cuadro comparativo correspondiente, en el cual se confronta el texto vigente de la Ley Orgánica Municipal del Estado de México con la propuesta de reforma, permitiendo identificar de manera precisa las modificaciones planteadas, su finalidad jurídica y su vinculación directa con los principios de máxima publicidad, certeza jurídica, autenticidad documental y gobierno digital que sustentan esta reforma. Dicho ejercicio comparativo acredita que las modificaciones propuestas no alteran la estructura esencial del ordenamiento, sino que actualizan y armonizan sus disposiciones para reconocer expresamente la validez jurídica de las publicaciones electrónicas oficiales y fortalecer la eficacia de los actos municipales frente a la ciudadanía.</w:t>
      </w:r>
    </w:p>
    <w:p w14:paraId="4B31C7F8"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tbl>
      <w:tblPr>
        <w:tblStyle w:val="TableNormal1"/>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6"/>
        <w:gridCol w:w="4649"/>
      </w:tblGrid>
      <w:tr w:rsidR="00B32505" w:rsidRPr="0012597A" w14:paraId="5ABC6CBA" w14:textId="77777777" w:rsidTr="004520A8">
        <w:trPr>
          <w:trHeight w:val="20"/>
          <w:jc w:val="center"/>
        </w:trPr>
        <w:tc>
          <w:tcPr>
            <w:tcW w:w="4646" w:type="dxa"/>
            <w:tcBorders>
              <w:bottom w:val="double" w:sz="6" w:space="0" w:color="000000"/>
              <w:right w:val="double" w:sz="6" w:space="0" w:color="000000"/>
            </w:tcBorders>
            <w:shd w:val="clear" w:color="auto" w:fill="990033"/>
          </w:tcPr>
          <w:p w14:paraId="4FD14E1C" w14:textId="77777777" w:rsidR="00B32505" w:rsidRPr="0012597A" w:rsidRDefault="00B32505" w:rsidP="00EF1C7F">
            <w:pPr>
              <w:spacing w:line="240" w:lineRule="auto"/>
              <w:jc w:val="center"/>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color w:val="FFFFFF"/>
                <w:sz w:val="24"/>
                <w:szCs w:val="24"/>
                <w:lang w:val="es-MX"/>
              </w:rPr>
              <w:t>Texto Vigente</w:t>
            </w:r>
          </w:p>
        </w:tc>
        <w:tc>
          <w:tcPr>
            <w:tcW w:w="4649" w:type="dxa"/>
            <w:tcBorders>
              <w:left w:val="double" w:sz="6" w:space="0" w:color="000000"/>
              <w:bottom w:val="double" w:sz="6" w:space="0" w:color="000000"/>
            </w:tcBorders>
            <w:shd w:val="clear" w:color="auto" w:fill="990033"/>
          </w:tcPr>
          <w:p w14:paraId="2BAE59EC" w14:textId="77777777" w:rsidR="00B32505" w:rsidRPr="0012597A" w:rsidRDefault="00B32505" w:rsidP="00EF1C7F">
            <w:pPr>
              <w:spacing w:line="240" w:lineRule="auto"/>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color w:val="FFFFFF"/>
                <w:sz w:val="24"/>
                <w:szCs w:val="24"/>
                <w:lang w:val="es-MX"/>
              </w:rPr>
              <w:t>Propuesta de Reforma</w:t>
            </w:r>
          </w:p>
        </w:tc>
      </w:tr>
      <w:tr w:rsidR="00E01273" w:rsidRPr="0012597A" w14:paraId="6850F7CA" w14:textId="77777777" w:rsidTr="004520A8">
        <w:trPr>
          <w:trHeight w:val="20"/>
          <w:jc w:val="center"/>
        </w:trPr>
        <w:tc>
          <w:tcPr>
            <w:tcW w:w="4646" w:type="dxa"/>
            <w:tcBorders>
              <w:top w:val="double" w:sz="6" w:space="0" w:color="000000"/>
              <w:right w:val="double" w:sz="6" w:space="0" w:color="000000"/>
            </w:tcBorders>
          </w:tcPr>
          <w:p w14:paraId="09A40C0B" w14:textId="7777777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30. </w:t>
            </w:r>
            <w:r w:rsidRPr="0012597A">
              <w:rPr>
                <w:rFonts w:ascii="Times New Roman" w:eastAsia="Microsoft Sans Serif" w:hAnsi="Times New Roman" w:cs="Times New Roman"/>
                <w:sz w:val="24"/>
                <w:szCs w:val="24"/>
                <w:lang w:val="es-MX"/>
              </w:rPr>
              <w:t xml:space="preserve">Las sesiones del ayuntamiento serán presididas por el presidente municipal o por quien lo sustituya legalmente; constarán en un libro que deberá contener las actas en las cuales deberán asentarse los extractos de los acuerdos y asuntos tratados y el resultado de la votación. Cuando se refieran a reglamentos y otras normas de carácter general que sean de observancia municipal estos constarán íntegramente en el libro de actas debiendo firmar en ambos casos los miembros del Ayuntamiento </w:t>
            </w:r>
            <w:r w:rsidRPr="0012597A">
              <w:rPr>
                <w:rFonts w:ascii="Times New Roman" w:eastAsia="Microsoft Sans Serif" w:hAnsi="Times New Roman" w:cs="Times New Roman"/>
                <w:sz w:val="24"/>
                <w:szCs w:val="24"/>
                <w:lang w:val="es-MX"/>
              </w:rPr>
              <w:lastRenderedPageBreak/>
              <w:t xml:space="preserve">que hayan estado presentes, debiéndose difundir en el 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w:t>
            </w:r>
            <w:proofErr w:type="gramStart"/>
            <w:r w:rsidRPr="0012597A">
              <w:rPr>
                <w:rFonts w:ascii="Times New Roman" w:eastAsia="Microsoft Sans Serif" w:hAnsi="Times New Roman" w:cs="Times New Roman"/>
                <w:sz w:val="24"/>
                <w:szCs w:val="24"/>
                <w:lang w:val="es-MX"/>
              </w:rPr>
              <w:t>tendrá</w:t>
            </w:r>
            <w:proofErr w:type="gramEnd"/>
            <w:r w:rsidRPr="0012597A">
              <w:rPr>
                <w:rFonts w:ascii="Times New Roman" w:eastAsia="Microsoft Sans Serif" w:hAnsi="Times New Roman" w:cs="Times New Roman"/>
                <w:sz w:val="24"/>
                <w:szCs w:val="24"/>
                <w:lang w:val="es-MX"/>
              </w:rPr>
              <w:t xml:space="preserve"> el carácter de copia certificada.</w:t>
            </w:r>
          </w:p>
          <w:p w14:paraId="756EA7C2"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3126AC4C" w14:textId="7777777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Todos los acuerdos de las sesiones que no contengan información clasificada y el resultado de su votación, serán difundidos cada mes en la Gaceta Municipal y en los estrados de la Secretaría del Ayuntamiento, así como los datos de identificación de las actas que contengan información clasificada, incluyendo en cada caso, el fundamento legal que clasifica la información.</w:t>
            </w:r>
          </w:p>
          <w:p w14:paraId="33ACABF6"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024DD9BB"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3A5FA8F8" w14:textId="7777777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Sin correlativo</w:t>
            </w:r>
          </w:p>
          <w:p w14:paraId="02E20BDD"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34EDC1A0"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2029F4A4"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049AF613" w14:textId="2453D547" w:rsidR="00E01273" w:rsidRPr="0012597A" w:rsidRDefault="00E01273" w:rsidP="00EF1C7F">
            <w:pPr>
              <w:spacing w:line="240" w:lineRule="auto"/>
              <w:rPr>
                <w:rFonts w:ascii="Times New Roman" w:eastAsia="Microsoft Sans Serif" w:hAnsi="Times New Roman" w:cs="Times New Roman"/>
                <w:sz w:val="24"/>
                <w:szCs w:val="24"/>
                <w:lang w:val="es-MX"/>
              </w:rPr>
            </w:pPr>
          </w:p>
          <w:p w14:paraId="3F29CD53"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3371804D"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47DED6BF"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4AE13ECB"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3E32D0AE" w14:textId="7777777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Sin correlativo</w:t>
            </w:r>
          </w:p>
          <w:p w14:paraId="3E7C825F"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49A24436"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711FB351"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682F1340"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71025C95"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02A6B446"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505E8385"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54E877F5"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754EDF65"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326446E0" w14:textId="7777777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 xml:space="preserve">Para cada sesión se deberá contar con una versión estenográfica o videograbada que permita hacer las aclaraciones pertinentes, la cual formará parte del acta correspondiente. La versión estenográfica o videograbada deberá estar disponible en la página de internet del </w:t>
            </w:r>
            <w:r w:rsidRPr="0012597A">
              <w:rPr>
                <w:rFonts w:ascii="Times New Roman" w:eastAsia="Microsoft Sans Serif" w:hAnsi="Times New Roman" w:cs="Times New Roman"/>
                <w:sz w:val="24"/>
                <w:szCs w:val="24"/>
                <w:lang w:val="es-MX"/>
              </w:rPr>
              <w:lastRenderedPageBreak/>
              <w:t>Ayuntamiento y en las oficinas de la Secretaría del Ayuntamiento.</w:t>
            </w:r>
          </w:p>
          <w:p w14:paraId="7FA69AD8" w14:textId="35DB1FEB" w:rsidR="00D5532D" w:rsidRPr="0012597A" w:rsidRDefault="00D5532D" w:rsidP="00EF1C7F">
            <w:pPr>
              <w:spacing w:line="240" w:lineRule="auto"/>
              <w:jc w:val="both"/>
              <w:rPr>
                <w:rFonts w:ascii="Times New Roman" w:eastAsia="Microsoft Sans Serif" w:hAnsi="Times New Roman" w:cs="Times New Roman"/>
                <w:sz w:val="24"/>
                <w:szCs w:val="24"/>
                <w:lang w:val="es-MX"/>
              </w:rPr>
            </w:pPr>
          </w:p>
        </w:tc>
        <w:tc>
          <w:tcPr>
            <w:tcW w:w="4649" w:type="dxa"/>
            <w:tcBorders>
              <w:top w:val="double" w:sz="6" w:space="0" w:color="000000"/>
              <w:left w:val="double" w:sz="6" w:space="0" w:color="000000"/>
            </w:tcBorders>
          </w:tcPr>
          <w:p w14:paraId="358F4E5A" w14:textId="7777777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lastRenderedPageBreak/>
              <w:t xml:space="preserve">Artículo 30.- Las sesiones del ayuntamiento serán presididas por el presidente municipal o por quien lo sustituya legalmente; constarán en un libro que deberá contener las actas en las cuales deberán asentarse los extractos de los acuerdos y asuntos tratados y el resultado de la votación. Cuando se refieran a reglamentos y otras normas de carácter general que sean de observancia municipal estos constarán íntegramente en el libro de actas debiendo firmar en ambos casos los miembros del Ayuntamiento </w:t>
            </w:r>
            <w:r w:rsidRPr="0012597A">
              <w:rPr>
                <w:rFonts w:ascii="Times New Roman" w:eastAsia="Microsoft Sans Serif" w:hAnsi="Times New Roman" w:cs="Times New Roman"/>
                <w:sz w:val="24"/>
                <w:szCs w:val="24"/>
                <w:lang w:val="es-MX"/>
              </w:rPr>
              <w:t xml:space="preserve">que hayan estado presentes, debiéndose difundir en la 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w:t>
            </w:r>
            <w:proofErr w:type="gramStart"/>
            <w:r w:rsidRPr="0012597A">
              <w:rPr>
                <w:rFonts w:ascii="Times New Roman" w:eastAsia="Microsoft Sans Serif" w:hAnsi="Times New Roman" w:cs="Times New Roman"/>
                <w:sz w:val="24"/>
                <w:szCs w:val="24"/>
                <w:lang w:val="es-MX"/>
              </w:rPr>
              <w:t>tendrá</w:t>
            </w:r>
            <w:proofErr w:type="gramEnd"/>
            <w:r w:rsidRPr="0012597A">
              <w:rPr>
                <w:rFonts w:ascii="Times New Roman" w:eastAsia="Microsoft Sans Serif" w:hAnsi="Times New Roman" w:cs="Times New Roman"/>
                <w:sz w:val="24"/>
                <w:szCs w:val="24"/>
                <w:lang w:val="es-MX"/>
              </w:rPr>
              <w:t xml:space="preserve"> el carácter de copia certificada.</w:t>
            </w:r>
          </w:p>
          <w:p w14:paraId="55BDA33E"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672C657A" w14:textId="7777777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Todos los acuerdos de las sesiones que no contengan información clasificada y el resultado de su votación, serán difundidos cada mes en la Gaceta Municipal en su versión electrónica y en los estrados de la Secretaría del Ayuntamiento, así como los datos de identificación de las actas que contengan información clasificada, incluyendo en cada caso, el fundamento legal que clasifica la información.</w:t>
            </w:r>
          </w:p>
          <w:p w14:paraId="2D3DDF00"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50AB52A6" w14:textId="70F17F1C" w:rsidR="00E01273" w:rsidRPr="0012597A" w:rsidRDefault="00E01273"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sz w:val="24"/>
                <w:szCs w:val="24"/>
                <w:lang w:val="es-MX"/>
              </w:rPr>
              <w:t xml:space="preserve">La versión electrónica de la Gaceta Municipal tendrá validez legal y el carácter de documental pública cuando se emita por la Secretaría del Ayuntamiento, garantizando la integridad y autenticidad </w:t>
            </w:r>
            <w:r w:rsidRPr="0012597A">
              <w:rPr>
                <w:rFonts w:ascii="Times New Roman" w:eastAsia="Microsoft Sans Serif" w:hAnsi="Times New Roman" w:cs="Times New Roman"/>
                <w:b/>
                <w:sz w:val="24"/>
                <w:szCs w:val="24"/>
                <w:lang w:val="es-MX"/>
              </w:rPr>
              <w:t>de su contenido mediante firma y sello electrónico y previo pago de la contribución respectiva cuando se soliciten ejemplares certificados.</w:t>
            </w:r>
          </w:p>
          <w:p w14:paraId="578E93BA" w14:textId="77777777" w:rsidR="00E01273" w:rsidRPr="0012597A" w:rsidRDefault="00E01273" w:rsidP="00EF1C7F">
            <w:pPr>
              <w:spacing w:line="240" w:lineRule="auto"/>
              <w:rPr>
                <w:rFonts w:ascii="Times New Roman" w:eastAsia="Microsoft Sans Serif" w:hAnsi="Times New Roman" w:cs="Times New Roman"/>
                <w:sz w:val="24"/>
                <w:szCs w:val="24"/>
                <w:lang w:val="es-MX"/>
              </w:rPr>
            </w:pPr>
          </w:p>
          <w:p w14:paraId="39A0C922" w14:textId="13C63637" w:rsidR="00E01273" w:rsidRPr="0012597A" w:rsidRDefault="00E01273"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Además de la edición electrónica, se imprimirán cinco ejemplares, con idénticas características y contenido, para efectos de evidencia documental, así como para garantizar la publicación de la Gaceta Municipal en los casos en que resulte imposible por causas de fuerza mayor acceder a su edición electrónica, los cuales, no estarán a la venta y quedarán a resguardo de la Secretaría del Ayuntamiento y del Archivo Municipal.</w:t>
            </w:r>
          </w:p>
        </w:tc>
      </w:tr>
      <w:tr w:rsidR="008C37ED" w:rsidRPr="0012597A" w14:paraId="3007DAC6" w14:textId="77777777" w:rsidTr="004520A8">
        <w:trPr>
          <w:trHeight w:val="20"/>
          <w:jc w:val="center"/>
        </w:trPr>
        <w:tc>
          <w:tcPr>
            <w:tcW w:w="4646" w:type="dxa"/>
            <w:tcBorders>
              <w:top w:val="double" w:sz="6" w:space="0" w:color="000000"/>
              <w:right w:val="double" w:sz="6" w:space="0" w:color="000000"/>
            </w:tcBorders>
          </w:tcPr>
          <w:p w14:paraId="32F3FB01"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lastRenderedPageBreak/>
              <w:t xml:space="preserve">Artículo 31.- </w:t>
            </w:r>
            <w:r w:rsidRPr="0012597A">
              <w:rPr>
                <w:rFonts w:ascii="Times New Roman" w:eastAsia="Microsoft Sans Serif" w:hAnsi="Times New Roman" w:cs="Times New Roman"/>
                <w:sz w:val="24"/>
                <w:szCs w:val="24"/>
                <w:lang w:val="es-MX"/>
              </w:rPr>
              <w:t>Son atribuciones de los ayuntamientos:</w:t>
            </w:r>
          </w:p>
          <w:p w14:paraId="54F12769"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p>
          <w:p w14:paraId="4281BD03"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 a XXXV. ...</w:t>
            </w:r>
          </w:p>
          <w:p w14:paraId="063CFC14"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p>
          <w:p w14:paraId="72D18034"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XXXVI. </w:t>
            </w:r>
            <w:r w:rsidRPr="0012597A">
              <w:rPr>
                <w:rFonts w:ascii="Times New Roman" w:eastAsia="Microsoft Sans Serif" w:hAnsi="Times New Roman" w:cs="Times New Roman"/>
                <w:sz w:val="24"/>
                <w:szCs w:val="24"/>
                <w:lang w:val="es-MX"/>
              </w:rPr>
              <w:t>Editar, publicar y circular la Gaceta Municipal órgano oficial en formato físico o electrónico, cuando menos cada tres meses para la difusión de todos los acuerdos de Cabildo de las sesiones que no contengan información clasificada, los acuerdos de carácter general tomados por el</w:t>
            </w:r>
          </w:p>
          <w:p w14:paraId="6A303A88" w14:textId="77777777" w:rsidR="008C37ED" w:rsidRPr="0012597A" w:rsidRDefault="008C37ED"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ayuntamiento y de otros asuntos de interés público;</w:t>
            </w:r>
          </w:p>
          <w:p w14:paraId="5742661F" w14:textId="225E2311" w:rsidR="008C37ED" w:rsidRPr="0012597A" w:rsidRDefault="008C37ED" w:rsidP="00EF1C7F">
            <w:pPr>
              <w:spacing w:line="240" w:lineRule="auto"/>
              <w:rPr>
                <w:rFonts w:ascii="Times New Roman" w:eastAsia="Microsoft Sans Serif" w:hAnsi="Times New Roman" w:cs="Times New Roman"/>
                <w:sz w:val="24"/>
                <w:szCs w:val="24"/>
                <w:lang w:val="es-MX"/>
              </w:rPr>
            </w:pPr>
          </w:p>
          <w:p w14:paraId="10740D6F" w14:textId="4F340F06" w:rsidR="0013776F" w:rsidRPr="0012597A" w:rsidRDefault="0013776F" w:rsidP="00EF1C7F">
            <w:pPr>
              <w:spacing w:line="240" w:lineRule="auto"/>
              <w:rPr>
                <w:rFonts w:ascii="Times New Roman" w:eastAsia="Microsoft Sans Serif" w:hAnsi="Times New Roman" w:cs="Times New Roman"/>
                <w:sz w:val="24"/>
                <w:szCs w:val="24"/>
                <w:lang w:val="es-MX"/>
              </w:rPr>
            </w:pPr>
          </w:p>
          <w:p w14:paraId="1B313FC2" w14:textId="4B67C281" w:rsidR="0013776F" w:rsidRPr="0012597A" w:rsidRDefault="0013776F" w:rsidP="00EF1C7F">
            <w:pPr>
              <w:spacing w:line="240" w:lineRule="auto"/>
              <w:rPr>
                <w:rFonts w:ascii="Times New Roman" w:eastAsia="Microsoft Sans Serif" w:hAnsi="Times New Roman" w:cs="Times New Roman"/>
                <w:sz w:val="24"/>
                <w:szCs w:val="24"/>
                <w:lang w:val="es-MX"/>
              </w:rPr>
            </w:pPr>
          </w:p>
          <w:p w14:paraId="669D9E36" w14:textId="47CB652B" w:rsidR="0013776F" w:rsidRPr="0012597A" w:rsidRDefault="0013776F" w:rsidP="00EF1C7F">
            <w:pPr>
              <w:spacing w:line="240" w:lineRule="auto"/>
              <w:rPr>
                <w:rFonts w:ascii="Times New Roman" w:eastAsia="Microsoft Sans Serif" w:hAnsi="Times New Roman" w:cs="Times New Roman"/>
                <w:sz w:val="24"/>
                <w:szCs w:val="24"/>
                <w:lang w:val="es-MX"/>
              </w:rPr>
            </w:pPr>
          </w:p>
          <w:p w14:paraId="60F4FD82" w14:textId="77777777" w:rsidR="0013776F" w:rsidRPr="0012597A" w:rsidRDefault="0013776F" w:rsidP="00EF1C7F">
            <w:pPr>
              <w:spacing w:line="240" w:lineRule="auto"/>
              <w:rPr>
                <w:rFonts w:ascii="Times New Roman" w:eastAsia="Microsoft Sans Serif" w:hAnsi="Times New Roman" w:cs="Times New Roman"/>
                <w:sz w:val="24"/>
                <w:szCs w:val="24"/>
                <w:lang w:val="es-MX"/>
              </w:rPr>
            </w:pPr>
          </w:p>
          <w:p w14:paraId="6C9F3287" w14:textId="295490A0" w:rsidR="008C37ED" w:rsidRPr="0012597A" w:rsidRDefault="008C37ED"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XXXVII. a XLVIII. …</w:t>
            </w:r>
          </w:p>
        </w:tc>
        <w:tc>
          <w:tcPr>
            <w:tcW w:w="4649" w:type="dxa"/>
            <w:tcBorders>
              <w:top w:val="double" w:sz="6" w:space="0" w:color="000000"/>
              <w:left w:val="double" w:sz="6" w:space="0" w:color="000000"/>
            </w:tcBorders>
          </w:tcPr>
          <w:p w14:paraId="326245C7"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31.- </w:t>
            </w:r>
            <w:r w:rsidRPr="0012597A">
              <w:rPr>
                <w:rFonts w:ascii="Times New Roman" w:eastAsia="Microsoft Sans Serif" w:hAnsi="Times New Roman" w:cs="Times New Roman"/>
                <w:sz w:val="24"/>
                <w:szCs w:val="24"/>
                <w:lang w:val="es-MX"/>
              </w:rPr>
              <w:t>Son atribuciones de los ayuntamientos:</w:t>
            </w:r>
          </w:p>
          <w:p w14:paraId="7F1BA9F2"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p>
          <w:p w14:paraId="6353B421"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 a XXXV. ...</w:t>
            </w:r>
          </w:p>
          <w:p w14:paraId="1D3242B6" w14:textId="77777777" w:rsidR="008C37ED" w:rsidRPr="0012597A" w:rsidRDefault="008C37ED" w:rsidP="00EF1C7F">
            <w:pPr>
              <w:spacing w:line="240" w:lineRule="auto"/>
              <w:jc w:val="both"/>
              <w:rPr>
                <w:rFonts w:ascii="Times New Roman" w:eastAsia="Microsoft Sans Serif" w:hAnsi="Times New Roman" w:cs="Times New Roman"/>
                <w:sz w:val="24"/>
                <w:szCs w:val="24"/>
                <w:lang w:val="es-MX"/>
              </w:rPr>
            </w:pPr>
          </w:p>
          <w:p w14:paraId="724AED2A" w14:textId="77777777" w:rsidR="008C37ED" w:rsidRPr="0012597A" w:rsidRDefault="008C37ED"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sz w:val="24"/>
                <w:szCs w:val="24"/>
                <w:lang w:val="es-MX"/>
              </w:rPr>
              <w:t xml:space="preserve">XXXVI. Editar, publicar </w:t>
            </w:r>
            <w:r w:rsidRPr="0012597A">
              <w:rPr>
                <w:rFonts w:ascii="Times New Roman" w:eastAsia="Microsoft Sans Serif" w:hAnsi="Times New Roman" w:cs="Times New Roman"/>
                <w:b/>
                <w:sz w:val="24"/>
                <w:szCs w:val="24"/>
                <w:lang w:val="es-MX"/>
              </w:rPr>
              <w:t xml:space="preserve">y difundir </w:t>
            </w:r>
            <w:r w:rsidRPr="0012597A">
              <w:rPr>
                <w:rFonts w:ascii="Times New Roman" w:eastAsia="Microsoft Sans Serif" w:hAnsi="Times New Roman" w:cs="Times New Roman"/>
                <w:sz w:val="24"/>
                <w:szCs w:val="24"/>
                <w:lang w:val="es-MX"/>
              </w:rPr>
              <w:t xml:space="preserve">la Gaceta Municipal como órgano oficial de comunicación gubernamental, preferentemente </w:t>
            </w:r>
            <w:r w:rsidRPr="0012597A">
              <w:rPr>
                <w:rFonts w:ascii="Times New Roman" w:eastAsia="Microsoft Sans Serif" w:hAnsi="Times New Roman" w:cs="Times New Roman"/>
                <w:b/>
                <w:sz w:val="24"/>
                <w:szCs w:val="24"/>
                <w:lang w:val="es-MX"/>
              </w:rPr>
              <w:t>en formato electrónico para la difusión de todos los acuerdos de Cabildo. La edición electrónica de la Gaceta Municipal, firmada digitalmente por la autoridad facultada, tendrá el</w:t>
            </w:r>
          </w:p>
          <w:p w14:paraId="3F794E48" w14:textId="77777777" w:rsidR="008C37ED" w:rsidRPr="0012597A" w:rsidRDefault="008C37ED"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t>mismo valor jurídico y probatorio que la versión impresa para todos los efectos legales, administrativos y judiciales conducentes. Su periodicidad será cuando menos trimestral;</w:t>
            </w:r>
          </w:p>
          <w:p w14:paraId="2BBCFAE5" w14:textId="77777777" w:rsidR="008C37ED" w:rsidRPr="0012597A" w:rsidRDefault="008C37ED" w:rsidP="00EF1C7F">
            <w:pPr>
              <w:spacing w:line="240" w:lineRule="auto"/>
              <w:rPr>
                <w:rFonts w:ascii="Times New Roman" w:eastAsia="Microsoft Sans Serif" w:hAnsi="Times New Roman" w:cs="Times New Roman"/>
                <w:sz w:val="24"/>
                <w:szCs w:val="24"/>
                <w:lang w:val="es-MX"/>
              </w:rPr>
            </w:pPr>
          </w:p>
          <w:p w14:paraId="0BF1FBC3" w14:textId="77777777" w:rsidR="008C37ED" w:rsidRPr="0012597A" w:rsidRDefault="008C37ED"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XXXVII. a XLVIII. …</w:t>
            </w:r>
          </w:p>
          <w:p w14:paraId="5D540FC6" w14:textId="77777777" w:rsidR="008C37ED" w:rsidRPr="0012597A" w:rsidRDefault="008C37ED" w:rsidP="00EF1C7F">
            <w:pPr>
              <w:spacing w:line="240" w:lineRule="auto"/>
              <w:rPr>
                <w:rFonts w:ascii="Times New Roman" w:eastAsia="Microsoft Sans Serif" w:hAnsi="Times New Roman" w:cs="Times New Roman"/>
                <w:sz w:val="24"/>
                <w:szCs w:val="24"/>
                <w:lang w:val="es-MX"/>
              </w:rPr>
            </w:pPr>
          </w:p>
          <w:p w14:paraId="2C360919" w14:textId="7CEE1803" w:rsidR="008C37ED" w:rsidRPr="0012597A" w:rsidRDefault="008C37ED" w:rsidP="00EF1C7F">
            <w:pPr>
              <w:spacing w:line="240" w:lineRule="auto"/>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sz w:val="24"/>
                <w:szCs w:val="24"/>
                <w:lang w:val="es-MX"/>
              </w:rPr>
              <w:t>...</w:t>
            </w:r>
          </w:p>
        </w:tc>
      </w:tr>
      <w:tr w:rsidR="00B32505" w:rsidRPr="0012597A" w14:paraId="58332CE2" w14:textId="77777777" w:rsidTr="004520A8">
        <w:trPr>
          <w:trHeight w:val="20"/>
          <w:jc w:val="center"/>
        </w:trPr>
        <w:tc>
          <w:tcPr>
            <w:tcW w:w="4646" w:type="dxa"/>
            <w:tcBorders>
              <w:top w:val="double" w:sz="6" w:space="0" w:color="000000"/>
              <w:bottom w:val="double" w:sz="6" w:space="0" w:color="000000"/>
              <w:right w:val="double" w:sz="6" w:space="0" w:color="000000"/>
            </w:tcBorders>
          </w:tcPr>
          <w:p w14:paraId="60F3B87A"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00F90D0C"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48.- </w:t>
            </w:r>
            <w:r w:rsidRPr="0012597A">
              <w:rPr>
                <w:rFonts w:ascii="Times New Roman" w:eastAsia="Microsoft Sans Serif" w:hAnsi="Times New Roman" w:cs="Times New Roman"/>
                <w:sz w:val="24"/>
                <w:szCs w:val="24"/>
                <w:lang w:val="es-MX"/>
              </w:rPr>
              <w:t>...</w:t>
            </w:r>
          </w:p>
          <w:p w14:paraId="6D7627F9"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68E87883"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 a II. ...</w:t>
            </w:r>
          </w:p>
          <w:p w14:paraId="3964251D"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51F0961C"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III. </w:t>
            </w:r>
            <w:r w:rsidRPr="0012597A">
              <w:rPr>
                <w:rFonts w:ascii="Times New Roman" w:eastAsia="Microsoft Sans Serif" w:hAnsi="Times New Roman" w:cs="Times New Roman"/>
                <w:sz w:val="24"/>
                <w:szCs w:val="24"/>
                <w:lang w:val="es-MX"/>
              </w:rPr>
              <w:t>Promulgar y publicar el Bando Municipal en la Gaceta Municipal y en los estrados de la Secretaría del Ayuntamiento, así como ordenar la difusión de las normas de carácter general y reglamentos aprobados por el Ayuntamiento;</w:t>
            </w:r>
          </w:p>
          <w:p w14:paraId="15BBA271"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5A537C9A"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IV. a XXVI. ...</w:t>
            </w:r>
          </w:p>
        </w:tc>
        <w:tc>
          <w:tcPr>
            <w:tcW w:w="4649" w:type="dxa"/>
            <w:tcBorders>
              <w:top w:val="double" w:sz="6" w:space="0" w:color="000000"/>
              <w:left w:val="double" w:sz="6" w:space="0" w:color="000000"/>
              <w:bottom w:val="double" w:sz="6" w:space="0" w:color="000000"/>
            </w:tcBorders>
          </w:tcPr>
          <w:p w14:paraId="4FDFF896"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48.- </w:t>
            </w:r>
            <w:r w:rsidRPr="0012597A">
              <w:rPr>
                <w:rFonts w:ascii="Times New Roman" w:eastAsia="Microsoft Sans Serif" w:hAnsi="Times New Roman" w:cs="Times New Roman"/>
                <w:sz w:val="24"/>
                <w:szCs w:val="24"/>
                <w:lang w:val="es-MX"/>
              </w:rPr>
              <w:t>…</w:t>
            </w:r>
          </w:p>
          <w:p w14:paraId="5E5067C2"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4DA97270"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 a II. ...</w:t>
            </w:r>
          </w:p>
          <w:p w14:paraId="78982147"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7F41A4E3"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III. </w:t>
            </w:r>
            <w:r w:rsidRPr="0012597A">
              <w:rPr>
                <w:rFonts w:ascii="Times New Roman" w:eastAsia="Microsoft Sans Serif" w:hAnsi="Times New Roman" w:cs="Times New Roman"/>
                <w:sz w:val="24"/>
                <w:szCs w:val="24"/>
                <w:lang w:val="es-MX"/>
              </w:rPr>
              <w:t xml:space="preserve">Promulgar y publicar el Bando Municipal en la Gaceta Municipal y </w:t>
            </w:r>
            <w:r w:rsidRPr="0012597A">
              <w:rPr>
                <w:rFonts w:ascii="Times New Roman" w:eastAsia="Microsoft Sans Serif" w:hAnsi="Times New Roman" w:cs="Times New Roman"/>
                <w:b/>
                <w:sz w:val="24"/>
                <w:szCs w:val="24"/>
                <w:lang w:val="es-MX"/>
              </w:rPr>
              <w:t xml:space="preserve">ordenar su difusión </w:t>
            </w:r>
            <w:r w:rsidRPr="0012597A">
              <w:rPr>
                <w:rFonts w:ascii="Times New Roman" w:eastAsia="Microsoft Sans Serif" w:hAnsi="Times New Roman" w:cs="Times New Roman"/>
                <w:sz w:val="24"/>
                <w:szCs w:val="24"/>
                <w:lang w:val="es-MX"/>
              </w:rPr>
              <w:t xml:space="preserve">en los estrados de la Secretaría del Ayuntamiento, así como ordenar la </w:t>
            </w:r>
            <w:r w:rsidRPr="0012597A">
              <w:rPr>
                <w:rFonts w:ascii="Times New Roman" w:eastAsia="Microsoft Sans Serif" w:hAnsi="Times New Roman" w:cs="Times New Roman"/>
                <w:b/>
                <w:sz w:val="24"/>
                <w:szCs w:val="24"/>
                <w:lang w:val="es-MX"/>
              </w:rPr>
              <w:t xml:space="preserve">publicación electrónica </w:t>
            </w:r>
            <w:r w:rsidRPr="0012597A">
              <w:rPr>
                <w:rFonts w:ascii="Times New Roman" w:eastAsia="Microsoft Sans Serif" w:hAnsi="Times New Roman" w:cs="Times New Roman"/>
                <w:sz w:val="24"/>
                <w:szCs w:val="24"/>
                <w:lang w:val="es-MX"/>
              </w:rPr>
              <w:t xml:space="preserve">de las normas de carácter general y reglamentos aprobados por el Ayuntamiento </w:t>
            </w:r>
            <w:r w:rsidRPr="0012597A">
              <w:rPr>
                <w:rFonts w:ascii="Times New Roman" w:eastAsia="Microsoft Sans Serif" w:hAnsi="Times New Roman" w:cs="Times New Roman"/>
                <w:b/>
                <w:sz w:val="24"/>
                <w:szCs w:val="24"/>
                <w:lang w:val="es-MX"/>
              </w:rPr>
              <w:t>para su debida entrada en vigor</w:t>
            </w:r>
            <w:r w:rsidRPr="0012597A">
              <w:rPr>
                <w:rFonts w:ascii="Times New Roman" w:eastAsia="Microsoft Sans Serif" w:hAnsi="Times New Roman" w:cs="Times New Roman"/>
                <w:sz w:val="24"/>
                <w:szCs w:val="24"/>
                <w:lang w:val="es-MX"/>
              </w:rPr>
              <w:t>;</w:t>
            </w:r>
          </w:p>
          <w:p w14:paraId="145FA1A9"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33C99A5A"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IV. a XXVI. ...</w:t>
            </w:r>
          </w:p>
        </w:tc>
      </w:tr>
      <w:tr w:rsidR="00F9561D" w:rsidRPr="0012597A" w14:paraId="7E05797B" w14:textId="77777777" w:rsidTr="004520A8">
        <w:trPr>
          <w:trHeight w:val="20"/>
          <w:jc w:val="center"/>
        </w:trPr>
        <w:tc>
          <w:tcPr>
            <w:tcW w:w="4646" w:type="dxa"/>
            <w:tcBorders>
              <w:top w:val="double" w:sz="6" w:space="0" w:color="000000"/>
              <w:right w:val="double" w:sz="6" w:space="0" w:color="000000"/>
            </w:tcBorders>
          </w:tcPr>
          <w:p w14:paraId="3E4DD12A" w14:textId="77777777" w:rsidR="00F9561D" w:rsidRPr="0012597A" w:rsidRDefault="00F9561D" w:rsidP="00EF1C7F">
            <w:pPr>
              <w:spacing w:line="240" w:lineRule="auto"/>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t>Artículo 91.- ...</w:t>
            </w:r>
          </w:p>
          <w:p w14:paraId="4A5E03C9"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13C41375" w14:textId="77777777" w:rsidR="00F9561D" w:rsidRPr="0012597A" w:rsidRDefault="00F9561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 a VII. ...</w:t>
            </w:r>
          </w:p>
          <w:p w14:paraId="642B3662"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68D2475C" w14:textId="77777777" w:rsidR="00F9561D" w:rsidRPr="0012597A" w:rsidRDefault="00F9561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VIII. Publicar los reglamentos, circulares y demás disposiciones municipales de observancia general;</w:t>
            </w:r>
          </w:p>
          <w:p w14:paraId="660874A1" w14:textId="5C966479" w:rsidR="00F9561D" w:rsidRPr="0012597A" w:rsidRDefault="00F9561D" w:rsidP="00EF1C7F">
            <w:pPr>
              <w:spacing w:line="240" w:lineRule="auto"/>
              <w:rPr>
                <w:rFonts w:ascii="Times New Roman" w:eastAsia="Microsoft Sans Serif" w:hAnsi="Times New Roman" w:cs="Times New Roman"/>
                <w:sz w:val="24"/>
                <w:szCs w:val="24"/>
                <w:lang w:val="es-MX"/>
              </w:rPr>
            </w:pPr>
          </w:p>
          <w:p w14:paraId="10996920"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6D6F2704" w14:textId="77777777" w:rsidR="00F9561D" w:rsidRPr="0012597A" w:rsidRDefault="00F9561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IX. a XII. …</w:t>
            </w:r>
          </w:p>
          <w:p w14:paraId="5C38BF2F"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11DBD1C6" w14:textId="77777777" w:rsidR="00F9561D" w:rsidRPr="0012597A" w:rsidRDefault="00F9561D"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XIII. </w:t>
            </w:r>
            <w:r w:rsidRPr="0012597A">
              <w:rPr>
                <w:rFonts w:ascii="Times New Roman" w:eastAsia="Microsoft Sans Serif" w:hAnsi="Times New Roman" w:cs="Times New Roman"/>
                <w:sz w:val="24"/>
                <w:szCs w:val="24"/>
                <w:lang w:val="es-MX"/>
              </w:rPr>
              <w:t xml:space="preserve">Ser responsable de la publicación de la </w:t>
            </w:r>
            <w:r w:rsidRPr="0012597A">
              <w:rPr>
                <w:rFonts w:ascii="Times New Roman" w:eastAsia="Microsoft Sans Serif" w:hAnsi="Times New Roman" w:cs="Times New Roman"/>
                <w:sz w:val="24"/>
                <w:szCs w:val="24"/>
                <w:lang w:val="es-MX"/>
              </w:rPr>
              <w:lastRenderedPageBreak/>
              <w:t>Gaceta Municipal, así como de las publicaciones en los estrados de los Ayuntamientos; y</w:t>
            </w:r>
          </w:p>
          <w:p w14:paraId="390B4B82" w14:textId="32CA61EF" w:rsidR="00F9561D" w:rsidRPr="0012597A" w:rsidRDefault="00F9561D" w:rsidP="00EF1C7F">
            <w:pPr>
              <w:spacing w:line="240" w:lineRule="auto"/>
              <w:rPr>
                <w:rFonts w:ascii="Times New Roman" w:eastAsia="Microsoft Sans Serif" w:hAnsi="Times New Roman" w:cs="Times New Roman"/>
                <w:sz w:val="24"/>
                <w:szCs w:val="24"/>
                <w:lang w:val="es-MX"/>
              </w:rPr>
            </w:pPr>
          </w:p>
          <w:p w14:paraId="191BE3D8" w14:textId="5E009D06" w:rsidR="00A72735" w:rsidRPr="0012597A" w:rsidRDefault="00A72735" w:rsidP="00EF1C7F">
            <w:pPr>
              <w:spacing w:line="240" w:lineRule="auto"/>
              <w:rPr>
                <w:rFonts w:ascii="Times New Roman" w:eastAsia="Microsoft Sans Serif" w:hAnsi="Times New Roman" w:cs="Times New Roman"/>
                <w:sz w:val="24"/>
                <w:szCs w:val="24"/>
                <w:lang w:val="es-MX"/>
              </w:rPr>
            </w:pPr>
          </w:p>
          <w:p w14:paraId="5894DAED" w14:textId="619F9794" w:rsidR="00A72735" w:rsidRPr="0012597A" w:rsidRDefault="00A72735" w:rsidP="00EF1C7F">
            <w:pPr>
              <w:spacing w:line="240" w:lineRule="auto"/>
              <w:rPr>
                <w:rFonts w:ascii="Times New Roman" w:eastAsia="Microsoft Sans Serif" w:hAnsi="Times New Roman" w:cs="Times New Roman"/>
                <w:sz w:val="24"/>
                <w:szCs w:val="24"/>
                <w:lang w:val="es-MX"/>
              </w:rPr>
            </w:pPr>
          </w:p>
          <w:p w14:paraId="4286EEAB" w14:textId="4D7EF129" w:rsidR="00A72735" w:rsidRPr="0012597A" w:rsidRDefault="00A72735" w:rsidP="00EF1C7F">
            <w:pPr>
              <w:spacing w:line="240" w:lineRule="auto"/>
              <w:rPr>
                <w:rFonts w:ascii="Times New Roman" w:eastAsia="Microsoft Sans Serif" w:hAnsi="Times New Roman" w:cs="Times New Roman"/>
                <w:sz w:val="24"/>
                <w:szCs w:val="24"/>
                <w:lang w:val="es-MX"/>
              </w:rPr>
            </w:pPr>
          </w:p>
          <w:p w14:paraId="19F67FF9" w14:textId="20983146" w:rsidR="00A72735" w:rsidRPr="0012597A" w:rsidRDefault="00A72735" w:rsidP="00EF1C7F">
            <w:pPr>
              <w:spacing w:line="240" w:lineRule="auto"/>
              <w:rPr>
                <w:rFonts w:ascii="Times New Roman" w:eastAsia="Microsoft Sans Serif" w:hAnsi="Times New Roman" w:cs="Times New Roman"/>
                <w:sz w:val="24"/>
                <w:szCs w:val="24"/>
                <w:lang w:val="es-MX"/>
              </w:rPr>
            </w:pPr>
          </w:p>
          <w:p w14:paraId="09A71EA7" w14:textId="6B4FA66F" w:rsidR="00A72735" w:rsidRPr="0012597A" w:rsidRDefault="00A72735" w:rsidP="00EF1C7F">
            <w:pPr>
              <w:spacing w:line="240" w:lineRule="auto"/>
              <w:rPr>
                <w:rFonts w:ascii="Times New Roman" w:eastAsia="Microsoft Sans Serif" w:hAnsi="Times New Roman" w:cs="Times New Roman"/>
                <w:sz w:val="24"/>
                <w:szCs w:val="24"/>
                <w:lang w:val="es-MX"/>
              </w:rPr>
            </w:pPr>
          </w:p>
          <w:p w14:paraId="69B0F23F" w14:textId="444A59E4" w:rsidR="00A72735" w:rsidRPr="0012597A" w:rsidRDefault="00A72735" w:rsidP="00EF1C7F">
            <w:pPr>
              <w:spacing w:line="240" w:lineRule="auto"/>
              <w:rPr>
                <w:rFonts w:ascii="Times New Roman" w:eastAsia="Microsoft Sans Serif" w:hAnsi="Times New Roman" w:cs="Times New Roman"/>
                <w:sz w:val="24"/>
                <w:szCs w:val="24"/>
                <w:lang w:val="es-MX"/>
              </w:rPr>
            </w:pPr>
          </w:p>
          <w:p w14:paraId="73675518" w14:textId="77777777" w:rsidR="00A72735" w:rsidRPr="0012597A" w:rsidRDefault="00A72735" w:rsidP="00EF1C7F">
            <w:pPr>
              <w:spacing w:line="240" w:lineRule="auto"/>
              <w:rPr>
                <w:rFonts w:ascii="Times New Roman" w:eastAsia="Microsoft Sans Serif" w:hAnsi="Times New Roman" w:cs="Times New Roman"/>
                <w:sz w:val="24"/>
                <w:szCs w:val="24"/>
                <w:lang w:val="es-MX"/>
              </w:rPr>
            </w:pPr>
          </w:p>
          <w:p w14:paraId="080B5C4C" w14:textId="015C8502" w:rsidR="00F9561D" w:rsidRPr="0012597A" w:rsidRDefault="00F9561D"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XIV. ...</w:t>
            </w:r>
          </w:p>
        </w:tc>
        <w:tc>
          <w:tcPr>
            <w:tcW w:w="4649" w:type="dxa"/>
            <w:tcBorders>
              <w:top w:val="double" w:sz="6" w:space="0" w:color="000000"/>
              <w:left w:val="double" w:sz="6" w:space="0" w:color="000000"/>
            </w:tcBorders>
          </w:tcPr>
          <w:p w14:paraId="36E08A81" w14:textId="77777777" w:rsidR="00F9561D" w:rsidRPr="0012597A" w:rsidRDefault="00F9561D" w:rsidP="00EF1C7F">
            <w:pPr>
              <w:spacing w:line="240" w:lineRule="auto"/>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lastRenderedPageBreak/>
              <w:t>Artículo 91.- ...</w:t>
            </w:r>
          </w:p>
          <w:p w14:paraId="5F2E47DC"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0D87AA54" w14:textId="77777777" w:rsidR="00F9561D" w:rsidRPr="0012597A" w:rsidRDefault="00F9561D"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t>I. a VII. ...</w:t>
            </w:r>
          </w:p>
          <w:p w14:paraId="289DFF1B"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50507730" w14:textId="77777777" w:rsidR="00F9561D" w:rsidRPr="0012597A" w:rsidRDefault="00F9561D"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t>VIII. Publicar en la Gaceta Municipal los reglamentos, circulares y demás disposiciones</w:t>
            </w:r>
            <w:r w:rsidRPr="0012597A">
              <w:rPr>
                <w:rFonts w:ascii="Times New Roman" w:eastAsia="Microsoft Sans Serif" w:hAnsi="Times New Roman" w:cs="Times New Roman"/>
                <w:b/>
                <w:sz w:val="24"/>
                <w:szCs w:val="24"/>
                <w:lang w:val="es-MX"/>
              </w:rPr>
              <w:tab/>
              <w:t>municipales</w:t>
            </w:r>
            <w:r w:rsidRPr="0012597A">
              <w:rPr>
                <w:rFonts w:ascii="Times New Roman" w:eastAsia="Microsoft Sans Serif" w:hAnsi="Times New Roman" w:cs="Times New Roman"/>
                <w:b/>
                <w:sz w:val="24"/>
                <w:szCs w:val="24"/>
                <w:lang w:val="es-MX"/>
              </w:rPr>
              <w:tab/>
              <w:t>de observancia general;</w:t>
            </w:r>
          </w:p>
          <w:p w14:paraId="39F9581C"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2DB604B0" w14:textId="77777777" w:rsidR="00F9561D" w:rsidRPr="0012597A" w:rsidRDefault="00F9561D"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t>IX. a XII. …</w:t>
            </w:r>
          </w:p>
          <w:p w14:paraId="3ADE9799" w14:textId="4593001F" w:rsidR="00F9561D" w:rsidRPr="0012597A" w:rsidRDefault="00F9561D" w:rsidP="00EF1C7F">
            <w:pPr>
              <w:spacing w:line="240" w:lineRule="auto"/>
              <w:rPr>
                <w:rFonts w:ascii="Times New Roman" w:eastAsia="Microsoft Sans Serif" w:hAnsi="Times New Roman" w:cs="Times New Roman"/>
                <w:sz w:val="24"/>
                <w:szCs w:val="24"/>
                <w:lang w:val="es-MX"/>
              </w:rPr>
            </w:pPr>
          </w:p>
          <w:p w14:paraId="33788D1D" w14:textId="77777777" w:rsidR="00A72735" w:rsidRPr="0012597A" w:rsidRDefault="00A72735" w:rsidP="00EF1C7F">
            <w:pPr>
              <w:spacing w:line="240" w:lineRule="auto"/>
              <w:rPr>
                <w:rFonts w:ascii="Times New Roman" w:eastAsia="Microsoft Sans Serif" w:hAnsi="Times New Roman" w:cs="Times New Roman"/>
                <w:sz w:val="24"/>
                <w:szCs w:val="24"/>
                <w:lang w:val="es-MX"/>
              </w:rPr>
            </w:pPr>
          </w:p>
          <w:p w14:paraId="1FF98C50" w14:textId="77777777" w:rsidR="00F9561D" w:rsidRPr="0012597A" w:rsidRDefault="00F9561D"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t xml:space="preserve">XIII. </w:t>
            </w:r>
            <w:r w:rsidRPr="0012597A">
              <w:rPr>
                <w:rFonts w:ascii="Times New Roman" w:eastAsia="Microsoft Sans Serif" w:hAnsi="Times New Roman" w:cs="Times New Roman"/>
                <w:sz w:val="24"/>
                <w:szCs w:val="24"/>
                <w:lang w:val="es-MX"/>
              </w:rPr>
              <w:t xml:space="preserve">Ser responsable de la </w:t>
            </w:r>
            <w:r w:rsidRPr="0012597A">
              <w:rPr>
                <w:rFonts w:ascii="Times New Roman" w:eastAsia="Microsoft Sans Serif" w:hAnsi="Times New Roman" w:cs="Times New Roman"/>
                <w:b/>
                <w:sz w:val="24"/>
                <w:szCs w:val="24"/>
                <w:lang w:val="es-MX"/>
              </w:rPr>
              <w:t xml:space="preserve">edición, publicación </w:t>
            </w:r>
            <w:r w:rsidRPr="0012597A">
              <w:rPr>
                <w:rFonts w:ascii="Times New Roman" w:eastAsia="Microsoft Sans Serif" w:hAnsi="Times New Roman" w:cs="Times New Roman"/>
                <w:b/>
                <w:sz w:val="24"/>
                <w:szCs w:val="24"/>
                <w:lang w:val="es-MX"/>
              </w:rPr>
              <w:lastRenderedPageBreak/>
              <w:t>y difusión de la Gaceta Municipal. Para garantizar la autenticidad,</w:t>
            </w:r>
          </w:p>
          <w:p w14:paraId="4388A244" w14:textId="77777777" w:rsidR="00F9561D" w:rsidRPr="0012597A" w:rsidRDefault="00F9561D" w:rsidP="00EF1C7F">
            <w:pPr>
              <w:spacing w:line="240" w:lineRule="auto"/>
              <w:jc w:val="both"/>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b/>
                <w:sz w:val="24"/>
                <w:szCs w:val="24"/>
                <w:lang w:val="es-MX"/>
              </w:rPr>
              <w:t>integridad e inalterabilidad de la Gaceta Municipal en su versión electrónica, el Secretario deberá validarla mediante el uso de su firma electrónica avanzada o sello electrónico, de conformidad con la legislación aplicable en materia de Gobierno Digital y firma electrónica; y</w:t>
            </w:r>
          </w:p>
          <w:p w14:paraId="6BC5F64C"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086AA340" w14:textId="2486BB85" w:rsidR="00F9561D" w:rsidRPr="0012597A" w:rsidRDefault="00F9561D" w:rsidP="00EF1C7F">
            <w:pPr>
              <w:spacing w:line="240" w:lineRule="auto"/>
              <w:rPr>
                <w:rFonts w:ascii="Times New Roman" w:eastAsia="Microsoft Sans Serif" w:hAnsi="Times New Roman" w:cs="Times New Roman"/>
                <w:b/>
                <w:sz w:val="24"/>
                <w:szCs w:val="24"/>
                <w:lang w:val="es-MX"/>
              </w:rPr>
            </w:pPr>
            <w:r w:rsidRPr="0012597A">
              <w:rPr>
                <w:rFonts w:ascii="Times New Roman" w:eastAsia="Microsoft Sans Serif" w:hAnsi="Times New Roman" w:cs="Times New Roman"/>
                <w:sz w:val="24"/>
                <w:szCs w:val="24"/>
                <w:lang w:val="es-MX"/>
              </w:rPr>
              <w:t>XIV. ...</w:t>
            </w:r>
          </w:p>
        </w:tc>
      </w:tr>
      <w:tr w:rsidR="00B32505" w:rsidRPr="0012597A" w14:paraId="1520D7A1" w14:textId="77777777" w:rsidTr="004520A8">
        <w:trPr>
          <w:trHeight w:val="20"/>
          <w:jc w:val="center"/>
        </w:trPr>
        <w:tc>
          <w:tcPr>
            <w:tcW w:w="4646" w:type="dxa"/>
            <w:tcBorders>
              <w:top w:val="double" w:sz="6" w:space="0" w:color="000000"/>
              <w:bottom w:val="double" w:sz="6" w:space="0" w:color="000000"/>
              <w:right w:val="double" w:sz="6" w:space="0" w:color="000000"/>
            </w:tcBorders>
          </w:tcPr>
          <w:p w14:paraId="1475B9E7"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160.- </w:t>
            </w:r>
            <w:r w:rsidRPr="0012597A">
              <w:rPr>
                <w:rFonts w:ascii="Times New Roman" w:eastAsia="Microsoft Sans Serif" w:hAnsi="Times New Roman" w:cs="Times New Roman"/>
                <w:sz w:val="24"/>
                <w:szCs w:val="24"/>
                <w:lang w:val="es-MX"/>
              </w:rPr>
              <w:t>Los ayuntamientos expedirán el Bando Municipal y los presidentes municipales lo promulgarán y difundirán en la Gaceta Municipal y en los estrados de los Ayuntamientos, así como por los medios que estime conveniente.</w:t>
            </w:r>
          </w:p>
          <w:p w14:paraId="0369916A" w14:textId="793B3732" w:rsidR="00B32505" w:rsidRPr="0012597A" w:rsidRDefault="00B32505" w:rsidP="00EF1C7F">
            <w:pPr>
              <w:spacing w:line="240" w:lineRule="auto"/>
              <w:rPr>
                <w:rFonts w:ascii="Times New Roman" w:eastAsia="Microsoft Sans Serif" w:hAnsi="Times New Roman" w:cs="Times New Roman"/>
                <w:sz w:val="24"/>
                <w:szCs w:val="24"/>
                <w:lang w:val="es-MX"/>
              </w:rPr>
            </w:pPr>
          </w:p>
          <w:p w14:paraId="6FC17AA3" w14:textId="77777777" w:rsidR="00F9561D" w:rsidRPr="0012597A" w:rsidRDefault="00F9561D" w:rsidP="00EF1C7F">
            <w:pPr>
              <w:spacing w:line="240" w:lineRule="auto"/>
              <w:rPr>
                <w:rFonts w:ascii="Times New Roman" w:eastAsia="Microsoft Sans Serif" w:hAnsi="Times New Roman" w:cs="Times New Roman"/>
                <w:sz w:val="24"/>
                <w:szCs w:val="24"/>
                <w:lang w:val="es-MX"/>
              </w:rPr>
            </w:pPr>
          </w:p>
          <w:p w14:paraId="03FC2F5B"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w:t>
            </w:r>
          </w:p>
        </w:tc>
        <w:tc>
          <w:tcPr>
            <w:tcW w:w="4649" w:type="dxa"/>
            <w:tcBorders>
              <w:top w:val="double" w:sz="6" w:space="0" w:color="000000"/>
              <w:left w:val="double" w:sz="6" w:space="0" w:color="000000"/>
              <w:bottom w:val="double" w:sz="6" w:space="0" w:color="000000"/>
            </w:tcBorders>
          </w:tcPr>
          <w:p w14:paraId="7CB17119"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160.- </w:t>
            </w:r>
            <w:r w:rsidRPr="0012597A">
              <w:rPr>
                <w:rFonts w:ascii="Times New Roman" w:eastAsia="Microsoft Sans Serif" w:hAnsi="Times New Roman" w:cs="Times New Roman"/>
                <w:sz w:val="24"/>
                <w:szCs w:val="24"/>
                <w:lang w:val="es-MX"/>
              </w:rPr>
              <w:t xml:space="preserve">Los ayuntamientos expedirán el Bando Municipal y los presidentes municipales lo promulgarán y difundirán en la Gaceta Municipal </w:t>
            </w:r>
            <w:r w:rsidRPr="0012597A">
              <w:rPr>
                <w:rFonts w:ascii="Times New Roman" w:eastAsia="Microsoft Sans Serif" w:hAnsi="Times New Roman" w:cs="Times New Roman"/>
                <w:b/>
                <w:sz w:val="24"/>
                <w:szCs w:val="24"/>
                <w:lang w:val="es-MX"/>
              </w:rPr>
              <w:t>electrónica</w:t>
            </w:r>
            <w:r w:rsidRPr="0012597A">
              <w:rPr>
                <w:rFonts w:ascii="Times New Roman" w:eastAsia="Microsoft Sans Serif" w:hAnsi="Times New Roman" w:cs="Times New Roman"/>
                <w:sz w:val="24"/>
                <w:szCs w:val="24"/>
                <w:lang w:val="es-MX"/>
              </w:rPr>
              <w:t xml:space="preserve">, en los estrados de los Ayuntamientos </w:t>
            </w:r>
            <w:r w:rsidRPr="0012597A">
              <w:rPr>
                <w:rFonts w:ascii="Times New Roman" w:eastAsia="Microsoft Sans Serif" w:hAnsi="Times New Roman" w:cs="Times New Roman"/>
                <w:b/>
                <w:sz w:val="24"/>
                <w:szCs w:val="24"/>
                <w:lang w:val="es-MX"/>
              </w:rPr>
              <w:t xml:space="preserve">y por los medios digitales o físicos </w:t>
            </w:r>
            <w:r w:rsidRPr="0012597A">
              <w:rPr>
                <w:rFonts w:ascii="Times New Roman" w:eastAsia="Microsoft Sans Serif" w:hAnsi="Times New Roman" w:cs="Times New Roman"/>
                <w:sz w:val="24"/>
                <w:szCs w:val="24"/>
                <w:lang w:val="es-MX"/>
              </w:rPr>
              <w:t xml:space="preserve">que estime </w:t>
            </w:r>
            <w:r w:rsidRPr="0012597A">
              <w:rPr>
                <w:rFonts w:ascii="Times New Roman" w:eastAsia="Microsoft Sans Serif" w:hAnsi="Times New Roman" w:cs="Times New Roman"/>
                <w:b/>
                <w:sz w:val="24"/>
                <w:szCs w:val="24"/>
                <w:lang w:val="es-MX"/>
              </w:rPr>
              <w:t>convenientes para su máxima publicidad</w:t>
            </w:r>
            <w:r w:rsidRPr="0012597A">
              <w:rPr>
                <w:rFonts w:ascii="Times New Roman" w:eastAsia="Microsoft Sans Serif" w:hAnsi="Times New Roman" w:cs="Times New Roman"/>
                <w:sz w:val="24"/>
                <w:szCs w:val="24"/>
                <w:lang w:val="es-MX"/>
              </w:rPr>
              <w:t>.</w:t>
            </w:r>
          </w:p>
          <w:p w14:paraId="3E4CD161"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p>
          <w:p w14:paraId="24095579" w14:textId="77777777" w:rsidR="00B32505" w:rsidRPr="0012597A" w:rsidRDefault="00B32505" w:rsidP="00EF1C7F">
            <w:pPr>
              <w:spacing w:line="240" w:lineRule="auto"/>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sz w:val="24"/>
                <w:szCs w:val="24"/>
                <w:lang w:val="es-MX"/>
              </w:rPr>
              <w:t>…</w:t>
            </w:r>
          </w:p>
        </w:tc>
      </w:tr>
      <w:tr w:rsidR="00B32505" w:rsidRPr="0012597A" w14:paraId="08D28D97" w14:textId="77777777" w:rsidTr="004520A8">
        <w:trPr>
          <w:trHeight w:val="20"/>
          <w:jc w:val="center"/>
        </w:trPr>
        <w:tc>
          <w:tcPr>
            <w:tcW w:w="4646" w:type="dxa"/>
            <w:tcBorders>
              <w:top w:val="double" w:sz="6" w:space="0" w:color="000000"/>
              <w:right w:val="double" w:sz="6" w:space="0" w:color="000000"/>
            </w:tcBorders>
          </w:tcPr>
          <w:p w14:paraId="6F2498C8"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165.- </w:t>
            </w:r>
            <w:r w:rsidRPr="0012597A">
              <w:rPr>
                <w:rFonts w:ascii="Times New Roman" w:eastAsia="Microsoft Sans Serif" w:hAnsi="Times New Roman" w:cs="Times New Roman"/>
                <w:sz w:val="24"/>
                <w:szCs w:val="24"/>
                <w:lang w:val="es-MX"/>
              </w:rPr>
              <w:t>Los Bandos, sus reformas y adiciones, así como los reglamentos municipales deberán promulgarse estableciendo su obligatoriedad y vigencia y darse a la publicidad en la Gaceta Municipal y en los estrados de los ayuntamientos, así como en los medios que se estime conveniente.</w:t>
            </w:r>
          </w:p>
        </w:tc>
        <w:tc>
          <w:tcPr>
            <w:tcW w:w="4649" w:type="dxa"/>
            <w:tcBorders>
              <w:top w:val="double" w:sz="6" w:space="0" w:color="000000"/>
              <w:left w:val="double" w:sz="6" w:space="0" w:color="000000"/>
            </w:tcBorders>
          </w:tcPr>
          <w:p w14:paraId="6A062551" w14:textId="77777777" w:rsidR="00B32505" w:rsidRPr="0012597A" w:rsidRDefault="00B32505" w:rsidP="00EF1C7F">
            <w:pPr>
              <w:spacing w:line="240" w:lineRule="auto"/>
              <w:jc w:val="both"/>
              <w:rPr>
                <w:rFonts w:ascii="Times New Roman" w:eastAsia="Microsoft Sans Serif" w:hAnsi="Times New Roman" w:cs="Times New Roman"/>
                <w:sz w:val="24"/>
                <w:szCs w:val="24"/>
                <w:lang w:val="es-MX"/>
              </w:rPr>
            </w:pPr>
            <w:r w:rsidRPr="0012597A">
              <w:rPr>
                <w:rFonts w:ascii="Times New Roman" w:eastAsia="Microsoft Sans Serif" w:hAnsi="Times New Roman" w:cs="Times New Roman"/>
                <w:b/>
                <w:sz w:val="24"/>
                <w:szCs w:val="24"/>
                <w:lang w:val="es-MX"/>
              </w:rPr>
              <w:t xml:space="preserve">Artículo 165.- </w:t>
            </w:r>
            <w:r w:rsidRPr="0012597A">
              <w:rPr>
                <w:rFonts w:ascii="Times New Roman" w:eastAsia="Microsoft Sans Serif" w:hAnsi="Times New Roman" w:cs="Times New Roman"/>
                <w:sz w:val="24"/>
                <w:szCs w:val="24"/>
                <w:lang w:val="es-MX"/>
              </w:rPr>
              <w:t xml:space="preserve">Los Bandos, sus reformas y adiciones, así como los reglamentos municipales, </w:t>
            </w:r>
            <w:r w:rsidRPr="0012597A">
              <w:rPr>
                <w:rFonts w:ascii="Times New Roman" w:eastAsia="Microsoft Sans Serif" w:hAnsi="Times New Roman" w:cs="Times New Roman"/>
                <w:b/>
                <w:sz w:val="24"/>
                <w:szCs w:val="24"/>
                <w:lang w:val="es-MX"/>
              </w:rPr>
              <w:t>acuerdos y demás disposiciones de observancia general</w:t>
            </w:r>
            <w:r w:rsidRPr="0012597A">
              <w:rPr>
                <w:rFonts w:ascii="Times New Roman" w:eastAsia="Microsoft Sans Serif" w:hAnsi="Times New Roman" w:cs="Times New Roman"/>
                <w:sz w:val="24"/>
                <w:szCs w:val="24"/>
                <w:lang w:val="es-MX"/>
              </w:rPr>
              <w:t xml:space="preserve">, deberán promulgarse estableciendo su obligatoriedad y vigencia. </w:t>
            </w:r>
            <w:r w:rsidRPr="0012597A">
              <w:rPr>
                <w:rFonts w:ascii="Times New Roman" w:eastAsia="Microsoft Sans Serif" w:hAnsi="Times New Roman" w:cs="Times New Roman"/>
                <w:b/>
                <w:sz w:val="24"/>
                <w:szCs w:val="24"/>
                <w:lang w:val="es-MX"/>
              </w:rPr>
              <w:t xml:space="preserve">Su publicación en la Gaceta Municipal electrónica será requisito indispensable para que produzcan efectos jurídicos vinculantes hacia los particulares. Adicionalmente, podrán difundirse </w:t>
            </w:r>
            <w:r w:rsidRPr="0012597A">
              <w:rPr>
                <w:rFonts w:ascii="Times New Roman" w:eastAsia="Microsoft Sans Serif" w:hAnsi="Times New Roman" w:cs="Times New Roman"/>
                <w:sz w:val="24"/>
                <w:szCs w:val="24"/>
                <w:lang w:val="es-MX"/>
              </w:rPr>
              <w:t>en los estrados de los ayuntamientos y en otros medios para mayor conocimiento de la población.</w:t>
            </w:r>
          </w:p>
        </w:tc>
      </w:tr>
    </w:tbl>
    <w:p w14:paraId="108E8252"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462A3A90"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En suma, la presente iniciativa reconoce una realidad administrativa ya existente en los municipios del Estado de México y le otorga sustento jurídico expreso, superando el carácter meramente informativo que hasta hoy ha tenido la publicación electrónica de la Gaceta Municipal. Con esta reforma se consolida un marco normativo que brinda certeza jurídica a los actos de autoridad municipal, fortalece el derecho de acceso a la información pública, amplía los mecanismos de rendición de cuentas y garantiza la máxima publicidad de los acuerdos, normas y resoluciones que inciden directamente en la vida cotidiana de la población.</w:t>
      </w:r>
    </w:p>
    <w:p w14:paraId="5D1577AF"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1B9D5875"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Asimismo, se armoniza la legislación municipal con la reforma reciente a la Ley del Periódico Oficial “Gaceta del Gobierno” del Estado de México, retomando los principios de legalidad, autenticidad, accesibilidad, eficiencia administrativa y austeridad impulsados por nuestra gobernadora, la Maestra Delfina Gómez Álvarez, y alineados con el Plan de Desarrollo del Estado de México dos mil veintitrés a dos mil veintinueve.</w:t>
      </w:r>
    </w:p>
    <w:p w14:paraId="7E5738D9"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732CCD72"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 xml:space="preserve">Con ello, la Gaceta Municipal se consolida como un instrumento moderno, confiable y </w:t>
      </w:r>
      <w:r w:rsidRPr="0012597A">
        <w:rPr>
          <w:rFonts w:ascii="Times New Roman" w:eastAsia="Microsoft Sans Serif" w:hAnsi="Times New Roman" w:cs="Times New Roman"/>
          <w:sz w:val="24"/>
          <w:szCs w:val="24"/>
        </w:rPr>
        <w:lastRenderedPageBreak/>
        <w:t>jurídicamente sólido para la publicación del Bando Municipal, los reglamentos, los acuerdos de cabildo, los instrumentos de planeación y los informes de gobierno, garantizando a las y los mexiquenses un acceso efectivo, oportuno y verificable a los actos y resoluciones de sus ayuntamientos, fortaleciendo la vida democrática, la transparencia y el Estado de derecho en el ámbito municipal.</w:t>
      </w:r>
    </w:p>
    <w:p w14:paraId="18D28EEB"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60C194A0"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Por lo anteriormente expuesto tengo a bien, diputada Presidenta, presentar ante esta soberanía el siguiente la presente Iniciativa con Proyecto de Decreto por el que se reforman y adicionan diversas disposiciones de la Ley Orgánica Municipal del Estado de México, en materia de modernización, validez jurídica y difusión electrónica de la Gaceta Municipal.</w:t>
      </w:r>
    </w:p>
    <w:p w14:paraId="7D6FB45C"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41671F63"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ATENTAMENTE</w:t>
      </w:r>
    </w:p>
    <w:p w14:paraId="2EA6C825"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DIP. VALENTÍN MARTÍNEZ CASTILLO</w:t>
      </w:r>
    </w:p>
    <w:p w14:paraId="4F590317"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24D8666B" w14:textId="77777777" w:rsidR="00B32505" w:rsidRPr="0012597A" w:rsidRDefault="00B32505" w:rsidP="00EF1C7F">
      <w:pPr>
        <w:widowControl w:val="0"/>
        <w:autoSpaceDE w:val="0"/>
        <w:autoSpaceDN w:val="0"/>
        <w:spacing w:after="0" w:line="240" w:lineRule="auto"/>
        <w:ind w:left="567" w:hanging="567"/>
        <w:jc w:val="both"/>
        <w:rPr>
          <w:rFonts w:ascii="Times New Roman" w:eastAsia="Microsoft Sans Serif" w:hAnsi="Times New Roman" w:cs="Times New Roman"/>
          <w:sz w:val="20"/>
          <w:szCs w:val="24"/>
        </w:rPr>
      </w:pPr>
      <w:r w:rsidRPr="0012597A">
        <w:rPr>
          <w:rFonts w:ascii="Times New Roman" w:eastAsia="Microsoft Sans Serif" w:hAnsi="Times New Roman" w:cs="Times New Roman"/>
          <w:sz w:val="20"/>
          <w:szCs w:val="24"/>
        </w:rPr>
        <w:t xml:space="preserve">C.c.p. </w:t>
      </w:r>
      <w:r w:rsidRPr="0012597A">
        <w:rPr>
          <w:rFonts w:ascii="Times New Roman" w:eastAsia="Microsoft Sans Serif" w:hAnsi="Times New Roman" w:cs="Times New Roman"/>
          <w:b/>
          <w:sz w:val="20"/>
          <w:szCs w:val="24"/>
        </w:rPr>
        <w:t>Dip. José Francisco Vázquez Rodríguez</w:t>
      </w:r>
      <w:r w:rsidRPr="0012597A">
        <w:rPr>
          <w:rFonts w:ascii="Times New Roman" w:eastAsia="Microsoft Sans Serif" w:hAnsi="Times New Roman" w:cs="Times New Roman"/>
          <w:sz w:val="20"/>
          <w:szCs w:val="24"/>
        </w:rPr>
        <w:t>, Presidente de la Junta de Coordinación Política y Coordinador del Grupo Parlamentario de Morena en la LXII Legislatura del Congreso del Estado de México.</w:t>
      </w:r>
    </w:p>
    <w:p w14:paraId="1CDDE147" w14:textId="77777777" w:rsidR="00B32505" w:rsidRPr="0012597A" w:rsidRDefault="00B32505" w:rsidP="00EF1C7F">
      <w:pPr>
        <w:widowControl w:val="0"/>
        <w:autoSpaceDE w:val="0"/>
        <w:autoSpaceDN w:val="0"/>
        <w:spacing w:after="0" w:line="240" w:lineRule="auto"/>
        <w:ind w:firstLine="567"/>
        <w:jc w:val="both"/>
        <w:rPr>
          <w:rFonts w:ascii="Times New Roman" w:eastAsia="Microsoft Sans Serif" w:hAnsi="Times New Roman" w:cs="Times New Roman"/>
          <w:sz w:val="20"/>
          <w:szCs w:val="24"/>
        </w:rPr>
      </w:pPr>
      <w:r w:rsidRPr="0012597A">
        <w:rPr>
          <w:rFonts w:ascii="Times New Roman" w:eastAsia="Microsoft Sans Serif" w:hAnsi="Times New Roman" w:cs="Times New Roman"/>
          <w:sz w:val="20"/>
          <w:szCs w:val="24"/>
        </w:rPr>
        <w:t xml:space="preserve">Dip. Ángel Adriel Negrete </w:t>
      </w:r>
      <w:proofErr w:type="spellStart"/>
      <w:r w:rsidRPr="0012597A">
        <w:rPr>
          <w:rFonts w:ascii="Times New Roman" w:eastAsia="Microsoft Sans Serif" w:hAnsi="Times New Roman" w:cs="Times New Roman"/>
          <w:sz w:val="20"/>
          <w:szCs w:val="24"/>
        </w:rPr>
        <w:t>Avonce</w:t>
      </w:r>
      <w:proofErr w:type="spellEnd"/>
      <w:r w:rsidRPr="0012597A">
        <w:rPr>
          <w:rFonts w:ascii="Times New Roman" w:eastAsia="Microsoft Sans Serif" w:hAnsi="Times New Roman" w:cs="Times New Roman"/>
          <w:sz w:val="20"/>
          <w:szCs w:val="24"/>
        </w:rPr>
        <w:t>, Vicecoordinador del Grupo Parlamentario de Morena. Archivo.</w:t>
      </w:r>
    </w:p>
    <w:p w14:paraId="0718226F"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p>
    <w:p w14:paraId="112A9563"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p>
    <w:p w14:paraId="29B1BF46"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PROYECTO DE DECRETO</w:t>
      </w:r>
    </w:p>
    <w:p w14:paraId="23039EC6"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5CEECA33"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DECRETO NÚMERO</w:t>
      </w:r>
    </w:p>
    <w:p w14:paraId="4FCFF02D"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LA “LXII” LEGISLATURA</w:t>
      </w:r>
    </w:p>
    <w:p w14:paraId="773DCC88"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DEL ESTADO DE MÉXICO:</w:t>
      </w:r>
    </w:p>
    <w:p w14:paraId="18DC639C"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DECRETA:</w:t>
      </w:r>
    </w:p>
    <w:p w14:paraId="59E62838"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6DA1D04C"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ARTÍCULO ÚNICO</w:t>
      </w:r>
      <w:r w:rsidRPr="0012597A">
        <w:rPr>
          <w:rFonts w:ascii="Times New Roman" w:eastAsia="Microsoft Sans Serif" w:hAnsi="Times New Roman" w:cs="Times New Roman"/>
          <w:sz w:val="24"/>
          <w:szCs w:val="24"/>
        </w:rPr>
        <w:t>. Se reforman los párrafos primero y segundo del artículo 30; la fracción XXXVI del artículo 31; la fracción III del artículo 48; las fracciones VIII y XIII del artículo 91; el primer párrafo del artículo 160; y el artículo 165; y se adicionan los párrafos tercero y quinto al artículo 30, recorriéndose el subsecuente, todos de la Ley Orgánica Municipal del Estado de México, para quedar como sigue:</w:t>
      </w:r>
    </w:p>
    <w:p w14:paraId="73C0D949"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485CB217"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30.- </w:t>
      </w:r>
      <w:r w:rsidRPr="0012597A">
        <w:rPr>
          <w:rFonts w:ascii="Times New Roman" w:eastAsia="Microsoft Sans Serif" w:hAnsi="Times New Roman" w:cs="Times New Roman"/>
          <w:sz w:val="24"/>
          <w:szCs w:val="24"/>
        </w:rPr>
        <w:t xml:space="preserve">Las sesiones del ayuntamiento serán presididas por el presidente municipal o por quien lo sustituya legalmente; constarán en un libro que deberá contener las actas en las cuales deberán asentarse los extractos de los acuerdos y asuntos tratados y el resultado de la votación. Cuando se refieran a reglamentos y otras normas de carácter general que sean de observancia municipal estos constarán íntegramente en el libro de actas debiendo firmar en ambos casos los miembros del Ayuntamiento que hayan estado presentes, debiéndose difundir en </w:t>
      </w:r>
      <w:r w:rsidRPr="0012597A">
        <w:rPr>
          <w:rFonts w:ascii="Times New Roman" w:eastAsia="Microsoft Sans Serif" w:hAnsi="Times New Roman" w:cs="Times New Roman"/>
          <w:b/>
          <w:sz w:val="24"/>
          <w:szCs w:val="24"/>
        </w:rPr>
        <w:t xml:space="preserve">la </w:t>
      </w:r>
      <w:r w:rsidRPr="0012597A">
        <w:rPr>
          <w:rFonts w:ascii="Times New Roman" w:eastAsia="Microsoft Sans Serif" w:hAnsi="Times New Roman" w:cs="Times New Roman"/>
          <w:sz w:val="24"/>
          <w:szCs w:val="24"/>
        </w:rPr>
        <w:t xml:space="preserve">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w:t>
      </w:r>
      <w:proofErr w:type="gramStart"/>
      <w:r w:rsidRPr="0012597A">
        <w:rPr>
          <w:rFonts w:ascii="Times New Roman" w:eastAsia="Microsoft Sans Serif" w:hAnsi="Times New Roman" w:cs="Times New Roman"/>
          <w:sz w:val="24"/>
          <w:szCs w:val="24"/>
        </w:rPr>
        <w:t>tendrá</w:t>
      </w:r>
      <w:proofErr w:type="gramEnd"/>
      <w:r w:rsidRPr="0012597A">
        <w:rPr>
          <w:rFonts w:ascii="Times New Roman" w:eastAsia="Microsoft Sans Serif" w:hAnsi="Times New Roman" w:cs="Times New Roman"/>
          <w:sz w:val="24"/>
          <w:szCs w:val="24"/>
        </w:rPr>
        <w:t xml:space="preserve"> el carácter de copia certificada.</w:t>
      </w:r>
    </w:p>
    <w:p w14:paraId="2728FDD7"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6A9EE0A4"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 xml:space="preserve">Todos los acuerdos de las sesiones que no contengan información clasificada y el resultado de su votación, serán difundidos cada mes en la Gaceta Municipal </w:t>
      </w:r>
      <w:r w:rsidRPr="0012597A">
        <w:rPr>
          <w:rFonts w:ascii="Times New Roman" w:eastAsia="Microsoft Sans Serif" w:hAnsi="Times New Roman" w:cs="Times New Roman"/>
          <w:b/>
          <w:sz w:val="24"/>
          <w:szCs w:val="24"/>
        </w:rPr>
        <w:t xml:space="preserve">en su versión electrónica </w:t>
      </w:r>
      <w:r w:rsidRPr="0012597A">
        <w:rPr>
          <w:rFonts w:ascii="Times New Roman" w:eastAsia="Microsoft Sans Serif" w:hAnsi="Times New Roman" w:cs="Times New Roman"/>
          <w:sz w:val="24"/>
          <w:szCs w:val="24"/>
        </w:rPr>
        <w:t>y en los estrados de la Secretaría del Ayuntamiento, así como los datos de identificación de las actas que contengan información clasificada, incluyendo en cada caso, el fundamento legal que clasifica la información.</w:t>
      </w:r>
    </w:p>
    <w:p w14:paraId="6C1CF4FA" w14:textId="77777777" w:rsidR="00B32505" w:rsidRPr="0012597A" w:rsidRDefault="00B32505" w:rsidP="00EF1C7F">
      <w:pPr>
        <w:widowControl w:val="0"/>
        <w:autoSpaceDE w:val="0"/>
        <w:autoSpaceDN w:val="0"/>
        <w:spacing w:after="0" w:line="240" w:lineRule="auto"/>
        <w:jc w:val="both"/>
        <w:outlineLvl w:val="0"/>
        <w:rPr>
          <w:rFonts w:ascii="Times New Roman" w:eastAsia="Arial" w:hAnsi="Times New Roman" w:cs="Times New Roman"/>
          <w:b/>
          <w:bCs/>
          <w:sz w:val="24"/>
          <w:szCs w:val="24"/>
        </w:rPr>
      </w:pPr>
    </w:p>
    <w:p w14:paraId="2DEF0F43" w14:textId="77777777" w:rsidR="00B32505" w:rsidRPr="0012597A" w:rsidRDefault="00B32505" w:rsidP="00EF1C7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La versión electrónica de la Gaceta Municipal tendrá validez legal y el carácter de documental pública cuando se emita por la Secretaría del Ayuntamiento, garantizando la integridad y autenticidad de su contenido mediante firma y sello electrónico y previo pago de la contribución respectiva cuando se soliciten ejemplares certificados.</w:t>
      </w:r>
    </w:p>
    <w:p w14:paraId="47293B4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13D5017F"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Además de la edición electrónica, se imprimirán cinco ejemplares, con idénticas características y contenido, para efectos de evidencia documental, así como para garantizar la publicación de la Gaceta Municipal en los casos en que resulte imposible por causas de fuerza mayor acceder a su edición electrónica, los cuales, no estarán a la venta y quedarán a resguardo de la Secretaría del Ayuntamiento y del Archivo Municipal.</w:t>
      </w:r>
    </w:p>
    <w:p w14:paraId="6DA716A9"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3E1D5412"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w:t>
      </w:r>
    </w:p>
    <w:p w14:paraId="062F07FD"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5523965"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31.- </w:t>
      </w:r>
      <w:r w:rsidRPr="0012597A">
        <w:rPr>
          <w:rFonts w:ascii="Times New Roman" w:eastAsia="Microsoft Sans Serif" w:hAnsi="Times New Roman" w:cs="Times New Roman"/>
          <w:sz w:val="24"/>
          <w:szCs w:val="24"/>
        </w:rPr>
        <w:t>Son atribuciones de los ayuntamientos:</w:t>
      </w:r>
    </w:p>
    <w:p w14:paraId="4E70B247"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4743EC9"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I. a XXXV. ...</w:t>
      </w:r>
    </w:p>
    <w:p w14:paraId="0A997B91"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3D261549"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b/>
          <w:sz w:val="24"/>
          <w:szCs w:val="24"/>
        </w:rPr>
      </w:pPr>
      <w:r w:rsidRPr="0012597A">
        <w:rPr>
          <w:rFonts w:ascii="Times New Roman" w:eastAsia="Microsoft Sans Serif" w:hAnsi="Times New Roman" w:cs="Times New Roman"/>
          <w:sz w:val="24"/>
          <w:szCs w:val="24"/>
        </w:rPr>
        <w:t xml:space="preserve">XXXVI. Editar, publicar </w:t>
      </w:r>
      <w:r w:rsidRPr="0012597A">
        <w:rPr>
          <w:rFonts w:ascii="Times New Roman" w:eastAsia="Microsoft Sans Serif" w:hAnsi="Times New Roman" w:cs="Times New Roman"/>
          <w:b/>
          <w:sz w:val="24"/>
          <w:szCs w:val="24"/>
        </w:rPr>
        <w:t xml:space="preserve">y difundir </w:t>
      </w:r>
      <w:r w:rsidRPr="0012597A">
        <w:rPr>
          <w:rFonts w:ascii="Times New Roman" w:eastAsia="Microsoft Sans Serif" w:hAnsi="Times New Roman" w:cs="Times New Roman"/>
          <w:sz w:val="24"/>
          <w:szCs w:val="24"/>
        </w:rPr>
        <w:t xml:space="preserve">la Gaceta Municipal como órgano oficial de comunicación gubernamental, preferentemente en </w:t>
      </w:r>
      <w:r w:rsidRPr="0012597A">
        <w:rPr>
          <w:rFonts w:ascii="Times New Roman" w:eastAsia="Microsoft Sans Serif" w:hAnsi="Times New Roman" w:cs="Times New Roman"/>
          <w:b/>
          <w:sz w:val="24"/>
          <w:szCs w:val="24"/>
        </w:rPr>
        <w:t>formato electrónico</w:t>
      </w:r>
      <w:r w:rsidRPr="0012597A">
        <w:rPr>
          <w:rFonts w:ascii="Times New Roman" w:eastAsia="Microsoft Sans Serif" w:hAnsi="Times New Roman" w:cs="Times New Roman"/>
          <w:sz w:val="24"/>
          <w:szCs w:val="24"/>
        </w:rPr>
        <w:t xml:space="preserve">. </w:t>
      </w:r>
      <w:r w:rsidRPr="0012597A">
        <w:rPr>
          <w:rFonts w:ascii="Times New Roman" w:eastAsia="Microsoft Sans Serif" w:hAnsi="Times New Roman" w:cs="Times New Roman"/>
          <w:b/>
          <w:sz w:val="24"/>
          <w:szCs w:val="24"/>
        </w:rPr>
        <w:t>La edición electrónica de la Gaceta Municipal, firmada digitalmente por la autoridad facultada, tendrá el mismo valor jurídico y probatorio que la versión impresa para todos los efectos legales, administrativos y judiciales conducentes. Su periodicidad será cuando menos trimestral;</w:t>
      </w:r>
    </w:p>
    <w:p w14:paraId="790B606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447ECCF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XXXVII. a XLVIII. …</w:t>
      </w:r>
    </w:p>
    <w:p w14:paraId="4F8A6012"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A9476CC"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w:t>
      </w:r>
    </w:p>
    <w:p w14:paraId="7C9E24E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9FBC0D6"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48.- </w:t>
      </w:r>
      <w:r w:rsidRPr="0012597A">
        <w:rPr>
          <w:rFonts w:ascii="Times New Roman" w:eastAsia="Microsoft Sans Serif" w:hAnsi="Times New Roman" w:cs="Times New Roman"/>
          <w:sz w:val="24"/>
          <w:szCs w:val="24"/>
        </w:rPr>
        <w:t>La persona titular de la presidencia municipal tiene las siguientes atribuciones:</w:t>
      </w:r>
    </w:p>
    <w:p w14:paraId="2A21ADA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6910C12D"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I. a II. ...</w:t>
      </w:r>
    </w:p>
    <w:p w14:paraId="42CFDACD"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p>
    <w:p w14:paraId="3B09C330"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III. Promulgar y publicar el Bando Municipal en la Gaceta Municipal y ordenar su difusión en los estrados de la Secretaría del Ayuntamiento, así como ordenar la publicación electrónica de las normas de carácter general y reglamentos aprobados por el Ayuntamiento para su debida entrada en vigor;</w:t>
      </w:r>
    </w:p>
    <w:p w14:paraId="0091E4A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77FE8B53"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IV. a XXVI. ...</w:t>
      </w:r>
    </w:p>
    <w:p w14:paraId="7B33DE1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FDD3118" w14:textId="77777777" w:rsidR="00B32505" w:rsidRPr="0012597A" w:rsidRDefault="00B32505" w:rsidP="00EF1C7F">
      <w:pPr>
        <w:widowControl w:val="0"/>
        <w:autoSpaceDE w:val="0"/>
        <w:autoSpaceDN w:val="0"/>
        <w:spacing w:after="0" w:line="240" w:lineRule="auto"/>
        <w:jc w:val="both"/>
        <w:outlineLvl w:val="0"/>
        <w:rPr>
          <w:rFonts w:ascii="Times New Roman" w:eastAsia="Arial" w:hAnsi="Times New Roman" w:cs="Times New Roman"/>
          <w:bCs/>
          <w:sz w:val="24"/>
          <w:szCs w:val="24"/>
        </w:rPr>
      </w:pPr>
      <w:r w:rsidRPr="0012597A">
        <w:rPr>
          <w:rFonts w:ascii="Times New Roman" w:eastAsia="Arial" w:hAnsi="Times New Roman" w:cs="Times New Roman"/>
          <w:b/>
          <w:bCs/>
          <w:sz w:val="24"/>
          <w:szCs w:val="24"/>
        </w:rPr>
        <w:t xml:space="preserve">Artículo 91.- </w:t>
      </w:r>
      <w:r w:rsidRPr="0012597A">
        <w:rPr>
          <w:rFonts w:ascii="Times New Roman" w:eastAsia="Arial" w:hAnsi="Times New Roman" w:cs="Times New Roman"/>
          <w:bCs/>
          <w:sz w:val="24"/>
          <w:szCs w:val="24"/>
        </w:rPr>
        <w:t>...</w:t>
      </w:r>
    </w:p>
    <w:p w14:paraId="33B11380"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2B45EEAB"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I. a VII. ...</w:t>
      </w:r>
    </w:p>
    <w:p w14:paraId="34E1CF71"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5DFFA2A"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 xml:space="preserve">VIII. Publicar </w:t>
      </w:r>
      <w:r w:rsidRPr="0012597A">
        <w:rPr>
          <w:rFonts w:ascii="Times New Roman" w:eastAsia="Microsoft Sans Serif" w:hAnsi="Times New Roman" w:cs="Times New Roman"/>
          <w:b/>
          <w:sz w:val="24"/>
          <w:szCs w:val="24"/>
        </w:rPr>
        <w:t xml:space="preserve">en la Gaceta Municipal </w:t>
      </w:r>
      <w:r w:rsidRPr="0012597A">
        <w:rPr>
          <w:rFonts w:ascii="Times New Roman" w:eastAsia="Microsoft Sans Serif" w:hAnsi="Times New Roman" w:cs="Times New Roman"/>
          <w:sz w:val="24"/>
          <w:szCs w:val="24"/>
        </w:rPr>
        <w:t>los reglamentos, circulares y demás disposiciones municipales de observancia general;</w:t>
      </w:r>
    </w:p>
    <w:p w14:paraId="0C8D0E7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1A712368"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IX. a XII. …</w:t>
      </w:r>
    </w:p>
    <w:p w14:paraId="01681265"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1096565B"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 xml:space="preserve">XIII. Ser responsable de la edición, publicación y difusión de la Gaceta Municipal. Para garantizar </w:t>
      </w:r>
      <w:r w:rsidRPr="0012597A">
        <w:rPr>
          <w:rFonts w:ascii="Times New Roman" w:eastAsia="Microsoft Sans Serif" w:hAnsi="Times New Roman" w:cs="Times New Roman"/>
          <w:sz w:val="24"/>
          <w:szCs w:val="24"/>
        </w:rPr>
        <w:lastRenderedPageBreak/>
        <w:t>la autenticidad, integridad e inalterabilidad de la Gaceta Municipal en su versión electrónica, el Secretario deberá validarla mediante el uso de su firma electrónica avanzada o sello electrónico, de conformidad con la legislación aplicable en materia de Gobierno Digital y firma electrónica; y</w:t>
      </w:r>
    </w:p>
    <w:p w14:paraId="727B943C"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9F2A977"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XIV. ...</w:t>
      </w:r>
    </w:p>
    <w:p w14:paraId="3D5BE610"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0995D79F"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160.- </w:t>
      </w:r>
      <w:r w:rsidRPr="0012597A">
        <w:rPr>
          <w:rFonts w:ascii="Times New Roman" w:eastAsia="Microsoft Sans Serif" w:hAnsi="Times New Roman" w:cs="Times New Roman"/>
          <w:sz w:val="24"/>
          <w:szCs w:val="24"/>
        </w:rPr>
        <w:t xml:space="preserve">Los ayuntamientos expedirán el Bando Municipal y los presidentes municipales lo promulgarán y difundirán en la </w:t>
      </w:r>
      <w:r w:rsidRPr="0012597A">
        <w:rPr>
          <w:rFonts w:ascii="Times New Roman" w:eastAsia="Microsoft Sans Serif" w:hAnsi="Times New Roman" w:cs="Times New Roman"/>
          <w:b/>
          <w:sz w:val="24"/>
          <w:szCs w:val="24"/>
        </w:rPr>
        <w:t>Gaceta Municipal electrónica</w:t>
      </w:r>
      <w:r w:rsidRPr="0012597A">
        <w:rPr>
          <w:rFonts w:ascii="Times New Roman" w:eastAsia="Microsoft Sans Serif" w:hAnsi="Times New Roman" w:cs="Times New Roman"/>
          <w:sz w:val="24"/>
          <w:szCs w:val="24"/>
        </w:rPr>
        <w:t xml:space="preserve">, en los estrados de los Ayuntamientos </w:t>
      </w:r>
      <w:r w:rsidRPr="0012597A">
        <w:rPr>
          <w:rFonts w:ascii="Times New Roman" w:eastAsia="Microsoft Sans Serif" w:hAnsi="Times New Roman" w:cs="Times New Roman"/>
          <w:b/>
          <w:sz w:val="24"/>
          <w:szCs w:val="24"/>
        </w:rPr>
        <w:t xml:space="preserve">y por los medios digitales o físicos </w:t>
      </w:r>
      <w:r w:rsidRPr="0012597A">
        <w:rPr>
          <w:rFonts w:ascii="Times New Roman" w:eastAsia="Microsoft Sans Serif" w:hAnsi="Times New Roman" w:cs="Times New Roman"/>
          <w:sz w:val="24"/>
          <w:szCs w:val="24"/>
        </w:rPr>
        <w:t xml:space="preserve">que estimen convenientes </w:t>
      </w:r>
      <w:r w:rsidRPr="0012597A">
        <w:rPr>
          <w:rFonts w:ascii="Times New Roman" w:eastAsia="Microsoft Sans Serif" w:hAnsi="Times New Roman" w:cs="Times New Roman"/>
          <w:b/>
          <w:sz w:val="24"/>
          <w:szCs w:val="24"/>
        </w:rPr>
        <w:t>para su máxima publicidad</w:t>
      </w:r>
      <w:r w:rsidRPr="0012597A">
        <w:rPr>
          <w:rFonts w:ascii="Times New Roman" w:eastAsia="Microsoft Sans Serif" w:hAnsi="Times New Roman" w:cs="Times New Roman"/>
          <w:sz w:val="24"/>
          <w:szCs w:val="24"/>
        </w:rPr>
        <w:t>.</w:t>
      </w:r>
    </w:p>
    <w:p w14:paraId="547DA023"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72755373"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w:t>
      </w:r>
    </w:p>
    <w:p w14:paraId="1A0F62D5"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B4F4930"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165.- </w:t>
      </w:r>
      <w:r w:rsidRPr="0012597A">
        <w:rPr>
          <w:rFonts w:ascii="Times New Roman" w:eastAsia="Microsoft Sans Serif" w:hAnsi="Times New Roman" w:cs="Times New Roman"/>
          <w:sz w:val="24"/>
          <w:szCs w:val="24"/>
        </w:rPr>
        <w:t>Los Bandos, sus reformas y adiciones, así como los reglamentos municipales, acuerdos y demás disposiciones de observancia general, deberán promulgarse estableciendo su obligatoriedad y vigencia. Su publicación en la Gaceta Municipal electrónica será requisito indispensable para que produzcan efectos jurídicos vinculantes hacia los particulares. Adicionalmente, podrán difundirse en los estrados de los ayuntamientos y en otros medios para mayor conocimiento de la población.</w:t>
      </w:r>
    </w:p>
    <w:p w14:paraId="0BB79F0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1E5D0BFD" w14:textId="77777777" w:rsidR="00B32505" w:rsidRPr="0012597A" w:rsidRDefault="00B32505" w:rsidP="00EF1C7F">
      <w:pPr>
        <w:widowControl w:val="0"/>
        <w:autoSpaceDE w:val="0"/>
        <w:autoSpaceDN w:val="0"/>
        <w:spacing w:after="0" w:line="240" w:lineRule="auto"/>
        <w:jc w:val="center"/>
        <w:rPr>
          <w:rFonts w:ascii="Times New Roman" w:eastAsia="Microsoft Sans Serif" w:hAnsi="Times New Roman" w:cs="Times New Roman"/>
          <w:b/>
          <w:sz w:val="24"/>
          <w:szCs w:val="24"/>
        </w:rPr>
      </w:pPr>
      <w:r w:rsidRPr="0012597A">
        <w:rPr>
          <w:rFonts w:ascii="Times New Roman" w:eastAsia="Microsoft Sans Serif" w:hAnsi="Times New Roman" w:cs="Times New Roman"/>
          <w:b/>
          <w:sz w:val="24"/>
          <w:szCs w:val="24"/>
        </w:rPr>
        <w:t>TRANSITORIOS</w:t>
      </w:r>
    </w:p>
    <w:p w14:paraId="72A1BC14"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b/>
          <w:sz w:val="24"/>
          <w:szCs w:val="24"/>
        </w:rPr>
      </w:pPr>
    </w:p>
    <w:p w14:paraId="41B93CEF"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PRIMERO. – </w:t>
      </w:r>
      <w:r w:rsidRPr="0012597A">
        <w:rPr>
          <w:rFonts w:ascii="Times New Roman" w:eastAsia="Microsoft Sans Serif" w:hAnsi="Times New Roman" w:cs="Times New Roman"/>
          <w:sz w:val="24"/>
          <w:szCs w:val="24"/>
        </w:rPr>
        <w:t>El presente Decreto entrará en vigor al día siguiente de su publicación en el Periódico Oficial "Gaceta del Gobierno" del Estado de México.</w:t>
      </w:r>
    </w:p>
    <w:p w14:paraId="7A63656D"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5237072C"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SEGUNDO. – </w:t>
      </w:r>
      <w:r w:rsidRPr="0012597A">
        <w:rPr>
          <w:rFonts w:ascii="Times New Roman" w:eastAsia="Microsoft Sans Serif" w:hAnsi="Times New Roman" w:cs="Times New Roman"/>
          <w:sz w:val="24"/>
          <w:szCs w:val="24"/>
        </w:rPr>
        <w:t>Los Ayuntamientos del Estado de México deberán adecuar su Bando Municipal y reglamentación interna en un plazo no mayor a 90 días naturales contados a partir de la entrada en vigor del presente Decreto, para establecer los mecanismos tecnológicos que garanticen la accesibilidad, autenticidad y resguardo de la Gaceta Municipal electrónica.</w:t>
      </w:r>
    </w:p>
    <w:p w14:paraId="241B1780"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3E614E49"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TERCERO. – </w:t>
      </w:r>
      <w:r w:rsidRPr="0012597A">
        <w:rPr>
          <w:rFonts w:ascii="Times New Roman" w:eastAsia="Microsoft Sans Serif" w:hAnsi="Times New Roman" w:cs="Times New Roman"/>
          <w:sz w:val="24"/>
          <w:szCs w:val="24"/>
        </w:rPr>
        <w:t>Los Ayuntamientos deberán habilitar en sus portales de internet oficiales un repositorio público y gratuito que permita la consulta y descarga de las Gacetas Municipales electrónicas publicadas.</w:t>
      </w:r>
    </w:p>
    <w:p w14:paraId="3605169E"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7C418BE7"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b/>
          <w:sz w:val="24"/>
          <w:szCs w:val="24"/>
        </w:rPr>
        <w:t xml:space="preserve">ARTÍCULO CUARTO. – </w:t>
      </w:r>
      <w:r w:rsidRPr="0012597A">
        <w:rPr>
          <w:rFonts w:ascii="Times New Roman" w:eastAsia="Microsoft Sans Serif" w:hAnsi="Times New Roman" w:cs="Times New Roman"/>
          <w:sz w:val="24"/>
          <w:szCs w:val="24"/>
        </w:rPr>
        <w:t>La Agencia Digital del Estado de México brindará el apoyo tecnológico necesario, con pleno respeto a la autonomía y libertad municipal, en el cumplimiento de este decreto.</w:t>
      </w:r>
    </w:p>
    <w:p w14:paraId="79A11B52"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34A2031D" w14:textId="77777777" w:rsidR="00B32505" w:rsidRPr="0012597A" w:rsidRDefault="00B32505" w:rsidP="00EF1C7F">
      <w:pPr>
        <w:widowControl w:val="0"/>
        <w:autoSpaceDE w:val="0"/>
        <w:autoSpaceDN w:val="0"/>
        <w:spacing w:after="0" w:line="240" w:lineRule="auto"/>
        <w:jc w:val="both"/>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Lo tendrá́ entendido la Gobernadora del Estado, haciendo que se publique y se cumpla.</w:t>
      </w:r>
    </w:p>
    <w:p w14:paraId="465E3FC9"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p>
    <w:p w14:paraId="28C1CA1A" w14:textId="77777777" w:rsidR="00B32505" w:rsidRPr="0012597A" w:rsidRDefault="00B32505" w:rsidP="00EF1C7F">
      <w:pPr>
        <w:widowControl w:val="0"/>
        <w:autoSpaceDE w:val="0"/>
        <w:autoSpaceDN w:val="0"/>
        <w:spacing w:after="0" w:line="240" w:lineRule="auto"/>
        <w:rPr>
          <w:rFonts w:ascii="Times New Roman" w:eastAsia="Microsoft Sans Serif" w:hAnsi="Times New Roman" w:cs="Times New Roman"/>
          <w:sz w:val="24"/>
          <w:szCs w:val="24"/>
        </w:rPr>
      </w:pPr>
      <w:r w:rsidRPr="0012597A">
        <w:rPr>
          <w:rFonts w:ascii="Times New Roman" w:eastAsia="Microsoft Sans Serif" w:hAnsi="Times New Roman" w:cs="Times New Roman"/>
          <w:sz w:val="24"/>
          <w:szCs w:val="24"/>
        </w:rPr>
        <w:t xml:space="preserve">Dado en el Palacio del Poder Legislativo, en la ciudad de Toluca de Lerdo, capital del Estado de México, a los </w:t>
      </w:r>
      <w:r w:rsidRPr="0012597A">
        <w:rPr>
          <w:rFonts w:ascii="Times New Roman" w:eastAsia="Microsoft Sans Serif" w:hAnsi="Times New Roman" w:cs="Times New Roman"/>
          <w:sz w:val="24"/>
          <w:szCs w:val="24"/>
          <w:u w:val="single"/>
        </w:rPr>
        <w:tab/>
      </w:r>
      <w:r w:rsidRPr="0012597A">
        <w:rPr>
          <w:rFonts w:ascii="Times New Roman" w:eastAsia="Microsoft Sans Serif" w:hAnsi="Times New Roman" w:cs="Times New Roman"/>
          <w:sz w:val="24"/>
          <w:szCs w:val="24"/>
        </w:rPr>
        <w:t xml:space="preserve">días del mes de </w:t>
      </w:r>
      <w:r w:rsidRPr="0012597A">
        <w:rPr>
          <w:rFonts w:ascii="Times New Roman" w:eastAsia="Microsoft Sans Serif" w:hAnsi="Times New Roman" w:cs="Times New Roman"/>
          <w:sz w:val="24"/>
          <w:szCs w:val="24"/>
          <w:u w:val="single"/>
        </w:rPr>
        <w:tab/>
      </w:r>
      <w:r w:rsidRPr="0012597A">
        <w:rPr>
          <w:rFonts w:ascii="Times New Roman" w:eastAsia="Microsoft Sans Serif" w:hAnsi="Times New Roman" w:cs="Times New Roman"/>
          <w:sz w:val="24"/>
          <w:szCs w:val="24"/>
        </w:rPr>
        <w:t xml:space="preserve">del año dos mil </w:t>
      </w:r>
      <w:r w:rsidRPr="0012597A">
        <w:rPr>
          <w:rFonts w:ascii="Times New Roman" w:eastAsia="Microsoft Sans Serif" w:hAnsi="Times New Roman" w:cs="Times New Roman"/>
          <w:sz w:val="24"/>
          <w:szCs w:val="24"/>
          <w:u w:val="single"/>
        </w:rPr>
        <w:tab/>
      </w:r>
      <w:r w:rsidRPr="0012597A">
        <w:rPr>
          <w:rFonts w:ascii="Times New Roman" w:eastAsia="Microsoft Sans Serif" w:hAnsi="Times New Roman" w:cs="Times New Roman"/>
          <w:sz w:val="24"/>
          <w:szCs w:val="24"/>
        </w:rPr>
        <w:t>.</w:t>
      </w:r>
    </w:p>
    <w:p w14:paraId="6BFDE65E" w14:textId="77777777" w:rsidR="00B32505" w:rsidRPr="0012597A" w:rsidRDefault="00B32505" w:rsidP="00EF1C7F">
      <w:pPr>
        <w:spacing w:after="0" w:line="240" w:lineRule="auto"/>
        <w:jc w:val="center"/>
        <w:rPr>
          <w:rFonts w:ascii="Times New Roman" w:hAnsi="Times New Roman"/>
          <w:sz w:val="24"/>
          <w:szCs w:val="24"/>
        </w:rPr>
      </w:pPr>
    </w:p>
    <w:p w14:paraId="067B8FAD" w14:textId="77777777" w:rsidR="00B32505" w:rsidRPr="0012597A" w:rsidRDefault="00B32505"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4D438623" w14:textId="77777777" w:rsidR="00B32505" w:rsidRPr="0012597A" w:rsidRDefault="00B32505" w:rsidP="00EF1C7F">
      <w:pPr>
        <w:spacing w:after="0" w:line="240" w:lineRule="auto"/>
        <w:jc w:val="center"/>
        <w:rPr>
          <w:rFonts w:ascii="Times New Roman" w:hAnsi="Times New Roman"/>
          <w:sz w:val="24"/>
          <w:szCs w:val="24"/>
        </w:rPr>
      </w:pPr>
    </w:p>
    <w:p w14:paraId="161933AB" w14:textId="6781C38B"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kern w:val="2"/>
          <w:sz w:val="24"/>
          <w:szCs w:val="24"/>
          <w:lang w:eastAsia="es-MX"/>
        </w:rPr>
        <w:t xml:space="preserve">PRESIDENTA DIP. MARTHA AZUCENA CAMACHO REYNOSO. </w:t>
      </w:r>
      <w:r w:rsidRPr="0012597A">
        <w:rPr>
          <w:rFonts w:ascii="Times New Roman" w:hAnsi="Times New Roman" w:cs="Times New Roman"/>
          <w:color w:val="FF0000"/>
          <w:sz w:val="24"/>
          <w:szCs w:val="24"/>
        </w:rPr>
        <w:t xml:space="preserve">Gracias diputado Valentín </w:t>
      </w:r>
      <w:r w:rsidRPr="0012597A">
        <w:rPr>
          <w:rFonts w:ascii="Times New Roman" w:hAnsi="Times New Roman" w:cs="Times New Roman"/>
          <w:color w:val="FF0000"/>
          <w:kern w:val="2"/>
          <w:sz w:val="24"/>
          <w:szCs w:val="24"/>
          <w:lang w:eastAsia="es-MX"/>
        </w:rPr>
        <w:t>Martínez Castillo.</w:t>
      </w:r>
    </w:p>
    <w:p w14:paraId="5FDFD6EC" w14:textId="7CC57D14"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kern w:val="2"/>
          <w:sz w:val="24"/>
          <w:szCs w:val="24"/>
          <w:lang w:eastAsia="es-MX"/>
        </w:rPr>
        <w:t>DIP. ITZEL GUADALUPE PÉREZ CORREA</w:t>
      </w:r>
      <w:r w:rsidR="002B323A" w:rsidRPr="0012597A">
        <w:rPr>
          <w:rFonts w:ascii="Times New Roman" w:hAnsi="Times New Roman" w:cs="Times New Roman"/>
          <w:color w:val="FF0000"/>
          <w:kern w:val="2"/>
          <w:sz w:val="24"/>
          <w:szCs w:val="24"/>
          <w:lang w:eastAsia="es-MX"/>
        </w:rPr>
        <w:t xml:space="preserve"> (Desde su curul)</w:t>
      </w:r>
      <w:r w:rsidRPr="0012597A">
        <w:rPr>
          <w:rFonts w:ascii="Times New Roman" w:hAnsi="Times New Roman" w:cs="Times New Roman"/>
          <w:color w:val="FF0000"/>
          <w:kern w:val="2"/>
          <w:sz w:val="24"/>
          <w:szCs w:val="24"/>
          <w:lang w:eastAsia="es-MX"/>
        </w:rPr>
        <w:t xml:space="preserve">. Presidenta. </w:t>
      </w:r>
      <w:r w:rsidRPr="0012597A">
        <w:rPr>
          <w:rFonts w:ascii="Times New Roman" w:hAnsi="Times New Roman" w:cs="Times New Roman"/>
          <w:color w:val="FF0000"/>
          <w:sz w:val="24"/>
          <w:szCs w:val="24"/>
        </w:rPr>
        <w:t xml:space="preserve">¿Me permites el uso de la voz por alusión? </w:t>
      </w:r>
    </w:p>
    <w:p w14:paraId="29451798"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kern w:val="2"/>
          <w:sz w:val="24"/>
          <w:szCs w:val="24"/>
          <w:lang w:eastAsia="es-MX"/>
        </w:rPr>
        <w:lastRenderedPageBreak/>
        <w:t xml:space="preserve">MARTHA AZUCENA CAMACHO REYNOSO. </w:t>
      </w:r>
      <w:r w:rsidRPr="0012597A">
        <w:rPr>
          <w:rFonts w:ascii="Times New Roman" w:hAnsi="Times New Roman" w:cs="Times New Roman"/>
          <w:color w:val="FF0000"/>
          <w:sz w:val="24"/>
          <w:szCs w:val="24"/>
        </w:rPr>
        <w:t>Adelante.</w:t>
      </w:r>
    </w:p>
    <w:p w14:paraId="5AA6DF5C" w14:textId="048CADE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kern w:val="2"/>
          <w:sz w:val="24"/>
          <w:szCs w:val="24"/>
          <w:lang w:eastAsia="es-MX"/>
        </w:rPr>
        <w:t>DIP. ITZEL GUADALUPE PÉREZ CORREA</w:t>
      </w:r>
      <w:r w:rsidR="002B323A" w:rsidRPr="0012597A">
        <w:rPr>
          <w:rFonts w:ascii="Times New Roman" w:hAnsi="Times New Roman" w:cs="Times New Roman"/>
          <w:color w:val="FF0000"/>
          <w:kern w:val="2"/>
          <w:sz w:val="24"/>
          <w:szCs w:val="24"/>
          <w:lang w:eastAsia="es-MX"/>
        </w:rPr>
        <w:t xml:space="preserve"> (Desde su curul)</w:t>
      </w:r>
      <w:r w:rsidRPr="0012597A">
        <w:rPr>
          <w:rFonts w:ascii="Times New Roman" w:hAnsi="Times New Roman" w:cs="Times New Roman"/>
          <w:color w:val="FF0000"/>
          <w:kern w:val="2"/>
          <w:sz w:val="24"/>
          <w:szCs w:val="24"/>
          <w:lang w:eastAsia="es-MX"/>
        </w:rPr>
        <w:t>.</w:t>
      </w:r>
      <w:r w:rsidRPr="0012597A">
        <w:rPr>
          <w:rFonts w:ascii="Times New Roman" w:hAnsi="Times New Roman" w:cs="Times New Roman"/>
          <w:color w:val="FF0000"/>
          <w:sz w:val="24"/>
          <w:szCs w:val="24"/>
        </w:rPr>
        <w:t xml:space="preserve"> Gracias.</w:t>
      </w:r>
    </w:p>
    <w:p w14:paraId="4ED3AEA7" w14:textId="0C0F8C32"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Diputado, justamente como lo dices tú. Yo, que me la paso de manera permanente recorriendo el territorio sé que la ciudadanía ya no necesita, rispidez ni hostilidad, lo que busca de nosotros es que podamos ser congruente que podamos ayudarles en lo que están solicitando de manera permanente y ese es nuestro deber.</w:t>
      </w:r>
    </w:p>
    <w:p w14:paraId="29E01B87"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Coincido contigo en que el pueblo decide y por eso me queda claro que ya no decidió dejar a tus sucesores por el mal trabajo que se hizo. Yo tampoco vengo a modelar, por si tenías dudas me queda claro que tu nivel de machismo te incapacita para poder respetar una mujer que además de guapa, puede ser también talentosa y por supuesto que puede legislar de manera íntegra y para responder el caso del feminicidio de Itzel que hubo en Ozumba. Me queda claro que, por supuesto, no pudiste responder a una pregunta que te hice, toda vez que el equipo del alcalde, mi coordinador de la bancada y por supuesto tu servidora que estaba trabajando toda la madrugada, buscamos poder ayudarle a la familia de manera pronta tú sabes que estas son situaciones, pues que nadie quisiera vivir y para eso estamos.</w:t>
      </w:r>
    </w:p>
    <w:p w14:paraId="158CE23D" w14:textId="77777777"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Yo lo único que podría decirte es que al final del día hay evidencias y pruebas de todo lo que te estoy diciendo y te invito de manera muy respetuosa a que justamente como lo dices la 4T habla de principios, por supuesto que habla de respetar, de no mentir, de no traicionar a la ciudadanía y en ese sentido, de manera muy respetuosa, te invito a que puedas recorrer conmigo el territorio de Ozumba para que sea el mismo pueblo quien te diga por qué ya no te quiso allá.</w:t>
      </w:r>
    </w:p>
    <w:p w14:paraId="58CFE99E" w14:textId="57EA7765" w:rsidR="00791E2D" w:rsidRPr="0012597A" w:rsidRDefault="00791E2D" w:rsidP="00EF1C7F">
      <w:pPr>
        <w:pStyle w:val="Sinespaciado"/>
        <w:ind w:firstLine="709"/>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Muchas gracias.</w:t>
      </w:r>
    </w:p>
    <w:p w14:paraId="3B4239BA" w14:textId="4B82119C"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Es cuanto Presidenta.</w:t>
      </w:r>
    </w:p>
    <w:p w14:paraId="76AD5A8D"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DIP. VALENTÍN MARTÍNEZ CASTILLO. Gracias de manera muy breve. </w:t>
      </w:r>
    </w:p>
    <w:p w14:paraId="7377C616" w14:textId="06BCF9C6"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De manera muy breve, bueno, lamento mucho que cuando se hace algún comentario, se tome de esa manera, eso es exactamente lo que se busca evitar, pero también agradezco mucho ciertamente se le guarda respeto, se le tiene admiración y puedo entender que en política siempre se da; en ocasiones hay una frase bien dicha que los carniceros de hoy son la carne del mañana y veremos qué es lo que sucede más allá.</w:t>
      </w:r>
    </w:p>
    <w:p w14:paraId="54F7255D"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Ya repetí las cosas y le decía es importante que escuchemos cuál es la postura que ellos tienen, porque son los únicos que nos pueden juzgar, nosotros podemos tener una postura y podemos decir alguna cuestión, pero quién verdaderamente va a responder o va a determinar o evaluar o calificar, será el pueblo, con todo gusto, en una de las visitas que haga  por favor invítenos y estaremos muy gustosos de poder hacerlo, porque lo dijimos desde el principio, somos respetuosos de las cosas, somos respetuosos de la manera en la que se hacen y no podemos ni siquiera sugerir cómo hacerlas, porque al final cada quien tiene sus propios modos y formas, lo que sí son los resultados, los que hablan por sí mismos y en su momento también veremos cuál es la situación, échenle un vistazo a lo que está ocurriendo, tan solo a lo que está ocurriendo ¿Cuál es el sentir? No en todos lados, reconocemos que hace un gobierno también importante. Y bueno, a ver, no tenemos temas, pero creo que ahí valdría la pena echarle un vistazo y revisarlo. </w:t>
      </w:r>
    </w:p>
    <w:p w14:paraId="286145DD"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Querida diputada gracias y si hay algún momento en el que se ha sentido agraviada u ofendida, tampoco es mi intención hacerlo, al contrario, sentimos gratitud y respeto y estamos en una época en la que todas las malas actitudes, conductas se deben dejar atrás, por el contrario, retomar el rumbo hacia lo que estamos haciendo, el bienestar del pueblo mexiquense. </w:t>
      </w:r>
    </w:p>
    <w:p w14:paraId="36C20A66"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Gracias nuevamente.</w:t>
      </w:r>
    </w:p>
    <w:p w14:paraId="4D15C01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PRESIDENTA DIP. MARTHA AZUCENA CAMACHO REYNOSO. Gracias diputado Valentín Martínez Castillo. </w:t>
      </w:r>
    </w:p>
    <w:p w14:paraId="56775F24"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Se registra la iniciativa y se remite a la Comisión Legislativa de Legislación y Administración Municipal y a la Comisión Especial de Innovación, Gobierno Digital e Inteligencia Artificial para su estudio y dictamen. </w:t>
      </w:r>
    </w:p>
    <w:p w14:paraId="3C89BCAC"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En cuanto al punto número 14, el diputado Isaías Peláez Soria presenta, en nombre del Grupo Parlamentario del Partido Verde Ecologista de México, Iniciativa con Proyecto de Decreto por el que se reforma la fracción VIII del artículo 12 y se adiciona un segundo párrafo del artículo 54 de la Ley de Educación del Estado de México en materia de educación bilingüe.</w:t>
      </w:r>
    </w:p>
    <w:p w14:paraId="0B17EF19" w14:textId="77777777" w:rsidR="00791E2D" w:rsidRPr="0012597A" w:rsidRDefault="00791E2D" w:rsidP="00EF1C7F">
      <w:pPr>
        <w:pStyle w:val="Sinespaciad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DIP. ISAÍAS PELÁEZ SORIA. Buenas tardes. </w:t>
      </w:r>
    </w:p>
    <w:p w14:paraId="303C590A"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Con su venia diputada Presidenta; saludo a las integrantes de la Mesa Directiva, a las tres integrantes. </w:t>
      </w:r>
    </w:p>
    <w:p w14:paraId="1630AF00"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Compañeras, compañeros diputados y a la ciudadanía que siguen estos trabajos legislativos a través de diferentes medios de comunicación. </w:t>
      </w:r>
    </w:p>
    <w:p w14:paraId="64B648B9"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La educación es un elemento fundamental para la construcción de toda sociedad, es una inversión que sirve para construir sociedades equitativas, saludables y prósperas; es importante señalar que la educación no es solo un derecho, es una puerta hacia el desarrollo, oportunidades y libertades. </w:t>
      </w:r>
    </w:p>
    <w:p w14:paraId="4010C41D"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Nuestro mundo día a día está en constante cambio, enfrenta con mayor frecuencia situaciones como desastres naturales y conflictos armados que demandan mayores conocimientos para una mejor comprensión de lo que está sucediendo. </w:t>
      </w:r>
    </w:p>
    <w:p w14:paraId="5E405D62"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En este contexto, la Organización de las Naciones Unidas para la Educación, la Ciencia y la Cultura señala que la educación de calidad desempeña un papel fundamental ante situaciones de emergencia, pero también ante los desafíos medioambientales que requieren de un compromiso ambiental. </w:t>
      </w:r>
    </w:p>
    <w:p w14:paraId="664B5210"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 xml:space="preserve">En este sentido existen dos ámbitos de conocimiento que resultan esenciales en la formación de todo estudiante, el aprendizaje del idioma inglés y la educación ambiental. </w:t>
      </w:r>
    </w:p>
    <w:p w14:paraId="72982B5E" w14:textId="77777777" w:rsidR="00791E2D" w:rsidRPr="0012597A" w:rsidRDefault="00791E2D" w:rsidP="00EF1C7F">
      <w:pPr>
        <w:pStyle w:val="Sinespaciad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De ambos quiero resaltar dos datos sumamente preocupantes, en México, de acuerdo con la Secretaría de Educación Pública, 79% de los alumnos tienen desconocimiento total del idioma inglés, lo que posiciona a nuestro país en bajos índices de competencia internacional, de acuerdo con la Encuesta de Vida Circular, en sólo el 24.1% de las escuelas se practica la separación de residuos y 54.2% de las y los estudiantes nunca ha recibido educación ambiental, estos datos evidencian una realidad innegable, un rezago estructural significativo que limita el desarrollo sostenible y reduce la competitividad global de las y los estudiantes.</w:t>
      </w:r>
    </w:p>
    <w:p w14:paraId="52C4A324" w14:textId="77777777" w:rsidR="00791E2D" w:rsidRPr="0012597A" w:rsidRDefault="00791E2D" w:rsidP="00EF1C7F">
      <w:pPr>
        <w:spacing w:after="0" w:line="240" w:lineRule="auto"/>
        <w:ind w:firstLine="708"/>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En cuanto a la educación ambiental a 4 de 10 mexicanos les gustaría poder hacer más en favor del medio ambiente; sin embargo, su ausencia en las aulas mexiquenses contribuye a la degradación y a la pérdida de nuestra biodiversidad, contrario a lo que sucede en nuestro País tenemos el ejemplo del Reino Unido donde el incluir la asignatura de educación ambiental mejoró el comportamiento ecológico de 83% de sus planteles y 98% de quienes integraban su comunidad escolaron amplio su conocimiento en esta materia.</w:t>
      </w:r>
    </w:p>
    <w:p w14:paraId="5CB38ECB"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Sumado a lo anterior, la falta de conocimientos suficientes en el idioma inglés desde edades tempranas limita en el futuro las oportunidades laborales, dificulta la especialización y coloca en desventaja a miles de jóvenes al momento de comunicarse en esta lengua, actualmente sólo el 12% de los mexicanos domina esta segunda lengua.</w:t>
      </w:r>
    </w:p>
    <w:p w14:paraId="6F79DF1B"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En el campo laboral se ha detectado que más del 75% de las vacantes piden como requisito un nivel avanzado de inglés a lo que me pregunto, ¿cómo nuestros jóvenes podrán acceder a estos trabajos si desde pequeños no contaron con una formación básica suficiente en el idioma?</w:t>
      </w:r>
    </w:p>
    <w:p w14:paraId="3170F516"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Frente a este panorama las y los legisladores del Grupo Parlamentario del Partido Verde consideramos indispensable formar a las y los estudiantes en educación ambiental, esto nos proporcionará niñas, niños y adolescentes conscientes de los desafíos ambientales actuales y en un futuro ciudadanos comprometidos con el cuidado, conservación y respeto del medio ambiente, pero también creemos que el aprendizaje del idioma inglés es una herramienta imprescindible para el presente y el futuro de todo estudiante, ya que ofrece beneficios cognitivos, académicos y personales.</w:t>
      </w:r>
    </w:p>
    <w:p w14:paraId="55772495"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lastRenderedPageBreak/>
        <w:tab/>
        <w:t>Por estos motivos, la iniciativa que el día de hoy presento busca fortalecer la educación en nuestro estado a partir de un enfoque sostenible, donde nuestros estudiantes aprendan a proteger el medio ambiente, hacer uso racional del agua y procuren el respeto a nuestros seres sintientes; asimismo, queremos que cuenten con habilidades de comunicación que los coloque en el mismo nivel de competencia global que la educación que reciban de este segundo idioma sea acorde al tipo y nivel educativo en el que se encuentren.</w:t>
      </w:r>
    </w:p>
    <w:p w14:paraId="56C34EEE"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A través de esta iniciativa nuestro objetivo es claro, brindar a las y los estudiantes conocimientos que contribuyan a su mejor formación y que les aseguren un mejor futuro más sostenible y con mayores oportunidades.</w:t>
      </w:r>
    </w:p>
    <w:p w14:paraId="1DB7E265"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Es cuanto Presidenta, muchas gracias.</w:t>
      </w:r>
    </w:p>
    <w:p w14:paraId="005BED21" w14:textId="77777777" w:rsidR="007907A6" w:rsidRPr="0012597A" w:rsidRDefault="007907A6" w:rsidP="00EF1C7F">
      <w:pPr>
        <w:pStyle w:val="Sinespaciado"/>
        <w:jc w:val="both"/>
        <w:rPr>
          <w:rFonts w:ascii="Times New Roman" w:hAnsi="Times New Roman" w:cs="Times New Roman"/>
          <w:sz w:val="24"/>
          <w:szCs w:val="24"/>
        </w:rPr>
      </w:pPr>
    </w:p>
    <w:p w14:paraId="61A4B851" w14:textId="77777777" w:rsidR="007907A6" w:rsidRPr="0012597A" w:rsidRDefault="007907A6"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073FF783" w14:textId="77777777" w:rsidR="007907A6" w:rsidRPr="0012597A" w:rsidRDefault="007907A6" w:rsidP="00EF1C7F">
      <w:pPr>
        <w:spacing w:after="0" w:line="240" w:lineRule="auto"/>
        <w:jc w:val="center"/>
        <w:rPr>
          <w:rFonts w:ascii="Times New Roman" w:hAnsi="Times New Roman"/>
          <w:sz w:val="24"/>
          <w:szCs w:val="24"/>
        </w:rPr>
      </w:pPr>
    </w:p>
    <w:p w14:paraId="54C443AE"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GRUPO PARLAMENTARIO DEL PARTIDO VERDE ECOLOGISTA DE MEXICO</w:t>
      </w:r>
    </w:p>
    <w:p w14:paraId="0865449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3004977E"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“2026. Año del Humanismo Mexicano en el Estado de México”.</w:t>
      </w:r>
    </w:p>
    <w:p w14:paraId="3B347951"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71EE945" w14:textId="77777777" w:rsidR="00F30CB6" w:rsidRPr="0012597A" w:rsidRDefault="00F30CB6" w:rsidP="00EF1C7F">
      <w:pPr>
        <w:widowControl w:val="0"/>
        <w:autoSpaceDE w:val="0"/>
        <w:autoSpaceDN w:val="0"/>
        <w:spacing w:after="0" w:line="240" w:lineRule="auto"/>
        <w:jc w:val="right"/>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Toluca de Lerdo, Estado de México, a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 2026.</w:t>
      </w:r>
    </w:p>
    <w:p w14:paraId="27E7FBE5"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09B75563"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MARTHA AZUCENA CAMACHO REYNOSO</w:t>
      </w:r>
    </w:p>
    <w:p w14:paraId="59537E98"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MESA DIRECTIVA</w:t>
      </w:r>
    </w:p>
    <w:p w14:paraId="732C7FE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LXII LEGISLATURA DEL H. PODER LEGISLATIVO</w:t>
      </w:r>
    </w:p>
    <w:p w14:paraId="0D34D130"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ESTADO LIBRE Y SOBERANO DE MÉXICO</w:t>
      </w:r>
    </w:p>
    <w:p w14:paraId="3E49DE80"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32E9B9F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 R E S E N T E</w:t>
      </w:r>
    </w:p>
    <w:p w14:paraId="4B8F9D3B"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Honorable Asamblea:</w:t>
      </w:r>
    </w:p>
    <w:p w14:paraId="5F8FC73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29DB2ABB"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Quienes suscriben </w:t>
      </w:r>
      <w:r w:rsidRPr="0012597A">
        <w:rPr>
          <w:rFonts w:ascii="Times New Roman" w:eastAsia="Arial MT" w:hAnsi="Times New Roman" w:cs="Times New Roman"/>
          <w:b/>
          <w:sz w:val="24"/>
          <w:szCs w:val="24"/>
        </w:rPr>
        <w:t>JOSÉ ALBERTO COUTTOLENC BUENTELLO</w:t>
      </w:r>
      <w:r w:rsidRPr="0012597A">
        <w:rPr>
          <w:rFonts w:ascii="Times New Roman" w:eastAsia="Arial MT" w:hAnsi="Times New Roman" w:cs="Times New Roman"/>
          <w:sz w:val="24"/>
          <w:szCs w:val="24"/>
        </w:rPr>
        <w:t xml:space="preserve">, </w:t>
      </w:r>
      <w:r w:rsidRPr="0012597A">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12597A">
        <w:rPr>
          <w:rFonts w:ascii="Times New Roman" w:eastAsia="Arial MT" w:hAnsi="Times New Roman" w:cs="Times New Roman"/>
          <w:sz w:val="24"/>
          <w:szCs w:val="24"/>
        </w:rPr>
        <w:t xml:space="preserve">diputadas y diputados integrantes del </w:t>
      </w:r>
      <w:r w:rsidRPr="0012597A">
        <w:rPr>
          <w:rFonts w:ascii="Times New Roman" w:eastAsia="Arial MT" w:hAnsi="Times New Roman" w:cs="Times New Roman"/>
          <w:b/>
          <w:sz w:val="24"/>
          <w:szCs w:val="24"/>
        </w:rPr>
        <w:t xml:space="preserve">GRUPO PARLAMENTARIO DEL PARTIDO VERDE ECOLOGISTA DE MÉXICO </w:t>
      </w:r>
      <w:r w:rsidRPr="0012597A">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12597A">
        <w:rPr>
          <w:rFonts w:ascii="Times New Roman" w:eastAsia="Arial MT" w:hAnsi="Times New Roman" w:cs="Times New Roman"/>
          <w:b/>
          <w:sz w:val="24"/>
          <w:szCs w:val="24"/>
        </w:rPr>
        <w:t xml:space="preserve">INICIATIVA CON PROYECTO DE DECRETO POR LA QUE SE REFORMA LA FRACCIÓN VIII DEL ARTÍCULO 12 Y SE ADICIONA UN SEGUNDO PÁRRAFO AL ARTICULO 54 DE LA LEY DE EDUCACIÓN DEL ESTADO DE MÉXICO, </w:t>
      </w:r>
      <w:r w:rsidRPr="0012597A">
        <w:rPr>
          <w:rFonts w:ascii="Times New Roman" w:eastAsia="Arial MT" w:hAnsi="Times New Roman" w:cs="Times New Roman"/>
          <w:sz w:val="24"/>
          <w:szCs w:val="24"/>
        </w:rPr>
        <w:t>con sustento en la siguiente:</w:t>
      </w:r>
    </w:p>
    <w:p w14:paraId="58030AEB"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07C6C20D"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EXPOSICIÓN DE MOTIVOS</w:t>
      </w:r>
    </w:p>
    <w:p w14:paraId="6F0F16A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30E606A0"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educación es un derecho fundamental, es una de las herramientas que puede tener una persona para superar la pobreza y desigualdades, es un proceso mediante el cual los seres humanos adquieren conocimientos en diferentes áreas para después, aplicarlos en la vida diaria. La educación es vital para el desarrollo económico, social y cultural de todas las sociedades.</w:t>
      </w:r>
    </w:p>
    <w:p w14:paraId="0398F3E2"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DD0CAB8"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lastRenderedPageBreak/>
        <w:t>El proceso de aprendizaje comienza mediante la adquisición de conocimientos básicos, es decir, desde la alfabetización, niñas y niños a temprana edad aprenden a leer y escribir. Mientras avanzan las materias, aumentan así como la cantidad de información y habilidades que adquieren.</w:t>
      </w:r>
    </w:p>
    <w:p w14:paraId="6DFDAF5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383D574E"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Hay conocimientos que son indispensables en la preparación de toda persona, como las matemáticas, pero hoy en día, la sociedad moderna y sus demandas han hecho que el idioma inglés sea también un elemento fundamental para el crecimiento personal, para el intercambio de ideas, de conocimientos e información.</w:t>
      </w:r>
    </w:p>
    <w:p w14:paraId="244B20FB"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713D0842"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Adicionalmente, nos enfrentamos a nivel mundial a una crisis ambiental que demanda acciones para combatirla. En este sentido, la educación ambiental entre los más jóvenes es para que tomen conciencia sobre los riesgos de la contaminación, la pérdida de la biodiversidad, el uso racional de nuestros recursos naturales, así como la prevención del cambio climático.</w:t>
      </w:r>
    </w:p>
    <w:p w14:paraId="4D72CC5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8159233"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Ante un mundo que está en constante cambio, pero al mismo tiempo, en riesgo ambiental, resulta indispensable tomar medidas desde los centros educativos, es decir, que los estudiantes reciban una educación integral que incluya el aprendizaje del idioma inglés y la educación ambiental.</w:t>
      </w:r>
    </w:p>
    <w:p w14:paraId="7E9686A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FB832CB"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Primero debemos entender que la educación ambiental es un proceso que les permite a las personas investigar sobre temáticas ambientales, involucrarse en la resolución de problemas y tomar medidas para proteger el entorno natural que les rodea. Como resultado, los individuos alcanzan un entendimiento más profundo de las temáticas ambientales y tienen las herramientas para tomar decisiones informadas y responsables.</w:t>
      </w:r>
      <w:r w:rsidRPr="0012597A">
        <w:rPr>
          <w:rFonts w:ascii="Times New Roman" w:eastAsia="Arial MT" w:hAnsi="Times New Roman" w:cs="Times New Roman"/>
          <w:color w:val="FF0000"/>
          <w:sz w:val="24"/>
          <w:szCs w:val="24"/>
          <w:vertAlign w:val="superscript"/>
        </w:rPr>
        <w:t>1</w:t>
      </w:r>
    </w:p>
    <w:p w14:paraId="08818146"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B4900B7"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consiguiente, la educación ambiental para niños pretende que estos hagan del cuidado de la naturaleza un estilo de vida, en lugar de limitarse a estudiarla. Esta disciplina busca que los menores desarrollen un pensamiento ecológico firme y potente, y lo utilicen para enfrentarse a los actuales retos medioambientales desde la participación y el compromiso.</w:t>
      </w:r>
    </w:p>
    <w:p w14:paraId="6AAD65B6"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923F36D"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educación ambiental tiene, asimismo, otros efectos positivos para los más jóvenes. La Universidad de Stanford analizó en 2017 cómo beneficia esta asignatura a los escolares desde la etapa infantil al bachillerato. Después de revisar más de un centenar de estudios científicos publicados entre 1994 y 2013 por otras instituciones sobre este tema, concluyó que el 83% de los escolares mejoró su comportamiento ecológico y que el 98% amplió su conocimiento en otras materias como matemáticas y ciencias</w:t>
      </w:r>
      <w:r w:rsidRPr="0012597A">
        <w:rPr>
          <w:rFonts w:ascii="Times New Roman" w:eastAsia="Arial MT" w:hAnsi="Times New Roman" w:cs="Times New Roman"/>
          <w:color w:val="FF0000"/>
          <w:sz w:val="24"/>
          <w:szCs w:val="24"/>
          <w:vertAlign w:val="superscript"/>
        </w:rPr>
        <w:t>2</w:t>
      </w:r>
      <w:r w:rsidRPr="0012597A">
        <w:rPr>
          <w:rFonts w:ascii="Times New Roman" w:eastAsia="Arial MT" w:hAnsi="Times New Roman" w:cs="Times New Roman"/>
          <w:sz w:val="24"/>
          <w:szCs w:val="24"/>
        </w:rPr>
        <w:t>.</w:t>
      </w:r>
    </w:p>
    <w:p w14:paraId="133E5D30"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5A89C3F1"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México es un país donde a cuatro de cada diez mexicanos les gustaría poder hacer más en favor del medio ambiente, pero reconocen que falta información al respecto, Vida Circular realizó una encuesta en la que encontró que solo 24.1% de las escuelas consultadas practica la separación de residuos y en los lugares de trabajo, solo 33.4% separa sus residuos.</w:t>
      </w:r>
      <w:r w:rsidRPr="0012597A">
        <w:rPr>
          <w:rFonts w:ascii="Times New Roman" w:eastAsia="Arial MT" w:hAnsi="Times New Roman" w:cs="Times New Roman"/>
          <w:color w:val="FF0000"/>
          <w:sz w:val="24"/>
          <w:szCs w:val="24"/>
          <w:vertAlign w:val="superscript"/>
        </w:rPr>
        <w:t>3</w:t>
      </w:r>
    </w:p>
    <w:p w14:paraId="722ED5A8"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09C77776"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w:t>
      </w:r>
      <w:r w:rsidRPr="0012597A">
        <w:rPr>
          <w:rFonts w:ascii="Times New Roman" w:eastAsia="Arial MT" w:hAnsi="Times New Roman" w:cs="Times New Roman"/>
          <w:sz w:val="20"/>
          <w:szCs w:val="24"/>
        </w:rPr>
        <w:t xml:space="preserve"> La importancia de la educación ambiental | US EPA. (2024, 24 octubre). USEPA. </w:t>
      </w:r>
      <w:r w:rsidRPr="0012597A">
        <w:rPr>
          <w:rFonts w:ascii="Times New Roman" w:eastAsia="Arial MT" w:hAnsi="Times New Roman" w:cs="Times New Roman"/>
          <w:sz w:val="20"/>
          <w:szCs w:val="24"/>
          <w:u w:val="single" w:color="0000FF"/>
        </w:rPr>
        <w:t>https://espanol.epa.gov/espanol/la-importancia-de-la</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educacionambiental#:~:text=La%20educaci%C3%B3n%20ambiental%20aumenta%20la,decisiones%20informada%20y%20medida</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s%20responsables</w:t>
      </w:r>
    </w:p>
    <w:p w14:paraId="443E8CDC"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w:t>
      </w:r>
      <w:r w:rsidRPr="0012597A">
        <w:rPr>
          <w:rFonts w:ascii="Times New Roman" w:eastAsia="Arial MT" w:hAnsi="Times New Roman" w:cs="Times New Roman"/>
          <w:sz w:val="20"/>
          <w:szCs w:val="24"/>
        </w:rPr>
        <w:t xml:space="preserve"> Iberdrola, S.A. (2025). </w:t>
      </w:r>
      <w:r w:rsidRPr="0012597A">
        <w:rPr>
          <w:rFonts w:ascii="Times New Roman" w:eastAsia="Arial MT" w:hAnsi="Times New Roman" w:cs="Times New Roman"/>
          <w:i/>
          <w:sz w:val="20"/>
          <w:szCs w:val="24"/>
        </w:rPr>
        <w:t xml:space="preserve">Educación ambiental para niños. </w:t>
      </w:r>
      <w:r w:rsidRPr="0012597A">
        <w:rPr>
          <w:rFonts w:ascii="Times New Roman" w:eastAsia="Arial MT" w:hAnsi="Times New Roman" w:cs="Times New Roman"/>
          <w:sz w:val="20"/>
          <w:szCs w:val="24"/>
        </w:rPr>
        <w:t xml:space="preserve">Iberdrola. Recuperado el 14  de  agosto  de  2025, de </w:t>
      </w:r>
      <w:r w:rsidRPr="0012597A">
        <w:rPr>
          <w:rFonts w:ascii="Times New Roman" w:eastAsia="Arial MT" w:hAnsi="Times New Roman" w:cs="Times New Roman"/>
          <w:sz w:val="20"/>
          <w:szCs w:val="24"/>
          <w:u w:val="single" w:color="0000FF"/>
        </w:rPr>
        <w:t>https://</w:t>
      </w:r>
      <w:hyperlink r:id="rId47">
        <w:r w:rsidRPr="0012597A">
          <w:rPr>
            <w:rFonts w:ascii="Times New Roman" w:eastAsia="Arial MT" w:hAnsi="Times New Roman" w:cs="Times New Roman"/>
            <w:sz w:val="20"/>
            <w:szCs w:val="24"/>
            <w:u w:val="single" w:color="0000FF"/>
          </w:rPr>
          <w:t>www.iberdrola.com/sostenibilidad/educacion-ambiental-para-ninos</w:t>
        </w:r>
        <w:r w:rsidRPr="0012597A">
          <w:rPr>
            <w:rFonts w:ascii="Times New Roman" w:eastAsia="Arial MT" w:hAnsi="Times New Roman" w:cs="Times New Roman"/>
            <w:sz w:val="20"/>
            <w:szCs w:val="24"/>
          </w:rPr>
          <w:t>Iberdrola,</w:t>
        </w:r>
      </w:hyperlink>
      <w:r w:rsidRPr="0012597A">
        <w:rPr>
          <w:rFonts w:ascii="Times New Roman" w:eastAsia="Arial MT" w:hAnsi="Times New Roman" w:cs="Times New Roman"/>
          <w:sz w:val="20"/>
          <w:szCs w:val="24"/>
        </w:rPr>
        <w:t xml:space="preserve"> S.A. (2025). Educación ambiental para niños. Iberdrola. Recuperado el 14 de agosto de 2025, de </w:t>
      </w:r>
      <w:r w:rsidRPr="0012597A">
        <w:rPr>
          <w:rFonts w:ascii="Times New Roman" w:eastAsia="Arial MT" w:hAnsi="Times New Roman" w:cs="Times New Roman"/>
          <w:sz w:val="20"/>
          <w:szCs w:val="24"/>
          <w:u w:val="single" w:color="0000FF"/>
        </w:rPr>
        <w:t>https://</w:t>
      </w:r>
      <w:hyperlink r:id="rId48">
        <w:r w:rsidRPr="0012597A">
          <w:rPr>
            <w:rFonts w:ascii="Times New Roman" w:eastAsia="Arial MT" w:hAnsi="Times New Roman" w:cs="Times New Roman"/>
            <w:sz w:val="20"/>
            <w:szCs w:val="24"/>
            <w:u w:val="single" w:color="0000FF"/>
          </w:rPr>
          <w:t>www.iberdrola.com/sostenibilidad/educacion-ambiental-para-ninos</w:t>
        </w:r>
      </w:hyperlink>
    </w:p>
    <w:p w14:paraId="2EAEA718"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3</w:t>
      </w:r>
      <w:r w:rsidRPr="0012597A">
        <w:rPr>
          <w:rFonts w:ascii="Times New Roman" w:eastAsia="Arial MT" w:hAnsi="Times New Roman" w:cs="Times New Roman"/>
          <w:sz w:val="20"/>
          <w:szCs w:val="24"/>
        </w:rPr>
        <w:t xml:space="preserve"> Redacción, &amp; Redacción. (2025, 28 enero). </w:t>
      </w:r>
      <w:r w:rsidRPr="0012597A">
        <w:rPr>
          <w:rFonts w:ascii="Times New Roman" w:eastAsia="Arial MT" w:hAnsi="Times New Roman" w:cs="Times New Roman"/>
          <w:i/>
          <w:sz w:val="20"/>
          <w:szCs w:val="24"/>
        </w:rPr>
        <w:t xml:space="preserve">Mexicanos piden más información sobre cuidado del medio ambiente, </w:t>
      </w:r>
      <w:r w:rsidRPr="0012597A">
        <w:rPr>
          <w:rFonts w:ascii="Times New Roman" w:eastAsia="Arial MT" w:hAnsi="Times New Roman" w:cs="Times New Roman"/>
          <w:i/>
          <w:sz w:val="20"/>
          <w:szCs w:val="24"/>
        </w:rPr>
        <w:lastRenderedPageBreak/>
        <w:t>revela encuesta. Noticias y Artículos de la Industria Energética</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https://energiaadebate.com/mexicanos-piden-mas-informacion-sobre-</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cuidado-del-medio-ambiente-revela-encuesta/</w:t>
      </w:r>
    </w:p>
    <w:p w14:paraId="7D4D0F05"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04621B7"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otra parte, la Revista Latinoamericana de Ciencias y Humanidad,</w:t>
      </w:r>
      <w:r w:rsidRPr="0012597A">
        <w:rPr>
          <w:rFonts w:ascii="Times New Roman" w:eastAsia="Arial MT" w:hAnsi="Times New Roman" w:cs="Times New Roman"/>
          <w:color w:val="FF0000"/>
          <w:sz w:val="24"/>
          <w:szCs w:val="24"/>
          <w:vertAlign w:val="superscript"/>
        </w:rPr>
        <w:t>4</w:t>
      </w:r>
      <w:r w:rsidRPr="0012597A">
        <w:rPr>
          <w:rFonts w:ascii="Times New Roman" w:eastAsia="Arial MT" w:hAnsi="Times New Roman" w:cs="Times New Roman"/>
          <w:sz w:val="24"/>
          <w:szCs w:val="24"/>
        </w:rPr>
        <w:t xml:space="preserve"> en la presentación del proyecto “Identificación de valores ambientales ligados a la presencia de la educación ambiental en México”, encontró que el 54.2% de los estudiantes manifiestan que a veces, casi nunca y nunca han recibido educación ambiental, aunado a que el 86% considera que la situación actual del ambiente en nuestro país es un tema al que no se le da la debida importancia en las escuelas.</w:t>
      </w:r>
    </w:p>
    <w:p w14:paraId="6D88165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8CEC00F"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Estos datos concluyen que la educación ambiental es insuficiente e inexistente en la mayoría de las escuelas, limitada a contenidos básicos, incapaz de dimensionar la problemática ambiental nacional y mundial, sin involucrar a todos los sectores de la sociedad en su cultura, usos y costumbres, desarrollo económico y respeto al ambiente, carente de un currículo adecuado y de un proceso de formación de docentes.</w:t>
      </w:r>
    </w:p>
    <w:p w14:paraId="4EAAC402"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082E6249"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Sumado a lo anterior, esta misma revista resaltó lo siguiente:</w:t>
      </w:r>
    </w:p>
    <w:p w14:paraId="767D5106" w14:textId="77777777" w:rsidR="00F30CB6" w:rsidRPr="0012597A" w:rsidRDefault="00F30CB6" w:rsidP="0012453E">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Un 45.8% de los estudiantes manifiestan que en algún momento de su vida académica han recibido educación ambiental, resaltando que el 54.2% considera que a veces, casi nunca o nunca la han recibido.</w:t>
      </w:r>
    </w:p>
    <w:p w14:paraId="409A5076" w14:textId="77777777" w:rsidR="00F30CB6" w:rsidRPr="0012597A" w:rsidRDefault="00F30CB6" w:rsidP="0012453E">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mayor número de las encuestas fue contestado por estudiantes del nivel de educación superior; aun así, técnicamente se presenta un empate con el 26.9% en licenciatura y bachillerato, como los niveles de educación donde más información han recibido en el contexto ambiental. Un caso para analizar de manera independiente es que el 24.6% manifiesta que es en la primaria donde más información recibieron, solo 2.3% por debajo de bachillerato y licenciatura. Más alejada se encuentra la secundaria con 19.9%, y muy preocupante que el nivel de preescolar tenga un 1.7%.</w:t>
      </w:r>
    </w:p>
    <w:p w14:paraId="7B0D8D50"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51F33D15"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4</w:t>
      </w:r>
      <w:r w:rsidRPr="0012597A">
        <w:rPr>
          <w:rFonts w:ascii="Times New Roman" w:eastAsia="Arial MT" w:hAnsi="Times New Roman" w:cs="Times New Roman"/>
          <w:sz w:val="20"/>
          <w:szCs w:val="24"/>
        </w:rPr>
        <w:t xml:space="preserve"> Hernández Islas, S., Ascencio Rasgado, M. A., Hernández Ascencio, N. V., &amp; Castañeda Olvera, M. (2023). </w:t>
      </w:r>
      <w:r w:rsidRPr="0012597A">
        <w:rPr>
          <w:rFonts w:ascii="Times New Roman" w:eastAsia="Arial MT" w:hAnsi="Times New Roman" w:cs="Times New Roman"/>
          <w:i/>
          <w:sz w:val="20"/>
          <w:szCs w:val="24"/>
        </w:rPr>
        <w:t>La insuficiencia de educación ambiental en las aulas de las escuelas mexicanas, como detonante de una propuesta de modificación del Artículo 3º constitucional que considere la transversalidad de la educación ambiental en todos los niveles educativos</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b/>
          <w:sz w:val="20"/>
          <w:szCs w:val="24"/>
        </w:rPr>
        <w:t>LATAM Revista Latinoamericana de Ciencias Sociales y Humanidades</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b/>
          <w:sz w:val="20"/>
          <w:szCs w:val="24"/>
        </w:rPr>
        <w:t>4</w:t>
      </w:r>
      <w:r w:rsidRPr="0012597A">
        <w:rPr>
          <w:rFonts w:ascii="Times New Roman" w:eastAsia="Arial MT" w:hAnsi="Times New Roman" w:cs="Times New Roman"/>
          <w:sz w:val="20"/>
          <w:szCs w:val="24"/>
        </w:rPr>
        <w:t xml:space="preserve">(1), 289–313. https://doi.org/10.56712/latam.v4i1.245Hernández Islas, S., Ascencio Rasgado, M. A., Hernández Ascencio, N. V., &amp; Castañeda Olvera, M. (2023). La insuficiencia de educación ambiental en las aulas de las escuelas mexicanas, como detonante de una propuesta de modificación del Artículo 3º constitucional que considere la transversalidad de la educación ambiental en todos los niveles educativos. </w:t>
      </w:r>
      <w:r w:rsidRPr="0012597A">
        <w:rPr>
          <w:rFonts w:ascii="Times New Roman" w:eastAsia="Arial MT" w:hAnsi="Times New Roman" w:cs="Times New Roman"/>
          <w:b/>
          <w:sz w:val="20"/>
          <w:szCs w:val="24"/>
        </w:rPr>
        <w:t>LATAM Revista Latinoamericana de Ciencias Sociales y Humanidades</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b/>
          <w:sz w:val="20"/>
          <w:szCs w:val="24"/>
        </w:rPr>
        <w:t>4</w:t>
      </w:r>
      <w:r w:rsidRPr="0012597A">
        <w:rPr>
          <w:rFonts w:ascii="Times New Roman" w:eastAsia="Arial MT" w:hAnsi="Times New Roman" w:cs="Times New Roman"/>
          <w:sz w:val="20"/>
          <w:szCs w:val="24"/>
        </w:rPr>
        <w:t xml:space="preserve">(1), 289–313. </w:t>
      </w:r>
      <w:r w:rsidRPr="0012597A">
        <w:rPr>
          <w:rFonts w:ascii="Times New Roman" w:eastAsia="Arial MT" w:hAnsi="Times New Roman" w:cs="Times New Roman"/>
          <w:sz w:val="20"/>
          <w:szCs w:val="24"/>
          <w:u w:val="single" w:color="0000FF"/>
        </w:rPr>
        <w:t>https://doi.org/10.56712/latam.v4i1.245</w:t>
      </w:r>
    </w:p>
    <w:p w14:paraId="7B7B34C1"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0A3C00E" w14:textId="77777777" w:rsidR="00F30CB6" w:rsidRPr="0012597A" w:rsidRDefault="00F30CB6" w:rsidP="0012453E">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72.2% de los estudiantes manifiesta que sus maestros si están preparados para impartir educación ambiental, y solo el 27.8% de los estudiantes consideran que no están preparados.</w:t>
      </w:r>
    </w:p>
    <w:p w14:paraId="650BC14F" w14:textId="77777777" w:rsidR="00F30CB6" w:rsidRPr="0012597A" w:rsidRDefault="00F30CB6" w:rsidP="0012453E">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89.8% de los estudiantes coincide en que no se puede hablar de educación ambiental sin hablar de valores y de conciencia sobre la problemática ambiental.</w:t>
      </w:r>
    </w:p>
    <w:p w14:paraId="0F03E6F1"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3BF6CF7"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Dimensionando en esta situación y con el fin de impulsar acciones de educación ambiental dirigidas a las y los estudiantes de los niveles de educación básica, media superior y superior, las secretarías de Medio Ambiente y Recursos Naturales (Semarnat) y de Educación Pública (SEP) firmaron en 2021 un convenio de colaboración fundado en el derecho de toda persona a un ambiente sano para su desarrollo y bienestar, y para fortalecer el aprecio y respeto por la naturaleza. El documento establece diversos programas y actividades para fomentar en las y los educandos el conocimiento de la riqueza natural y cultural de nuestro país, además de adquirir los valores y las habilidades para participar en la prevención y solución de los problemas ambientales y en la gestión de la calidad del medio ambiente.</w:t>
      </w:r>
      <w:r w:rsidRPr="0012597A">
        <w:rPr>
          <w:rFonts w:ascii="Times New Roman" w:eastAsia="Arial MT" w:hAnsi="Times New Roman" w:cs="Times New Roman"/>
          <w:color w:val="FF0000"/>
          <w:sz w:val="24"/>
          <w:szCs w:val="24"/>
          <w:vertAlign w:val="superscript"/>
        </w:rPr>
        <w:t>5</w:t>
      </w:r>
    </w:p>
    <w:p w14:paraId="01C4092A"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58A04408"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Pero también tenemos ejemplos como Argentina, que se convirtió en el segundo país después de Brasil en aprobar una Ley de Educación Ambiental en América Latina para garantizar que existan contenidos educativos sobre el cuidado del medio ambiente en todo el territorio nacional.</w:t>
      </w:r>
    </w:p>
    <w:p w14:paraId="175ED475"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C09460D"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Ley de Educación Ambiental Integral, aprobada el 14 de mayo por el Congreso de la Nación, complementa a la Ley Yolanda (Ley N.º 27592), que desde 2017 obliga a las personas con cargos públicos en todo el país a tener una formación integral en temas de </w:t>
      </w:r>
      <w:r w:rsidRPr="0012597A">
        <w:rPr>
          <w:rFonts w:ascii="Times New Roman" w:eastAsia="Arial MT" w:hAnsi="Times New Roman" w:cs="Times New Roman"/>
          <w:sz w:val="24"/>
          <w:szCs w:val="24"/>
          <w:u w:val="single"/>
        </w:rPr>
        <w:t>ambiente</w:t>
      </w:r>
      <w:r w:rsidRPr="0012597A">
        <w:rPr>
          <w:rFonts w:ascii="Times New Roman" w:eastAsia="Arial MT" w:hAnsi="Times New Roman" w:cs="Times New Roman"/>
          <w:sz w:val="24"/>
          <w:szCs w:val="24"/>
        </w:rPr>
        <w:t xml:space="preserve">, con perspectiva de desarrollo sostenible y con énfasis en el </w:t>
      </w:r>
      <w:r w:rsidRPr="0012597A">
        <w:rPr>
          <w:rFonts w:ascii="Times New Roman" w:eastAsia="Arial MT" w:hAnsi="Times New Roman" w:cs="Times New Roman"/>
          <w:sz w:val="24"/>
          <w:szCs w:val="24"/>
          <w:u w:val="single"/>
        </w:rPr>
        <w:t>cambio</w:t>
      </w:r>
      <w:r w:rsidRPr="0012597A">
        <w:rPr>
          <w:rFonts w:ascii="Times New Roman" w:eastAsia="Arial MT" w:hAnsi="Times New Roman" w:cs="Times New Roman"/>
          <w:sz w:val="24"/>
          <w:szCs w:val="24"/>
        </w:rPr>
        <w:t xml:space="preserve"> </w:t>
      </w:r>
      <w:r w:rsidRPr="0012597A">
        <w:rPr>
          <w:rFonts w:ascii="Times New Roman" w:eastAsia="Arial MT" w:hAnsi="Times New Roman" w:cs="Times New Roman"/>
          <w:sz w:val="24"/>
          <w:szCs w:val="24"/>
          <w:u w:val="single"/>
        </w:rPr>
        <w:t>climático</w:t>
      </w:r>
      <w:r w:rsidRPr="0012597A">
        <w:rPr>
          <w:rFonts w:ascii="Times New Roman" w:eastAsia="Arial MT" w:hAnsi="Times New Roman" w:cs="Times New Roman"/>
          <w:sz w:val="24"/>
          <w:szCs w:val="24"/>
        </w:rPr>
        <w:t>.</w:t>
      </w:r>
      <w:r w:rsidRPr="0012597A">
        <w:rPr>
          <w:rFonts w:ascii="Times New Roman" w:eastAsia="Arial MT" w:hAnsi="Times New Roman" w:cs="Times New Roman"/>
          <w:color w:val="FF0000"/>
          <w:sz w:val="24"/>
          <w:szCs w:val="24"/>
          <w:vertAlign w:val="superscript"/>
        </w:rPr>
        <w:t>6</w:t>
      </w:r>
    </w:p>
    <w:p w14:paraId="7AD12760"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4E09918"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5</w:t>
      </w:r>
      <w:r w:rsidRPr="0012597A">
        <w:rPr>
          <w:rFonts w:ascii="Times New Roman" w:eastAsia="Arial MT" w:hAnsi="Times New Roman" w:cs="Times New Roman"/>
          <w:sz w:val="20"/>
          <w:szCs w:val="24"/>
        </w:rPr>
        <w:t xml:space="preserve"> De Medio Ambiente y Recursos Naturales, S. (s. f.). </w:t>
      </w:r>
      <w:r w:rsidRPr="0012597A">
        <w:rPr>
          <w:rFonts w:ascii="Times New Roman" w:eastAsia="Arial MT" w:hAnsi="Times New Roman" w:cs="Times New Roman"/>
          <w:i/>
          <w:sz w:val="20"/>
          <w:szCs w:val="24"/>
        </w:rPr>
        <w:t xml:space="preserve">Gobierno de México impulsa educación ambiental para la sustentabilidad en todos los niveles de enseñanza. </w:t>
      </w:r>
      <w:r w:rsidRPr="0012597A">
        <w:rPr>
          <w:rFonts w:ascii="Times New Roman" w:eastAsia="Arial MT" w:hAnsi="Times New Roman" w:cs="Times New Roman"/>
          <w:sz w:val="20"/>
          <w:szCs w:val="24"/>
        </w:rPr>
        <w:t xml:space="preserve">gob.mx. </w:t>
      </w:r>
      <w:r w:rsidRPr="0012597A">
        <w:rPr>
          <w:rFonts w:ascii="Times New Roman" w:eastAsia="Arial MT" w:hAnsi="Times New Roman" w:cs="Times New Roman"/>
          <w:sz w:val="20"/>
          <w:szCs w:val="24"/>
          <w:u w:val="single" w:color="0000FF"/>
        </w:rPr>
        <w:t>https://</w:t>
      </w:r>
      <w:hyperlink r:id="rId49">
        <w:r w:rsidRPr="0012597A">
          <w:rPr>
            <w:rFonts w:ascii="Times New Roman" w:eastAsia="Arial MT" w:hAnsi="Times New Roman" w:cs="Times New Roman"/>
            <w:sz w:val="20"/>
            <w:szCs w:val="24"/>
            <w:u w:val="single" w:color="0000FF"/>
          </w:rPr>
          <w:t>www.gob.mx/semarnat/prensa/gobierno-de-mexico-impulsa-educacion-ambiental-</w:t>
        </w:r>
      </w:hyperlink>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para-la-sustentabilidad-en-todos-los-niveles-de-ensenanza?idiom=es</w:t>
      </w:r>
    </w:p>
    <w:p w14:paraId="775DF413"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6</w:t>
      </w:r>
      <w:r w:rsidRPr="0012597A">
        <w:rPr>
          <w:rFonts w:ascii="Times New Roman" w:eastAsia="Arial MT" w:hAnsi="Times New Roman" w:cs="Times New Roman"/>
          <w:sz w:val="18"/>
          <w:szCs w:val="24"/>
        </w:rPr>
        <w:t xml:space="preserve"> Alejandroportilla. (2021, 27 mayo</w:t>
      </w:r>
      <w:r w:rsidRPr="0012597A">
        <w:rPr>
          <w:rFonts w:ascii="Times New Roman" w:eastAsia="Arial MT" w:hAnsi="Times New Roman" w:cs="Times New Roman"/>
          <w:i/>
          <w:sz w:val="18"/>
          <w:szCs w:val="24"/>
        </w:rPr>
        <w:t xml:space="preserve">). Argentina aprueba Ley de Educación Ambiental Integral. América Latina y el Caribe. </w:t>
      </w:r>
      <w:r w:rsidRPr="0012597A">
        <w:rPr>
          <w:rFonts w:ascii="Times New Roman" w:eastAsia="Arial MT" w:hAnsi="Times New Roman" w:cs="Times New Roman"/>
          <w:sz w:val="18"/>
          <w:szCs w:val="24"/>
          <w:u w:val="single" w:color="0000FF"/>
        </w:rPr>
        <w:t>https://</w:t>
      </w:r>
      <w:hyperlink r:id="rId50">
        <w:r w:rsidRPr="0012597A">
          <w:rPr>
            <w:rFonts w:ascii="Times New Roman" w:eastAsia="Arial MT" w:hAnsi="Times New Roman" w:cs="Times New Roman"/>
            <w:sz w:val="18"/>
            <w:szCs w:val="24"/>
            <w:u w:val="single" w:color="0000FF"/>
          </w:rPr>
          <w:t>www.scidev.net/america-latina/news/argentina-aprueba-ley-de-educacion-ambiental-</w:t>
        </w:r>
      </w:hyperlink>
      <w:r w:rsidRPr="0012597A">
        <w:rPr>
          <w:rFonts w:ascii="Times New Roman" w:eastAsia="Arial MT" w:hAnsi="Times New Roman" w:cs="Times New Roman"/>
          <w:sz w:val="18"/>
          <w:szCs w:val="24"/>
          <w:u w:val="single" w:color="0000FF"/>
        </w:rPr>
        <w:t>integral/#:~:text=De%20un%20vistazo%20*%20La%20nueva%20ley,de%20legislaciones%20de%20pa%C3%ADses%20de%20la%20regi%C3%B3n</w:t>
      </w:r>
    </w:p>
    <w:p w14:paraId="6A696C3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96A83BA"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su parte, el Programa Nacional de Educación Ambiental en Colombia, implementado desde 2023, tiene como objetivo fomentar la educación ambiental en todas las etapas y modalidades del sistema educativo, con el fin de concientizar a la sociedad sobre la importancia de la preservación del medio ambiente. Este programa se alinea con el ODS 13, “Acción por el clima”, y busca formar ciudadanos responsables y comprometidos con la sostenibilidad.</w:t>
      </w:r>
    </w:p>
    <w:p w14:paraId="364C646B"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BB51B4A"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educación ambiental es un pilar fundamental para alcanzar el desarrollo sostenible y enfrentar los desafíos ambientales de nuestra actualidad, y más aún si esta comienza desde edades tempranas y donde las y los estudiantes pasan la mayor parte de su día, las aulas. En nuestro país se ha incorporado progresivamente la educación ambiental y el aprendizaje de lenguas extranjeras en nuestro marco jurídico, esto responde a una preocupación y compromiso por proteger el medio ambiente y nuestros recursos naturales, pero también dotar a las y los estudiantes de herramientas que ocuparán para acceder a mejores oportunidades laborales.</w:t>
      </w:r>
    </w:p>
    <w:p w14:paraId="5DE4A51F"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79F7BCB"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Ley General de Educación en su artículo 30 contempla lo siguiente:</w:t>
      </w:r>
    </w:p>
    <w:p w14:paraId="2C5CD2F2"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00154A3C"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“Articulo 30.- Los contenidos de los planes y programas de estudio de la educación que impartan el Estado, sus organismos descentralizados y los particulares con autorización o con reconocimiento de validez oficial de estudios, de acuerdo al tipo y nivel educativo, serán entre otros los siguientes:</w:t>
      </w:r>
    </w:p>
    <w:p w14:paraId="4BCD9BBD"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i/>
          <w:sz w:val="24"/>
          <w:szCs w:val="24"/>
        </w:rPr>
      </w:pPr>
    </w:p>
    <w:p w14:paraId="29DC877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I. a V. …</w:t>
      </w:r>
    </w:p>
    <w:p w14:paraId="0C46A81F"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i/>
          <w:sz w:val="24"/>
          <w:szCs w:val="24"/>
        </w:rPr>
      </w:pPr>
    </w:p>
    <w:p w14:paraId="0DAC5B59"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VI. El aprendizaje de las lenguas extranjeras;</w:t>
      </w:r>
    </w:p>
    <w:p w14:paraId="28390DA5"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i/>
          <w:sz w:val="24"/>
          <w:szCs w:val="24"/>
        </w:rPr>
      </w:pPr>
    </w:p>
    <w:p w14:paraId="2FCD422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VII a XV. …</w:t>
      </w:r>
    </w:p>
    <w:p w14:paraId="706F38B1"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b/>
          <w:i/>
          <w:sz w:val="24"/>
          <w:szCs w:val="24"/>
        </w:rPr>
      </w:pPr>
    </w:p>
    <w:p w14:paraId="75DEC16E"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XVI. La educación ambiental para la sustentabilidad que integre el conocimiento de los conceptos y principios de las ciencias ambientales, el desarrollo sostenible, la prevención y combate del cambio climático, así como la generación de conciencia para la valoración del manejo, conservación y aprovechamiento de los recursos naturales que garanticen la participación social en la protección ambiental.”</w:t>
      </w:r>
    </w:p>
    <w:p w14:paraId="7DAF7EC9"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i/>
          <w:sz w:val="24"/>
          <w:szCs w:val="24"/>
        </w:rPr>
      </w:pPr>
    </w:p>
    <w:p w14:paraId="509FDF87"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 la misma forma que la educación ambiental es importante en nuestro país, la enseñanza del idioma inglés en el nivel básico y medio superior ha cobrado relevancia en todo el mundo debido a que es el medio de comunicación y transmisión de información más empleado en ámbitos como el desarrollo tecnológico, la investigación, el comercio internacional, etc.</w:t>
      </w:r>
    </w:p>
    <w:p w14:paraId="204F1749"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53D0BD0"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inglés es el idioma más hablado a nivel mundial en 2024, con más de 1.400 millones de hablantes. De ellos, aproximadamente 380 son nativos, mientras que el resto ha aprendido esta lengua como segundo idioma.</w:t>
      </w:r>
      <w:r w:rsidRPr="0012597A">
        <w:rPr>
          <w:rFonts w:ascii="Times New Roman" w:eastAsia="Arial MT" w:hAnsi="Times New Roman" w:cs="Times New Roman"/>
          <w:color w:val="FF0000"/>
          <w:sz w:val="24"/>
          <w:szCs w:val="24"/>
          <w:vertAlign w:val="superscript"/>
        </w:rPr>
        <w:t>7</w:t>
      </w:r>
      <w:r w:rsidRPr="0012597A">
        <w:rPr>
          <w:rFonts w:ascii="Times New Roman" w:eastAsia="Arial MT" w:hAnsi="Times New Roman" w:cs="Times New Roman"/>
          <w:sz w:val="24"/>
          <w:szCs w:val="24"/>
        </w:rPr>
        <w:t xml:space="preserve"> La India tiene el inglés como una parte predominante de la educación y los tratados comerciales en toda la región, lo que representa que 125 millones de personas lo hablan.</w:t>
      </w:r>
    </w:p>
    <w:p w14:paraId="61FAD831"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F44C164"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Europa del este, conviene señalar que la reforma estructural en Rusia y sus impactos en el sistema educativo, han llevado al fortalecimiento de los servicios de enseñanza del inglés como lengua extranjera, a cierta autonomía en las escuelas para elegir materiales y modificar los planes y programas, así como, sobre todo, al surgimiento de asociaciones de maestros de inglés como NATE ("National Assotiation of Teachers of English"), SPELTA ("Saint Petesburg English Teachers Assotiation*) y FEELTA (Eastern English Language Teachers Assotiations).</w:t>
      </w:r>
      <w:r w:rsidRPr="0012597A">
        <w:rPr>
          <w:rFonts w:ascii="Times New Roman" w:eastAsia="Arial MT" w:hAnsi="Times New Roman" w:cs="Times New Roman"/>
          <w:color w:val="FF0000"/>
          <w:sz w:val="24"/>
          <w:szCs w:val="24"/>
          <w:vertAlign w:val="superscript"/>
        </w:rPr>
        <w:t>8</w:t>
      </w:r>
    </w:p>
    <w:p w14:paraId="3BBC0141"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3688F20E"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nivel mundial, tenemos ejemplos destacables como el sistema educativo en Dinamarca, donde su idioma de enseñanza es el danés; sin embargo, el inglés es una asignatura obligatoria en la educación primaria, siendo desde 3.° año y generalmente en la educación secundaria y superior. Este plan de estudios se logra en colaboración con el Ministerio de Educación y consejos municipales, quienes supervisan la enseñanza adecuada.</w:t>
      </w:r>
      <w:r w:rsidRPr="0012597A">
        <w:rPr>
          <w:rFonts w:ascii="Times New Roman" w:eastAsia="Arial MT" w:hAnsi="Times New Roman" w:cs="Times New Roman"/>
          <w:color w:val="FF0000"/>
          <w:sz w:val="24"/>
          <w:szCs w:val="24"/>
          <w:vertAlign w:val="superscript"/>
        </w:rPr>
        <w:t>9</w:t>
      </w:r>
    </w:p>
    <w:p w14:paraId="3EBADBF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194E374"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7</w:t>
      </w:r>
      <w:r w:rsidRPr="0012597A">
        <w:rPr>
          <w:rFonts w:ascii="Times New Roman" w:eastAsia="Arial MT" w:hAnsi="Times New Roman" w:cs="Times New Roman"/>
          <w:sz w:val="18"/>
          <w:szCs w:val="24"/>
        </w:rPr>
        <w:t xml:space="preserve"> STATISTA. </w:t>
      </w:r>
      <w:r w:rsidRPr="0012597A">
        <w:rPr>
          <w:rFonts w:ascii="Times New Roman" w:eastAsia="Arial MT" w:hAnsi="Times New Roman" w:cs="Times New Roman"/>
          <w:i/>
          <w:sz w:val="18"/>
          <w:szCs w:val="24"/>
        </w:rPr>
        <w:t xml:space="preserve">Los idiomas más hablados en el mundo en 2024. </w:t>
      </w:r>
      <w:r w:rsidRPr="0012597A">
        <w:rPr>
          <w:rFonts w:ascii="Times New Roman" w:eastAsia="Arial MT" w:hAnsi="Times New Roman" w:cs="Times New Roman"/>
          <w:sz w:val="18"/>
          <w:szCs w:val="24"/>
        </w:rPr>
        <w:t xml:space="preserve">Véase en: </w:t>
      </w:r>
      <w:r w:rsidRPr="0012597A">
        <w:rPr>
          <w:rFonts w:ascii="Times New Roman" w:eastAsia="Arial MT" w:hAnsi="Times New Roman" w:cs="Times New Roman"/>
          <w:sz w:val="18"/>
          <w:szCs w:val="24"/>
          <w:u w:val="single" w:color="0000FF"/>
        </w:rPr>
        <w:t>https://es.statista.com/estadisticas/635631/los-idiomas-</w:t>
      </w:r>
      <w:r w:rsidRPr="0012597A">
        <w:rPr>
          <w:rFonts w:ascii="Times New Roman" w:eastAsia="Arial MT" w:hAnsi="Times New Roman" w:cs="Times New Roman"/>
          <w:sz w:val="18"/>
          <w:szCs w:val="24"/>
        </w:rPr>
        <w:t xml:space="preserve"> </w:t>
      </w:r>
      <w:r w:rsidRPr="0012597A">
        <w:rPr>
          <w:rFonts w:ascii="Times New Roman" w:eastAsia="Arial MT" w:hAnsi="Times New Roman" w:cs="Times New Roman"/>
          <w:sz w:val="18"/>
          <w:szCs w:val="24"/>
          <w:u w:val="single" w:color="0000FF"/>
        </w:rPr>
        <w:t>mas-hablados-en-el-mundo/</w:t>
      </w:r>
    </w:p>
    <w:p w14:paraId="67E69B60"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8</w:t>
      </w:r>
      <w:r w:rsidRPr="0012597A">
        <w:rPr>
          <w:rFonts w:ascii="Times New Roman" w:eastAsia="Arial MT" w:hAnsi="Times New Roman" w:cs="Times New Roman"/>
          <w:sz w:val="20"/>
          <w:szCs w:val="24"/>
        </w:rPr>
        <w:t xml:space="preserve"> Secretaría de Bienestar. (s. f.). </w:t>
      </w:r>
      <w:r w:rsidRPr="0012597A">
        <w:rPr>
          <w:rFonts w:ascii="Times New Roman" w:eastAsia="Arial MT" w:hAnsi="Times New Roman" w:cs="Times New Roman"/>
          <w:i/>
          <w:sz w:val="20"/>
          <w:szCs w:val="24"/>
        </w:rPr>
        <w:t xml:space="preserve">Diagnóstico del programa </w:t>
      </w:r>
      <w:r w:rsidRPr="0012597A">
        <w:rPr>
          <w:rFonts w:ascii="Times New Roman" w:eastAsia="Arial MT" w:hAnsi="Times New Roman" w:cs="Times New Roman"/>
          <w:sz w:val="20"/>
          <w:szCs w:val="24"/>
        </w:rPr>
        <w:t xml:space="preserve">[Archivo PDF]. Gobierno de México. Recuperado el 14 de agosto de 2025, de </w:t>
      </w:r>
      <w:r w:rsidRPr="0012597A">
        <w:rPr>
          <w:rFonts w:ascii="Times New Roman" w:eastAsia="Arial MT" w:hAnsi="Times New Roman" w:cs="Times New Roman"/>
          <w:sz w:val="20"/>
          <w:szCs w:val="24"/>
          <w:u w:val="single" w:color="0000FF"/>
        </w:rPr>
        <w:t>https://</w:t>
      </w:r>
      <w:hyperlink r:id="rId51">
        <w:r w:rsidRPr="0012597A">
          <w:rPr>
            <w:rFonts w:ascii="Times New Roman" w:eastAsia="Arial MT" w:hAnsi="Times New Roman" w:cs="Times New Roman"/>
            <w:sz w:val="20"/>
            <w:szCs w:val="24"/>
            <w:u w:val="single" w:color="0000FF"/>
          </w:rPr>
          <w:t>www.gob.mx/cms/uploads/attachment/file/64151/Diagno_stico_del_programa.pdf</w:t>
        </w:r>
      </w:hyperlink>
    </w:p>
    <w:p w14:paraId="14E3A199"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Educación. (s. f.). </w:t>
      </w:r>
      <w:r w:rsidRPr="0012597A">
        <w:rPr>
          <w:rFonts w:ascii="Times New Roman" w:eastAsia="Arial MT" w:hAnsi="Times New Roman" w:cs="Times New Roman"/>
          <w:sz w:val="20"/>
          <w:szCs w:val="24"/>
          <w:u w:val="single" w:color="0000FF"/>
        </w:rPr>
        <w:t>https://spanien.um.dk/es/conoce-dinamarca/informacion-sobre-dinamarca/educacion</w:t>
      </w:r>
    </w:p>
    <w:p w14:paraId="7BBB1763"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537D22A1"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la India, la Política Nacional de Educación (NEP) DE 2020 promueve la educación multilingüe, siendo así que el idioma inglés, aunque no es obligatorio para todas sus escuelas, alrededor del 40% tiene como idioma principal de instrucción.</w:t>
      </w:r>
      <w:r w:rsidRPr="0012597A">
        <w:rPr>
          <w:rFonts w:ascii="Times New Roman" w:eastAsia="Arial MT" w:hAnsi="Times New Roman" w:cs="Times New Roman"/>
          <w:color w:val="FF0000"/>
          <w:sz w:val="24"/>
          <w:szCs w:val="24"/>
          <w:vertAlign w:val="superscript"/>
        </w:rPr>
        <w:t>10</w:t>
      </w:r>
    </w:p>
    <w:p w14:paraId="02A66976"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p>
    <w:p w14:paraId="452887B8"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sentido y reconociendo la importancia de este idioma, la Organización para la Cooperación y el Desarrollo Económico menciona que enseñar inglés fortalece la competencia comunicativa de las y los estudiantes, donde su promoción debe ser sostenida a lo largo del trayecto educativo, usando su aprendizaje efectivo una vez concluido este. Por ser la lengua más utilizada en intercambios entre personas de diversos países, su dominio consolida y estimula el desarrollo de personas al disminuir las barreras de conexión con el mundo, brindando mayor acceso de información.</w:t>
      </w:r>
      <w:r w:rsidRPr="0012597A">
        <w:rPr>
          <w:rFonts w:ascii="Times New Roman" w:eastAsia="Arial MT" w:hAnsi="Times New Roman" w:cs="Times New Roman"/>
          <w:color w:val="FF0000"/>
          <w:sz w:val="24"/>
          <w:szCs w:val="24"/>
          <w:vertAlign w:val="superscript"/>
        </w:rPr>
        <w:t>11</w:t>
      </w:r>
    </w:p>
    <w:p w14:paraId="3EEB6BFF"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89AF16C"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Aprender inglés desde la primaria ofrece ventajas que van más allá de dominar una lengua extranjera. Entre los 6 y los 12 años, los niños y niñas están en una etapa crucial de su desarrollo, no solo intelectual, sino también personal, social y emocional.</w:t>
      </w:r>
      <w:r w:rsidRPr="0012597A">
        <w:rPr>
          <w:rFonts w:ascii="Times New Roman" w:eastAsia="Arial MT" w:hAnsi="Times New Roman" w:cs="Times New Roman"/>
          <w:color w:val="FF0000"/>
          <w:sz w:val="24"/>
          <w:szCs w:val="24"/>
          <w:vertAlign w:val="superscript"/>
        </w:rPr>
        <w:t>12</w:t>
      </w:r>
    </w:p>
    <w:p w14:paraId="1B2CA9A2"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B7466D3"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lo que respecta a nuestro país, la Secretaría de Educación Pública (SEP) emitió que el 79% de los alumnos tienen un desconocimiento total de la lengua, lo que posiciona a México en bajos índices de competencia de inglés, ocupando el puesto 88 entre 111 naciones evaluadas por el índice </w:t>
      </w:r>
      <w:r w:rsidRPr="0012597A">
        <w:rPr>
          <w:rFonts w:ascii="Times New Roman" w:eastAsia="Arial MT" w:hAnsi="Times New Roman" w:cs="Times New Roman"/>
          <w:sz w:val="24"/>
          <w:szCs w:val="24"/>
        </w:rPr>
        <w:lastRenderedPageBreak/>
        <w:t>de nivel en inglés de la empresa Education First.</w:t>
      </w:r>
    </w:p>
    <w:p w14:paraId="5B995E41"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5C1C6E5"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Sumado a lo anterior, se ha alertado de que solo el 12% de los mexicanos son capaces de comunicarse eficazmente en inglés. Por esta razón, a nivel Latinoamérica, el dominio de este idioma se ubica en penúltimo lugar, solo por encima de Haití.</w:t>
      </w:r>
      <w:r w:rsidRPr="0012597A">
        <w:rPr>
          <w:rFonts w:ascii="Times New Roman" w:eastAsia="Arial MT" w:hAnsi="Times New Roman" w:cs="Times New Roman"/>
          <w:color w:val="FF0000"/>
          <w:sz w:val="24"/>
          <w:szCs w:val="24"/>
          <w:vertAlign w:val="superscript"/>
        </w:rPr>
        <w:t>13</w:t>
      </w:r>
    </w:p>
    <w:p w14:paraId="15F80C85"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8050F2C"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10</w:t>
      </w:r>
      <w:r w:rsidRPr="0012597A">
        <w:rPr>
          <w:rFonts w:ascii="Times New Roman" w:eastAsia="Arial MT" w:hAnsi="Times New Roman" w:cs="Times New Roman"/>
          <w:sz w:val="20"/>
          <w:szCs w:val="24"/>
        </w:rPr>
        <w:t xml:space="preserve"> Clapingo. (2024, 28 mayo). </w:t>
      </w:r>
      <w:r w:rsidRPr="0012597A">
        <w:rPr>
          <w:rFonts w:ascii="Times New Roman" w:eastAsia="Arial MT" w:hAnsi="Times New Roman" w:cs="Times New Roman"/>
          <w:i/>
          <w:sz w:val="20"/>
          <w:szCs w:val="24"/>
        </w:rPr>
        <w:t xml:space="preserve">English Proficiency in Indian Education: Essential or Optional? </w:t>
      </w:r>
      <w:r w:rsidRPr="0012597A">
        <w:rPr>
          <w:rFonts w:ascii="Times New Roman" w:eastAsia="Arial MT" w:hAnsi="Times New Roman" w:cs="Times New Roman"/>
          <w:sz w:val="20"/>
          <w:szCs w:val="24"/>
        </w:rPr>
        <w:t xml:space="preserve">Clapingo. </w:t>
      </w:r>
      <w:r w:rsidRPr="0012597A">
        <w:rPr>
          <w:rFonts w:ascii="Times New Roman" w:eastAsia="Arial MT" w:hAnsi="Times New Roman" w:cs="Times New Roman"/>
          <w:sz w:val="20"/>
          <w:szCs w:val="24"/>
          <w:u w:val="single" w:color="0000FF"/>
        </w:rPr>
        <w:t>https://clapingo-</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com.translate.goog/blog/english-speaking-skill-compulsory?_x_tr_sl=en&amp;_x_tr_tl=es&amp;_x_tr_hl=es&amp;_x_tr_pto=tc</w:t>
      </w:r>
    </w:p>
    <w:p w14:paraId="2524086B"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11</w:t>
      </w:r>
      <w:r w:rsidRPr="0012597A">
        <w:rPr>
          <w:rFonts w:ascii="Times New Roman" w:eastAsia="Arial MT" w:hAnsi="Times New Roman" w:cs="Times New Roman"/>
          <w:sz w:val="20"/>
          <w:szCs w:val="24"/>
        </w:rPr>
        <w:t xml:space="preserve"> Gobierno de México. (s. f.). </w:t>
      </w:r>
      <w:r w:rsidRPr="0012597A">
        <w:rPr>
          <w:rFonts w:ascii="Times New Roman" w:eastAsia="Arial MT" w:hAnsi="Times New Roman" w:cs="Times New Roman"/>
          <w:i/>
          <w:sz w:val="20"/>
          <w:szCs w:val="24"/>
        </w:rPr>
        <w:t xml:space="preserve">Mexico en Inglés </w:t>
      </w:r>
      <w:r w:rsidRPr="0012597A">
        <w:rPr>
          <w:rFonts w:ascii="Times New Roman" w:eastAsia="Arial MT" w:hAnsi="Times New Roman" w:cs="Times New Roman"/>
          <w:sz w:val="20"/>
          <w:szCs w:val="24"/>
        </w:rPr>
        <w:t xml:space="preserve">DIGITAL [Archivo PDF]. Recuperado el 14 de agosto de 2025, de </w:t>
      </w:r>
      <w:r w:rsidRPr="0012597A">
        <w:rPr>
          <w:rFonts w:ascii="Times New Roman" w:eastAsia="Arial MT" w:hAnsi="Times New Roman" w:cs="Times New Roman"/>
          <w:sz w:val="20"/>
          <w:szCs w:val="24"/>
          <w:u w:val="single" w:color="0000FF"/>
        </w:rPr>
        <w:t>https://</w:t>
      </w:r>
      <w:hyperlink r:id="rId52">
        <w:r w:rsidRPr="0012597A">
          <w:rPr>
            <w:rFonts w:ascii="Times New Roman" w:eastAsia="Arial MT" w:hAnsi="Times New Roman" w:cs="Times New Roman"/>
            <w:sz w:val="20"/>
            <w:szCs w:val="24"/>
            <w:u w:val="single" w:color="0000FF"/>
          </w:rPr>
          <w:t>www.gob.mx/cms/uploads/attachment/file/289658/Mexico_en_Ingle_s_DIGITAL.pdf</w:t>
        </w:r>
      </w:hyperlink>
    </w:p>
    <w:p w14:paraId="7263A6E4"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12</w:t>
      </w:r>
      <w:r w:rsidRPr="0012597A">
        <w:rPr>
          <w:rFonts w:ascii="Times New Roman" w:eastAsia="Arial MT" w:hAnsi="Times New Roman" w:cs="Times New Roman"/>
          <w:sz w:val="20"/>
          <w:szCs w:val="24"/>
        </w:rPr>
        <w:t xml:space="preserve"> The Professors of English [British Council en México]. (2022, 28 de marzo). </w:t>
      </w:r>
      <w:r w:rsidRPr="0012597A">
        <w:rPr>
          <w:rFonts w:ascii="Times New Roman" w:eastAsia="Arial MT" w:hAnsi="Times New Roman" w:cs="Times New Roman"/>
          <w:i/>
          <w:sz w:val="20"/>
          <w:szCs w:val="24"/>
        </w:rPr>
        <w:t>La importancia del inglés para niños de primaria</w:t>
      </w:r>
      <w:r w:rsidRPr="0012597A">
        <w:rPr>
          <w:rFonts w:ascii="Times New Roman" w:eastAsia="Arial MT" w:hAnsi="Times New Roman" w:cs="Times New Roman"/>
          <w:sz w:val="20"/>
          <w:szCs w:val="24"/>
        </w:rPr>
        <w:t xml:space="preserve">. British Council México. Recuperado el 14 de agosto de 2025, de </w:t>
      </w:r>
      <w:r w:rsidRPr="0012597A">
        <w:rPr>
          <w:rFonts w:ascii="Times New Roman" w:eastAsia="Arial MT" w:hAnsi="Times New Roman" w:cs="Times New Roman"/>
          <w:sz w:val="20"/>
          <w:szCs w:val="24"/>
          <w:u w:val="single" w:color="0000FF"/>
        </w:rPr>
        <w:t>https://</w:t>
      </w:r>
      <w:hyperlink r:id="rId53">
        <w:r w:rsidRPr="0012597A">
          <w:rPr>
            <w:rFonts w:ascii="Times New Roman" w:eastAsia="Arial MT" w:hAnsi="Times New Roman" w:cs="Times New Roman"/>
            <w:sz w:val="20"/>
            <w:szCs w:val="24"/>
            <w:u w:val="single" w:color="0000FF"/>
          </w:rPr>
          <w:t>www.britishcouncil.org.mx/blog/aprender-ingles-desde-primaria</w:t>
        </w:r>
      </w:hyperlink>
    </w:p>
    <w:p w14:paraId="7406779B"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13</w:t>
      </w:r>
      <w:r w:rsidRPr="0012597A">
        <w:rPr>
          <w:rFonts w:ascii="Times New Roman" w:eastAsia="Arial MT" w:hAnsi="Times New Roman" w:cs="Times New Roman"/>
          <w:sz w:val="20"/>
          <w:szCs w:val="24"/>
        </w:rPr>
        <w:t xml:space="preserve"> Mateos Juárez, M. A., &amp; Hernández Maldonado, R. A. (2021, 17 de febrero). </w:t>
      </w:r>
      <w:r w:rsidRPr="0012597A">
        <w:rPr>
          <w:rFonts w:ascii="Times New Roman" w:eastAsia="Arial MT" w:hAnsi="Times New Roman" w:cs="Times New Roman"/>
          <w:i/>
          <w:sz w:val="20"/>
          <w:szCs w:val="24"/>
        </w:rPr>
        <w:t>La enseñanza del idioma inglés, un rezago de la educación básica en México</w:t>
      </w:r>
      <w:r w:rsidRPr="0012597A">
        <w:rPr>
          <w:rFonts w:ascii="Times New Roman" w:eastAsia="Arial MT" w:hAnsi="Times New Roman" w:cs="Times New Roman"/>
          <w:sz w:val="20"/>
          <w:szCs w:val="24"/>
        </w:rPr>
        <w:t>. Universidad de Oriente. Recuperado el 14 de agosto de 2025, de https://uo.edu.mx/la-ensenanza-del- idioma-ingles-un-rezago-de-la-educacion-basica-en-mexico/</w:t>
      </w:r>
    </w:p>
    <w:p w14:paraId="37275C09"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13</w:t>
      </w:r>
      <w:r w:rsidRPr="0012597A">
        <w:rPr>
          <w:rFonts w:ascii="Times New Roman" w:eastAsia="Arial MT" w:hAnsi="Times New Roman" w:cs="Times New Roman"/>
          <w:sz w:val="20"/>
          <w:szCs w:val="24"/>
        </w:rPr>
        <w:t xml:space="preserve"> Gobierno de México. (s. f.). </w:t>
      </w:r>
      <w:r w:rsidRPr="0012597A">
        <w:rPr>
          <w:rFonts w:ascii="Times New Roman" w:eastAsia="Arial MT" w:hAnsi="Times New Roman" w:cs="Times New Roman"/>
          <w:i/>
          <w:sz w:val="20"/>
          <w:szCs w:val="24"/>
        </w:rPr>
        <w:t xml:space="preserve">Mexico en Inglés DIGITAL </w:t>
      </w:r>
      <w:r w:rsidRPr="0012597A">
        <w:rPr>
          <w:rFonts w:ascii="Times New Roman" w:eastAsia="Arial MT" w:hAnsi="Times New Roman" w:cs="Times New Roman"/>
          <w:sz w:val="20"/>
          <w:szCs w:val="24"/>
        </w:rPr>
        <w:t xml:space="preserve">[Archivo PDF]. Recuperado el 14 de agosto de 2025, de </w:t>
      </w:r>
      <w:r w:rsidRPr="0012597A">
        <w:rPr>
          <w:rFonts w:ascii="Times New Roman" w:eastAsia="Arial MT" w:hAnsi="Times New Roman" w:cs="Times New Roman"/>
          <w:sz w:val="20"/>
          <w:szCs w:val="24"/>
          <w:u w:val="single" w:color="0000FF"/>
        </w:rPr>
        <w:t>https://</w:t>
      </w:r>
      <w:hyperlink r:id="rId54">
        <w:r w:rsidRPr="0012597A">
          <w:rPr>
            <w:rFonts w:ascii="Times New Roman" w:eastAsia="Arial MT" w:hAnsi="Times New Roman" w:cs="Times New Roman"/>
            <w:sz w:val="20"/>
            <w:szCs w:val="24"/>
            <w:u w:val="single" w:color="0000FF"/>
          </w:rPr>
          <w:t>www.gob.mx/cms/uploads/attachment/file/289658/Mexico_en_Ingle_s_DIGITAL.pdf</w:t>
        </w:r>
      </w:hyperlink>
    </w:p>
    <w:p w14:paraId="7C02A04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0BCCC4C7"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2015 se detectó que el 97% de los alumnos de escuelas públicas mexicanas no alcanzan el nivel de comprensión básica de inglés y solo el 3% si cumple con los estándares debido a que tienen clases particulares.</w:t>
      </w:r>
      <w:r w:rsidRPr="0012597A">
        <w:rPr>
          <w:rFonts w:ascii="Times New Roman" w:eastAsia="Arial MT" w:hAnsi="Times New Roman" w:cs="Times New Roman"/>
          <w:color w:val="FF0000"/>
          <w:sz w:val="24"/>
          <w:szCs w:val="24"/>
          <w:vertAlign w:val="superscript"/>
        </w:rPr>
        <w:t>14</w:t>
      </w:r>
    </w:p>
    <w:p w14:paraId="49A5C442"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De acuerdo con el índice de Dominio del Inglés EF (EPI) en su edición de 2024, en el top 5 de estados con mayor dominio del idioma inglés están: Nuevo León, Jalisco, Colima, Sinaloa y Morelos, mientras que Baja California, Tlaxcala, Campeche, Hidalgo, </w:t>
      </w:r>
      <w:r w:rsidRPr="0012597A">
        <w:rPr>
          <w:rFonts w:ascii="Times New Roman" w:eastAsia="Arial MT" w:hAnsi="Times New Roman" w:cs="Times New Roman"/>
          <w:b/>
          <w:sz w:val="24"/>
          <w:szCs w:val="24"/>
        </w:rPr>
        <w:t xml:space="preserve">Estado de México </w:t>
      </w:r>
      <w:r w:rsidRPr="0012597A">
        <w:rPr>
          <w:rFonts w:ascii="Times New Roman" w:eastAsia="Arial MT" w:hAnsi="Times New Roman" w:cs="Times New Roman"/>
          <w:sz w:val="24"/>
          <w:szCs w:val="24"/>
        </w:rPr>
        <w:t>y Coahuila son los que obtuvieron bajos resultados.</w:t>
      </w:r>
    </w:p>
    <w:p w14:paraId="7766FA21"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496C23E"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 importante resaltar la trascendencia que tiene aprender este segundo idioma, se ha detectado que para obtener un empleo, más del 75% de las vacantes piden como requisito un nivel avanzado de inglés, según el portal OCC Mundial, estando entre las carreras obligatorias las ingenierías y tecnologías de la información.</w:t>
      </w:r>
      <w:r w:rsidRPr="0012597A">
        <w:rPr>
          <w:rFonts w:ascii="Times New Roman" w:eastAsia="Arial MT" w:hAnsi="Times New Roman" w:cs="Times New Roman"/>
          <w:color w:val="FF0000"/>
          <w:sz w:val="24"/>
          <w:szCs w:val="24"/>
          <w:vertAlign w:val="superscript"/>
        </w:rPr>
        <w:t>15</w:t>
      </w:r>
    </w:p>
    <w:p w14:paraId="66A6A0E8"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177E310"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sentido, las y los niños que no aprenden inglés en sus escuelas presentan, sin duda, una gran desventaja frente a quienes sí logran hacerlo, pues el aprendizaje de este idioma brinda nuevas oportunidades de desarrollo, amplios panoramas de conocimiento.</w:t>
      </w:r>
      <w:r w:rsidRPr="0012597A">
        <w:rPr>
          <w:rFonts w:ascii="Times New Roman" w:eastAsia="Arial MT" w:hAnsi="Times New Roman" w:cs="Times New Roman"/>
          <w:color w:val="FF0000"/>
          <w:sz w:val="24"/>
          <w:szCs w:val="24"/>
          <w:vertAlign w:val="superscript"/>
        </w:rPr>
        <w:t>16</w:t>
      </w:r>
    </w:p>
    <w:p w14:paraId="0F4E9D2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55F0A24F"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Las y los legisladores del Grupo Parlamentario del Partido Verde Ecologista consideramos que educar ambientalmente a los niños desde el nivel preescolar y continuar haciéndolo hasta el nivel superior y para la vida, nos proporcionará como sociedad, en un futuro no muy lejano, jóvenes o adultos y/o ciudadanos más responsables y comprometidos con el cuidado, conservación y respeto al ambiente, y tal vez solo así podamos </w:t>
      </w:r>
      <w:proofErr w:type="gramStart"/>
      <w:r w:rsidRPr="0012597A">
        <w:rPr>
          <w:rFonts w:ascii="Times New Roman" w:eastAsia="Arial MT" w:hAnsi="Times New Roman" w:cs="Times New Roman"/>
          <w:sz w:val="24"/>
          <w:szCs w:val="24"/>
        </w:rPr>
        <w:t>garantizarles</w:t>
      </w:r>
      <w:proofErr w:type="gramEnd"/>
      <w:r w:rsidRPr="0012597A">
        <w:rPr>
          <w:rFonts w:ascii="Times New Roman" w:eastAsia="Arial MT" w:hAnsi="Times New Roman" w:cs="Times New Roman"/>
          <w:sz w:val="24"/>
          <w:szCs w:val="24"/>
        </w:rPr>
        <w:t xml:space="preserve"> el derecho a un ambiente sano.</w:t>
      </w:r>
    </w:p>
    <w:p w14:paraId="0B8F9E2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FB3BFEC"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14</w:t>
      </w:r>
      <w:r w:rsidRPr="0012597A">
        <w:rPr>
          <w:rFonts w:ascii="Times New Roman" w:eastAsia="Arial MT" w:hAnsi="Times New Roman" w:cs="Times New Roman"/>
          <w:sz w:val="20"/>
          <w:szCs w:val="24"/>
        </w:rPr>
        <w:t xml:space="preserve"> Gobierno de México. (s. f.). </w:t>
      </w:r>
      <w:r w:rsidRPr="0012597A">
        <w:rPr>
          <w:rFonts w:ascii="Times New Roman" w:eastAsia="Arial MT" w:hAnsi="Times New Roman" w:cs="Times New Roman"/>
          <w:i/>
          <w:sz w:val="20"/>
          <w:szCs w:val="24"/>
        </w:rPr>
        <w:t xml:space="preserve">Mexico en Inglés DIGITAL </w:t>
      </w:r>
      <w:r w:rsidRPr="0012597A">
        <w:rPr>
          <w:rFonts w:ascii="Times New Roman" w:eastAsia="Arial MT" w:hAnsi="Times New Roman" w:cs="Times New Roman"/>
          <w:sz w:val="20"/>
          <w:szCs w:val="24"/>
        </w:rPr>
        <w:t xml:space="preserve">[Archivo PDF]. Recuperado el 14 de agosto de 2025, de </w:t>
      </w:r>
      <w:r w:rsidRPr="0012597A">
        <w:rPr>
          <w:rFonts w:ascii="Times New Roman" w:eastAsia="Arial MT" w:hAnsi="Times New Roman" w:cs="Times New Roman"/>
          <w:sz w:val="20"/>
          <w:szCs w:val="24"/>
          <w:u w:val="single" w:color="0000FF"/>
        </w:rPr>
        <w:t>https://</w:t>
      </w:r>
      <w:hyperlink r:id="rId55">
        <w:r w:rsidRPr="0012597A">
          <w:rPr>
            <w:rFonts w:ascii="Times New Roman" w:eastAsia="Arial MT" w:hAnsi="Times New Roman" w:cs="Times New Roman"/>
            <w:sz w:val="20"/>
            <w:szCs w:val="24"/>
            <w:u w:val="single" w:color="0000FF"/>
          </w:rPr>
          <w:t>www.gob.mx/cms/uploads/attachment/file/289658/Mexico_en_Ingle_s_DIGITAL.pdf</w:t>
        </w:r>
      </w:hyperlink>
    </w:p>
    <w:p w14:paraId="4DD69494"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15</w:t>
      </w:r>
      <w:r w:rsidRPr="0012597A">
        <w:rPr>
          <w:rFonts w:ascii="Times New Roman" w:eastAsia="Arial MT" w:hAnsi="Times New Roman" w:cs="Times New Roman"/>
          <w:sz w:val="20"/>
          <w:szCs w:val="24"/>
        </w:rPr>
        <w:t xml:space="preserve"> La importancia del idioma inglés en </w:t>
      </w:r>
      <w:proofErr w:type="spellStart"/>
      <w:r w:rsidRPr="0012597A">
        <w:rPr>
          <w:rFonts w:ascii="Times New Roman" w:eastAsia="Arial MT" w:hAnsi="Times New Roman" w:cs="Times New Roman"/>
          <w:sz w:val="20"/>
          <w:szCs w:val="24"/>
        </w:rPr>
        <w:t>méxico</w:t>
      </w:r>
      <w:proofErr w:type="spellEnd"/>
      <w:r w:rsidRPr="0012597A">
        <w:rPr>
          <w:rFonts w:ascii="Times New Roman" w:eastAsia="Arial MT" w:hAnsi="Times New Roman" w:cs="Times New Roman"/>
          <w:sz w:val="20"/>
          <w:szCs w:val="24"/>
        </w:rPr>
        <w:t xml:space="preserve"> – Top </w:t>
      </w:r>
      <w:proofErr w:type="spellStart"/>
      <w:r w:rsidRPr="0012597A">
        <w:rPr>
          <w:rFonts w:ascii="Times New Roman" w:eastAsia="Arial MT" w:hAnsi="Times New Roman" w:cs="Times New Roman"/>
          <w:sz w:val="20"/>
          <w:szCs w:val="24"/>
        </w:rPr>
        <w:t>Learning</w:t>
      </w:r>
      <w:proofErr w:type="spellEnd"/>
      <w:r w:rsidRPr="0012597A">
        <w:rPr>
          <w:rFonts w:ascii="Times New Roman" w:eastAsia="Arial MT" w:hAnsi="Times New Roman" w:cs="Times New Roman"/>
          <w:sz w:val="20"/>
          <w:szCs w:val="24"/>
        </w:rPr>
        <w:t xml:space="preserve">. (s. f.). </w:t>
      </w:r>
      <w:r w:rsidRPr="0012597A">
        <w:rPr>
          <w:rFonts w:ascii="Times New Roman" w:eastAsia="Arial MT" w:hAnsi="Times New Roman" w:cs="Times New Roman"/>
          <w:sz w:val="20"/>
          <w:szCs w:val="24"/>
          <w:u w:val="single" w:color="0000FF"/>
        </w:rPr>
        <w:t>https://toplearning.org/la-importancia-del-idioma-ingles-en-</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mexico/</w:t>
      </w:r>
    </w:p>
    <w:p w14:paraId="3C0ED56C"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16</w:t>
      </w:r>
      <w:r w:rsidRPr="0012597A">
        <w:rPr>
          <w:rFonts w:ascii="Times New Roman" w:eastAsia="Arial MT" w:hAnsi="Times New Roman" w:cs="Times New Roman"/>
          <w:sz w:val="20"/>
          <w:szCs w:val="24"/>
        </w:rPr>
        <w:t xml:space="preserve"> Pineda, E. J. (2024, 30 octubre). </w:t>
      </w:r>
      <w:r w:rsidRPr="0012597A">
        <w:rPr>
          <w:rFonts w:ascii="Times New Roman" w:eastAsia="Arial MT" w:hAnsi="Times New Roman" w:cs="Times New Roman"/>
          <w:i/>
          <w:sz w:val="20"/>
          <w:szCs w:val="24"/>
        </w:rPr>
        <w:t xml:space="preserve">Jóvenes que no aprenden inglés, padecen grandes desventajas en su desarrollo: Marco Fernández. </w:t>
      </w:r>
      <w:r w:rsidRPr="0012597A">
        <w:rPr>
          <w:rFonts w:ascii="Times New Roman" w:eastAsia="Arial MT" w:hAnsi="Times New Roman" w:cs="Times New Roman"/>
          <w:sz w:val="20"/>
          <w:szCs w:val="24"/>
        </w:rPr>
        <w:t xml:space="preserve">Educación Futura. </w:t>
      </w:r>
      <w:r w:rsidRPr="0012597A">
        <w:rPr>
          <w:rFonts w:ascii="Times New Roman" w:eastAsia="Arial MT" w:hAnsi="Times New Roman" w:cs="Times New Roman"/>
          <w:sz w:val="20"/>
          <w:szCs w:val="24"/>
          <w:u w:val="single" w:color="0000FF"/>
        </w:rPr>
        <w:t>https://</w:t>
      </w:r>
      <w:hyperlink r:id="rId56">
        <w:r w:rsidRPr="0012597A">
          <w:rPr>
            <w:rFonts w:ascii="Times New Roman" w:eastAsia="Arial MT" w:hAnsi="Times New Roman" w:cs="Times New Roman"/>
            <w:sz w:val="20"/>
            <w:szCs w:val="24"/>
            <w:u w:val="single" w:color="0000FF"/>
          </w:rPr>
          <w:t>www.educacionfutura.org/jovenes-que-no-aprenden-ingles-padecen-grandes-desventajas-en-</w:t>
        </w:r>
      </w:hyperlink>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su-desarrollo-marco-fernandez/</w:t>
      </w:r>
    </w:p>
    <w:p w14:paraId="201E5A0B"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7710840"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Sin embargo, también, el aprendizaje del inglés en la educación primaria no solo es una herramienta </w:t>
      </w:r>
      <w:r w:rsidRPr="0012597A">
        <w:rPr>
          <w:rFonts w:ascii="Times New Roman" w:eastAsia="Arial MT" w:hAnsi="Times New Roman" w:cs="Times New Roman"/>
          <w:sz w:val="24"/>
          <w:szCs w:val="24"/>
        </w:rPr>
        <w:lastRenderedPageBreak/>
        <w:t>imprescindible para la comunicación global, sino que también ofrece beneficios cognitivos, académicos y personales significativos.</w:t>
      </w:r>
    </w:p>
    <w:p w14:paraId="56565830"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9821A94"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esta razón creemos que para generar y brindar una educación de calidad, se deben promover mecanismos de desarrollo integral a las y los estudiantes, incluyendo habilidades cognitivas, sociales y emocionales, pero también brindar aprendizajes que contribuyan a su formación y preparación para un medio ambiente sostenible y beneficios del habla de un segundo idioma.</w:t>
      </w:r>
    </w:p>
    <w:p w14:paraId="1F42843F"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55D82E9D"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14:paraId="6181330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F30CB6" w:rsidRPr="0012597A" w14:paraId="1A9E69A4" w14:textId="77777777" w:rsidTr="0046672E">
        <w:trPr>
          <w:trHeight w:val="20"/>
        </w:trPr>
        <w:tc>
          <w:tcPr>
            <w:tcW w:w="9350" w:type="dxa"/>
            <w:gridSpan w:val="2"/>
            <w:tcBorders>
              <w:top w:val="nil"/>
              <w:bottom w:val="nil"/>
            </w:tcBorders>
            <w:shd w:val="clear" w:color="auto" w:fill="BFBFBF"/>
          </w:tcPr>
          <w:p w14:paraId="3490306C"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LEY DE EDUCACIÓN DEL ESTADO DE MÉXICO</w:t>
            </w:r>
          </w:p>
        </w:tc>
      </w:tr>
      <w:tr w:rsidR="00F30CB6" w:rsidRPr="0012597A" w14:paraId="311CE734" w14:textId="77777777" w:rsidTr="0046672E">
        <w:trPr>
          <w:trHeight w:val="20"/>
        </w:trPr>
        <w:tc>
          <w:tcPr>
            <w:tcW w:w="4675" w:type="dxa"/>
            <w:shd w:val="clear" w:color="auto" w:fill="D9D9D9"/>
          </w:tcPr>
          <w:p w14:paraId="4A477A37"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LEY VIGENTE</w:t>
            </w:r>
          </w:p>
        </w:tc>
        <w:tc>
          <w:tcPr>
            <w:tcW w:w="4675" w:type="dxa"/>
            <w:shd w:val="clear" w:color="auto" w:fill="D9D9D9"/>
          </w:tcPr>
          <w:p w14:paraId="33286E51"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INICIATIVA</w:t>
            </w:r>
          </w:p>
        </w:tc>
      </w:tr>
      <w:tr w:rsidR="00F30CB6" w:rsidRPr="0012597A" w14:paraId="48244A30" w14:textId="77777777" w:rsidTr="0046672E">
        <w:trPr>
          <w:trHeight w:val="20"/>
        </w:trPr>
        <w:tc>
          <w:tcPr>
            <w:tcW w:w="4675" w:type="dxa"/>
          </w:tcPr>
          <w:p w14:paraId="3CDE7E32"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Título Primero</w:t>
            </w:r>
          </w:p>
          <w:p w14:paraId="3E9C28DE"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Del derecho a la educación</w:t>
            </w:r>
          </w:p>
          <w:p w14:paraId="07D8AB49"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1E2FD2CF"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Capítulo III</w:t>
            </w:r>
          </w:p>
          <w:p w14:paraId="2BB70706"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 la educación en el Estado de México</w:t>
            </w:r>
          </w:p>
          <w:p w14:paraId="27953105"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21865D5E" w14:textId="4786A472"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12. </w:t>
            </w:r>
            <w:r w:rsidRPr="0012597A">
              <w:rPr>
                <w:rFonts w:ascii="Times New Roman" w:eastAsia="Arial MT" w:hAnsi="Times New Roman" w:cs="Times New Roman"/>
                <w:sz w:val="24"/>
                <w:szCs w:val="24"/>
                <w:lang w:val="es-MX"/>
              </w:rPr>
              <w:t>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14:paraId="135F8F05" w14:textId="77777777" w:rsidR="009616B4" w:rsidRPr="0012597A" w:rsidRDefault="009616B4" w:rsidP="00EF1C7F">
            <w:pPr>
              <w:spacing w:line="240" w:lineRule="auto"/>
              <w:jc w:val="both"/>
              <w:rPr>
                <w:rFonts w:ascii="Times New Roman" w:eastAsia="Arial MT" w:hAnsi="Times New Roman" w:cs="Times New Roman"/>
                <w:sz w:val="24"/>
                <w:szCs w:val="24"/>
                <w:lang w:val="es-MX"/>
              </w:rPr>
            </w:pPr>
          </w:p>
          <w:p w14:paraId="3AB89CBD" w14:textId="77777777"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 a VII. …</w:t>
            </w:r>
          </w:p>
          <w:p w14:paraId="5761E456"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6181A3BD" w14:textId="77777777"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VIII. Inculcar el respeto por la naturaleza, a través de la generación de capacidades y habilidades que aseguren el manejo integral, la conservación y el aprovechamiento de los recursos naturales, el desarrollo sostenible y la resiliencia frente al cambio climático;</w:t>
            </w:r>
          </w:p>
          <w:p w14:paraId="45736419" w14:textId="724054C4" w:rsidR="00F30CB6" w:rsidRPr="0012597A" w:rsidRDefault="00F30CB6" w:rsidP="00EF1C7F">
            <w:pPr>
              <w:spacing w:line="240" w:lineRule="auto"/>
              <w:rPr>
                <w:rFonts w:ascii="Times New Roman" w:eastAsia="Arial MT" w:hAnsi="Times New Roman" w:cs="Times New Roman"/>
                <w:sz w:val="24"/>
                <w:szCs w:val="24"/>
                <w:lang w:val="es-MX"/>
              </w:rPr>
            </w:pPr>
          </w:p>
          <w:p w14:paraId="2900CA28" w14:textId="77777777" w:rsidR="009616B4" w:rsidRPr="0012597A" w:rsidRDefault="009616B4" w:rsidP="00EF1C7F">
            <w:pPr>
              <w:spacing w:line="240" w:lineRule="auto"/>
              <w:rPr>
                <w:rFonts w:ascii="Times New Roman" w:eastAsia="Arial MT" w:hAnsi="Times New Roman" w:cs="Times New Roman"/>
                <w:sz w:val="24"/>
                <w:szCs w:val="24"/>
                <w:lang w:val="es-MX"/>
              </w:rPr>
            </w:pPr>
          </w:p>
          <w:p w14:paraId="493786EF" w14:textId="77777777" w:rsidR="009616B4" w:rsidRPr="0012597A" w:rsidRDefault="009616B4" w:rsidP="00EF1C7F">
            <w:pPr>
              <w:spacing w:line="240" w:lineRule="auto"/>
              <w:rPr>
                <w:rFonts w:ascii="Times New Roman" w:eastAsia="Arial MT" w:hAnsi="Times New Roman" w:cs="Times New Roman"/>
                <w:sz w:val="24"/>
                <w:szCs w:val="24"/>
                <w:lang w:val="es-MX"/>
              </w:rPr>
            </w:pPr>
          </w:p>
          <w:p w14:paraId="1061B2B3" w14:textId="77777777" w:rsidR="009616B4" w:rsidRPr="0012597A" w:rsidRDefault="009616B4" w:rsidP="00EF1C7F">
            <w:pPr>
              <w:spacing w:line="240" w:lineRule="auto"/>
              <w:rPr>
                <w:rFonts w:ascii="Times New Roman" w:eastAsia="Arial MT" w:hAnsi="Times New Roman" w:cs="Times New Roman"/>
                <w:sz w:val="24"/>
                <w:szCs w:val="24"/>
                <w:lang w:val="es-MX"/>
              </w:rPr>
            </w:pPr>
          </w:p>
          <w:p w14:paraId="76D3F622" w14:textId="77777777"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IX. a X. …</w:t>
            </w:r>
          </w:p>
        </w:tc>
        <w:tc>
          <w:tcPr>
            <w:tcW w:w="4675" w:type="dxa"/>
          </w:tcPr>
          <w:p w14:paraId="3C967B80"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Título Primero</w:t>
            </w:r>
          </w:p>
          <w:p w14:paraId="740CAECB"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Del derecho a la educación</w:t>
            </w:r>
          </w:p>
          <w:p w14:paraId="259AA506"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38B993A6"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Capítulo III</w:t>
            </w:r>
          </w:p>
          <w:p w14:paraId="7DCC4600" w14:textId="77777777" w:rsidR="00F30CB6" w:rsidRPr="0012597A" w:rsidRDefault="00F30CB6"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 xml:space="preserve">De la educación en el Estado de México </w:t>
            </w:r>
          </w:p>
          <w:p w14:paraId="2DA0A614" w14:textId="77777777" w:rsidR="009616B4" w:rsidRPr="0012597A" w:rsidRDefault="009616B4" w:rsidP="00EF1C7F">
            <w:pPr>
              <w:spacing w:line="240" w:lineRule="auto"/>
              <w:rPr>
                <w:rFonts w:ascii="Times New Roman" w:eastAsia="Arial MT" w:hAnsi="Times New Roman" w:cs="Times New Roman"/>
                <w:b/>
                <w:sz w:val="24"/>
                <w:szCs w:val="24"/>
                <w:lang w:val="es-MX"/>
              </w:rPr>
            </w:pPr>
          </w:p>
          <w:p w14:paraId="4262112F" w14:textId="21AE0FCB" w:rsidR="00F30CB6" w:rsidRPr="0012597A" w:rsidRDefault="00F30CB6"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12. </w:t>
            </w:r>
            <w:r w:rsidRPr="0012597A">
              <w:rPr>
                <w:rFonts w:ascii="Times New Roman" w:eastAsia="Arial MT" w:hAnsi="Times New Roman" w:cs="Times New Roman"/>
                <w:sz w:val="24"/>
                <w:szCs w:val="24"/>
                <w:lang w:val="es-MX"/>
              </w:rPr>
              <w:t>…</w:t>
            </w:r>
          </w:p>
          <w:p w14:paraId="473A15A9"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1A5DC937"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1AFD0E23"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79140F4E"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119C2531"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2E4B7409" w14:textId="53FE71FB" w:rsidR="00F30CB6" w:rsidRPr="0012597A" w:rsidRDefault="00F30CB6" w:rsidP="00EF1C7F">
            <w:pPr>
              <w:spacing w:line="240" w:lineRule="auto"/>
              <w:rPr>
                <w:rFonts w:ascii="Times New Roman" w:eastAsia="Arial MT" w:hAnsi="Times New Roman" w:cs="Times New Roman"/>
                <w:sz w:val="24"/>
                <w:szCs w:val="24"/>
                <w:lang w:val="es-MX"/>
              </w:rPr>
            </w:pPr>
          </w:p>
          <w:p w14:paraId="636788BE" w14:textId="77777777" w:rsidR="009616B4" w:rsidRPr="0012597A" w:rsidRDefault="009616B4" w:rsidP="00EF1C7F">
            <w:pPr>
              <w:spacing w:line="240" w:lineRule="auto"/>
              <w:rPr>
                <w:rFonts w:ascii="Times New Roman" w:eastAsia="Arial MT" w:hAnsi="Times New Roman" w:cs="Times New Roman"/>
                <w:sz w:val="24"/>
                <w:szCs w:val="24"/>
                <w:lang w:val="es-MX"/>
              </w:rPr>
            </w:pPr>
          </w:p>
          <w:p w14:paraId="11460DA8" w14:textId="77777777" w:rsidR="009616B4" w:rsidRPr="0012597A" w:rsidRDefault="009616B4" w:rsidP="00EF1C7F">
            <w:pPr>
              <w:spacing w:line="240" w:lineRule="auto"/>
              <w:rPr>
                <w:rFonts w:ascii="Times New Roman" w:eastAsia="Arial MT" w:hAnsi="Times New Roman" w:cs="Times New Roman"/>
                <w:sz w:val="24"/>
                <w:szCs w:val="24"/>
                <w:lang w:val="es-MX"/>
              </w:rPr>
            </w:pPr>
          </w:p>
          <w:p w14:paraId="1FAF4FB1"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23910BA6" w14:textId="77777777"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 a VII. …</w:t>
            </w:r>
          </w:p>
          <w:p w14:paraId="0E78AAB0" w14:textId="77777777" w:rsidR="00F30CB6" w:rsidRPr="0012597A" w:rsidRDefault="00F30CB6" w:rsidP="00EF1C7F">
            <w:pPr>
              <w:spacing w:line="240" w:lineRule="auto"/>
              <w:rPr>
                <w:rFonts w:ascii="Times New Roman" w:eastAsia="Arial MT" w:hAnsi="Times New Roman" w:cs="Times New Roman"/>
                <w:sz w:val="24"/>
                <w:szCs w:val="24"/>
                <w:lang w:val="es-MX"/>
              </w:rPr>
            </w:pPr>
          </w:p>
          <w:p w14:paraId="4638CB13" w14:textId="0F113C7F"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 xml:space="preserve">VIII. Inculcar el respeto por la naturaleza, a través de la generación de capacidades y habilidades que aseguren </w:t>
            </w:r>
            <w:r w:rsidRPr="0012597A">
              <w:rPr>
                <w:rFonts w:ascii="Times New Roman" w:eastAsia="Arial MT" w:hAnsi="Times New Roman" w:cs="Times New Roman"/>
                <w:b/>
                <w:sz w:val="24"/>
                <w:szCs w:val="24"/>
                <w:lang w:val="es-MX"/>
              </w:rPr>
              <w:t xml:space="preserve">la protección del medio ambiente y la biodiversidad, </w:t>
            </w:r>
            <w:r w:rsidRPr="0012597A">
              <w:rPr>
                <w:rFonts w:ascii="Times New Roman" w:eastAsia="Arial MT" w:hAnsi="Times New Roman" w:cs="Times New Roman"/>
                <w:sz w:val="24"/>
                <w:szCs w:val="24"/>
                <w:lang w:val="es-MX"/>
              </w:rPr>
              <w:t xml:space="preserve">el manejo integral, la conservación y el aprovechamiento </w:t>
            </w:r>
            <w:r w:rsidRPr="0012597A">
              <w:rPr>
                <w:rFonts w:ascii="Times New Roman" w:eastAsia="Arial MT" w:hAnsi="Times New Roman" w:cs="Times New Roman"/>
                <w:b/>
                <w:sz w:val="24"/>
                <w:szCs w:val="24"/>
                <w:lang w:val="es-MX"/>
              </w:rPr>
              <w:t xml:space="preserve">racional del agua y </w:t>
            </w:r>
            <w:r w:rsidRPr="0012597A">
              <w:rPr>
                <w:rFonts w:ascii="Times New Roman" w:eastAsia="Arial MT" w:hAnsi="Times New Roman" w:cs="Times New Roman"/>
                <w:sz w:val="24"/>
                <w:szCs w:val="24"/>
                <w:lang w:val="es-MX"/>
              </w:rPr>
              <w:t xml:space="preserve">de </w:t>
            </w:r>
            <w:r w:rsidRPr="0012597A">
              <w:rPr>
                <w:rFonts w:ascii="Times New Roman" w:eastAsia="Arial MT" w:hAnsi="Times New Roman" w:cs="Times New Roman"/>
                <w:strike/>
                <w:sz w:val="24"/>
                <w:szCs w:val="24"/>
                <w:lang w:val="es-MX"/>
              </w:rPr>
              <w:t>los</w:t>
            </w:r>
            <w:r w:rsidRPr="0012597A">
              <w:rPr>
                <w:rFonts w:ascii="Times New Roman" w:eastAsia="Arial MT" w:hAnsi="Times New Roman" w:cs="Times New Roman"/>
                <w:sz w:val="24"/>
                <w:szCs w:val="24"/>
                <w:lang w:val="es-MX"/>
              </w:rPr>
              <w:t xml:space="preserve"> </w:t>
            </w:r>
            <w:r w:rsidRPr="0012597A">
              <w:rPr>
                <w:rFonts w:ascii="Times New Roman" w:eastAsia="Arial MT" w:hAnsi="Times New Roman" w:cs="Times New Roman"/>
                <w:b/>
                <w:sz w:val="24"/>
                <w:szCs w:val="24"/>
                <w:lang w:val="es-MX"/>
              </w:rPr>
              <w:t xml:space="preserve">otros </w:t>
            </w:r>
            <w:r w:rsidRPr="0012597A">
              <w:rPr>
                <w:rFonts w:ascii="Times New Roman" w:eastAsia="Arial MT" w:hAnsi="Times New Roman" w:cs="Times New Roman"/>
                <w:sz w:val="24"/>
                <w:szCs w:val="24"/>
                <w:lang w:val="es-MX"/>
              </w:rPr>
              <w:t xml:space="preserve">recursos naturales, </w:t>
            </w:r>
            <w:r w:rsidRPr="0012597A">
              <w:rPr>
                <w:rFonts w:ascii="Times New Roman" w:eastAsia="Arial MT" w:hAnsi="Times New Roman" w:cs="Times New Roman"/>
                <w:b/>
                <w:sz w:val="24"/>
                <w:szCs w:val="24"/>
                <w:lang w:val="es-MX"/>
              </w:rPr>
              <w:t xml:space="preserve">el respeto a los seres sintientes, </w:t>
            </w:r>
            <w:r w:rsidRPr="0012597A">
              <w:rPr>
                <w:rFonts w:ascii="Times New Roman" w:eastAsia="Arial MT" w:hAnsi="Times New Roman" w:cs="Times New Roman"/>
                <w:sz w:val="24"/>
                <w:szCs w:val="24"/>
                <w:lang w:val="es-MX"/>
              </w:rPr>
              <w:t>el desarrollo sostenible</w:t>
            </w:r>
            <w:r w:rsidRPr="0012597A">
              <w:rPr>
                <w:rFonts w:ascii="Times New Roman" w:eastAsia="Arial MT" w:hAnsi="Times New Roman" w:cs="Times New Roman"/>
                <w:b/>
                <w:sz w:val="24"/>
                <w:szCs w:val="24"/>
                <w:lang w:val="es-MX"/>
              </w:rPr>
              <w:t xml:space="preserve">, </w:t>
            </w:r>
            <w:r w:rsidRPr="0012597A">
              <w:rPr>
                <w:rFonts w:ascii="Times New Roman" w:eastAsia="Arial MT" w:hAnsi="Times New Roman" w:cs="Times New Roman"/>
                <w:strike/>
                <w:sz w:val="24"/>
                <w:szCs w:val="24"/>
                <w:lang w:val="es-MX"/>
              </w:rPr>
              <w:t>y</w:t>
            </w:r>
            <w:r w:rsidRPr="0012597A">
              <w:rPr>
                <w:rFonts w:ascii="Times New Roman" w:eastAsia="Arial MT" w:hAnsi="Times New Roman" w:cs="Times New Roman"/>
                <w:sz w:val="24"/>
                <w:szCs w:val="24"/>
                <w:lang w:val="es-MX"/>
              </w:rPr>
              <w:t xml:space="preserve"> la resiliencia frente al cambio climático </w:t>
            </w:r>
            <w:r w:rsidRPr="0012597A">
              <w:rPr>
                <w:rFonts w:ascii="Times New Roman" w:eastAsia="Arial MT" w:hAnsi="Times New Roman" w:cs="Times New Roman"/>
                <w:b/>
                <w:sz w:val="24"/>
                <w:szCs w:val="24"/>
                <w:lang w:val="es-MX"/>
              </w:rPr>
              <w:t>y su prevención</w:t>
            </w:r>
            <w:r w:rsidRPr="0012597A">
              <w:rPr>
                <w:rFonts w:ascii="Times New Roman" w:eastAsia="Arial MT" w:hAnsi="Times New Roman" w:cs="Times New Roman"/>
                <w:sz w:val="24"/>
                <w:szCs w:val="24"/>
                <w:lang w:val="es-MX"/>
              </w:rPr>
              <w:t>;</w:t>
            </w:r>
          </w:p>
          <w:p w14:paraId="234A81D8" w14:textId="77777777" w:rsidR="009616B4" w:rsidRPr="0012597A" w:rsidRDefault="009616B4" w:rsidP="00EF1C7F">
            <w:pPr>
              <w:spacing w:line="240" w:lineRule="auto"/>
              <w:jc w:val="both"/>
              <w:rPr>
                <w:rFonts w:ascii="Times New Roman" w:eastAsia="Arial MT" w:hAnsi="Times New Roman" w:cs="Times New Roman"/>
                <w:sz w:val="24"/>
                <w:szCs w:val="24"/>
                <w:lang w:val="es-MX"/>
              </w:rPr>
            </w:pPr>
          </w:p>
          <w:p w14:paraId="0BD36708" w14:textId="77777777"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IX. a X. …</w:t>
            </w:r>
          </w:p>
        </w:tc>
      </w:tr>
      <w:tr w:rsidR="00F30CB6" w:rsidRPr="0012597A" w14:paraId="5F022DB6" w14:textId="77777777" w:rsidTr="0046672E">
        <w:trPr>
          <w:trHeight w:val="20"/>
        </w:trPr>
        <w:tc>
          <w:tcPr>
            <w:tcW w:w="4675" w:type="dxa"/>
          </w:tcPr>
          <w:p w14:paraId="333EFAB1"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Título Tercero</w:t>
            </w:r>
          </w:p>
          <w:p w14:paraId="12241752"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Del Proceso Educativo</w:t>
            </w:r>
          </w:p>
        </w:tc>
        <w:tc>
          <w:tcPr>
            <w:tcW w:w="4675" w:type="dxa"/>
          </w:tcPr>
          <w:p w14:paraId="0D9F4F0D"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Título Tercero</w:t>
            </w:r>
          </w:p>
          <w:p w14:paraId="33A86A48"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Del Proceso Educativo</w:t>
            </w:r>
          </w:p>
        </w:tc>
      </w:tr>
    </w:tbl>
    <w:p w14:paraId="71A08BF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F30CB6" w:rsidRPr="0012597A" w14:paraId="28C1FDCD" w14:textId="77777777" w:rsidTr="0046672E">
        <w:trPr>
          <w:trHeight w:val="1038"/>
        </w:trPr>
        <w:tc>
          <w:tcPr>
            <w:tcW w:w="4675" w:type="dxa"/>
            <w:tcBorders>
              <w:bottom w:val="nil"/>
            </w:tcBorders>
          </w:tcPr>
          <w:p w14:paraId="37273FD4"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lastRenderedPageBreak/>
              <w:t>Capítulo I</w:t>
            </w:r>
          </w:p>
          <w:p w14:paraId="77C87676"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 la orientación integral en el proceso educativo</w:t>
            </w:r>
          </w:p>
        </w:tc>
        <w:tc>
          <w:tcPr>
            <w:tcW w:w="4675" w:type="dxa"/>
            <w:tcBorders>
              <w:bottom w:val="nil"/>
            </w:tcBorders>
          </w:tcPr>
          <w:p w14:paraId="607593E3"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Capítulo I</w:t>
            </w:r>
          </w:p>
          <w:p w14:paraId="19B75198" w14:textId="77777777" w:rsidR="00F30CB6" w:rsidRPr="0012597A" w:rsidRDefault="00F30CB6"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 la orientación integral en el proceso educativo</w:t>
            </w:r>
          </w:p>
        </w:tc>
      </w:tr>
      <w:tr w:rsidR="00F30CB6" w:rsidRPr="0012597A" w14:paraId="3BA03DE5" w14:textId="77777777" w:rsidTr="0046672E">
        <w:trPr>
          <w:trHeight w:val="2299"/>
        </w:trPr>
        <w:tc>
          <w:tcPr>
            <w:tcW w:w="4675" w:type="dxa"/>
            <w:tcBorders>
              <w:top w:val="nil"/>
              <w:bottom w:val="nil"/>
            </w:tcBorders>
          </w:tcPr>
          <w:p w14:paraId="35326330" w14:textId="77777777" w:rsidR="00F30CB6" w:rsidRPr="0012597A" w:rsidRDefault="00F30CB6"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54. </w:t>
            </w:r>
            <w:r w:rsidRPr="0012597A">
              <w:rPr>
                <w:rFonts w:ascii="Times New Roman" w:eastAsia="Arial MT" w:hAnsi="Times New Roman" w:cs="Times New Roman"/>
                <w:sz w:val="24"/>
                <w:szCs w:val="24"/>
                <w:lang w:val="es-MX"/>
              </w:rPr>
              <w:t>La autoridad educativa estatal, en el ámbito de su competencia, fomentará, la enseñanza y aprendizaje integral del idioma inglés para que el educando sea integrado de manera social, económica y cultural en el mundo, sin menoscabo de la enseñanza del español y de lenguas indígenas, asimismo, la formación económica y financiera con contexto estatal, nacional e internacional.</w:t>
            </w:r>
          </w:p>
        </w:tc>
        <w:tc>
          <w:tcPr>
            <w:tcW w:w="4675" w:type="dxa"/>
            <w:tcBorders>
              <w:top w:val="nil"/>
              <w:bottom w:val="nil"/>
            </w:tcBorders>
          </w:tcPr>
          <w:p w14:paraId="6913E760" w14:textId="77777777" w:rsidR="00F30CB6" w:rsidRPr="0012597A" w:rsidRDefault="00F30CB6"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54. </w:t>
            </w:r>
            <w:r w:rsidRPr="0012597A">
              <w:rPr>
                <w:rFonts w:ascii="Times New Roman" w:eastAsia="Arial MT" w:hAnsi="Times New Roman" w:cs="Times New Roman"/>
                <w:sz w:val="24"/>
                <w:szCs w:val="24"/>
                <w:lang w:val="es-MX"/>
              </w:rPr>
              <w:t>…</w:t>
            </w:r>
          </w:p>
        </w:tc>
      </w:tr>
      <w:tr w:rsidR="00F30CB6" w:rsidRPr="0012597A" w14:paraId="62686152" w14:textId="77777777" w:rsidTr="0046672E">
        <w:trPr>
          <w:trHeight w:val="1720"/>
        </w:trPr>
        <w:tc>
          <w:tcPr>
            <w:tcW w:w="4675" w:type="dxa"/>
            <w:tcBorders>
              <w:top w:val="nil"/>
            </w:tcBorders>
          </w:tcPr>
          <w:p w14:paraId="0D7342E0" w14:textId="77777777" w:rsidR="00F30CB6" w:rsidRPr="0012597A" w:rsidRDefault="00F30CB6"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SIN CORRELATIVO</w:t>
            </w:r>
          </w:p>
        </w:tc>
        <w:tc>
          <w:tcPr>
            <w:tcW w:w="4675" w:type="dxa"/>
            <w:tcBorders>
              <w:top w:val="nil"/>
            </w:tcBorders>
          </w:tcPr>
          <w:p w14:paraId="19D94632" w14:textId="77777777" w:rsidR="00F30CB6" w:rsidRPr="0012597A" w:rsidRDefault="00F30CB6" w:rsidP="00EF1C7F">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El proceso de enseñanza y aprendizaje será acorde al tipo y nivel educativo del educando, también se deberán promover métodos y recursos didácticos que favorezcan una comprensión profunda del idioma inglés, así como el desarrollo de habilidades cognitivas y</w:t>
            </w:r>
          </w:p>
          <w:p w14:paraId="3F66B632" w14:textId="77777777" w:rsidR="00F30CB6" w:rsidRPr="0012597A" w:rsidRDefault="00F30CB6"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sociales.</w:t>
            </w:r>
          </w:p>
        </w:tc>
      </w:tr>
    </w:tbl>
    <w:p w14:paraId="596A79BA"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4CCC6D6"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Por lo anteriormente expuesto, fundamentado y motivado, se somete a consideración de este H. Congreso para su análisis, discusión y, en su caso, aprobación, la presente: </w:t>
      </w:r>
      <w:r w:rsidRPr="0012597A">
        <w:rPr>
          <w:rFonts w:ascii="Times New Roman" w:eastAsia="Arial MT" w:hAnsi="Times New Roman" w:cs="Times New Roman"/>
          <w:b/>
          <w:sz w:val="24"/>
          <w:szCs w:val="24"/>
        </w:rPr>
        <w:t>INICIATIVA CON PROYECTO DE DECRETO POR LA QUE SE REFORMA LA FRACCIÓN VIII DEL ARTÍCULO 12 Y SE ADICIONA UN SEGUNDO PÁRRAFO AL ARTICULO 54 DE LA LEY DE EDUCACIÓN DEL ESTADO DE MÉXICO</w:t>
      </w:r>
    </w:p>
    <w:p w14:paraId="1EF4D9A9"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324EDAAC"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p w14:paraId="100D33B7"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JOSÉ ALBERTO COUTTOLENC BUENTELLO</w:t>
      </w:r>
    </w:p>
    <w:p w14:paraId="6585BBB6"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COORDINADOR DEL GRUPO PARLAMENTARIO DEL</w:t>
      </w:r>
    </w:p>
    <w:p w14:paraId="567F12DA"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PARTIDO VERDE ECOLOGISTA DE MÉXICO</w:t>
      </w:r>
    </w:p>
    <w:p w14:paraId="640317F3"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65BAAE8D"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5C738E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DECRETO NÚMERO</w:t>
      </w:r>
    </w:p>
    <w:p w14:paraId="06DFD6E9"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LXII LEGISLATURA DEL ESTADO DE MÉXICO</w:t>
      </w:r>
    </w:p>
    <w:p w14:paraId="544450F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DECRETA:</w:t>
      </w:r>
    </w:p>
    <w:p w14:paraId="5BE2963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1EA92282"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ÚNICO: </w:t>
      </w:r>
      <w:r w:rsidRPr="0012597A">
        <w:rPr>
          <w:rFonts w:ascii="Times New Roman" w:eastAsia="Arial MT" w:hAnsi="Times New Roman" w:cs="Times New Roman"/>
          <w:sz w:val="24"/>
          <w:szCs w:val="24"/>
        </w:rPr>
        <w:t>Se reforma la fracción VIII del artículo 12 y se adiciona un segundo párrafo al artículo 54 de la Ley de Educación del Estado de México, para quedar como sigue:</w:t>
      </w:r>
    </w:p>
    <w:p w14:paraId="599D91FE"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0CF6A308"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LEY DE EDUCACIÓN DEL ESTADO DE MÉXICO</w:t>
      </w:r>
    </w:p>
    <w:p w14:paraId="6CD910A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5E606042"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Título Primero</w:t>
      </w:r>
    </w:p>
    <w:p w14:paraId="3259A768"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derecho a la educación</w:t>
      </w:r>
    </w:p>
    <w:p w14:paraId="34781C0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7ED8B4F9"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5AA3B2A3"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Capítulo III</w:t>
      </w:r>
    </w:p>
    <w:p w14:paraId="5508EC8F"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 la educación en el Estado de México</w:t>
      </w:r>
    </w:p>
    <w:p w14:paraId="5267FF84"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7AC2556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lastRenderedPageBreak/>
        <w:t xml:space="preserve">Artículo 12. </w:t>
      </w:r>
      <w:r w:rsidRPr="0012597A">
        <w:rPr>
          <w:rFonts w:ascii="Times New Roman" w:eastAsia="Arial MT" w:hAnsi="Times New Roman" w:cs="Times New Roman"/>
          <w:sz w:val="24"/>
          <w:szCs w:val="24"/>
        </w:rPr>
        <w:t>…</w:t>
      </w:r>
    </w:p>
    <w:p w14:paraId="0C5414B6"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0AB42FE"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I. a VII. …</w:t>
      </w:r>
    </w:p>
    <w:p w14:paraId="1535B895"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8F6E958"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VIII. Inculcar el respeto por la naturaleza, a través de la generación de capacidades y habilidades que aseguren </w:t>
      </w:r>
      <w:r w:rsidRPr="0012597A">
        <w:rPr>
          <w:rFonts w:ascii="Times New Roman" w:eastAsia="Arial MT" w:hAnsi="Times New Roman" w:cs="Times New Roman"/>
          <w:b/>
          <w:sz w:val="24"/>
          <w:szCs w:val="24"/>
        </w:rPr>
        <w:t xml:space="preserve">la protección del medio ambiente y la biodiversidad, </w:t>
      </w:r>
      <w:r w:rsidRPr="0012597A">
        <w:rPr>
          <w:rFonts w:ascii="Times New Roman" w:eastAsia="Arial MT" w:hAnsi="Times New Roman" w:cs="Times New Roman"/>
          <w:sz w:val="24"/>
          <w:szCs w:val="24"/>
        </w:rPr>
        <w:t xml:space="preserve">el manejo integral, la conservación y el aprovechamiento </w:t>
      </w:r>
      <w:r w:rsidRPr="0012597A">
        <w:rPr>
          <w:rFonts w:ascii="Times New Roman" w:eastAsia="Arial MT" w:hAnsi="Times New Roman" w:cs="Times New Roman"/>
          <w:b/>
          <w:sz w:val="24"/>
          <w:szCs w:val="24"/>
        </w:rPr>
        <w:t xml:space="preserve">racional del agua y </w:t>
      </w:r>
      <w:r w:rsidRPr="0012597A">
        <w:rPr>
          <w:rFonts w:ascii="Times New Roman" w:eastAsia="Arial MT" w:hAnsi="Times New Roman" w:cs="Times New Roman"/>
          <w:sz w:val="24"/>
          <w:szCs w:val="24"/>
        </w:rPr>
        <w:t xml:space="preserve">de </w:t>
      </w:r>
      <w:r w:rsidRPr="0012597A">
        <w:rPr>
          <w:rFonts w:ascii="Times New Roman" w:eastAsia="Arial MT" w:hAnsi="Times New Roman" w:cs="Times New Roman"/>
          <w:b/>
          <w:sz w:val="24"/>
          <w:szCs w:val="24"/>
        </w:rPr>
        <w:t xml:space="preserve">otros </w:t>
      </w:r>
      <w:r w:rsidRPr="0012597A">
        <w:rPr>
          <w:rFonts w:ascii="Times New Roman" w:eastAsia="Arial MT" w:hAnsi="Times New Roman" w:cs="Times New Roman"/>
          <w:sz w:val="24"/>
          <w:szCs w:val="24"/>
        </w:rPr>
        <w:t xml:space="preserve">recursos naturales, </w:t>
      </w:r>
      <w:r w:rsidRPr="0012597A">
        <w:rPr>
          <w:rFonts w:ascii="Times New Roman" w:eastAsia="Arial MT" w:hAnsi="Times New Roman" w:cs="Times New Roman"/>
          <w:b/>
          <w:sz w:val="24"/>
          <w:szCs w:val="24"/>
        </w:rPr>
        <w:t xml:space="preserve">el respeto a los seres sintientes, </w:t>
      </w:r>
      <w:r w:rsidRPr="0012597A">
        <w:rPr>
          <w:rFonts w:ascii="Times New Roman" w:eastAsia="Arial MT" w:hAnsi="Times New Roman" w:cs="Times New Roman"/>
          <w:sz w:val="24"/>
          <w:szCs w:val="24"/>
        </w:rPr>
        <w:t>el desarrollo sostenible</w:t>
      </w:r>
      <w:r w:rsidRPr="0012597A">
        <w:rPr>
          <w:rFonts w:ascii="Times New Roman" w:eastAsia="Arial MT" w:hAnsi="Times New Roman" w:cs="Times New Roman"/>
          <w:b/>
          <w:sz w:val="24"/>
          <w:szCs w:val="24"/>
        </w:rPr>
        <w:t xml:space="preserve">, </w:t>
      </w:r>
      <w:r w:rsidRPr="0012597A">
        <w:rPr>
          <w:rFonts w:ascii="Times New Roman" w:eastAsia="Arial MT" w:hAnsi="Times New Roman" w:cs="Times New Roman"/>
          <w:sz w:val="24"/>
          <w:szCs w:val="24"/>
        </w:rPr>
        <w:t xml:space="preserve">la resiliencia frente al cambio climático </w:t>
      </w:r>
      <w:r w:rsidRPr="0012597A">
        <w:rPr>
          <w:rFonts w:ascii="Times New Roman" w:eastAsia="Arial MT" w:hAnsi="Times New Roman" w:cs="Times New Roman"/>
          <w:b/>
          <w:sz w:val="24"/>
          <w:szCs w:val="24"/>
        </w:rPr>
        <w:t>y su prevención</w:t>
      </w:r>
      <w:r w:rsidRPr="0012597A">
        <w:rPr>
          <w:rFonts w:ascii="Times New Roman" w:eastAsia="Arial MT" w:hAnsi="Times New Roman" w:cs="Times New Roman"/>
          <w:sz w:val="24"/>
          <w:szCs w:val="24"/>
        </w:rPr>
        <w:t>;</w:t>
      </w:r>
    </w:p>
    <w:p w14:paraId="4362BE2B"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3E26525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IX. a X. …</w:t>
      </w:r>
    </w:p>
    <w:p w14:paraId="5F326BF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2C659736"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Título Tercero</w:t>
      </w:r>
    </w:p>
    <w:p w14:paraId="5066C556"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Proceso Educativo</w:t>
      </w:r>
    </w:p>
    <w:p w14:paraId="11AD6277"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43A72A20"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Capítulo I</w:t>
      </w:r>
    </w:p>
    <w:p w14:paraId="7F07DE9E"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 la orientación integral en el proceso educativo</w:t>
      </w:r>
    </w:p>
    <w:p w14:paraId="6BF46129"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19405536"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54. </w:t>
      </w:r>
      <w:r w:rsidRPr="0012597A">
        <w:rPr>
          <w:rFonts w:ascii="Times New Roman" w:eastAsia="Arial MT" w:hAnsi="Times New Roman" w:cs="Times New Roman"/>
          <w:sz w:val="24"/>
          <w:szCs w:val="24"/>
        </w:rPr>
        <w:t>…</w:t>
      </w:r>
    </w:p>
    <w:p w14:paraId="5411C112"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4828C22E"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El proceso de enseñanza y aprendizaje será acorde al tipo y nivel educativo del educando, también se deberán promover métodos y recursos didácticos que favorezcan una comprensión profunda del idioma inglés, así como el desarrollo de habilidades cognitivas y sociales.</w:t>
      </w:r>
    </w:p>
    <w:p w14:paraId="5EAE351A"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5C3810D8"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6DEB059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6C431506" w14:textId="77777777" w:rsidR="00F30CB6" w:rsidRPr="0012597A" w:rsidRDefault="00F30CB6"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TRANSITORIOS</w:t>
      </w:r>
    </w:p>
    <w:p w14:paraId="648A81FC"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b/>
          <w:sz w:val="24"/>
          <w:szCs w:val="24"/>
        </w:rPr>
      </w:pPr>
    </w:p>
    <w:p w14:paraId="30A995A9"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PRIMERO. </w:t>
      </w:r>
      <w:r w:rsidRPr="0012597A">
        <w:rPr>
          <w:rFonts w:ascii="Times New Roman" w:eastAsia="Arial MT" w:hAnsi="Times New Roman" w:cs="Times New Roman"/>
          <w:sz w:val="24"/>
          <w:szCs w:val="24"/>
        </w:rPr>
        <w:t>Publíquese el presente Decreto en el Periódico Oficial “Gaceta de Gobierno”.</w:t>
      </w:r>
    </w:p>
    <w:p w14:paraId="74DF4A8F"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353C4BCF"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SEGUNDO. </w:t>
      </w:r>
      <w:r w:rsidRPr="0012597A">
        <w:rPr>
          <w:rFonts w:ascii="Times New Roman" w:eastAsia="Arial MT" w:hAnsi="Times New Roman" w:cs="Times New Roman"/>
          <w:sz w:val="24"/>
          <w:szCs w:val="24"/>
        </w:rPr>
        <w:t>El presente decreto entrará en vigor el día siguiente al de su publicación en el Periódico Oficial “Gaceta de Gobierno”, Gobierno del Estado Libre y Soberano de México”.</w:t>
      </w:r>
    </w:p>
    <w:p w14:paraId="6535016A"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3D8428B5"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persona titular del Poder Ejecutivo lo tendrá por entendido, haciendo que se publique y se cumpla.</w:t>
      </w:r>
    </w:p>
    <w:p w14:paraId="121A827F" w14:textId="77777777" w:rsidR="00F30CB6" w:rsidRPr="0012597A" w:rsidRDefault="00F30CB6" w:rsidP="00EF1C7F">
      <w:pPr>
        <w:widowControl w:val="0"/>
        <w:autoSpaceDE w:val="0"/>
        <w:autoSpaceDN w:val="0"/>
        <w:spacing w:after="0" w:line="240" w:lineRule="auto"/>
        <w:rPr>
          <w:rFonts w:ascii="Times New Roman" w:eastAsia="Arial MT" w:hAnsi="Times New Roman" w:cs="Times New Roman"/>
          <w:sz w:val="24"/>
          <w:szCs w:val="24"/>
        </w:rPr>
      </w:pPr>
    </w:p>
    <w:p w14:paraId="1E0CF457" w14:textId="77777777" w:rsidR="00F30CB6" w:rsidRPr="0012597A" w:rsidRDefault="00F30CB6"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Capital del Estado de México, a los </w:t>
      </w:r>
      <w:r w:rsidRPr="0012597A">
        <w:rPr>
          <w:rFonts w:ascii="Times New Roman" w:eastAsia="Arial MT" w:hAnsi="Times New Roman" w:cs="Times New Roman"/>
          <w:sz w:val="24"/>
          <w:szCs w:val="24"/>
          <w:u w:val="single"/>
        </w:rPr>
        <w:t xml:space="preserve">  </w:t>
      </w:r>
      <w:r w:rsidRPr="0012597A">
        <w:rPr>
          <w:rFonts w:ascii="Times New Roman" w:eastAsia="Arial MT" w:hAnsi="Times New Roman" w:cs="Times New Roman"/>
          <w:sz w:val="24"/>
          <w:szCs w:val="24"/>
        </w:rPr>
        <w:t xml:space="preserve"> días del mes </w:t>
      </w:r>
      <w:r w:rsidRPr="0012597A">
        <w:rPr>
          <w:rFonts w:ascii="Times New Roman" w:eastAsia="Arial MT" w:hAnsi="Times New Roman" w:cs="Times New Roman"/>
          <w:sz w:val="24"/>
          <w:szCs w:val="24"/>
          <w:u w:val="single"/>
        </w:rPr>
        <w:t xml:space="preserve">  </w:t>
      </w:r>
      <w:r w:rsidRPr="0012597A">
        <w:rPr>
          <w:rFonts w:ascii="Times New Roman" w:eastAsia="Arial MT" w:hAnsi="Times New Roman" w:cs="Times New Roman"/>
          <w:sz w:val="24"/>
          <w:szCs w:val="24"/>
        </w:rPr>
        <w:t xml:space="preserve"> del año dos mil veintiséis.</w:t>
      </w:r>
    </w:p>
    <w:p w14:paraId="3C0716A9" w14:textId="77777777" w:rsidR="007907A6" w:rsidRPr="0012597A" w:rsidRDefault="007907A6" w:rsidP="00EF1C7F">
      <w:pPr>
        <w:spacing w:after="0" w:line="240" w:lineRule="auto"/>
        <w:jc w:val="center"/>
        <w:rPr>
          <w:rFonts w:ascii="Times New Roman" w:hAnsi="Times New Roman"/>
          <w:sz w:val="24"/>
          <w:szCs w:val="24"/>
        </w:rPr>
      </w:pPr>
    </w:p>
    <w:p w14:paraId="76FD2277" w14:textId="77777777" w:rsidR="007907A6" w:rsidRPr="0012597A" w:rsidRDefault="007907A6"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68201D99" w14:textId="77777777" w:rsidR="007907A6" w:rsidRPr="0012597A" w:rsidRDefault="007907A6" w:rsidP="00EF1C7F">
      <w:pPr>
        <w:spacing w:after="0" w:line="240" w:lineRule="auto"/>
        <w:jc w:val="center"/>
        <w:rPr>
          <w:rFonts w:ascii="Times New Roman" w:hAnsi="Times New Roman"/>
          <w:sz w:val="24"/>
          <w:szCs w:val="24"/>
        </w:rPr>
      </w:pPr>
    </w:p>
    <w:p w14:paraId="3274FFAE" w14:textId="66EE5E0C"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PRESIDENTA DIP. MARTHA AZUCENA CAMACHO REYNOSO. Gracias diputado Isaías Peláez Soria.</w:t>
      </w:r>
    </w:p>
    <w:p w14:paraId="4D817886" w14:textId="77777777" w:rsidR="00791E2D" w:rsidRPr="0012597A" w:rsidRDefault="00791E2D" w:rsidP="00EF1C7F">
      <w:pPr>
        <w:spacing w:after="0" w:line="240" w:lineRule="auto"/>
        <w:jc w:val="both"/>
        <w:rPr>
          <w:rFonts w:ascii="Times New Roman" w:hAnsi="Times New Roman" w:cs="Times New Roman"/>
          <w:color w:val="FF0000"/>
          <w:sz w:val="24"/>
          <w:szCs w:val="24"/>
        </w:rPr>
      </w:pPr>
      <w:r w:rsidRPr="0012597A">
        <w:rPr>
          <w:rFonts w:ascii="Times New Roman" w:hAnsi="Times New Roman" w:cs="Times New Roman"/>
          <w:color w:val="FF0000"/>
          <w:sz w:val="24"/>
          <w:szCs w:val="24"/>
        </w:rPr>
        <w:tab/>
        <w:t>Se registra la iniciativa y se remite a la Comisión Legislativa de Educación, Cultura, Ciencia, Tecnología e Innovación, para su estudio y dictamen.</w:t>
      </w:r>
    </w:p>
    <w:p w14:paraId="7AF97D00"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color w:val="BF8F00" w:themeColor="accent4" w:themeShade="BF"/>
          <w:sz w:val="24"/>
          <w:szCs w:val="24"/>
        </w:rPr>
        <w:tab/>
      </w:r>
      <w:r w:rsidRPr="0012597A">
        <w:rPr>
          <w:rFonts w:ascii="Times New Roman" w:hAnsi="Times New Roman" w:cs="Times New Roman"/>
          <w:sz w:val="24"/>
          <w:szCs w:val="24"/>
        </w:rPr>
        <w:t xml:space="preserve">En términos del punto 15, la diputada Alejandra Figueroa Adame, presenta en nombre del Grupo Parlamentario del Partido Verde Ecologista de México, Iniciativa con Proyecto de Decreto </w:t>
      </w:r>
      <w:r w:rsidRPr="0012597A">
        <w:rPr>
          <w:rFonts w:ascii="Times New Roman" w:hAnsi="Times New Roman" w:cs="Times New Roman"/>
          <w:sz w:val="24"/>
          <w:szCs w:val="24"/>
        </w:rPr>
        <w:lastRenderedPageBreak/>
        <w:t>por el que se reforma el segundo párrafo de la fracción XV del artículo 3 de la Ley de Acceso de las Mujeres a una Vida Libre de Violencia del Estado de México, se adicionan las fracciones XXVII al artículo 4 de la fracción VII al artículo 118 de la Ley de Cultura Física y Deporte del Estado de México y se adiciona el Capítulo IV Ter y el artículo 280 Ter del Código Penal del Estado de México, en materia de violencia en el deporte.</w:t>
      </w:r>
    </w:p>
    <w:p w14:paraId="503D5E69"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ALEJANDRA FIGUEROA ADAME Con la venia Presidenta.</w:t>
      </w:r>
    </w:p>
    <w:p w14:paraId="5D5BD442"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Saludo con mucho gusto a mis compañeras y compañeros de la Mesa Directiva.</w:t>
      </w:r>
    </w:p>
    <w:p w14:paraId="26EADA5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Muy buenas tardes diputadas, diputade, diputados, envío un respetuoso saludo a los medios de comunicación que nos acompañan y a las y los mexiquenses que nos siguen en redes sociales y de manera virtual.</w:t>
      </w:r>
    </w:p>
    <w:p w14:paraId="1AC6365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“El deporte ha sido y continúa siendo un ejercicio de competición que excluye las acciones violentas que puedan lesionar a los competidores”, Norbert Elías.</w:t>
      </w:r>
    </w:p>
    <w:p w14:paraId="411E4938"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Como diputada mujer y deportista, tengo la convicción de que legislar no es solamente redactar normas; sino transformar realidades y hoy desde “La Casa del Pueblo” levanto la voz para poner en el centro de la discusión pública una problemática que ha permanecido invisibilizada e ignorada, la violencia contra las mujeres en el deporte, lo hago porque sé que cada cifra sobre esta violencia representa una historia cada estadística es una vida y cada silencio institucional ha significado en muchos casos, una carrera deportiva truncada.</w:t>
      </w:r>
    </w:p>
    <w:p w14:paraId="41EBBEFD"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La violencia contra las mujeres no es un fenómeno aislado, ni resiente, es una manifestación histórica de desigualdad estructural.</w:t>
      </w:r>
    </w:p>
    <w:p w14:paraId="0C0ABAFE"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La Organización de la Naciones Unidas define la violencia contra las mujeres como cualquier acto de violencia basado en el género que tenga como resultado un daño físico, sexual, o psicológico; incluyendo amenazas coacción o privación de la libertad, tanto en el ámbito público, como en el privado, esta definición representa el reconocimiento internacional de que la violencia contra las mujeres no es un asunto privado si no una violación a los Derechos Humanos.</w:t>
      </w:r>
    </w:p>
    <w:p w14:paraId="12B455E7"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Durante décadas, las mujeres han tenido que luchar para que esta violencia sea nombrada, reconocida y sancionada y aunque hemos avanzado; también es cierto que persisten espacios donde la violencia sigue normalizada, invisibilizada o incluso justificada como en los espacios deportivos, sé de primera mano que el deporte está relacionado con valores positivos, disciplina, esfuerzo, trabajo en equipo, superación personal y paz social y es cierto, el deporte tiene un enorme potencial transformador.</w:t>
      </w:r>
    </w:p>
    <w:p w14:paraId="2B50382A"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Sin embargo, es necesario decirlo, el deporte no está exentó de las dinámicas sociales que reproducen la desigualdad, la iniciativa que presento ante esta Soberanía, reconoce que el deporte es un espacio donde la violencia de genero no solo existe; sino que adopta formas particulares que hacen compleja su visibilidad. En el deporte la violencia puede manifestarse como discriminación, exclusión, hostigamiento, acoso sexual, abuso físico, violencia psicológica, violencia simbólica, violencia digital, nepotismo y violencia económica entre otras formas; pero lo más preocupante es que muchas de estas conductas se han normalizado desde el imaginario colectivo de que el deporte necesita disciplina estricta.</w:t>
      </w:r>
    </w:p>
    <w:p w14:paraId="3F877468"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Hoy sabemos que eso no es disciplina es violencia, las cifras son contundentes, estudios realizados en Europa, han documentado que la prevalencia del acoso sexual en el deporte oscila entre 14 y el 73 %, mientras que el abuso sexual se sitúa entre el 2 y 22%. Por su parte la UNESCO, señala que el 21% de las mujeres deportistas experimento abuso sexual en la infancia dentro del deporte, el 29% reporto miradas incomodas o sexualizadas; el 31.8% fue sometida a castigos físicos excesivos; el 10.6% fue golpeada con objetos y el 7.6 fue forzada o agredida físicamente hasta caer al suelo.</w:t>
      </w:r>
    </w:p>
    <w:p w14:paraId="4A8988C1"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En México las cosas no son diferentes y el 49% de mujeres víctimas de violencia ha tenido que abandonar su disciplina por esas razones, siempre nos dijeron que cuando una mujer abandona </w:t>
      </w:r>
      <w:r w:rsidRPr="0012597A">
        <w:rPr>
          <w:rFonts w:ascii="Times New Roman" w:hAnsi="Times New Roman" w:cs="Times New Roman"/>
          <w:sz w:val="24"/>
          <w:szCs w:val="24"/>
        </w:rPr>
        <w:lastRenderedPageBreak/>
        <w:t>el deporte, era falta de disciplina, de compromiso o falta de talento y hoy sabemos que no, muchas mujeres están abandonado sus disciplinas por violencia.</w:t>
      </w:r>
    </w:p>
    <w:p w14:paraId="19503F3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Ante un problema estructural necesitamos soluciones estructurales y esta iniciativa se inserta en ese principio. Primero propone incorporar la violencia en el deporte como una modalidad dentro de la Ley de Acceso de las Mujeres a una Vida Libre de Violencia, esto no es un detalle técnico, nombrarla violencia, es el primer paso para combatirla y, en segundo lugar, establece una definición clara sobre lo que debemos entender como violencia en el deporte y al mismo tiempo tipifica cuales son las conductas que son consideradas violentas.</w:t>
      </w:r>
    </w:p>
    <w:p w14:paraId="3694DD92"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Por último, se Reforma el Código Penal del Estado de México, en donde se establecen penas y multas para quien cometa este tipo de delito.</w:t>
      </w:r>
    </w:p>
    <w:p w14:paraId="0804E84F"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Diputadas, diputade, diputados, el deporte debería ser un espacio de libertad, no de miedo, de crecimiento, no de violencia, de oportunidades y no de exclusión; sin embargo, para muchas mujeres no lo es, para muchas de ellas, el deporte implica riesgos que no deberían existir, con esta iniciativa, buscamos enviar un mensaje firme.</w:t>
      </w:r>
    </w:p>
    <w:p w14:paraId="3F50D001"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el Estado de México, la violencia contra las mujeres, no será tolerada en ningún espacio, ni en la casa, ni en la calle, ni en el espacio político y hoy tampoco en el deporte.</w:t>
      </w:r>
    </w:p>
    <w:p w14:paraId="1A487DC6"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Muchas gracias Presidenta.</w:t>
      </w:r>
    </w:p>
    <w:p w14:paraId="3A5D680F" w14:textId="77777777" w:rsidR="0046672E" w:rsidRPr="0012597A" w:rsidRDefault="0046672E" w:rsidP="00EF1C7F">
      <w:pPr>
        <w:pStyle w:val="Sinespaciado"/>
        <w:jc w:val="both"/>
        <w:rPr>
          <w:rFonts w:ascii="Times New Roman" w:hAnsi="Times New Roman" w:cs="Times New Roman"/>
          <w:sz w:val="24"/>
          <w:szCs w:val="24"/>
        </w:rPr>
      </w:pPr>
    </w:p>
    <w:p w14:paraId="2C6DCC3C" w14:textId="77777777" w:rsidR="0046672E" w:rsidRPr="0012597A" w:rsidRDefault="0046672E"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0B40E9E6" w14:textId="77777777" w:rsidR="0046672E" w:rsidRPr="0012597A" w:rsidRDefault="0046672E" w:rsidP="00EF1C7F">
      <w:pPr>
        <w:spacing w:after="0" w:line="240" w:lineRule="auto"/>
        <w:jc w:val="center"/>
        <w:rPr>
          <w:rFonts w:ascii="Times New Roman" w:hAnsi="Times New Roman"/>
          <w:sz w:val="24"/>
          <w:szCs w:val="24"/>
        </w:rPr>
      </w:pPr>
    </w:p>
    <w:p w14:paraId="3ACE2EB8"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GRUPO PARLAMENTARIO DEL PARTIDO VERDE ECOLOGISTA DE MEXICO</w:t>
      </w:r>
    </w:p>
    <w:p w14:paraId="12E3100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2BEAA573"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“2026. Año del Humanismo Mexicano en el Estado de México”.</w:t>
      </w:r>
    </w:p>
    <w:p w14:paraId="63D9FC8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3CB89E88" w14:textId="77777777" w:rsidR="0046672E" w:rsidRPr="0012597A" w:rsidRDefault="0046672E" w:rsidP="00EF1C7F">
      <w:pPr>
        <w:widowControl w:val="0"/>
        <w:autoSpaceDE w:val="0"/>
        <w:autoSpaceDN w:val="0"/>
        <w:spacing w:after="0" w:line="240" w:lineRule="auto"/>
        <w:jc w:val="right"/>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Toluca de Lerdo, Estado de México, a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 2026.</w:t>
      </w:r>
    </w:p>
    <w:p w14:paraId="3D96815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1EBB4E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MARTHA AZUCENA CAMACHO REYNOSO</w:t>
      </w:r>
    </w:p>
    <w:p w14:paraId="5A86D4E8"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MESA DIRECTIVA</w:t>
      </w:r>
    </w:p>
    <w:p w14:paraId="01A2B8D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LXII LEGISLATURA DEL H. PODER LEGISLATIVO</w:t>
      </w:r>
    </w:p>
    <w:p w14:paraId="5A9949BF"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ESTADO LIBRE Y SOBERANO DE MÉXICO</w:t>
      </w:r>
    </w:p>
    <w:p w14:paraId="45AF0F1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67E2971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 R E S E N T E</w:t>
      </w:r>
    </w:p>
    <w:p w14:paraId="7ACBD80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Honorable Asamblea:</w:t>
      </w:r>
    </w:p>
    <w:p w14:paraId="792B49A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0CB46B4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Quienes suscriben </w:t>
      </w:r>
      <w:r w:rsidRPr="0012597A">
        <w:rPr>
          <w:rFonts w:ascii="Times New Roman" w:eastAsia="Arial MT" w:hAnsi="Times New Roman" w:cs="Times New Roman"/>
          <w:b/>
          <w:sz w:val="24"/>
          <w:szCs w:val="24"/>
        </w:rPr>
        <w:t>JOSÉ ALBERTO COUTTOLENC BUENTELLO</w:t>
      </w:r>
      <w:r w:rsidRPr="0012597A">
        <w:rPr>
          <w:rFonts w:ascii="Times New Roman" w:eastAsia="Arial MT" w:hAnsi="Times New Roman" w:cs="Times New Roman"/>
          <w:sz w:val="24"/>
          <w:szCs w:val="24"/>
        </w:rPr>
        <w:t xml:space="preserve">, </w:t>
      </w:r>
      <w:r w:rsidRPr="0012597A">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12597A">
        <w:rPr>
          <w:rFonts w:ascii="Times New Roman" w:eastAsia="Arial MT" w:hAnsi="Times New Roman" w:cs="Times New Roman"/>
          <w:sz w:val="24"/>
          <w:szCs w:val="24"/>
        </w:rPr>
        <w:t xml:space="preserve">diputadas y diputados integrantes del </w:t>
      </w:r>
      <w:r w:rsidRPr="0012597A">
        <w:rPr>
          <w:rFonts w:ascii="Times New Roman" w:eastAsia="Arial MT" w:hAnsi="Times New Roman" w:cs="Times New Roman"/>
          <w:b/>
          <w:sz w:val="24"/>
          <w:szCs w:val="24"/>
        </w:rPr>
        <w:t xml:space="preserve">GRUPO PARLAMENTARIO DEL PARTIDO VERDE ECOLOGISTA DE MÉXICO </w:t>
      </w:r>
      <w:r w:rsidRPr="0012597A">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12597A">
        <w:rPr>
          <w:rFonts w:ascii="Times New Roman" w:eastAsia="Arial MT" w:hAnsi="Times New Roman" w:cs="Times New Roman"/>
          <w:b/>
          <w:sz w:val="24"/>
          <w:szCs w:val="24"/>
        </w:rPr>
        <w:t xml:space="preserve">INICIATIVA CON PROYECTO DE DECRETO POR LA QUE SE REFORMA EL SEGUNDO PÁRRAFO DE LA FRACCIÓN XV DEL ARTÍCULO 3 DE LA LEY DE ACCESO DE LAS MUJERES A UNA VIDA LIBRE DE VIOLENCIA DEL ESTADO DE MÉXICO; SE ADICIONAN LAS FRACCIONES XXVII AL ARTÍCULO 4 Y LA VII AL ARTÍCULO 118 DE LA LEY DE CULTURA FÍSICA Y DEPORTE DEL </w:t>
      </w:r>
      <w:r w:rsidRPr="0012597A">
        <w:rPr>
          <w:rFonts w:ascii="Times New Roman" w:eastAsia="Arial MT" w:hAnsi="Times New Roman" w:cs="Times New Roman"/>
          <w:b/>
          <w:sz w:val="24"/>
          <w:szCs w:val="24"/>
        </w:rPr>
        <w:lastRenderedPageBreak/>
        <w:t xml:space="preserve">ESTADO DE MÉXICO Y SE ADICIONA EL CAPÍTULO IV TER Y EL ARTÍCULO 280 TER DEL CÓDIGO PENAL DEL ESTADO DE MÉXICO, EN MATERIA DE VIOLENCIA DE GÉNERO EN EL DEPORTE, </w:t>
      </w:r>
      <w:r w:rsidRPr="0012597A">
        <w:rPr>
          <w:rFonts w:ascii="Times New Roman" w:eastAsia="Arial MT" w:hAnsi="Times New Roman" w:cs="Times New Roman"/>
          <w:sz w:val="24"/>
          <w:szCs w:val="24"/>
        </w:rPr>
        <w:t>con sustento en la siguiente:</w:t>
      </w:r>
    </w:p>
    <w:p w14:paraId="00832DED"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3858F00" w14:textId="77777777" w:rsidR="0046672E" w:rsidRPr="0012597A" w:rsidRDefault="0046672E"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EXPOSICIÓN DE MOTIVOS</w:t>
      </w:r>
    </w:p>
    <w:p w14:paraId="75CBCBCA"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2655F30E"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Las Naciones Unidas definen a la violencia contra la mujer como “todo acto de violencia de género que resulte, o pueda tener como consecuencia, un daño físico, sexual o psicológico para la mujer, incluidas las amenazas de tales actos, la coacción o la privación arbitraria de la libertad, tanto si se producen en la vida pública como en la privada”.</w:t>
      </w:r>
      <w:r w:rsidRPr="0012597A">
        <w:rPr>
          <w:rFonts w:ascii="Times New Roman" w:eastAsia="Arial MT" w:hAnsi="Times New Roman" w:cs="Times New Roman"/>
          <w:color w:val="FF0000"/>
          <w:sz w:val="24"/>
          <w:szCs w:val="24"/>
          <w:vertAlign w:val="superscript"/>
        </w:rPr>
        <w:t>1</w:t>
      </w:r>
    </w:p>
    <w:p w14:paraId="4A5A1E8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E50FA19"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violencia contra las mujeres se ha enmarcado como una violación de derechos humanos; este reconocimiento ha implicado un importante cambio en el paradigma, ya que ahora se establece que las mujeres no están expuestas a la violencia por accidente; por el contrario, resulta de una discriminación estructural y arraigada a esquemas sociales establecidos y que, con el paso del tiempo, se ha luchado por visibilizar y eliminar.</w:t>
      </w:r>
    </w:p>
    <w:p w14:paraId="03979CFA"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A6DDB17"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Bajo esta tesitura, combatir la violencia de género es fundamental para hacer efectivos los derechos humanos de todas las mujeres y niñas. Si bien en ámbitos como el político y familiar, ha habido cambios significativos, hay otros como el deportivo, que presentan características únicas que acentúan los riesgos para que las niñas y mujeres sean víctimas de violencia de género, pero no ha mostrado los mismos avances.</w:t>
      </w:r>
    </w:p>
    <w:p w14:paraId="137AEB0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D96638C"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violencia de género se encuentra presente en los diversos ámbitos de la vida diaria; el deporte no es la excepción. En este rubro, la violencia se reproduce desde desigualdades, discriminación, exclusión, hostigamiento, limitación en el acceso igualitario a oportunidades, hasta acoso, abuso sexual, verbal o físico; así como la reproducción de estereotipos que limitan su participación plena y equitativa.</w:t>
      </w:r>
    </w:p>
    <w:p w14:paraId="3D75D81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CEEAE5C"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w:t>
      </w:r>
      <w:r w:rsidRPr="0012597A">
        <w:rPr>
          <w:rFonts w:ascii="Times New Roman" w:eastAsia="Arial MT" w:hAnsi="Times New Roman" w:cs="Times New Roman"/>
          <w:sz w:val="20"/>
          <w:szCs w:val="24"/>
        </w:rPr>
        <w:t xml:space="preserve"> Organización de las Naciones Unidas. </w:t>
      </w:r>
      <w:r w:rsidRPr="0012597A">
        <w:rPr>
          <w:rFonts w:ascii="Times New Roman" w:eastAsia="Arial MT" w:hAnsi="Times New Roman" w:cs="Times New Roman"/>
          <w:i/>
          <w:sz w:val="20"/>
          <w:szCs w:val="24"/>
        </w:rPr>
        <w:t>Declaración sobre la eliminación de la violencia contra la mujer</w:t>
      </w:r>
      <w:r w:rsidRPr="0012597A">
        <w:rPr>
          <w:rFonts w:ascii="Times New Roman" w:eastAsia="Arial MT" w:hAnsi="Times New Roman" w:cs="Times New Roman"/>
          <w:sz w:val="20"/>
          <w:szCs w:val="24"/>
        </w:rPr>
        <w:t xml:space="preserve">. Véase en: </w:t>
      </w:r>
      <w:r w:rsidRPr="0012597A">
        <w:rPr>
          <w:rFonts w:ascii="Times New Roman" w:eastAsia="Arial MT" w:hAnsi="Times New Roman" w:cs="Times New Roman"/>
          <w:sz w:val="20"/>
          <w:szCs w:val="24"/>
          <w:u w:val="single" w:color="0000FF"/>
        </w:rPr>
        <w:t>https://</w:t>
      </w:r>
      <w:hyperlink r:id="rId57">
        <w:r w:rsidRPr="0012597A">
          <w:rPr>
            <w:rFonts w:ascii="Times New Roman" w:eastAsia="Arial MT" w:hAnsi="Times New Roman" w:cs="Times New Roman"/>
            <w:sz w:val="20"/>
            <w:szCs w:val="24"/>
            <w:u w:val="single" w:color="0000FF"/>
          </w:rPr>
          <w:t>www.ohchr.org/es/instruments-mechanisms/instruments/declaration-elimination-violence-against-women</w:t>
        </w:r>
      </w:hyperlink>
    </w:p>
    <w:p w14:paraId="1BA3E361"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956BFB3"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Asimismo, la violencia en este ámbito menoscaba el derecho que tienen niñas y mujeres a la cultura física y a la práctica del deporte, atentando contra su integridad y dignidad física o psíquica al crear un ambiente hostil, degradante, ofensivo o molesto.</w:t>
      </w:r>
    </w:p>
    <w:p w14:paraId="1005307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3220F137"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Existen factores como el desequilibrio de poder, la promoción de prácticas abusivas, la normalización de estereotipos de género y la cultura machista que propician, generan y reproducen ambientes de violencia de género dentro del ámbito deportivo.</w:t>
      </w:r>
    </w:p>
    <w:p w14:paraId="34D2965C"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DDF16ED"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violencia de género en el deporte afecta de forma directa a las deportistas, pero también a las demás mujeres profesionales que desempeñan su labor en este ámbito, como entrenadoras, personal médico-deportivo o directivas, desde categorías escolares hasta atletas de élite o alta competición.</w:t>
      </w:r>
      <w:r w:rsidRPr="0012597A">
        <w:rPr>
          <w:rFonts w:ascii="Times New Roman" w:eastAsia="Arial MT" w:hAnsi="Times New Roman" w:cs="Times New Roman"/>
          <w:color w:val="FF0000"/>
          <w:sz w:val="24"/>
          <w:szCs w:val="24"/>
          <w:vertAlign w:val="superscript"/>
        </w:rPr>
        <w:t>2</w:t>
      </w:r>
    </w:p>
    <w:p w14:paraId="427F2ADC"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239C0C92"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mucho tiempo, la inclusión de las mujeres en el ámbito deportivo estuvo limitada; incluso en algunas áreas fueron totalmente excluidas. Muestra de ello es que, en la segunda edición de los Juegos Olímpicos de 1900 en París, Francia, de un total de 997 atletas, solo 22 mujeres compitieron en cinco deportes: tenis, vela, croquet, hípica y golf; es decir, solo el 2.2% del total de deportistas correspondió a mujeres.</w:t>
      </w:r>
      <w:r w:rsidRPr="0012597A">
        <w:rPr>
          <w:rFonts w:ascii="Times New Roman" w:eastAsia="Arial MT" w:hAnsi="Times New Roman" w:cs="Times New Roman"/>
          <w:color w:val="FF0000"/>
          <w:sz w:val="24"/>
          <w:szCs w:val="24"/>
          <w:vertAlign w:val="superscript"/>
        </w:rPr>
        <w:t>3</w:t>
      </w:r>
    </w:p>
    <w:p w14:paraId="349AFDEE"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390C527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Ciento cuatro años después, para los Juegos Olímpicos de Atenas en 2004, la participación femenina alcanzaba apenas el 40% del total de participantes; para los Juegos de Tokio 2020, la participación femenina ya representaba el 48.3%</w:t>
      </w:r>
      <w:r w:rsidRPr="0012597A">
        <w:rPr>
          <w:rFonts w:ascii="Times New Roman" w:eastAsia="Arial MT" w:hAnsi="Times New Roman" w:cs="Times New Roman"/>
          <w:color w:val="FF0000"/>
          <w:sz w:val="24"/>
          <w:szCs w:val="24"/>
          <w:vertAlign w:val="superscript"/>
        </w:rPr>
        <w:t>4</w:t>
      </w:r>
      <w:r w:rsidRPr="0012597A">
        <w:rPr>
          <w:rFonts w:ascii="Times New Roman" w:eastAsia="Arial MT" w:hAnsi="Times New Roman" w:cs="Times New Roman"/>
          <w:sz w:val="24"/>
          <w:szCs w:val="24"/>
        </w:rPr>
        <w:t>. Ahora bien, en cuanto a mujeres entrenadoras y modelos de referencia, el Comité Olímpico Internacional ha promovido WISH, un proyecto orientado a fortalecer el liderazgo y la formación de mujeres técnicas, ya que en los Juegos Olímpicos 2020 representaron 13%, y en los últimos 10 años solo ha crecido 3%, desde Vancouver 2010, cuando eran10%, lo cual da cuenta de la persistencia de brechas de género en posiciones de dirección y toma de decisiones.</w:t>
      </w:r>
      <w:r w:rsidRPr="0012597A">
        <w:rPr>
          <w:rFonts w:ascii="Times New Roman" w:eastAsia="Arial MT" w:hAnsi="Times New Roman" w:cs="Times New Roman"/>
          <w:color w:val="FF0000"/>
          <w:sz w:val="24"/>
          <w:szCs w:val="24"/>
          <w:vertAlign w:val="superscript"/>
        </w:rPr>
        <w:t>5</w:t>
      </w:r>
    </w:p>
    <w:p w14:paraId="28C4E2F2"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p>
    <w:p w14:paraId="2443227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w:t>
      </w:r>
      <w:r w:rsidRPr="0012597A">
        <w:rPr>
          <w:rFonts w:ascii="Times New Roman" w:eastAsia="Arial MT" w:hAnsi="Times New Roman" w:cs="Times New Roman"/>
          <w:sz w:val="20"/>
          <w:szCs w:val="24"/>
        </w:rPr>
        <w:t xml:space="preserve"> Fontecha Miranda, M. (2016). </w:t>
      </w:r>
      <w:r w:rsidRPr="0012597A">
        <w:rPr>
          <w:rFonts w:ascii="Times New Roman" w:eastAsia="Arial MT" w:hAnsi="Times New Roman" w:cs="Times New Roman"/>
          <w:i/>
          <w:sz w:val="20"/>
          <w:szCs w:val="24"/>
        </w:rPr>
        <w:t>El deporte se instala en las cavernas de la igualdad</w:t>
      </w:r>
      <w:r w:rsidRPr="0012597A">
        <w:rPr>
          <w:rFonts w:ascii="Times New Roman" w:eastAsia="Arial MT" w:hAnsi="Times New Roman" w:cs="Times New Roman"/>
          <w:sz w:val="20"/>
          <w:szCs w:val="24"/>
        </w:rPr>
        <w:t>. BENILDE EDICIONES.</w:t>
      </w:r>
    </w:p>
    <w:p w14:paraId="3E8E5D84"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3</w:t>
      </w:r>
      <w:r w:rsidRPr="0012597A">
        <w:rPr>
          <w:rFonts w:ascii="Times New Roman" w:eastAsia="Arial MT" w:hAnsi="Times New Roman" w:cs="Times New Roman"/>
          <w:sz w:val="20"/>
          <w:szCs w:val="24"/>
        </w:rPr>
        <w:t xml:space="preserve"> National Geographic. 1 de agosto de 2024. ¿Cuándo comenzaron a participar las mujeres en los Juegos Olimpicos?. Véase en: </w:t>
      </w:r>
      <w:r w:rsidRPr="0012597A">
        <w:rPr>
          <w:rFonts w:ascii="Times New Roman" w:eastAsia="Arial MT" w:hAnsi="Times New Roman" w:cs="Times New Roman"/>
          <w:sz w:val="20"/>
          <w:szCs w:val="24"/>
          <w:u w:val="single" w:color="0000FF"/>
        </w:rPr>
        <w:t>https://</w:t>
      </w:r>
      <w:hyperlink r:id="rId58">
        <w:r w:rsidRPr="0012597A">
          <w:rPr>
            <w:rFonts w:ascii="Times New Roman" w:eastAsia="Arial MT" w:hAnsi="Times New Roman" w:cs="Times New Roman"/>
            <w:sz w:val="20"/>
            <w:szCs w:val="24"/>
            <w:u w:val="single" w:color="0000FF"/>
          </w:rPr>
          <w:t>www.nationalgeographicla.com/historia/2024/08/cuando-comenzaron-a-participar-las-mujeres-en-los-juegos-olimpicos</w:t>
        </w:r>
      </w:hyperlink>
    </w:p>
    <w:p w14:paraId="76A65775"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4</w:t>
      </w:r>
      <w:r w:rsidRPr="0012597A">
        <w:rPr>
          <w:rFonts w:ascii="Times New Roman" w:eastAsia="Arial MT" w:hAnsi="Times New Roman" w:cs="Times New Roman"/>
          <w:sz w:val="20"/>
          <w:szCs w:val="24"/>
        </w:rPr>
        <w:t xml:space="preserve"> Galindo, Camila. 2023. </w:t>
      </w:r>
      <w:r w:rsidRPr="0012597A">
        <w:rPr>
          <w:rFonts w:ascii="Times New Roman" w:eastAsia="Arial MT" w:hAnsi="Times New Roman" w:cs="Times New Roman"/>
          <w:i/>
          <w:sz w:val="20"/>
          <w:szCs w:val="24"/>
        </w:rPr>
        <w:t xml:space="preserve">Análisis del ciclo menstrual desde el rendimiento en los diferentes procesos deportivos. </w:t>
      </w:r>
      <w:r w:rsidRPr="0012597A">
        <w:rPr>
          <w:rFonts w:ascii="Times New Roman" w:eastAsia="Arial MT" w:hAnsi="Times New Roman" w:cs="Times New Roman"/>
          <w:sz w:val="20"/>
          <w:szCs w:val="24"/>
        </w:rPr>
        <w:t xml:space="preserve">Revisión de literatura. Universidad de Ciencias Aplicadas y Ambientales. Véase en: </w:t>
      </w:r>
      <w:r w:rsidRPr="0012597A">
        <w:rPr>
          <w:rFonts w:ascii="Times New Roman" w:eastAsia="Arial MT" w:hAnsi="Times New Roman" w:cs="Times New Roman"/>
          <w:sz w:val="20"/>
          <w:szCs w:val="24"/>
          <w:u w:val="single" w:color="0000FF"/>
        </w:rPr>
        <w:t>https://repository.udca.edu.co/server/api/core/bitstreams/98467e96-</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c9da-4381-8b9a-b6bce4c40c0d/content</w:t>
      </w:r>
    </w:p>
    <w:p w14:paraId="667620C8"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CD48D78"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violencia de género en el deporte no solo es exclusión; comprende expresiones más graves como acoso o abuso sexual. En estos casos, las víctimas se sitúan en un estado de indefensión y temor al denunciar por miedo a ser separadas de su disciplina, su equipo o selección, o a sufrir represalias institucionales.</w:t>
      </w:r>
    </w:p>
    <w:p w14:paraId="6144154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BF01E3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la fecha, poco se habla de la violencia contra la mujer en el deporte, de aquellas que han tenido que abandonar su disciplina o bien, seguir, pero con el miedo de volver a pasar por algún acto violento. Hablar de esta violencia es complejo, ya que no debe limitarse únicamente a las competencias o eventos deportivos, también es algo que sucede al interior de las instituciones, de las ligas deportivas o durante los entrenamientos, en contextos atravesados por relaciones jerárquicas y asimetrías de poder.</w:t>
      </w:r>
    </w:p>
    <w:p w14:paraId="15C4791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2D65BE39"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prevalencia del acoso sexual a deportistas ha sido una constante a través de los años y se sitúa entre un 14% y un 73%; asimismo, la prevalencia del abuso sexual se encuentra entre un 2% y un 22%. Estas estimaciones derivan de estudios realizados entre 1997 y 2012 en Bélgica, República Checa, Dinamarca, Francia, Alemania, Grecia, Países Bajos, Noruega, Turquía y Reino Unido. También se demostró que hay mayor índice de acoso y abuso sexual en deportes tradicionalmente masculinos, lo cual sugiere un vínculo con prácticas de socialización, normativas informales y culturas organizacionales marcadas por la desigualdad.</w:t>
      </w:r>
      <w:r w:rsidRPr="0012597A">
        <w:rPr>
          <w:rFonts w:ascii="Times New Roman" w:eastAsia="Arial MT" w:hAnsi="Times New Roman" w:cs="Times New Roman"/>
          <w:color w:val="FF0000"/>
          <w:sz w:val="24"/>
          <w:szCs w:val="24"/>
          <w:vertAlign w:val="superscript"/>
        </w:rPr>
        <w:t>6</w:t>
      </w:r>
    </w:p>
    <w:p w14:paraId="333F4EE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EC29E41"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Organización de las Naciones Unidas para la Educación, la Ciencia y la Cultura, a través de un documento llamado “Combatiendo la violencia contra las mujeres y las niñas en el deporte. “Un manual para quienes formulan políticas públicas del deporte” presentó cifras alarmantes. En este manual se expresa que, de acuerdo con la Asociación Mundial de Jugadores, Censo 2021 de Experiencias de Derechos de los Deportistas (CARE), 21% de las mujeres encuestadas experimentaron una forma de abuso sexual en el deporte al menos una vez cuando eran niñas, 29% dijo que se les había mirado de una forma que las hacía sentir incómodas y 31.8% expresaron que fueron castigadas con entrenamiento excesivo o ejercicio excesivo; de estas, el 10.6% fue golpeada con un objeto, 7.6</w:t>
      </w:r>
      <w:r w:rsidRPr="0012597A">
        <w:rPr>
          <w:rFonts w:ascii="Times New Roman" w:eastAsia="Arial MT" w:hAnsi="Times New Roman" w:cs="Times New Roman"/>
          <w:sz w:val="24"/>
          <w:szCs w:val="24"/>
          <w:u w:val="single" w:color="5C2E91"/>
        </w:rPr>
        <w:t>%</w:t>
      </w:r>
      <w:r w:rsidRPr="0012597A">
        <w:rPr>
          <w:rFonts w:ascii="Times New Roman" w:eastAsia="Arial MT" w:hAnsi="Times New Roman" w:cs="Times New Roman"/>
          <w:sz w:val="24"/>
          <w:szCs w:val="24"/>
        </w:rPr>
        <w:t xml:space="preserve"> fue forzada o agredida hasta caer al suelo, lo que describe patrones de control, coerción y violencia física en entornos que deberían ser formativos y protectores.</w:t>
      </w:r>
      <w:r w:rsidRPr="0012597A">
        <w:rPr>
          <w:rFonts w:ascii="Times New Roman" w:eastAsia="Arial MT" w:hAnsi="Times New Roman" w:cs="Times New Roman"/>
          <w:color w:val="FF0000"/>
          <w:sz w:val="24"/>
          <w:szCs w:val="24"/>
          <w:vertAlign w:val="superscript"/>
        </w:rPr>
        <w:t>7</w:t>
      </w:r>
    </w:p>
    <w:p w14:paraId="2B3DEF25"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p>
    <w:p w14:paraId="020C1585"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5</w:t>
      </w:r>
      <w:r w:rsidRPr="0012597A">
        <w:rPr>
          <w:rFonts w:ascii="Times New Roman" w:eastAsia="Arial MT" w:hAnsi="Times New Roman" w:cs="Times New Roman"/>
          <w:sz w:val="18"/>
          <w:szCs w:val="24"/>
        </w:rPr>
        <w:t xml:space="preserve"> Giovio, Eleonora. 5 de marzo de 2023. Sin entrenadoras no hay paridad: cómo un programa trabaja para paliar la brecha de género. </w:t>
      </w:r>
      <w:r w:rsidRPr="0012597A">
        <w:rPr>
          <w:rFonts w:ascii="Times New Roman" w:eastAsia="Arial MT" w:hAnsi="Times New Roman" w:cs="Times New Roman"/>
          <w:sz w:val="18"/>
          <w:szCs w:val="24"/>
        </w:rPr>
        <w:lastRenderedPageBreak/>
        <w:t xml:space="preserve">EL PAIS. Véase en: </w:t>
      </w:r>
      <w:r w:rsidRPr="0012597A">
        <w:rPr>
          <w:rFonts w:ascii="Times New Roman" w:eastAsia="Arial MT" w:hAnsi="Times New Roman" w:cs="Times New Roman"/>
          <w:sz w:val="18"/>
          <w:szCs w:val="24"/>
          <w:u w:val="single" w:color="0000FF"/>
        </w:rPr>
        <w:t>https://elpais.com/deportes/2023-03-06/sin-entrenadoras-no-hay-paridad-como-un-programa-trabaja-para-</w:t>
      </w:r>
      <w:r w:rsidRPr="0012597A">
        <w:rPr>
          <w:rFonts w:ascii="Times New Roman" w:eastAsia="Arial MT" w:hAnsi="Times New Roman" w:cs="Times New Roman"/>
          <w:sz w:val="18"/>
          <w:szCs w:val="24"/>
        </w:rPr>
        <w:t xml:space="preserve"> </w:t>
      </w:r>
      <w:r w:rsidRPr="0012597A">
        <w:rPr>
          <w:rFonts w:ascii="Times New Roman" w:eastAsia="Arial MT" w:hAnsi="Times New Roman" w:cs="Times New Roman"/>
          <w:sz w:val="18"/>
          <w:szCs w:val="24"/>
          <w:u w:val="single" w:color="0000FF"/>
        </w:rPr>
        <w:t>paliar-la-brecha-de-genero.htm</w:t>
      </w:r>
      <w:r w:rsidRPr="0012597A">
        <w:rPr>
          <w:rFonts w:ascii="Times New Roman" w:eastAsia="Arial MT" w:hAnsi="Times New Roman" w:cs="Times New Roman"/>
          <w:sz w:val="18"/>
          <w:szCs w:val="24"/>
        </w:rPr>
        <w:t>l</w:t>
      </w:r>
    </w:p>
    <w:p w14:paraId="24A22FD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6</w:t>
      </w:r>
      <w:r w:rsidRPr="0012597A">
        <w:rPr>
          <w:rFonts w:ascii="Times New Roman" w:eastAsia="Arial MT" w:hAnsi="Times New Roman" w:cs="Times New Roman"/>
          <w:sz w:val="18"/>
          <w:szCs w:val="24"/>
        </w:rPr>
        <w:t xml:space="preserve"> Fasting, K. (20-21 noviembre de 2012). What do we know about sexual harassment and abuse in sport in Europe. [Ponencia]. Congreso Europeo Safer, better, stronger! Prevention of Sexual Harassment and Abuse in Sport. Berlín. Véase en: https://</w:t>
      </w:r>
      <w:hyperlink r:id="rId59">
        <w:r w:rsidRPr="0012597A">
          <w:rPr>
            <w:rFonts w:ascii="Times New Roman" w:eastAsia="Arial MT" w:hAnsi="Times New Roman" w:cs="Times New Roman"/>
            <w:sz w:val="18"/>
            <w:szCs w:val="24"/>
          </w:rPr>
          <w:t>www.emakunde.euskadi.eus/contenidos/informacion/publicaciones_guias2/es_emakunde/</w:t>
        </w:r>
      </w:hyperlink>
      <w:r w:rsidRPr="0012597A">
        <w:rPr>
          <w:rFonts w:ascii="Times New Roman" w:eastAsia="Arial MT" w:hAnsi="Times New Roman" w:cs="Times New Roman"/>
          <w:sz w:val="18"/>
          <w:szCs w:val="24"/>
        </w:rPr>
        <w:t xml:space="preserve"> adjuntos/29.guia.deporte.pdf</w:t>
      </w:r>
    </w:p>
    <w:p w14:paraId="7D11F82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35694DED"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caso de México, en 2019 el Instituto Nacional de las Mujeres indicó que en el ámbito deportivo de alto rendimiento se denunciaron casi 30 mil casos susceptibles de constituir delitos sexuales. En 2016, Tamara Vega, una atleta de alto rendimiento, indicó que, en los deportes acuáticos, gimnasia, clavados, artes marciales, etc., se ha normalizado el acoso sexual por parte de entrenadores; incluso ha habido casos de pederastia hacia las más jóvenes, adolescentes de 12 años o menos, lo que refuerza la necesidad de mecanismos de prevención, denuncia y sanción con perspectiva de niñez y adolescencia.</w:t>
      </w:r>
      <w:r w:rsidRPr="0012597A">
        <w:rPr>
          <w:rFonts w:ascii="Times New Roman" w:eastAsia="Arial MT" w:hAnsi="Times New Roman" w:cs="Times New Roman"/>
          <w:color w:val="FF0000"/>
          <w:sz w:val="24"/>
          <w:szCs w:val="24"/>
          <w:vertAlign w:val="superscript"/>
        </w:rPr>
        <w:t>8</w:t>
      </w:r>
    </w:p>
    <w:p w14:paraId="23DF56A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A0B876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cuanto a quienes ejercen la violencia, un estudio elaborado por el Programa de las Naciones Unidas para el Desarrollo (PNUD), en México, advirtió que los principales perpetradores de violencias contra la mujer en el ámbito deportivo son el 78% de la afición, 45% de los directivos, 45% de los jugadores hombres, lo cual evidencia la naturaleza multifactorial del problema y su reproducción en distintos niveles del ecosistema deportivo.</w:t>
      </w:r>
      <w:r w:rsidRPr="0012597A">
        <w:rPr>
          <w:rFonts w:ascii="Times New Roman" w:eastAsia="Arial MT" w:hAnsi="Times New Roman" w:cs="Times New Roman"/>
          <w:color w:val="FF0000"/>
          <w:sz w:val="24"/>
          <w:szCs w:val="24"/>
          <w:vertAlign w:val="superscript"/>
        </w:rPr>
        <w:t>9</w:t>
      </w:r>
    </w:p>
    <w:p w14:paraId="375557C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0142D7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7</w:t>
      </w:r>
      <w:r w:rsidRPr="0012597A">
        <w:rPr>
          <w:rFonts w:ascii="Times New Roman" w:eastAsia="Arial MT" w:hAnsi="Times New Roman" w:cs="Times New Roman"/>
          <w:sz w:val="20"/>
          <w:szCs w:val="24"/>
        </w:rPr>
        <w:t xml:space="preserve"> Organización de las Naciones Unidas para la Educación, la Ciencias y la Cultura. 2023. Combatiendo la violencia contra las mujeres y las niñas en el deporte. Un manual para quienes formulan políticas y profesionales del deporte. ONU MUJERES. Véase en: </w:t>
      </w:r>
      <w:r w:rsidRPr="0012597A">
        <w:rPr>
          <w:rFonts w:ascii="Times New Roman" w:eastAsia="Arial MT" w:hAnsi="Times New Roman" w:cs="Times New Roman"/>
          <w:sz w:val="20"/>
          <w:szCs w:val="24"/>
          <w:u w:val="single" w:color="0000FF"/>
        </w:rPr>
        <w:t>https://unesdoc.unesco.org/ark:/48223/pf0000389812/PDF/389812spa.pdf.mult</w:t>
      </w:r>
      <w:r w:rsidRPr="0012597A">
        <w:rPr>
          <w:rFonts w:ascii="Times New Roman" w:eastAsia="Arial MT" w:hAnsi="Times New Roman" w:cs="Times New Roman"/>
          <w:sz w:val="20"/>
          <w:szCs w:val="24"/>
        </w:rPr>
        <w:t>i</w:t>
      </w:r>
    </w:p>
    <w:p w14:paraId="01217B2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8</w:t>
      </w:r>
      <w:r w:rsidRPr="0012597A">
        <w:rPr>
          <w:rFonts w:ascii="Times New Roman" w:eastAsia="Arial MT" w:hAnsi="Times New Roman" w:cs="Times New Roman"/>
          <w:sz w:val="18"/>
          <w:szCs w:val="24"/>
        </w:rPr>
        <w:t xml:space="preserve"> Flores, Omar. 11 de diciembre de 2023. El tabú del deporte mexicano: entrenadores acosando a atletas. ESPN. Véase en: </w:t>
      </w:r>
      <w:r w:rsidRPr="0012597A">
        <w:rPr>
          <w:rFonts w:ascii="Times New Roman" w:eastAsia="Arial MT" w:hAnsi="Times New Roman" w:cs="Times New Roman"/>
          <w:sz w:val="18"/>
          <w:szCs w:val="24"/>
          <w:u w:val="single" w:color="0000FF"/>
        </w:rPr>
        <w:t>https://</w:t>
      </w:r>
      <w:hyperlink r:id="rId60">
        <w:r w:rsidRPr="0012597A">
          <w:rPr>
            <w:rFonts w:ascii="Times New Roman" w:eastAsia="Arial MT" w:hAnsi="Times New Roman" w:cs="Times New Roman"/>
            <w:sz w:val="18"/>
            <w:szCs w:val="24"/>
            <w:u w:val="single" w:color="0000FF"/>
          </w:rPr>
          <w:t>www.espn.com.mx/olimpicos/nota/_/id/12923028/alejandra-zavala-deportistas-mexicanas-acoso-abuso-entrenadores</w:t>
        </w:r>
      </w:hyperlink>
    </w:p>
    <w:p w14:paraId="7C7EA59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Páez, Alejandro. 17 de julio de 2025. El rostro oculto del futbol femenil: violencia de género, acoso, sexualización y discriminación: ONU. LA CRONICA. Véase en: </w:t>
      </w:r>
      <w:r w:rsidRPr="0012597A">
        <w:rPr>
          <w:rFonts w:ascii="Times New Roman" w:eastAsia="Arial MT" w:hAnsi="Times New Roman" w:cs="Times New Roman"/>
          <w:sz w:val="20"/>
          <w:szCs w:val="24"/>
          <w:u w:val="single" w:color="0000FF"/>
        </w:rPr>
        <w:t>https://</w:t>
      </w:r>
      <w:hyperlink r:id="rId61">
        <w:r w:rsidRPr="0012597A">
          <w:rPr>
            <w:rFonts w:ascii="Times New Roman" w:eastAsia="Arial MT" w:hAnsi="Times New Roman" w:cs="Times New Roman"/>
            <w:sz w:val="20"/>
            <w:szCs w:val="24"/>
            <w:u w:val="single" w:color="0000FF"/>
          </w:rPr>
          <w:t>www.cronica.com.mx/nacional/2025/07/17/el-rostro-oculto-del-futbol-femenil-violencia-de-</w:t>
        </w:r>
      </w:hyperlink>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genero-acoso-sexualizaciony-discriminacion-onu/</w:t>
      </w:r>
    </w:p>
    <w:p w14:paraId="21A2851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2D7B703"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Sumado a lo anterior, también se muestra que la discriminación por razones de género se presenta en un 54% en trato desigual, exclusiones y obstáculos para el desarrollo profesional; y la violencia y acoso sexual en un 41%, que abarca comentarios de naturaleza sexual, avances no deseados y tocamientos no consensuados, configurando un continuo de violencias que limita el ejercicio pleno de derechos.</w:t>
      </w:r>
      <w:r w:rsidRPr="0012597A">
        <w:rPr>
          <w:rFonts w:ascii="Times New Roman" w:eastAsia="Arial MT" w:hAnsi="Times New Roman" w:cs="Times New Roman"/>
          <w:color w:val="FF0000"/>
          <w:sz w:val="24"/>
          <w:szCs w:val="24"/>
          <w:vertAlign w:val="superscript"/>
        </w:rPr>
        <w:t>10</w:t>
      </w:r>
    </w:p>
    <w:p w14:paraId="5894E62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34D332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Una encuesta realizada por ESPN a deportistas mexicanas participantes en Juegos Olímpicos, Paralímpicos o la Liga MX Femenil arrojó que 66% de las atletas ha experimentado violencia física o verbal dentro de su entorno deportivo. Estas agresiones provienen de entrenadores, compañeros, directivos, lo que sugiere la existencia de dinámicas normalizadas de agresión y disciplinamiento.</w:t>
      </w:r>
      <w:r w:rsidRPr="0012597A">
        <w:rPr>
          <w:rFonts w:ascii="Times New Roman" w:eastAsia="Arial MT" w:hAnsi="Times New Roman" w:cs="Times New Roman"/>
          <w:color w:val="FF0000"/>
          <w:sz w:val="24"/>
          <w:szCs w:val="24"/>
          <w:vertAlign w:val="superscript"/>
        </w:rPr>
        <w:t>11</w:t>
      </w:r>
    </w:p>
    <w:p w14:paraId="23B0AE6C"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C2028BF"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Dicha encuesta también reveló que 7 de cada 10 deportistas mujeres han sido víctimas de violencia física o verbal, 64% de ellas han sido testigos de acoso y 4 de cada 10, lo han experimentado en persona. También, el 21% declararon haber sufrido al menos una forma de abuso sexual durante su infancia en el deporte y el 49% tuvieron que abandonar su disciplina. Se estima que en México el 54% de las deportistas no saben a quién acudir si son víctimas de violencia o acoso mientras desarrollan su disciplina, mientras que el 81% no conoce el protocolo de atención en sus diferentes ligas o equipos, lo que revela déficits institucionales en materia de información, acompañamiento y debida diligencia.</w:t>
      </w:r>
      <w:r w:rsidRPr="0012597A">
        <w:rPr>
          <w:rFonts w:ascii="Times New Roman" w:eastAsia="Arial MT" w:hAnsi="Times New Roman" w:cs="Times New Roman"/>
          <w:color w:val="FF0000"/>
          <w:sz w:val="24"/>
          <w:szCs w:val="24"/>
          <w:vertAlign w:val="superscript"/>
        </w:rPr>
        <w:t>12</w:t>
      </w:r>
    </w:p>
    <w:p w14:paraId="08C7F41E"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9ECD65F"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Lamentablemente, en el Estado de México la violencia de género en el deporte aún prevalece, nuestra entidad se encuentra en el número 26 de las 32 entidades federativas que favorecen la </w:t>
      </w:r>
      <w:r w:rsidRPr="0012597A">
        <w:rPr>
          <w:rFonts w:ascii="Times New Roman" w:eastAsia="Arial MT" w:hAnsi="Times New Roman" w:cs="Times New Roman"/>
          <w:sz w:val="24"/>
          <w:szCs w:val="24"/>
        </w:rPr>
        <w:lastRenderedPageBreak/>
        <w:t>práctica del deporte.</w:t>
      </w:r>
    </w:p>
    <w:p w14:paraId="0DE8F28D"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3CADBE6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También existen casos de deportistas mexiquenses que han pasado por alguna situación de violencia. En 2024, dos alumnas de la Universidad Autónoma del Estado de México (</w:t>
      </w:r>
      <w:proofErr w:type="spellStart"/>
      <w:r w:rsidRPr="0012597A">
        <w:rPr>
          <w:rFonts w:ascii="Times New Roman" w:eastAsia="Arial MT" w:hAnsi="Times New Roman" w:cs="Times New Roman"/>
          <w:sz w:val="24"/>
          <w:szCs w:val="24"/>
        </w:rPr>
        <w:t>UAEMéx</w:t>
      </w:r>
      <w:proofErr w:type="spellEnd"/>
      <w:r w:rsidRPr="0012597A">
        <w:rPr>
          <w:rFonts w:ascii="Times New Roman" w:eastAsia="Arial MT" w:hAnsi="Times New Roman" w:cs="Times New Roman"/>
          <w:sz w:val="24"/>
          <w:szCs w:val="24"/>
        </w:rPr>
        <w:t>) denunciaron penalmente a su entrenador del equipo de lucha olímpica, ya que durante seis y dos años fueron víctimas de violencia psicológica, emocional, física y sexual dentro de su participación en “Potros”, el equipo deportivo que representa a esta institución educativa. También hay al menos otras cuatro luchadoras que fueron acosadas por este mismo entrenador.</w:t>
      </w:r>
      <w:r w:rsidRPr="0012597A">
        <w:rPr>
          <w:rFonts w:ascii="Times New Roman" w:eastAsia="Arial MT" w:hAnsi="Times New Roman" w:cs="Times New Roman"/>
          <w:color w:val="FF0000"/>
          <w:sz w:val="24"/>
          <w:szCs w:val="24"/>
          <w:vertAlign w:val="superscript"/>
        </w:rPr>
        <w:t>13</w:t>
      </w:r>
    </w:p>
    <w:p w14:paraId="706E2B3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D7CC6D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10</w:t>
      </w:r>
      <w:r w:rsidRPr="0012597A">
        <w:rPr>
          <w:rFonts w:ascii="Times New Roman" w:eastAsia="Arial MT" w:hAnsi="Times New Roman" w:cs="Times New Roman"/>
          <w:sz w:val="20"/>
          <w:szCs w:val="24"/>
        </w:rPr>
        <w:t xml:space="preserve"> Ibidem.</w:t>
      </w:r>
    </w:p>
    <w:p w14:paraId="46E58C5C"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11</w:t>
      </w:r>
      <w:r w:rsidRPr="0012597A">
        <w:rPr>
          <w:rFonts w:ascii="Times New Roman" w:eastAsia="Arial MT" w:hAnsi="Times New Roman" w:cs="Times New Roman"/>
          <w:color w:val="FF0000"/>
          <w:sz w:val="20"/>
          <w:szCs w:val="24"/>
        </w:rPr>
        <w:t xml:space="preserve"> </w:t>
      </w:r>
      <w:r w:rsidRPr="0012597A">
        <w:rPr>
          <w:rFonts w:ascii="Times New Roman" w:eastAsia="Arial MT" w:hAnsi="Times New Roman" w:cs="Times New Roman"/>
          <w:sz w:val="20"/>
          <w:szCs w:val="24"/>
        </w:rPr>
        <w:t>Ibidem.</w:t>
      </w:r>
    </w:p>
    <w:p w14:paraId="6F46863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12</w:t>
      </w:r>
      <w:r w:rsidRPr="0012597A">
        <w:rPr>
          <w:rFonts w:ascii="Times New Roman" w:eastAsia="Arial MT" w:hAnsi="Times New Roman" w:cs="Times New Roman"/>
          <w:sz w:val="20"/>
          <w:szCs w:val="24"/>
        </w:rPr>
        <w:t xml:space="preserve"> ESPN. 10 de marzo de 2025. Mujeres deportistas en México, expuestas a escenarios de violencia. Véase en: </w:t>
      </w:r>
      <w:r w:rsidRPr="0012597A">
        <w:rPr>
          <w:rFonts w:ascii="Times New Roman" w:eastAsia="Arial MT" w:hAnsi="Times New Roman" w:cs="Times New Roman"/>
          <w:sz w:val="20"/>
          <w:szCs w:val="24"/>
          <w:u w:val="single" w:color="0000FF"/>
        </w:rPr>
        <w:t>https://</w:t>
      </w:r>
      <w:hyperlink r:id="rId62">
        <w:r w:rsidRPr="0012597A">
          <w:rPr>
            <w:rFonts w:ascii="Times New Roman" w:eastAsia="Arial MT" w:hAnsi="Times New Roman" w:cs="Times New Roman"/>
            <w:sz w:val="20"/>
            <w:szCs w:val="24"/>
            <w:u w:val="single" w:color="0000FF"/>
          </w:rPr>
          <w:t>www.espn.com.mx/futbol/mexico/nota/_/id/14890771/dia-internacional-de-la-mujer-violencia-deporte-mexico-8-marzo</w:t>
        </w:r>
      </w:hyperlink>
    </w:p>
    <w:p w14:paraId="7F9852F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1B46764"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Otro caso de abuso en el ámbito deportivo fue el ocurrido en un gimnasio del Estado de México: un entrenador confesó que abusó sexualmente de una clienta en 2023, pero también, en abril de 2025, un entrenador en el municipio de Cuautitlán fue denunciado por acoso sexual.</w:t>
      </w:r>
    </w:p>
    <w:p w14:paraId="50EF12B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EADB079"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violencia, el acoso, el hostigamiento sexual, la violación y la pederastia están presentes en el ámbito deportivo; sin embargo, pocos casos han salido a la luz pública, aunque hoy en día, con el uso de redes sociales, hay una tendencia de denuncia y exposición de los perpetradores. Pocas son las víctimas que acuden a instancias legales por temor, miedo, culpa y amenazas de directivos o entrenadores, además de la revictimización y la desconfianza institucional, por el abuso de autoridad que se ejerce sobre ellas.</w:t>
      </w:r>
      <w:r w:rsidRPr="0012597A">
        <w:rPr>
          <w:rFonts w:ascii="Times New Roman" w:eastAsia="Arial MT" w:hAnsi="Times New Roman" w:cs="Times New Roman"/>
          <w:color w:val="FF0000"/>
          <w:sz w:val="24"/>
          <w:szCs w:val="24"/>
          <w:vertAlign w:val="superscript"/>
        </w:rPr>
        <w:t>14</w:t>
      </w:r>
    </w:p>
    <w:p w14:paraId="6858026C"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361DBCE"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adición a las manifestaciones de violencia previamente descritas, resulta imprescindible visibilizar que el futbol, como deporte de mayor impacto social, mediático y económico, constituye uno de los espacios donde la violencia se reproduce con mayor intensidad, tanto en el ámbito profesional como amateur, así como en el espectáculo deportivo.</w:t>
      </w:r>
    </w:p>
    <w:p w14:paraId="2C3A16E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B8D3DB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Dicha violencia no se limita a enfrentamientos entre jugadores, sino que se extiende a las gradas, inmediaciones de los estadios, espacios digitales y entornos institucionales, afectando de manera diferenciada a mujeres aficionadas, periodistas, árbitras, directivas y jugadoras, quienes enfrentan agresiones físicas, verbales, simbólicas y sexuales.</w:t>
      </w:r>
    </w:p>
    <w:p w14:paraId="048545E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7D6D5F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13</w:t>
      </w:r>
      <w:r w:rsidRPr="0012597A">
        <w:rPr>
          <w:rFonts w:ascii="Times New Roman" w:eastAsia="Arial MT" w:hAnsi="Times New Roman" w:cs="Times New Roman"/>
          <w:sz w:val="20"/>
          <w:szCs w:val="24"/>
        </w:rPr>
        <w:t xml:space="preserve"> LATINUS. 5 de diciembre de 2024. Alumnas de la Universidad Autónoma del Estado de México denuncian por acoso sexual a entrenador de lucha olímpica. LATINUS. Véase en: </w:t>
      </w:r>
      <w:r w:rsidRPr="0012597A">
        <w:rPr>
          <w:rFonts w:ascii="Times New Roman" w:eastAsia="Arial MT" w:hAnsi="Times New Roman" w:cs="Times New Roman"/>
          <w:sz w:val="20"/>
          <w:szCs w:val="24"/>
          <w:u w:val="single" w:color="0000FF"/>
        </w:rPr>
        <w:t>https://latinus.us/deportes/otros-deportes/2024/12/5/acoso-sexual-lucha-</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olimpica-uaemex-entrenador-129943.htm</w:t>
      </w:r>
      <w:r w:rsidRPr="0012597A">
        <w:rPr>
          <w:rFonts w:ascii="Times New Roman" w:eastAsia="Arial MT" w:hAnsi="Times New Roman" w:cs="Times New Roman"/>
          <w:sz w:val="20"/>
          <w:szCs w:val="24"/>
        </w:rPr>
        <w:t>l</w:t>
      </w:r>
    </w:p>
    <w:p w14:paraId="57DBC0B8"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14</w:t>
      </w:r>
      <w:r w:rsidRPr="0012597A">
        <w:rPr>
          <w:rFonts w:ascii="Times New Roman" w:eastAsia="Arial MT" w:hAnsi="Times New Roman" w:cs="Times New Roman"/>
          <w:sz w:val="20"/>
          <w:szCs w:val="24"/>
        </w:rPr>
        <w:t xml:space="preserve"> Villanueva, Rosalía A. 9 de marzo de 2020. Poco visibles los casos de abusos y pederastia en el deporte mexicano. La Jornada. Véase en: </w:t>
      </w:r>
      <w:r w:rsidRPr="0012597A">
        <w:rPr>
          <w:rFonts w:ascii="Times New Roman" w:eastAsia="Arial MT" w:hAnsi="Times New Roman" w:cs="Times New Roman"/>
          <w:sz w:val="20"/>
          <w:szCs w:val="24"/>
          <w:u w:val="single" w:color="0000FF"/>
        </w:rPr>
        <w:t>https://</w:t>
      </w:r>
      <w:hyperlink r:id="rId63">
        <w:r w:rsidRPr="0012597A">
          <w:rPr>
            <w:rFonts w:ascii="Times New Roman" w:eastAsia="Arial MT" w:hAnsi="Times New Roman" w:cs="Times New Roman"/>
            <w:sz w:val="20"/>
            <w:szCs w:val="24"/>
            <w:u w:val="single" w:color="0000FF"/>
          </w:rPr>
          <w:t>www.jornada.com.mx/2020/03/09/deportes/a02n1dep</w:t>
        </w:r>
      </w:hyperlink>
    </w:p>
    <w:p w14:paraId="247D381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2DCF39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Asimismo, la violencia en el futbol mexicano se manifiesta de manera cotidiana mediante agresiones verbales, acoso contra mujeres en gradas, hostigamiento digital contra jugadoras de la Liga MX Femenil, así como ataques y descalificaciones hacia periodistas deportivas. Esto configura un entorno de violencia simbólica y de género que inhibe la participación plena de las mujeres en el ámbito futbolístico, y reproduce desigualdades persistentes.</w:t>
      </w:r>
    </w:p>
    <w:p w14:paraId="2179B4A9"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51471E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Este fenómeno se inserta dentro de una problemática más amplia: la violencia contra las mujeres en el deporte. El sindicato mundial de futbolistas (FIFPRO) ha documentado que una de cada cinco </w:t>
      </w:r>
      <w:r w:rsidRPr="0012597A">
        <w:rPr>
          <w:rFonts w:ascii="Times New Roman" w:eastAsia="Arial MT" w:hAnsi="Times New Roman" w:cs="Times New Roman"/>
          <w:sz w:val="24"/>
          <w:szCs w:val="24"/>
        </w:rPr>
        <w:lastRenderedPageBreak/>
        <w:t>futbolistas profesionales, o el 20%</w:t>
      </w:r>
      <w:r w:rsidRPr="0012597A">
        <w:rPr>
          <w:rFonts w:ascii="Times New Roman" w:eastAsia="Arial MT" w:hAnsi="Times New Roman" w:cs="Times New Roman"/>
          <w:color w:val="FF0000"/>
          <w:sz w:val="24"/>
          <w:szCs w:val="24"/>
          <w:vertAlign w:val="superscript"/>
        </w:rPr>
        <w:t>15</w:t>
      </w:r>
      <w:r w:rsidRPr="0012597A">
        <w:rPr>
          <w:rFonts w:ascii="Times New Roman" w:eastAsia="Arial MT" w:hAnsi="Times New Roman" w:cs="Times New Roman"/>
          <w:sz w:val="24"/>
          <w:szCs w:val="24"/>
        </w:rPr>
        <w:t>, ha sufrido acoso sexual a lo largo de su carrera, principalmente en redes sociales, además de reportarse altos niveles de violencia verbal y digital, lo que confirma la centralidad de la esfera digital como espacio de agresión.</w:t>
      </w:r>
    </w:p>
    <w:p w14:paraId="0C62F288"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AFEFAB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América Latina y México, los diagnósticos institucionales corroboran la magnitud del problema. El Programa de las Naciones Unidas para el Desarrollo (PNUD) en México identificó que el 78% de las violencias contra mujeres en el deporte provienen de la afición; el 45% de los directivos y el mismo porcentaje de jugadores varones han incurrido en conductas violentas, mientras que la discriminación de género se presenta en un 54%, lo que permite dimensionar la amplitud, persistencia y carácter multifactorial del fenómeno</w:t>
      </w:r>
      <w:r w:rsidRPr="0012597A">
        <w:rPr>
          <w:rFonts w:ascii="Times New Roman" w:eastAsia="Arial MT" w:hAnsi="Times New Roman" w:cs="Times New Roman"/>
          <w:color w:val="FF0000"/>
          <w:sz w:val="24"/>
          <w:szCs w:val="24"/>
          <w:vertAlign w:val="superscript"/>
        </w:rPr>
        <w:t>16</w:t>
      </w:r>
      <w:r w:rsidRPr="0012597A">
        <w:rPr>
          <w:rFonts w:ascii="Times New Roman" w:eastAsia="Arial MT" w:hAnsi="Times New Roman" w:cs="Times New Roman"/>
          <w:sz w:val="24"/>
          <w:szCs w:val="24"/>
        </w:rPr>
        <w:t>.</w:t>
      </w:r>
    </w:p>
    <w:p w14:paraId="32E3FD0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F6E5C7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Un sondeo realizado por ESPN a deportistas mexicanas olímpicas, paralímpicas y futbolistas de la Liga MX Femenil reveló que el 66% ha sufrido violencia física o verbal en su entorno deportivo; el 64% ha presenciado acoso; y el 21% sufrió abuso sexual en la infancia vinculado al deporte, lo cual se asocia incluso con abandono de sus carreras deportivas</w:t>
      </w:r>
      <w:r w:rsidRPr="0012597A">
        <w:rPr>
          <w:rFonts w:ascii="Times New Roman" w:eastAsia="Arial MT" w:hAnsi="Times New Roman" w:cs="Times New Roman"/>
          <w:color w:val="FF0000"/>
          <w:sz w:val="24"/>
          <w:szCs w:val="24"/>
          <w:vertAlign w:val="superscript"/>
        </w:rPr>
        <w:t>17</w:t>
      </w:r>
      <w:r w:rsidRPr="0012597A">
        <w:rPr>
          <w:rFonts w:ascii="Times New Roman" w:eastAsia="Arial MT" w:hAnsi="Times New Roman" w:cs="Times New Roman"/>
          <w:sz w:val="24"/>
          <w:szCs w:val="24"/>
        </w:rPr>
        <w:t>.</w:t>
      </w:r>
    </w:p>
    <w:p w14:paraId="77DD3AA8"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p>
    <w:p w14:paraId="7D20368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15</w:t>
      </w:r>
      <w:r w:rsidRPr="0012597A">
        <w:rPr>
          <w:rFonts w:ascii="Times New Roman" w:eastAsia="Arial MT" w:hAnsi="Times New Roman" w:cs="Times New Roman"/>
          <w:sz w:val="20"/>
          <w:szCs w:val="24"/>
        </w:rPr>
        <w:t xml:space="preserve"> </w:t>
      </w:r>
      <w:proofErr w:type="spellStart"/>
      <w:r w:rsidRPr="0012597A">
        <w:rPr>
          <w:rFonts w:ascii="Times New Roman" w:eastAsia="Arial MT" w:hAnsi="Times New Roman" w:cs="Times New Roman"/>
          <w:sz w:val="20"/>
          <w:szCs w:val="24"/>
        </w:rPr>
        <w:t>Unidiversidad</w:t>
      </w:r>
      <w:proofErr w:type="spellEnd"/>
      <w:r w:rsidRPr="0012597A">
        <w:rPr>
          <w:rFonts w:ascii="Times New Roman" w:eastAsia="Arial MT" w:hAnsi="Times New Roman" w:cs="Times New Roman"/>
          <w:sz w:val="20"/>
          <w:szCs w:val="24"/>
        </w:rPr>
        <w:t xml:space="preserve">. 12 de diciembre del 2023. </w:t>
      </w:r>
      <w:r w:rsidRPr="0012597A">
        <w:rPr>
          <w:rFonts w:ascii="Times New Roman" w:eastAsia="Arial MT" w:hAnsi="Times New Roman" w:cs="Times New Roman"/>
          <w:i/>
          <w:sz w:val="20"/>
          <w:szCs w:val="24"/>
        </w:rPr>
        <w:t xml:space="preserve">Informe de la FIFA reveló que una de cada cinco jugadoras del Mundial 2023 recibió mensajes ofensivos. </w:t>
      </w:r>
      <w:r w:rsidRPr="0012597A">
        <w:rPr>
          <w:rFonts w:ascii="Times New Roman" w:eastAsia="Arial MT" w:hAnsi="Times New Roman" w:cs="Times New Roman"/>
          <w:sz w:val="20"/>
          <w:szCs w:val="24"/>
        </w:rPr>
        <w:t xml:space="preserve">Véase en: </w:t>
      </w:r>
      <w:r w:rsidRPr="0012597A">
        <w:rPr>
          <w:rFonts w:ascii="Times New Roman" w:eastAsia="Arial MT" w:hAnsi="Times New Roman" w:cs="Times New Roman"/>
          <w:sz w:val="20"/>
          <w:szCs w:val="24"/>
          <w:u w:val="single" w:color="0000FF"/>
        </w:rPr>
        <w:t>https://</w:t>
      </w:r>
      <w:hyperlink r:id="rId64">
        <w:r w:rsidRPr="0012597A">
          <w:rPr>
            <w:rFonts w:ascii="Times New Roman" w:eastAsia="Arial MT" w:hAnsi="Times New Roman" w:cs="Times New Roman"/>
            <w:sz w:val="20"/>
            <w:szCs w:val="24"/>
            <w:u w:val="single" w:color="0000FF"/>
          </w:rPr>
          <w:t>www.unidiversidad.com.ar/informe-de-la-fifa-revelo-que-una-de-cada-cinco-jugadoras-del-</w:t>
        </w:r>
      </w:hyperlink>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mundial-2023-recibio-mensajes-</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ofensivos#:~:text=El%20servicio%20de%20protecci%C3%B3n%20en%20redes%20sociales,29%20%25%20m%C3%A1s%20de%</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20probabilidades%20de%20recibir</w:t>
      </w:r>
    </w:p>
    <w:p w14:paraId="57D9418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16</w:t>
      </w:r>
      <w:r w:rsidRPr="0012597A">
        <w:rPr>
          <w:rFonts w:ascii="Times New Roman" w:eastAsia="Arial MT" w:hAnsi="Times New Roman" w:cs="Times New Roman"/>
          <w:sz w:val="20"/>
          <w:szCs w:val="24"/>
        </w:rPr>
        <w:t xml:space="preserve"> Claro </w:t>
      </w:r>
      <w:proofErr w:type="spellStart"/>
      <w:r w:rsidRPr="0012597A">
        <w:rPr>
          <w:rFonts w:ascii="Times New Roman" w:eastAsia="Arial MT" w:hAnsi="Times New Roman" w:cs="Times New Roman"/>
          <w:sz w:val="20"/>
          <w:szCs w:val="24"/>
        </w:rPr>
        <w:t>Sports</w:t>
      </w:r>
      <w:proofErr w:type="spellEnd"/>
      <w:r w:rsidRPr="0012597A">
        <w:rPr>
          <w:rFonts w:ascii="Times New Roman" w:eastAsia="Arial MT" w:hAnsi="Times New Roman" w:cs="Times New Roman"/>
          <w:sz w:val="20"/>
          <w:szCs w:val="24"/>
        </w:rPr>
        <w:t xml:space="preserve">. 18 de julio del 2025. </w:t>
      </w:r>
      <w:r w:rsidRPr="0012597A">
        <w:rPr>
          <w:rFonts w:ascii="Times New Roman" w:eastAsia="Arial MT" w:hAnsi="Times New Roman" w:cs="Times New Roman"/>
          <w:i/>
          <w:sz w:val="20"/>
          <w:szCs w:val="24"/>
        </w:rPr>
        <w:t>Violencia de género en el fútbol femenil mexicano: 78% ha sufrido agresiones</w:t>
      </w:r>
      <w:r w:rsidRPr="0012597A">
        <w:rPr>
          <w:rFonts w:ascii="Times New Roman" w:eastAsia="Arial MT" w:hAnsi="Times New Roman" w:cs="Times New Roman"/>
          <w:sz w:val="20"/>
          <w:szCs w:val="24"/>
        </w:rPr>
        <w:t xml:space="preserve">. Véase en: </w:t>
      </w:r>
      <w:r w:rsidRPr="0012597A">
        <w:rPr>
          <w:rFonts w:ascii="Times New Roman" w:eastAsia="Arial MT" w:hAnsi="Times New Roman" w:cs="Times New Roman"/>
          <w:sz w:val="20"/>
          <w:szCs w:val="24"/>
          <w:u w:val="single" w:color="0000FF"/>
        </w:rPr>
        <w:t>https://</w:t>
      </w:r>
      <w:hyperlink r:id="rId65">
        <w:r w:rsidRPr="0012597A">
          <w:rPr>
            <w:rFonts w:ascii="Times New Roman" w:eastAsia="Arial MT" w:hAnsi="Times New Roman" w:cs="Times New Roman"/>
            <w:sz w:val="20"/>
            <w:szCs w:val="24"/>
            <w:u w:val="single" w:color="0000FF"/>
          </w:rPr>
          <w:t>www.clarosports.com/futbol/futbol-femenil/violencia-de-genero-en-el-futbol-femenil-mexicano-78-ha-sufrido-agresiones/</w:t>
        </w:r>
      </w:hyperlink>
    </w:p>
    <w:p w14:paraId="44B4639D"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75E4A03"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Las consecuencias de esta violencia son profundas y de largo alcance: abandono temprano del deporte, afectaciones psicológicas, pérdida de oportunidades profesionales, normalización del abuso de poder y reproducción de estereotipos que limitan la igualdad sustantiva, así como la restricción del ejercicio pleno de derechos, incluido el acceso a entornos seguros para la práctica deportiva.</w:t>
      </w:r>
    </w:p>
    <w:p w14:paraId="574A35F9"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50565FA"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sentido, la violencia en el futbol y en el deporte en general no puede analizarse únicamente como un problema de seguridad en espectáculos públicos, sino como una manifestación de violencia de género que requiere respuestas legislativas integrales, preventivas, sancionatorias y de reparación.</w:t>
      </w:r>
    </w:p>
    <w:p w14:paraId="4B25FD7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B79895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Su atención resulta coherente con los compromisos internacionales asumidos por el Estado mexicano en materia de derechos humanos, igualdad sustantiva y erradicación de la violencia contra las mujeres, así como con la necesidad de garantizar espacios deportivos seguros, incluyentes y libres de cualquier forma de discriminación o agresión.</w:t>
      </w:r>
    </w:p>
    <w:p w14:paraId="509575B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0D0C08D"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Solo para ejemplificar algunos casos de violencia en contra de mujeres futbolistas:</w:t>
      </w:r>
    </w:p>
    <w:p w14:paraId="33778C02"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Uno de los casos más mediáticos es el de Luis Rubiales, expresidente de la Federación Española de Futbol, que fue condenado por agresión sexual por el beso no consentido a la futbolista Jennifer Hermoso tras la final del Mundial 2023.</w:t>
      </w:r>
      <w:r w:rsidRPr="0012597A">
        <w:rPr>
          <w:rFonts w:ascii="Times New Roman" w:eastAsia="Arial MT" w:hAnsi="Times New Roman" w:cs="Times New Roman"/>
          <w:color w:val="FF0000"/>
          <w:sz w:val="24"/>
          <w:szCs w:val="24"/>
          <w:vertAlign w:val="superscript"/>
        </w:rPr>
        <w:t>18</w:t>
      </w:r>
      <w:r w:rsidRPr="0012597A">
        <w:rPr>
          <w:rFonts w:ascii="Times New Roman" w:eastAsia="Arial MT" w:hAnsi="Times New Roman" w:cs="Times New Roman"/>
          <w:sz w:val="24"/>
          <w:szCs w:val="24"/>
        </w:rPr>
        <w:t xml:space="preserve"> La sentencia probó que el acto no fue consentido y le impuso medidas de alejamiento y una multa económica.</w:t>
      </w:r>
    </w:p>
    <w:p w14:paraId="0C42F7B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025791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México, uno de los casos de violencia digital más conocidos es el de la futbolista del Club Deportivo América, Scarlett Camberos, quien denunció ciberacoso en 2023</w:t>
      </w:r>
      <w:r w:rsidRPr="0012597A">
        <w:rPr>
          <w:rFonts w:ascii="Times New Roman" w:eastAsia="Arial MT" w:hAnsi="Times New Roman" w:cs="Times New Roman"/>
          <w:color w:val="FF0000"/>
          <w:sz w:val="24"/>
          <w:szCs w:val="24"/>
          <w:vertAlign w:val="superscript"/>
        </w:rPr>
        <w:t>19</w:t>
      </w:r>
      <w:r w:rsidRPr="0012597A">
        <w:rPr>
          <w:rFonts w:ascii="Times New Roman" w:eastAsia="Arial MT" w:hAnsi="Times New Roman" w:cs="Times New Roman"/>
          <w:sz w:val="24"/>
          <w:szCs w:val="24"/>
        </w:rPr>
        <w:t xml:space="preserve"> y, a pesar de las denuncias del Club, la Fiscalía no actuó de manera rápida, lo cual visibilizó la falta de protocolos </w:t>
      </w:r>
      <w:r w:rsidRPr="0012597A">
        <w:rPr>
          <w:rFonts w:ascii="Times New Roman" w:eastAsia="Arial MT" w:hAnsi="Times New Roman" w:cs="Times New Roman"/>
          <w:sz w:val="24"/>
          <w:szCs w:val="24"/>
        </w:rPr>
        <w:lastRenderedPageBreak/>
        <w:t>para atender la violencia contra las mujeres.</w:t>
      </w:r>
    </w:p>
    <w:p w14:paraId="38A3A39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8C72308"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17</w:t>
      </w:r>
      <w:r w:rsidRPr="0012597A">
        <w:rPr>
          <w:rFonts w:ascii="Times New Roman" w:eastAsia="Arial MT" w:hAnsi="Times New Roman" w:cs="Times New Roman"/>
          <w:sz w:val="20"/>
          <w:szCs w:val="24"/>
        </w:rPr>
        <w:t xml:space="preserve"> ESPN México. 10 de marzo de 2025. </w:t>
      </w:r>
      <w:r w:rsidRPr="0012597A">
        <w:rPr>
          <w:rFonts w:ascii="Times New Roman" w:eastAsia="Arial MT" w:hAnsi="Times New Roman" w:cs="Times New Roman"/>
          <w:i/>
          <w:sz w:val="20"/>
          <w:szCs w:val="24"/>
        </w:rPr>
        <w:t xml:space="preserve">Mujeres deportistas en México, expuestas a escenarios de violencia. </w:t>
      </w:r>
      <w:r w:rsidRPr="0012597A">
        <w:rPr>
          <w:rFonts w:ascii="Times New Roman" w:eastAsia="Arial MT" w:hAnsi="Times New Roman" w:cs="Times New Roman"/>
          <w:sz w:val="20"/>
          <w:szCs w:val="24"/>
        </w:rPr>
        <w:t xml:space="preserve">Véase en: </w:t>
      </w:r>
      <w:r w:rsidRPr="0012597A">
        <w:rPr>
          <w:rFonts w:ascii="Times New Roman" w:eastAsia="Arial MT" w:hAnsi="Times New Roman" w:cs="Times New Roman"/>
          <w:sz w:val="20"/>
          <w:szCs w:val="24"/>
          <w:u w:val="single" w:color="0000FF"/>
        </w:rPr>
        <w:t>https://</w:t>
      </w:r>
      <w:hyperlink r:id="rId66">
        <w:r w:rsidRPr="0012597A">
          <w:rPr>
            <w:rFonts w:ascii="Times New Roman" w:eastAsia="Arial MT" w:hAnsi="Times New Roman" w:cs="Times New Roman"/>
            <w:sz w:val="20"/>
            <w:szCs w:val="24"/>
            <w:u w:val="single" w:color="0000FF"/>
          </w:rPr>
          <w:t>www.espn.com.mx/futbol/mexico/nota/_/id/14890771/dia-internacional-de-la-mujer-violencia-deporte-mexico-8-marzo</w:t>
        </w:r>
      </w:hyperlink>
    </w:p>
    <w:p w14:paraId="0A97CFF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18</w:t>
      </w:r>
      <w:r w:rsidRPr="0012597A">
        <w:rPr>
          <w:rFonts w:ascii="Times New Roman" w:eastAsia="Arial MT" w:hAnsi="Times New Roman" w:cs="Times New Roman"/>
          <w:sz w:val="20"/>
          <w:szCs w:val="24"/>
        </w:rPr>
        <w:t xml:space="preserve"> Bautista J. y </w:t>
      </w:r>
      <w:proofErr w:type="spellStart"/>
      <w:r w:rsidRPr="0012597A">
        <w:rPr>
          <w:rFonts w:ascii="Times New Roman" w:eastAsia="Arial MT" w:hAnsi="Times New Roman" w:cs="Times New Roman"/>
          <w:sz w:val="20"/>
          <w:szCs w:val="24"/>
        </w:rPr>
        <w:t>Chutel</w:t>
      </w:r>
      <w:proofErr w:type="spellEnd"/>
      <w:r w:rsidRPr="0012597A">
        <w:rPr>
          <w:rFonts w:ascii="Times New Roman" w:eastAsia="Arial MT" w:hAnsi="Times New Roman" w:cs="Times New Roman"/>
          <w:sz w:val="20"/>
          <w:szCs w:val="24"/>
        </w:rPr>
        <w:t xml:space="preserve"> L. 20 de febrero de 2025. </w:t>
      </w:r>
      <w:r w:rsidRPr="0012597A">
        <w:rPr>
          <w:rFonts w:ascii="Times New Roman" w:eastAsia="Arial MT" w:hAnsi="Times New Roman" w:cs="Times New Roman"/>
          <w:i/>
          <w:sz w:val="20"/>
          <w:szCs w:val="24"/>
        </w:rPr>
        <w:t xml:space="preserve">Luis Rubiales, expresidente del futbol español, es condenado por agresión sexual. </w:t>
      </w:r>
      <w:r w:rsidRPr="0012597A">
        <w:rPr>
          <w:rFonts w:ascii="Times New Roman" w:eastAsia="Arial MT" w:hAnsi="Times New Roman" w:cs="Times New Roman"/>
          <w:sz w:val="20"/>
          <w:szCs w:val="24"/>
        </w:rPr>
        <w:t xml:space="preserve">The New York Times. Véase en: </w:t>
      </w:r>
      <w:r w:rsidRPr="0012597A">
        <w:rPr>
          <w:rFonts w:ascii="Times New Roman" w:eastAsia="Arial MT" w:hAnsi="Times New Roman" w:cs="Times New Roman"/>
          <w:sz w:val="20"/>
          <w:szCs w:val="24"/>
          <w:u w:val="single" w:color="0000FF"/>
        </w:rPr>
        <w:t>https://</w:t>
      </w:r>
      <w:hyperlink r:id="rId67">
        <w:r w:rsidRPr="0012597A">
          <w:rPr>
            <w:rFonts w:ascii="Times New Roman" w:eastAsia="Arial MT" w:hAnsi="Times New Roman" w:cs="Times New Roman"/>
            <w:sz w:val="20"/>
            <w:szCs w:val="24"/>
            <w:u w:val="single" w:color="0000FF"/>
          </w:rPr>
          <w:t>www.nytimes.com/es/2025/02/20/espanol/mundo/luis-rubiales-futbol-espanol-condena.htm</w:t>
        </w:r>
        <w:r w:rsidRPr="0012597A">
          <w:rPr>
            <w:rFonts w:ascii="Times New Roman" w:eastAsia="Arial MT" w:hAnsi="Times New Roman" w:cs="Times New Roman"/>
            <w:sz w:val="20"/>
            <w:szCs w:val="24"/>
          </w:rPr>
          <w:t>l</w:t>
        </w:r>
      </w:hyperlink>
    </w:p>
    <w:p w14:paraId="7D11D32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19</w:t>
      </w:r>
      <w:r w:rsidRPr="0012597A">
        <w:rPr>
          <w:rFonts w:ascii="Times New Roman" w:eastAsia="Arial MT" w:hAnsi="Times New Roman" w:cs="Times New Roman"/>
          <w:sz w:val="20"/>
          <w:szCs w:val="24"/>
        </w:rPr>
        <w:t xml:space="preserve"> ESPN. 6 de julio de 2023. </w:t>
      </w:r>
      <w:proofErr w:type="spellStart"/>
      <w:r w:rsidRPr="0012597A">
        <w:rPr>
          <w:rFonts w:ascii="Times New Roman" w:eastAsia="Arial MT" w:hAnsi="Times New Roman" w:cs="Times New Roman"/>
          <w:i/>
          <w:sz w:val="20"/>
          <w:szCs w:val="24"/>
        </w:rPr>
        <w:t>America</w:t>
      </w:r>
      <w:proofErr w:type="spellEnd"/>
      <w:r w:rsidRPr="0012597A">
        <w:rPr>
          <w:rFonts w:ascii="Times New Roman" w:eastAsia="Arial MT" w:hAnsi="Times New Roman" w:cs="Times New Roman"/>
          <w:i/>
          <w:sz w:val="20"/>
          <w:szCs w:val="24"/>
        </w:rPr>
        <w:t xml:space="preserve"> revela identidad del agresor de Scarlett Camberos y denuncia nuevos casos. </w:t>
      </w:r>
      <w:r w:rsidRPr="0012597A">
        <w:rPr>
          <w:rFonts w:ascii="Times New Roman" w:eastAsia="Arial MT" w:hAnsi="Times New Roman" w:cs="Times New Roman"/>
          <w:sz w:val="20"/>
          <w:szCs w:val="24"/>
        </w:rPr>
        <w:t xml:space="preserve">ESPN. Véase en: </w:t>
      </w:r>
      <w:r w:rsidRPr="0012597A">
        <w:rPr>
          <w:rFonts w:ascii="Times New Roman" w:eastAsia="Arial MT" w:hAnsi="Times New Roman" w:cs="Times New Roman"/>
          <w:sz w:val="20"/>
          <w:szCs w:val="24"/>
          <w:u w:val="single" w:color="0000FF"/>
        </w:rPr>
        <w:t>https://</w:t>
      </w:r>
      <w:hyperlink r:id="rId68">
        <w:r w:rsidRPr="0012597A">
          <w:rPr>
            <w:rFonts w:ascii="Times New Roman" w:eastAsia="Arial MT" w:hAnsi="Times New Roman" w:cs="Times New Roman"/>
            <w:sz w:val="20"/>
            <w:szCs w:val="24"/>
            <w:u w:val="single" w:color="0000FF"/>
          </w:rPr>
          <w:t>www.espn.com.mx/futbol/mexico/nota/_/id/12281805/america-liga-mx-femenil-identidad-agresor-scarlett-camberos-nuevos-</w:t>
        </w:r>
      </w:hyperlink>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casos</w:t>
      </w:r>
    </w:p>
    <w:p w14:paraId="2FDD6CC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CA22B5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Para hacer frente a la violencia contra las mujeres y las niñas en el deporte y también garantizar el derecho que tienen de vivir una vida libre de violencia, así como a la cultura física y el deporte, varios organismos internacionales, de manera parecida en México y el Estado de México, han tratado de impulsar un marco legal que proteja a las mujeres. Tal es la Declaración sobre la Eliminación de la Violencia Contra las Mujeres (CEDAW), aquí se reconoció que la violencia contra las mujeres viola sus derechos y libertades fundamentales; así mismo, pidió a los Estados y a la comunidad internacional trabajar para erradicar la violencia contra las mujeres en todos los ámbitos.</w:t>
      </w:r>
    </w:p>
    <w:p w14:paraId="546477EC"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2D598D19"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su parte, la Ley General de Cultura Física y Deporte, en su artículo 2, fracción XI, artículo 3, fracción XIV y artículo 251, fracción II, establece las bases para garantizar que todas las personas, sin distinción de género, tengan igualdad de oportunidades dentro de los programas de cultura física y deporte. Como principio para el ejercicio y desarrollo del derecho a la cultura física y deportiva, establece la igualdad sustantiva entre mujeres y hombres; también, como infracción, se considera la distinción de cualquier deportista en razón de su género.</w:t>
      </w:r>
    </w:p>
    <w:p w14:paraId="5F86D54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2B1769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Artículo 2. Esta Ley y su Reglamento tienen por objeto establecer las bases generales para la distribución de competencias, la coordinación y colaboración entre la Federación, las entidades federativas, los Municipios y las demarcaciones territoriales de la Ciudad de México en materia de cultura física y deporte, bajo el principio de concurrencia previsto en el artículo 73, fracción XXIX-J de la Constitución Política de los Estados Unidos Mexicanos, así como la participación de los sectores social y privado en esta materia, con las siguientes finalidades generales:</w:t>
      </w:r>
    </w:p>
    <w:p w14:paraId="7D1F383F"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I. a X. …</w:t>
      </w:r>
    </w:p>
    <w:p w14:paraId="31BDCE5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59A1800C" w14:textId="77777777" w:rsidR="0046672E" w:rsidRPr="0012597A" w:rsidRDefault="0046672E" w:rsidP="0012453E">
      <w:pPr>
        <w:widowControl w:val="0"/>
        <w:numPr>
          <w:ilvl w:val="0"/>
          <w:numId w:val="33"/>
        </w:numPr>
        <w:autoSpaceDE w:val="0"/>
        <w:autoSpaceDN w:val="0"/>
        <w:spacing w:after="0" w:line="240" w:lineRule="auto"/>
        <w:ind w:firstLine="0"/>
        <w:jc w:val="both"/>
        <w:rPr>
          <w:rFonts w:ascii="Times New Roman" w:eastAsia="Arial" w:hAnsi="Times New Roman" w:cs="Times New Roman"/>
          <w:b/>
          <w:i/>
          <w:sz w:val="24"/>
          <w:szCs w:val="24"/>
        </w:rPr>
      </w:pPr>
      <w:r w:rsidRPr="0012597A">
        <w:rPr>
          <w:rFonts w:ascii="Times New Roman" w:eastAsia="Arial" w:hAnsi="Times New Roman" w:cs="Times New Roman"/>
          <w:b/>
          <w:i/>
          <w:sz w:val="24"/>
          <w:szCs w:val="24"/>
        </w:rPr>
        <w:t>. Garantizar a todas las personas, sin distinción de género, edad, discapacidad, condición social, religión, opiniones, preferencias o estado civil, la igualdad de oportunidades dentro de los programas de desarrollo que en materia de cultura física y deporte se implementen, y</w:t>
      </w:r>
    </w:p>
    <w:p w14:paraId="23BA3F27" w14:textId="77777777" w:rsidR="0046672E" w:rsidRPr="0012597A" w:rsidRDefault="0046672E" w:rsidP="0012453E">
      <w:pPr>
        <w:widowControl w:val="0"/>
        <w:numPr>
          <w:ilvl w:val="0"/>
          <w:numId w:val="33"/>
        </w:numPr>
        <w:autoSpaceDE w:val="0"/>
        <w:autoSpaceDN w:val="0"/>
        <w:spacing w:after="0" w:line="240" w:lineRule="auto"/>
        <w:ind w:firstLine="0"/>
        <w:jc w:val="both"/>
        <w:rPr>
          <w:rFonts w:ascii="Times New Roman" w:eastAsia="Arial" w:hAnsi="Times New Roman" w:cs="Times New Roman"/>
          <w:b/>
          <w:i/>
          <w:sz w:val="24"/>
          <w:szCs w:val="24"/>
        </w:rPr>
      </w:pPr>
      <w:r w:rsidRPr="0012597A">
        <w:rPr>
          <w:rFonts w:ascii="Times New Roman" w:eastAsia="Arial" w:hAnsi="Times New Roman" w:cs="Times New Roman"/>
          <w:b/>
          <w:i/>
          <w:sz w:val="24"/>
          <w:szCs w:val="24"/>
        </w:rPr>
        <w:t>…</w:t>
      </w:r>
    </w:p>
    <w:p w14:paraId="3B15792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41D4EF8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w:t>
      </w:r>
    </w:p>
    <w:p w14:paraId="20F5261F"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77C42935"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Artículo 3. El ejercicio y desarrollo del derecho a la cultura física y el deporte tienen como base los siguientes principios:</w:t>
      </w:r>
    </w:p>
    <w:p w14:paraId="3B6DCE11"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7E8726BB" w14:textId="77777777" w:rsidR="0046672E" w:rsidRPr="0012597A" w:rsidRDefault="0046672E" w:rsidP="0012453E">
      <w:pPr>
        <w:widowControl w:val="0"/>
        <w:numPr>
          <w:ilvl w:val="0"/>
          <w:numId w:val="32"/>
        </w:numPr>
        <w:autoSpaceDE w:val="0"/>
        <w:autoSpaceDN w:val="0"/>
        <w:spacing w:after="0" w:line="240" w:lineRule="auto"/>
        <w:rPr>
          <w:rFonts w:ascii="Times New Roman" w:eastAsia="Arial" w:hAnsi="Times New Roman" w:cs="Times New Roman"/>
          <w:b/>
          <w:i/>
          <w:sz w:val="24"/>
          <w:szCs w:val="24"/>
        </w:rPr>
      </w:pPr>
      <w:r w:rsidRPr="0012597A">
        <w:rPr>
          <w:rFonts w:ascii="Times New Roman" w:eastAsia="Arial" w:hAnsi="Times New Roman" w:cs="Times New Roman"/>
          <w:b/>
          <w:i/>
          <w:sz w:val="24"/>
          <w:szCs w:val="24"/>
        </w:rPr>
        <w:t>a XIII. …</w:t>
      </w:r>
    </w:p>
    <w:p w14:paraId="21E5DBD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XIV. La igualdad sustantiva entre mujeres y hombres y la no discriminación por razón de género.</w:t>
      </w:r>
    </w:p>
    <w:p w14:paraId="0A302738"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745D4DD5"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w:t>
      </w:r>
    </w:p>
    <w:p w14:paraId="3A7FD0F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547FDBC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r w:rsidRPr="0012597A">
        <w:rPr>
          <w:rFonts w:ascii="Times New Roman" w:eastAsia="Arial MT" w:hAnsi="Times New Roman" w:cs="Times New Roman"/>
          <w:b/>
          <w:i/>
          <w:sz w:val="24"/>
          <w:szCs w:val="24"/>
        </w:rPr>
        <w:t>Artículo 151. Se considerarán como infracciones muy graves a la presente Ley, las siguientes:</w:t>
      </w:r>
    </w:p>
    <w:p w14:paraId="481E8761"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563C6F46" w14:textId="77777777" w:rsidR="0046672E" w:rsidRPr="0012597A" w:rsidRDefault="0046672E" w:rsidP="0012453E">
      <w:pPr>
        <w:widowControl w:val="0"/>
        <w:numPr>
          <w:ilvl w:val="0"/>
          <w:numId w:val="31"/>
        </w:numPr>
        <w:autoSpaceDE w:val="0"/>
        <w:autoSpaceDN w:val="0"/>
        <w:spacing w:after="0" w:line="240" w:lineRule="auto"/>
        <w:ind w:left="0" w:firstLine="0"/>
        <w:rPr>
          <w:rFonts w:ascii="Times New Roman" w:eastAsia="Arial" w:hAnsi="Times New Roman" w:cs="Times New Roman"/>
          <w:b/>
          <w:i/>
          <w:sz w:val="24"/>
          <w:szCs w:val="24"/>
        </w:rPr>
      </w:pPr>
      <w:r w:rsidRPr="0012597A">
        <w:rPr>
          <w:rFonts w:ascii="Times New Roman" w:eastAsia="Arial" w:hAnsi="Times New Roman" w:cs="Times New Roman"/>
          <w:b/>
          <w:i/>
          <w:sz w:val="24"/>
          <w:szCs w:val="24"/>
        </w:rPr>
        <w:t>…</w:t>
      </w:r>
    </w:p>
    <w:p w14:paraId="6785C4DE"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11DE5CD5" w14:textId="77777777" w:rsidR="0046672E" w:rsidRPr="0012597A" w:rsidRDefault="0046672E" w:rsidP="0012453E">
      <w:pPr>
        <w:widowControl w:val="0"/>
        <w:numPr>
          <w:ilvl w:val="0"/>
          <w:numId w:val="31"/>
        </w:numPr>
        <w:autoSpaceDE w:val="0"/>
        <w:autoSpaceDN w:val="0"/>
        <w:spacing w:after="0" w:line="240" w:lineRule="auto"/>
        <w:ind w:left="0" w:firstLine="0"/>
        <w:jc w:val="both"/>
        <w:rPr>
          <w:rFonts w:ascii="Times New Roman" w:eastAsia="Arial" w:hAnsi="Times New Roman" w:cs="Times New Roman"/>
          <w:b/>
          <w:i/>
          <w:sz w:val="24"/>
          <w:szCs w:val="24"/>
        </w:rPr>
      </w:pPr>
      <w:r w:rsidRPr="0012597A">
        <w:rPr>
          <w:rFonts w:ascii="Times New Roman" w:eastAsia="Arial" w:hAnsi="Times New Roman" w:cs="Times New Roman"/>
          <w:b/>
          <w:i/>
          <w:sz w:val="24"/>
          <w:szCs w:val="24"/>
        </w:rPr>
        <w:t>Las distinciones, exclusiones, restricciones, preferencias u hostigamiento que se hagan en contra de cualquier deportista, motivadas por origen étnico o nacional, de género, la edad, las discapacidades, la condición social, la religión, las opiniones, preferencias sexuales, el estado civil o cualquier otra que atente contra su dignidad o anule o menoscabe sus derechos y libertades;</w:t>
      </w:r>
    </w:p>
    <w:p w14:paraId="1A9C053D" w14:textId="77777777" w:rsidR="0046672E" w:rsidRPr="0012597A" w:rsidRDefault="0046672E" w:rsidP="0012453E">
      <w:pPr>
        <w:widowControl w:val="0"/>
        <w:numPr>
          <w:ilvl w:val="0"/>
          <w:numId w:val="31"/>
        </w:numPr>
        <w:autoSpaceDE w:val="0"/>
        <w:autoSpaceDN w:val="0"/>
        <w:spacing w:after="0" w:line="240" w:lineRule="auto"/>
        <w:ind w:left="0" w:firstLine="0"/>
        <w:rPr>
          <w:rFonts w:ascii="Times New Roman" w:eastAsia="Arial" w:hAnsi="Times New Roman" w:cs="Times New Roman"/>
          <w:b/>
          <w:i/>
          <w:sz w:val="24"/>
          <w:szCs w:val="24"/>
        </w:rPr>
      </w:pPr>
      <w:r w:rsidRPr="0012597A">
        <w:rPr>
          <w:rFonts w:ascii="Times New Roman" w:eastAsia="Arial" w:hAnsi="Times New Roman" w:cs="Times New Roman"/>
          <w:b/>
          <w:i/>
          <w:sz w:val="24"/>
          <w:szCs w:val="24"/>
        </w:rPr>
        <w:t>a V. …”</w:t>
      </w:r>
    </w:p>
    <w:p w14:paraId="6E81AEED"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i/>
          <w:sz w:val="24"/>
          <w:szCs w:val="24"/>
        </w:rPr>
      </w:pPr>
    </w:p>
    <w:p w14:paraId="0020BC07"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contexto y considerando la gravedad del problema, a nivel federal se han promovido iniciativas legislativas para que ninguna mujer deportista sufra violencia, acoso o discriminación en el deporte. Se presentó una iniciativa en el Senado de la República para reformar la Ley General de Deporte para incorporar la perspectiva de género en todas las políticas deportivas del país. La iniciativa consiste en establecer medidas para proteger a las mujeres en el ámbito deportivo y erradicarla en todas sus formas: física, verbal, sexual y simbólica.</w:t>
      </w:r>
    </w:p>
    <w:p w14:paraId="02DA0AD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1DDEF9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tanto, en el H. Congreso de la Unión, el 23 de septiembre de 2025, se presentó una iniciativa para reformar la Ley General de Cultura Física y Deporte en materia de prevención y atención de violencia en el deporte. Tras su análisis, el 25 de noviembre de 2025, la Comisión de Deporte emitió un dictamen, posteriormente aprobado en lo general el 26 de noviembre del mismo año, en el que se otorga el reconocimiento jurídico a la </w:t>
      </w:r>
      <w:r w:rsidRPr="0012597A">
        <w:rPr>
          <w:rFonts w:ascii="Times New Roman" w:eastAsia="Arial MT" w:hAnsi="Times New Roman" w:cs="Times New Roman"/>
          <w:i/>
          <w:sz w:val="24"/>
          <w:szCs w:val="24"/>
        </w:rPr>
        <w:t xml:space="preserve">“violencia en el deporte”; asimismo, </w:t>
      </w:r>
      <w:r w:rsidRPr="0012597A">
        <w:rPr>
          <w:rFonts w:ascii="Times New Roman" w:eastAsia="Arial MT" w:hAnsi="Times New Roman" w:cs="Times New Roman"/>
          <w:sz w:val="24"/>
          <w:szCs w:val="24"/>
        </w:rPr>
        <w:t>se establece la elaboración e implementación de protocolos de prevención y atención por parte de la Comisión Nacional del Deporte (CONADE). Esta reforma se encuentra en espera de su aprobación en el Senado de la República.</w:t>
      </w:r>
      <w:r w:rsidRPr="0012597A">
        <w:rPr>
          <w:rFonts w:ascii="Times New Roman" w:eastAsia="Arial MT" w:hAnsi="Times New Roman" w:cs="Times New Roman"/>
          <w:color w:val="FF0000"/>
          <w:sz w:val="24"/>
          <w:szCs w:val="24"/>
          <w:vertAlign w:val="superscript"/>
        </w:rPr>
        <w:t>20</w:t>
      </w:r>
    </w:p>
    <w:p w14:paraId="3A3C1DED"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2F54D0A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consecuencia, en el Grupo Parlamentario del Partido Verde Ecologista creemos urgente prevenir, atender y sancionar toda violencia contra la mujer en razón de género, incluida la violencia que se presenta en el ámbito deportivo, pero esto no podrá llevarse a cabo sin antes reconocerla dentro de nuestra ley. La presente iniciativa tiene como objetivo reconocer como modalidad la </w:t>
      </w:r>
      <w:r w:rsidRPr="0012597A">
        <w:rPr>
          <w:rFonts w:ascii="Times New Roman" w:eastAsia="Arial MT" w:hAnsi="Times New Roman" w:cs="Times New Roman"/>
          <w:i/>
          <w:sz w:val="24"/>
          <w:szCs w:val="24"/>
        </w:rPr>
        <w:t>“violencia en el deporte”</w:t>
      </w:r>
      <w:r w:rsidRPr="0012597A">
        <w:rPr>
          <w:rFonts w:ascii="Times New Roman" w:eastAsia="Arial MT" w:hAnsi="Times New Roman" w:cs="Times New Roman"/>
          <w:sz w:val="24"/>
          <w:szCs w:val="24"/>
        </w:rPr>
        <w:t>, misma que se manifiesta en cualquier tipo de violencia de género, acoso y/o sexual, hostigamiento, etc., y que causa daño o sufrimiento psicológico, físico, simbólico, instrumental o estructural.</w:t>
      </w:r>
    </w:p>
    <w:p w14:paraId="63D52D4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43790E8"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Las y los legisladores verdes reconocemos que la violencia de género es una problemática que afecta gravemente la salud física y psicológica de las deportistas; por ello consideramos pertinente establecer un marco normativo que reconozca esta problemática. Consideramos que, en la medida en la que se adecue nuestro marco normativo para la protección contra la violencia de género, más mujeres mexiquenses podrán gozar de manera plena su derecho que tienen a una vida libre de violencia, así como a la cultura física y el deporte.</w:t>
      </w:r>
    </w:p>
    <w:p w14:paraId="62BED50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DFEF842"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4986D4D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tbl>
      <w:tblPr>
        <w:tblStyle w:val="TableNormal3"/>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6672E" w:rsidRPr="0012597A" w14:paraId="1EE95A65" w14:textId="77777777" w:rsidTr="0046672E">
        <w:trPr>
          <w:trHeight w:val="460"/>
        </w:trPr>
        <w:tc>
          <w:tcPr>
            <w:tcW w:w="9350" w:type="dxa"/>
            <w:gridSpan w:val="2"/>
            <w:shd w:val="clear" w:color="auto" w:fill="BFBFBF"/>
          </w:tcPr>
          <w:p w14:paraId="54A02647"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lastRenderedPageBreak/>
              <w:t>LEY DE ACCESO DE LAS MUJERES A UNA VIDA LIBRE DE VIOLENCIA DEL ESTADO DE MÉXICO</w:t>
            </w:r>
          </w:p>
        </w:tc>
      </w:tr>
      <w:tr w:rsidR="0046672E" w:rsidRPr="0012597A" w14:paraId="2C11FDDC" w14:textId="77777777" w:rsidTr="0046672E">
        <w:trPr>
          <w:trHeight w:val="230"/>
        </w:trPr>
        <w:tc>
          <w:tcPr>
            <w:tcW w:w="4675" w:type="dxa"/>
            <w:shd w:val="clear" w:color="auto" w:fill="F2F2F2"/>
          </w:tcPr>
          <w:p w14:paraId="793D9E0B"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LEY VIGENTE</w:t>
            </w:r>
          </w:p>
        </w:tc>
        <w:tc>
          <w:tcPr>
            <w:tcW w:w="4675" w:type="dxa"/>
            <w:shd w:val="clear" w:color="auto" w:fill="F2F2F2"/>
          </w:tcPr>
          <w:p w14:paraId="4BE50588"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INICIATIVA</w:t>
            </w:r>
          </w:p>
        </w:tc>
      </w:tr>
      <w:tr w:rsidR="0046672E" w:rsidRPr="0012597A" w14:paraId="702F614A" w14:textId="77777777" w:rsidTr="0046672E">
        <w:trPr>
          <w:trHeight w:val="1377"/>
        </w:trPr>
        <w:tc>
          <w:tcPr>
            <w:tcW w:w="4675" w:type="dxa"/>
            <w:tcBorders>
              <w:bottom w:val="nil"/>
            </w:tcBorders>
          </w:tcPr>
          <w:p w14:paraId="4944B764"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TÍTULO PRIMERO DISPOSICIONES GENERALES</w:t>
            </w:r>
          </w:p>
          <w:p w14:paraId="6C3C4254"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CAPÍTULO ÚNICO NATURALEZA Y OBJETO DE LA LEY</w:t>
            </w:r>
          </w:p>
        </w:tc>
        <w:tc>
          <w:tcPr>
            <w:tcW w:w="4675" w:type="dxa"/>
            <w:tcBorders>
              <w:bottom w:val="nil"/>
            </w:tcBorders>
          </w:tcPr>
          <w:p w14:paraId="5EC989E6"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TÍTULO PRIMERO DISPOSICIONES GENERALES</w:t>
            </w:r>
          </w:p>
          <w:p w14:paraId="74BC2048"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CAPÍTULO ÚNICO NATURALEZA Y OBJETO DE LA LEY</w:t>
            </w:r>
          </w:p>
        </w:tc>
      </w:tr>
    </w:tbl>
    <w:p w14:paraId="64B44CE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3F6AE27"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20</w:t>
      </w:r>
      <w:r w:rsidRPr="0012597A">
        <w:rPr>
          <w:rFonts w:ascii="Times New Roman" w:eastAsia="Arial MT" w:hAnsi="Times New Roman" w:cs="Times New Roman"/>
          <w:sz w:val="20"/>
          <w:szCs w:val="24"/>
        </w:rPr>
        <w:t xml:space="preserve"> Pérez M. 26 de noviembre de 2025. </w:t>
      </w:r>
      <w:r w:rsidRPr="0012597A">
        <w:rPr>
          <w:rFonts w:ascii="Times New Roman" w:eastAsia="Arial MT" w:hAnsi="Times New Roman" w:cs="Times New Roman"/>
          <w:i/>
          <w:sz w:val="20"/>
          <w:szCs w:val="24"/>
        </w:rPr>
        <w:t xml:space="preserve">Diputados aprueban reformas para atender y frenar la violencia en el deporte. </w:t>
      </w:r>
      <w:r w:rsidRPr="0012597A">
        <w:rPr>
          <w:rFonts w:ascii="Times New Roman" w:eastAsia="Arial MT" w:hAnsi="Times New Roman" w:cs="Times New Roman"/>
          <w:sz w:val="20"/>
          <w:szCs w:val="24"/>
        </w:rPr>
        <w:t xml:space="preserve">EL ECONOMISTA. Véase en: </w:t>
      </w:r>
      <w:r w:rsidRPr="0012597A">
        <w:rPr>
          <w:rFonts w:ascii="Times New Roman" w:eastAsia="Arial MT" w:hAnsi="Times New Roman" w:cs="Times New Roman"/>
          <w:sz w:val="20"/>
          <w:szCs w:val="24"/>
          <w:u w:val="single" w:color="0000FF"/>
        </w:rPr>
        <w:t>https://</w:t>
      </w:r>
      <w:hyperlink r:id="rId69">
        <w:r w:rsidRPr="0012597A">
          <w:rPr>
            <w:rFonts w:ascii="Times New Roman" w:eastAsia="Arial MT" w:hAnsi="Times New Roman" w:cs="Times New Roman"/>
            <w:sz w:val="20"/>
            <w:szCs w:val="24"/>
            <w:u w:val="single" w:color="0000FF"/>
          </w:rPr>
          <w:t>www.eleconomista.com.mx/politica/diputados-aprueban-reformas-atender-frenar-violencia-</w:t>
        </w:r>
      </w:hyperlink>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deporte-20251126-788483.htm</w:t>
      </w:r>
      <w:r w:rsidRPr="0012597A">
        <w:rPr>
          <w:rFonts w:ascii="Times New Roman" w:eastAsia="Arial MT" w:hAnsi="Times New Roman" w:cs="Times New Roman"/>
          <w:sz w:val="20"/>
          <w:szCs w:val="24"/>
        </w:rPr>
        <w:t>l</w:t>
      </w:r>
    </w:p>
    <w:p w14:paraId="5983FA8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tbl>
      <w:tblPr>
        <w:tblStyle w:val="TableNormal3"/>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6672E" w:rsidRPr="0012597A" w14:paraId="0A231B2F" w14:textId="77777777" w:rsidTr="0046672E">
        <w:trPr>
          <w:trHeight w:val="460"/>
        </w:trPr>
        <w:tc>
          <w:tcPr>
            <w:tcW w:w="9350" w:type="dxa"/>
            <w:gridSpan w:val="2"/>
            <w:shd w:val="clear" w:color="auto" w:fill="BFBFBF"/>
          </w:tcPr>
          <w:p w14:paraId="372E669B"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LEY DE ACCESO DE LAS MUJERES A UNA VIDA LIBRE DE VIOLENCIA DEL ESTADO DE MÉXICO</w:t>
            </w:r>
          </w:p>
        </w:tc>
      </w:tr>
      <w:tr w:rsidR="0046672E" w:rsidRPr="0012597A" w14:paraId="3623737C" w14:textId="77777777" w:rsidTr="0046672E">
        <w:trPr>
          <w:trHeight w:val="568"/>
        </w:trPr>
        <w:tc>
          <w:tcPr>
            <w:tcW w:w="4675" w:type="dxa"/>
            <w:tcBorders>
              <w:bottom w:val="nil"/>
            </w:tcBorders>
          </w:tcPr>
          <w:p w14:paraId="7FD68980" w14:textId="77777777" w:rsidR="0046672E" w:rsidRPr="0012597A" w:rsidRDefault="0046672E" w:rsidP="00EF1C7F">
            <w:pPr>
              <w:spacing w:line="240" w:lineRule="auto"/>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3.- </w:t>
            </w:r>
            <w:r w:rsidRPr="0012597A">
              <w:rPr>
                <w:rFonts w:ascii="Times New Roman" w:eastAsia="Arial" w:hAnsi="Times New Roman" w:cs="Times New Roman"/>
                <w:sz w:val="24"/>
                <w:szCs w:val="24"/>
                <w:lang w:val="es-MX"/>
              </w:rPr>
              <w:t>Para los efectos de esta Ley, se entiende por:</w:t>
            </w:r>
          </w:p>
        </w:tc>
        <w:tc>
          <w:tcPr>
            <w:tcW w:w="4675" w:type="dxa"/>
            <w:tcBorders>
              <w:bottom w:val="nil"/>
            </w:tcBorders>
          </w:tcPr>
          <w:p w14:paraId="6465F2E0" w14:textId="77777777" w:rsidR="0046672E" w:rsidRPr="0012597A" w:rsidRDefault="0046672E" w:rsidP="00EF1C7F">
            <w:pPr>
              <w:spacing w:line="240" w:lineRule="auto"/>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3.- </w:t>
            </w:r>
            <w:r w:rsidRPr="0012597A">
              <w:rPr>
                <w:rFonts w:ascii="Times New Roman" w:eastAsia="Arial" w:hAnsi="Times New Roman" w:cs="Times New Roman"/>
                <w:sz w:val="24"/>
                <w:szCs w:val="24"/>
                <w:lang w:val="es-MX"/>
              </w:rPr>
              <w:t>…</w:t>
            </w:r>
          </w:p>
        </w:tc>
      </w:tr>
      <w:tr w:rsidR="0046672E" w:rsidRPr="0012597A" w14:paraId="04346F99" w14:textId="77777777" w:rsidTr="0046672E">
        <w:trPr>
          <w:trHeight w:val="458"/>
        </w:trPr>
        <w:tc>
          <w:tcPr>
            <w:tcW w:w="4675" w:type="dxa"/>
            <w:tcBorders>
              <w:top w:val="nil"/>
              <w:bottom w:val="nil"/>
            </w:tcBorders>
          </w:tcPr>
          <w:p w14:paraId="09123C69" w14:textId="77777777" w:rsidR="0046672E" w:rsidRPr="0012597A" w:rsidRDefault="0046672E" w:rsidP="00EF1C7F">
            <w:pPr>
              <w:spacing w:line="240" w:lineRule="auto"/>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I. </w:t>
            </w:r>
            <w:r w:rsidRPr="0012597A">
              <w:rPr>
                <w:rFonts w:ascii="Times New Roman" w:eastAsia="Arial" w:hAnsi="Times New Roman" w:cs="Times New Roman"/>
                <w:sz w:val="24"/>
                <w:szCs w:val="24"/>
                <w:lang w:val="es-MX"/>
              </w:rPr>
              <w:t xml:space="preserve">a </w:t>
            </w:r>
            <w:r w:rsidRPr="0012597A">
              <w:rPr>
                <w:rFonts w:ascii="Times New Roman" w:eastAsia="Arial" w:hAnsi="Times New Roman" w:cs="Times New Roman"/>
                <w:b/>
                <w:sz w:val="24"/>
                <w:szCs w:val="24"/>
                <w:lang w:val="es-MX"/>
              </w:rPr>
              <w:t xml:space="preserve">XV. </w:t>
            </w:r>
            <w:r w:rsidRPr="0012597A">
              <w:rPr>
                <w:rFonts w:ascii="Times New Roman" w:eastAsia="Arial" w:hAnsi="Times New Roman" w:cs="Times New Roman"/>
                <w:sz w:val="24"/>
                <w:szCs w:val="24"/>
                <w:lang w:val="es-MX"/>
              </w:rPr>
              <w:t>…</w:t>
            </w:r>
          </w:p>
        </w:tc>
        <w:tc>
          <w:tcPr>
            <w:tcW w:w="4675" w:type="dxa"/>
            <w:tcBorders>
              <w:top w:val="nil"/>
              <w:bottom w:val="nil"/>
            </w:tcBorders>
          </w:tcPr>
          <w:p w14:paraId="1BA42BE3" w14:textId="77777777" w:rsidR="0046672E"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 xml:space="preserve">I. </w:t>
            </w:r>
            <w:r w:rsidRPr="0012597A">
              <w:rPr>
                <w:rFonts w:ascii="Times New Roman" w:eastAsia="Arial" w:hAnsi="Times New Roman" w:cs="Times New Roman"/>
                <w:sz w:val="24"/>
                <w:szCs w:val="24"/>
                <w:lang w:val="es-MX"/>
              </w:rPr>
              <w:t xml:space="preserve">a </w:t>
            </w:r>
            <w:r w:rsidRPr="0012597A">
              <w:rPr>
                <w:rFonts w:ascii="Times New Roman" w:eastAsia="Arial" w:hAnsi="Times New Roman" w:cs="Times New Roman"/>
                <w:b/>
                <w:sz w:val="24"/>
                <w:szCs w:val="24"/>
                <w:lang w:val="es-MX"/>
              </w:rPr>
              <w:t>XV. …</w:t>
            </w:r>
          </w:p>
        </w:tc>
      </w:tr>
      <w:tr w:rsidR="0046672E" w:rsidRPr="0012597A" w14:paraId="00D54906" w14:textId="77777777" w:rsidTr="0046672E">
        <w:trPr>
          <w:trHeight w:val="1380"/>
        </w:trPr>
        <w:tc>
          <w:tcPr>
            <w:tcW w:w="4675" w:type="dxa"/>
            <w:tcBorders>
              <w:top w:val="nil"/>
              <w:bottom w:val="nil"/>
            </w:tcBorders>
          </w:tcPr>
          <w:p w14:paraId="6AA9E2AC" w14:textId="77777777" w:rsidR="0046672E" w:rsidRPr="0012597A" w:rsidRDefault="0046672E" w:rsidP="00EF1C7F">
            <w:pPr>
              <w:spacing w:line="240" w:lineRule="auto"/>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Las modalidades, de manera enunciativa y no limitativa, son: violencia familiar, digital y violencia mediática, laboral y docente, violencia en la comunidad, violencia institucional, obstétrica, política y feminicida;</w:t>
            </w:r>
          </w:p>
        </w:tc>
        <w:tc>
          <w:tcPr>
            <w:tcW w:w="4675" w:type="dxa"/>
            <w:tcBorders>
              <w:top w:val="nil"/>
              <w:bottom w:val="nil"/>
            </w:tcBorders>
          </w:tcPr>
          <w:p w14:paraId="1269D321" w14:textId="77777777" w:rsidR="0046672E" w:rsidRPr="0012597A" w:rsidRDefault="0046672E" w:rsidP="00EF1C7F">
            <w:pPr>
              <w:spacing w:line="240" w:lineRule="auto"/>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 xml:space="preserve">Las modalidades, de manera enunciativa y no limitativa, son: violencia familiar, digital y violencia mediática, laboral y docente, violencia en la comunidad, violencia institucional, obstétrica, política, </w:t>
            </w:r>
            <w:r w:rsidRPr="0012597A">
              <w:rPr>
                <w:rFonts w:ascii="Times New Roman" w:eastAsia="Arial" w:hAnsi="Times New Roman" w:cs="Times New Roman"/>
                <w:b/>
                <w:sz w:val="24"/>
                <w:szCs w:val="24"/>
                <w:lang w:val="es-MX"/>
              </w:rPr>
              <w:t xml:space="preserve">en el deporte </w:t>
            </w:r>
            <w:r w:rsidRPr="0012597A">
              <w:rPr>
                <w:rFonts w:ascii="Times New Roman" w:eastAsia="Arial" w:hAnsi="Times New Roman" w:cs="Times New Roman"/>
                <w:sz w:val="24"/>
                <w:szCs w:val="24"/>
                <w:lang w:val="es-MX"/>
              </w:rPr>
              <w:t>y feminicida;</w:t>
            </w:r>
          </w:p>
        </w:tc>
      </w:tr>
      <w:tr w:rsidR="0046672E" w:rsidRPr="0012597A" w14:paraId="13B59BB3" w14:textId="77777777" w:rsidTr="0046672E">
        <w:trPr>
          <w:trHeight w:val="573"/>
        </w:trPr>
        <w:tc>
          <w:tcPr>
            <w:tcW w:w="4675" w:type="dxa"/>
            <w:tcBorders>
              <w:top w:val="nil"/>
            </w:tcBorders>
          </w:tcPr>
          <w:p w14:paraId="115F08DB" w14:textId="77777777" w:rsidR="0046672E"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 xml:space="preserve">XVI. </w:t>
            </w:r>
            <w:r w:rsidRPr="0012597A">
              <w:rPr>
                <w:rFonts w:ascii="Times New Roman" w:eastAsia="Arial" w:hAnsi="Times New Roman" w:cs="Times New Roman"/>
                <w:sz w:val="24"/>
                <w:szCs w:val="24"/>
                <w:lang w:val="es-MX"/>
              </w:rPr>
              <w:t xml:space="preserve">a </w:t>
            </w:r>
            <w:r w:rsidRPr="0012597A">
              <w:rPr>
                <w:rFonts w:ascii="Times New Roman" w:eastAsia="Arial" w:hAnsi="Times New Roman" w:cs="Times New Roman"/>
                <w:b/>
                <w:sz w:val="24"/>
                <w:szCs w:val="24"/>
                <w:lang w:val="es-MX"/>
              </w:rPr>
              <w:t>XXVIII. …</w:t>
            </w:r>
          </w:p>
          <w:p w14:paraId="05E36A58" w14:textId="77777777" w:rsidR="0046672E" w:rsidRPr="0012597A" w:rsidRDefault="0046672E" w:rsidP="00EF1C7F">
            <w:pPr>
              <w:spacing w:line="240" w:lineRule="auto"/>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w:t>
            </w:r>
          </w:p>
        </w:tc>
        <w:tc>
          <w:tcPr>
            <w:tcW w:w="4675" w:type="dxa"/>
            <w:tcBorders>
              <w:top w:val="nil"/>
            </w:tcBorders>
          </w:tcPr>
          <w:p w14:paraId="0073541A" w14:textId="77777777" w:rsidR="0046672E"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 xml:space="preserve">XVI. </w:t>
            </w:r>
            <w:r w:rsidRPr="0012597A">
              <w:rPr>
                <w:rFonts w:ascii="Times New Roman" w:eastAsia="Arial" w:hAnsi="Times New Roman" w:cs="Times New Roman"/>
                <w:sz w:val="24"/>
                <w:szCs w:val="24"/>
                <w:lang w:val="es-MX"/>
              </w:rPr>
              <w:t xml:space="preserve">a </w:t>
            </w:r>
            <w:r w:rsidRPr="0012597A">
              <w:rPr>
                <w:rFonts w:ascii="Times New Roman" w:eastAsia="Arial" w:hAnsi="Times New Roman" w:cs="Times New Roman"/>
                <w:b/>
                <w:sz w:val="24"/>
                <w:szCs w:val="24"/>
                <w:lang w:val="es-MX"/>
              </w:rPr>
              <w:t>XXVIII. …</w:t>
            </w:r>
          </w:p>
          <w:p w14:paraId="636E2606" w14:textId="77777777" w:rsidR="0046672E" w:rsidRPr="0012597A" w:rsidRDefault="0046672E" w:rsidP="00EF1C7F">
            <w:pPr>
              <w:spacing w:line="240" w:lineRule="auto"/>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w:t>
            </w:r>
          </w:p>
        </w:tc>
      </w:tr>
    </w:tbl>
    <w:p w14:paraId="3922CB6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tbl>
      <w:tblPr>
        <w:tblStyle w:val="TableNormal3"/>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6672E" w:rsidRPr="0012597A" w14:paraId="12EB94EC" w14:textId="77777777" w:rsidTr="008B03E1">
        <w:trPr>
          <w:trHeight w:val="20"/>
        </w:trPr>
        <w:tc>
          <w:tcPr>
            <w:tcW w:w="9350" w:type="dxa"/>
            <w:gridSpan w:val="2"/>
            <w:shd w:val="clear" w:color="auto" w:fill="BFBFBF"/>
          </w:tcPr>
          <w:p w14:paraId="06E178FF"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LEY DE CULTURA FÍSICA Y DEPORTE DEL ESTADO DE MÉXICO</w:t>
            </w:r>
          </w:p>
        </w:tc>
      </w:tr>
      <w:tr w:rsidR="0046672E" w:rsidRPr="0012597A" w14:paraId="08271111" w14:textId="77777777" w:rsidTr="008B03E1">
        <w:trPr>
          <w:trHeight w:val="20"/>
        </w:trPr>
        <w:tc>
          <w:tcPr>
            <w:tcW w:w="4675" w:type="dxa"/>
            <w:tcBorders>
              <w:top w:val="nil"/>
              <w:bottom w:val="nil"/>
            </w:tcBorders>
            <w:shd w:val="clear" w:color="auto" w:fill="D9D9D9"/>
          </w:tcPr>
          <w:p w14:paraId="72BCE3BE"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LEY VIGENTE</w:t>
            </w:r>
          </w:p>
        </w:tc>
        <w:tc>
          <w:tcPr>
            <w:tcW w:w="4675" w:type="dxa"/>
            <w:tcBorders>
              <w:top w:val="nil"/>
              <w:bottom w:val="nil"/>
            </w:tcBorders>
            <w:shd w:val="clear" w:color="auto" w:fill="D9D9D9"/>
          </w:tcPr>
          <w:p w14:paraId="5379F133"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INICIATIVA</w:t>
            </w:r>
          </w:p>
        </w:tc>
      </w:tr>
      <w:tr w:rsidR="0046672E" w:rsidRPr="0012597A" w14:paraId="363ED390" w14:textId="77777777" w:rsidTr="008B03E1">
        <w:trPr>
          <w:trHeight w:val="20"/>
        </w:trPr>
        <w:tc>
          <w:tcPr>
            <w:tcW w:w="4675" w:type="dxa"/>
          </w:tcPr>
          <w:p w14:paraId="5DC65CFD"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TÍTULO PRIMERO DISPOSICIONES GENERALES</w:t>
            </w:r>
          </w:p>
          <w:p w14:paraId="1DEA4F5F"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CAPÍTULO ÚNICO</w:t>
            </w:r>
          </w:p>
          <w:p w14:paraId="40F3B3D9" w14:textId="31FBDB6A"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DEL OBJETO Y DE LA CULTURA FÍSICA Y DEPORTE</w:t>
            </w:r>
          </w:p>
          <w:p w14:paraId="261D38C4"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p>
          <w:p w14:paraId="6047587B" w14:textId="77777777" w:rsidR="0046672E" w:rsidRPr="0012597A" w:rsidRDefault="0046672E" w:rsidP="00EF1C7F">
            <w:pPr>
              <w:spacing w:line="240" w:lineRule="auto"/>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4.- </w:t>
            </w:r>
            <w:r w:rsidRPr="0012597A">
              <w:rPr>
                <w:rFonts w:ascii="Times New Roman" w:eastAsia="Arial" w:hAnsi="Times New Roman" w:cs="Times New Roman"/>
                <w:sz w:val="24"/>
                <w:szCs w:val="24"/>
                <w:lang w:val="es-MX"/>
              </w:rPr>
              <w:t>Para efectos de esta Ley se entenderá por:</w:t>
            </w:r>
          </w:p>
          <w:p w14:paraId="2C1A5FEB" w14:textId="77777777" w:rsidR="0046672E" w:rsidRPr="0012597A" w:rsidRDefault="0046672E" w:rsidP="00EF1C7F">
            <w:pPr>
              <w:spacing w:line="240" w:lineRule="auto"/>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I. a XXVI. ….</w:t>
            </w:r>
          </w:p>
          <w:p w14:paraId="0ADE902B"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174D7447" w14:textId="77777777" w:rsidR="0046672E"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Sin correlativo</w:t>
            </w:r>
          </w:p>
        </w:tc>
        <w:tc>
          <w:tcPr>
            <w:tcW w:w="4675" w:type="dxa"/>
          </w:tcPr>
          <w:p w14:paraId="1172732E"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TÍTULO PRIMERO DISPOSICIONES GENERALES</w:t>
            </w:r>
          </w:p>
          <w:p w14:paraId="6EB965B4"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CAPÍTULO ÚNICO</w:t>
            </w:r>
          </w:p>
          <w:p w14:paraId="597F9ADB" w14:textId="4A178714"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DEL OBJETO Y DE LA CULTURA FÍSICA Y DEPORTE</w:t>
            </w:r>
          </w:p>
          <w:p w14:paraId="03A5D5DF"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p>
          <w:p w14:paraId="0F64B621" w14:textId="77777777" w:rsidR="0046672E" w:rsidRPr="0012597A" w:rsidRDefault="0046672E"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Artículo 4.- …</w:t>
            </w:r>
          </w:p>
          <w:p w14:paraId="25ABB90D"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47E6EFE1" w14:textId="77777777" w:rsidR="0046672E" w:rsidRPr="0012597A" w:rsidRDefault="0046672E" w:rsidP="00EF1C7F">
            <w:pPr>
              <w:spacing w:line="240" w:lineRule="auto"/>
              <w:jc w:val="both"/>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I. a XXVI. ….</w:t>
            </w:r>
          </w:p>
          <w:p w14:paraId="018D6182"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27E278BE" w14:textId="77777777" w:rsidR="0046672E" w:rsidRPr="0012597A" w:rsidRDefault="0046672E"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XXVII. Violencia en el deporte: Cualquier acción u omisión que cause daño o sufrimiento, psicológico, físico, simbólico, instrumental, económico, institucional o estructural, ejercida por deportistas, entrenadores, árbitros, dirigentes, servidores públicos, aficionados o cualquier persona,  dentro o fuera de instalaciones deportivas, en cualquier práctica o actividad física relacionada con el deporte.</w:t>
            </w:r>
          </w:p>
        </w:tc>
      </w:tr>
      <w:tr w:rsidR="00D43A85" w:rsidRPr="0012597A" w14:paraId="28078E2B" w14:textId="77777777" w:rsidTr="00EF1C7F">
        <w:trPr>
          <w:trHeight w:val="5530"/>
        </w:trPr>
        <w:tc>
          <w:tcPr>
            <w:tcW w:w="4675" w:type="dxa"/>
          </w:tcPr>
          <w:p w14:paraId="234705AE"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lastRenderedPageBreak/>
              <w:t>TÍTULO DÉCIMO SEGUNDO</w:t>
            </w:r>
          </w:p>
          <w:p w14:paraId="76B1B594"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DE LAS CONDUCTAS VIOLENTAS EN EL DEPORTE</w:t>
            </w:r>
          </w:p>
          <w:p w14:paraId="1A8FF903" w14:textId="77777777" w:rsidR="00D43A85" w:rsidRPr="0012597A" w:rsidRDefault="00D43A85" w:rsidP="00EF1C7F">
            <w:pPr>
              <w:spacing w:line="240" w:lineRule="auto"/>
              <w:rPr>
                <w:rFonts w:ascii="Times New Roman" w:eastAsia="Arial" w:hAnsi="Times New Roman" w:cs="Times New Roman"/>
                <w:sz w:val="24"/>
                <w:szCs w:val="24"/>
                <w:lang w:val="es-MX"/>
              </w:rPr>
            </w:pPr>
          </w:p>
          <w:p w14:paraId="2050A083"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CAPÍTULO PRIMERO</w:t>
            </w:r>
          </w:p>
          <w:p w14:paraId="502A92D0"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DE LOS ACTOS VIOLENTOS</w:t>
            </w:r>
          </w:p>
          <w:p w14:paraId="0C4F0B82" w14:textId="77777777" w:rsidR="00D43A85" w:rsidRPr="0012597A" w:rsidRDefault="00D43A85" w:rsidP="00EF1C7F">
            <w:pPr>
              <w:spacing w:line="240" w:lineRule="auto"/>
              <w:jc w:val="both"/>
              <w:rPr>
                <w:rFonts w:ascii="Times New Roman" w:eastAsia="Arial" w:hAnsi="Times New Roman" w:cs="Times New Roman"/>
                <w:sz w:val="24"/>
                <w:szCs w:val="24"/>
                <w:lang w:val="es-MX"/>
              </w:rPr>
            </w:pPr>
          </w:p>
          <w:p w14:paraId="4F793AD0" w14:textId="77777777" w:rsidR="00D43A85" w:rsidRPr="0012597A" w:rsidRDefault="00D43A85" w:rsidP="00EF1C7F">
            <w:pPr>
              <w:spacing w:line="240" w:lineRule="auto"/>
              <w:jc w:val="both"/>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118.- </w:t>
            </w:r>
            <w:r w:rsidRPr="0012597A">
              <w:rPr>
                <w:rFonts w:ascii="Times New Roman" w:eastAsia="Arial" w:hAnsi="Times New Roman" w:cs="Times New Roman"/>
                <w:sz w:val="24"/>
                <w:szCs w:val="24"/>
                <w:lang w:val="es-MX"/>
              </w:rPr>
              <w:t>Se entenderá por actos o conductas violentas en el deporte las siguientes:</w:t>
            </w:r>
          </w:p>
          <w:p w14:paraId="78D22D6D" w14:textId="77777777" w:rsidR="00D43A85" w:rsidRPr="0012597A" w:rsidRDefault="00D43A85" w:rsidP="00EF1C7F">
            <w:pPr>
              <w:spacing w:line="240" w:lineRule="auto"/>
              <w:jc w:val="both"/>
              <w:rPr>
                <w:rFonts w:ascii="Times New Roman" w:eastAsia="Arial" w:hAnsi="Times New Roman" w:cs="Times New Roman"/>
                <w:sz w:val="24"/>
                <w:szCs w:val="24"/>
                <w:lang w:val="es-MX"/>
              </w:rPr>
            </w:pPr>
          </w:p>
          <w:p w14:paraId="3225B612" w14:textId="77777777" w:rsidR="00D43A85" w:rsidRPr="0012597A" w:rsidRDefault="00D43A85"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 xml:space="preserve">I. </w:t>
            </w:r>
            <w:r w:rsidRPr="0012597A">
              <w:rPr>
                <w:rFonts w:ascii="Times New Roman" w:eastAsia="Arial" w:hAnsi="Times New Roman" w:cs="Times New Roman"/>
                <w:sz w:val="24"/>
                <w:szCs w:val="24"/>
                <w:lang w:val="es-MX"/>
              </w:rPr>
              <w:t xml:space="preserve">a </w:t>
            </w:r>
            <w:r w:rsidRPr="0012597A">
              <w:rPr>
                <w:rFonts w:ascii="Times New Roman" w:eastAsia="Arial" w:hAnsi="Times New Roman" w:cs="Times New Roman"/>
                <w:b/>
                <w:sz w:val="24"/>
                <w:szCs w:val="24"/>
                <w:lang w:val="es-MX"/>
              </w:rPr>
              <w:t>VI. ...</w:t>
            </w:r>
          </w:p>
          <w:p w14:paraId="4F57989D" w14:textId="77777777" w:rsidR="008A11F4" w:rsidRPr="0012597A" w:rsidRDefault="008A11F4" w:rsidP="00EF1C7F">
            <w:pPr>
              <w:spacing w:line="240" w:lineRule="auto"/>
              <w:jc w:val="both"/>
              <w:rPr>
                <w:rFonts w:ascii="Times New Roman" w:eastAsia="Arial" w:hAnsi="Times New Roman" w:cs="Times New Roman"/>
                <w:b/>
                <w:sz w:val="24"/>
                <w:szCs w:val="24"/>
                <w:lang w:val="es-MX"/>
              </w:rPr>
            </w:pPr>
          </w:p>
          <w:p w14:paraId="6BC69399" w14:textId="664DBCF9" w:rsidR="00D43A85" w:rsidRPr="0012597A" w:rsidRDefault="00D43A85"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Sin correlativo</w:t>
            </w:r>
          </w:p>
        </w:tc>
        <w:tc>
          <w:tcPr>
            <w:tcW w:w="4675" w:type="dxa"/>
          </w:tcPr>
          <w:p w14:paraId="3C19443A"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TÍTULO DÉCIMO SEGUNDO</w:t>
            </w:r>
          </w:p>
          <w:p w14:paraId="305B316C"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DE LAS CONDUCTAS VIOLENTAS EN EL DEPORTE</w:t>
            </w:r>
          </w:p>
          <w:p w14:paraId="3583D999" w14:textId="77777777" w:rsidR="00D43A85" w:rsidRPr="0012597A" w:rsidRDefault="00D43A85" w:rsidP="00EF1C7F">
            <w:pPr>
              <w:spacing w:line="240" w:lineRule="auto"/>
              <w:rPr>
                <w:rFonts w:ascii="Times New Roman" w:eastAsia="Arial" w:hAnsi="Times New Roman" w:cs="Times New Roman"/>
                <w:sz w:val="24"/>
                <w:szCs w:val="24"/>
                <w:lang w:val="es-MX"/>
              </w:rPr>
            </w:pPr>
          </w:p>
          <w:p w14:paraId="1E3F8280"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CAPÍTULO PRIMERO</w:t>
            </w:r>
          </w:p>
          <w:p w14:paraId="057E19A8" w14:textId="77777777" w:rsidR="00D43A85" w:rsidRPr="0012597A" w:rsidRDefault="00D43A85"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DE LOS ACTOS VIOLENTOS</w:t>
            </w:r>
          </w:p>
          <w:p w14:paraId="51AAFB80" w14:textId="77777777" w:rsidR="00D43A85" w:rsidRPr="0012597A" w:rsidRDefault="00D43A85" w:rsidP="00EF1C7F">
            <w:pPr>
              <w:spacing w:line="240" w:lineRule="auto"/>
              <w:jc w:val="both"/>
              <w:rPr>
                <w:rFonts w:ascii="Times New Roman" w:eastAsia="Arial" w:hAnsi="Times New Roman" w:cs="Times New Roman"/>
                <w:sz w:val="24"/>
                <w:szCs w:val="24"/>
                <w:lang w:val="es-MX"/>
              </w:rPr>
            </w:pPr>
          </w:p>
          <w:p w14:paraId="277F438E" w14:textId="77777777" w:rsidR="00D43A85" w:rsidRPr="0012597A" w:rsidRDefault="00D43A85" w:rsidP="00EF1C7F">
            <w:pPr>
              <w:spacing w:line="240" w:lineRule="auto"/>
              <w:jc w:val="both"/>
              <w:rPr>
                <w:rFonts w:ascii="Times New Roman" w:eastAsia="Arial" w:hAnsi="Times New Roman" w:cs="Times New Roman"/>
                <w:sz w:val="24"/>
                <w:szCs w:val="24"/>
                <w:lang w:val="es-MX"/>
              </w:rPr>
            </w:pPr>
            <w:r w:rsidRPr="0012597A">
              <w:rPr>
                <w:rFonts w:ascii="Times New Roman" w:eastAsia="Arial" w:hAnsi="Times New Roman" w:cs="Times New Roman"/>
                <w:b/>
                <w:sz w:val="24"/>
                <w:szCs w:val="24"/>
                <w:lang w:val="es-MX"/>
              </w:rPr>
              <w:t xml:space="preserve">Artículo 118.- </w:t>
            </w:r>
            <w:r w:rsidRPr="0012597A">
              <w:rPr>
                <w:rFonts w:ascii="Times New Roman" w:eastAsia="Arial" w:hAnsi="Times New Roman" w:cs="Times New Roman"/>
                <w:sz w:val="24"/>
                <w:szCs w:val="24"/>
                <w:lang w:val="es-MX"/>
              </w:rPr>
              <w:t>…</w:t>
            </w:r>
          </w:p>
          <w:p w14:paraId="584F6132" w14:textId="77777777" w:rsidR="00D43A85" w:rsidRPr="0012597A" w:rsidRDefault="00D43A85" w:rsidP="00EF1C7F">
            <w:pPr>
              <w:spacing w:line="240" w:lineRule="auto"/>
              <w:jc w:val="both"/>
              <w:rPr>
                <w:rFonts w:ascii="Times New Roman" w:eastAsia="Arial" w:hAnsi="Times New Roman" w:cs="Times New Roman"/>
                <w:sz w:val="24"/>
                <w:szCs w:val="24"/>
                <w:lang w:val="es-MX"/>
              </w:rPr>
            </w:pPr>
          </w:p>
          <w:p w14:paraId="7850A75B" w14:textId="77777777" w:rsidR="00D43A85" w:rsidRPr="0012597A" w:rsidRDefault="00D43A85" w:rsidP="00EF1C7F">
            <w:pPr>
              <w:spacing w:line="240" w:lineRule="auto"/>
              <w:jc w:val="both"/>
              <w:rPr>
                <w:rFonts w:ascii="Times New Roman" w:eastAsia="Arial" w:hAnsi="Times New Roman" w:cs="Times New Roman"/>
                <w:sz w:val="24"/>
                <w:szCs w:val="24"/>
                <w:lang w:val="es-MX"/>
              </w:rPr>
            </w:pPr>
          </w:p>
          <w:p w14:paraId="4931595A" w14:textId="77777777" w:rsidR="00D43A85" w:rsidRPr="0012597A" w:rsidRDefault="00D43A85"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 xml:space="preserve">I. </w:t>
            </w:r>
            <w:r w:rsidRPr="0012597A">
              <w:rPr>
                <w:rFonts w:ascii="Times New Roman" w:eastAsia="Arial" w:hAnsi="Times New Roman" w:cs="Times New Roman"/>
                <w:sz w:val="24"/>
                <w:szCs w:val="24"/>
                <w:lang w:val="es-MX"/>
              </w:rPr>
              <w:t xml:space="preserve">a </w:t>
            </w:r>
            <w:r w:rsidRPr="0012597A">
              <w:rPr>
                <w:rFonts w:ascii="Times New Roman" w:eastAsia="Arial" w:hAnsi="Times New Roman" w:cs="Times New Roman"/>
                <w:b/>
                <w:sz w:val="24"/>
                <w:szCs w:val="24"/>
                <w:lang w:val="es-MX"/>
              </w:rPr>
              <w:t>VI. ...</w:t>
            </w:r>
          </w:p>
          <w:p w14:paraId="3C83FC78" w14:textId="77777777" w:rsidR="008A11F4" w:rsidRPr="0012597A" w:rsidRDefault="008A11F4" w:rsidP="00EF1C7F">
            <w:pPr>
              <w:spacing w:line="240" w:lineRule="auto"/>
              <w:jc w:val="both"/>
              <w:rPr>
                <w:rFonts w:ascii="Times New Roman" w:eastAsia="Arial" w:hAnsi="Times New Roman" w:cs="Times New Roman"/>
                <w:b/>
                <w:sz w:val="24"/>
                <w:szCs w:val="24"/>
                <w:lang w:val="es-MX"/>
              </w:rPr>
            </w:pPr>
          </w:p>
          <w:p w14:paraId="12BBBED9" w14:textId="6E86980C" w:rsidR="00D43A85" w:rsidRPr="0012597A" w:rsidRDefault="00D43A85"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VII. Los actos de acoso, hostigamiento, discriminación, exclusión, abuso, violencia sexual o cualquier otra forma de violencia de género ejercida por deportistas, entrenadores,</w:t>
            </w:r>
          </w:p>
          <w:p w14:paraId="053D9EF3" w14:textId="41266FD7" w:rsidR="00D43A85" w:rsidRPr="0012597A" w:rsidRDefault="00D43A85"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jueces, árbitros, directivos, organizadores, espectadores o cualquier persona vinculada al evento deportivo, contra niñas, adolescentes y mujeres en la práctica deportiva.</w:t>
            </w:r>
          </w:p>
        </w:tc>
      </w:tr>
    </w:tbl>
    <w:p w14:paraId="6011DF1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tbl>
      <w:tblPr>
        <w:tblStyle w:val="TableNormal3"/>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6672E" w:rsidRPr="0012597A" w14:paraId="750E61A9" w14:textId="77777777" w:rsidTr="008A11F4">
        <w:trPr>
          <w:trHeight w:val="20"/>
        </w:trPr>
        <w:tc>
          <w:tcPr>
            <w:tcW w:w="9350" w:type="dxa"/>
            <w:gridSpan w:val="2"/>
            <w:shd w:val="clear" w:color="auto" w:fill="BFBFBF"/>
          </w:tcPr>
          <w:p w14:paraId="28A8F6BC"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CÓDIGO PENAL DEL ESTADO DE MÉXICO</w:t>
            </w:r>
          </w:p>
        </w:tc>
      </w:tr>
      <w:tr w:rsidR="0046672E" w:rsidRPr="0012597A" w14:paraId="1DB61177" w14:textId="77777777" w:rsidTr="008A11F4">
        <w:trPr>
          <w:trHeight w:val="20"/>
        </w:trPr>
        <w:tc>
          <w:tcPr>
            <w:tcW w:w="4675" w:type="dxa"/>
            <w:tcBorders>
              <w:top w:val="nil"/>
              <w:bottom w:val="nil"/>
            </w:tcBorders>
            <w:shd w:val="clear" w:color="auto" w:fill="D9D9D9"/>
          </w:tcPr>
          <w:p w14:paraId="43C588A8"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LEY VIGENTE</w:t>
            </w:r>
          </w:p>
        </w:tc>
        <w:tc>
          <w:tcPr>
            <w:tcW w:w="4675" w:type="dxa"/>
            <w:tcBorders>
              <w:top w:val="nil"/>
              <w:bottom w:val="nil"/>
            </w:tcBorders>
            <w:shd w:val="clear" w:color="auto" w:fill="D9D9D9"/>
          </w:tcPr>
          <w:p w14:paraId="0C185D0A" w14:textId="77777777"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INICIATIVA</w:t>
            </w:r>
          </w:p>
        </w:tc>
      </w:tr>
      <w:tr w:rsidR="0046672E" w:rsidRPr="0012597A" w14:paraId="5EBA5215" w14:textId="77777777" w:rsidTr="008A11F4">
        <w:trPr>
          <w:trHeight w:val="20"/>
        </w:trPr>
        <w:tc>
          <w:tcPr>
            <w:tcW w:w="4675" w:type="dxa"/>
            <w:tcBorders>
              <w:bottom w:val="nil"/>
            </w:tcBorders>
          </w:tcPr>
          <w:p w14:paraId="6CC8CAFC"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SUBTITULO QUINTO DELITOS DE VIOLENCIA DE GÉNERO</w:t>
            </w:r>
          </w:p>
        </w:tc>
        <w:tc>
          <w:tcPr>
            <w:tcW w:w="4675" w:type="dxa"/>
            <w:tcBorders>
              <w:bottom w:val="nil"/>
            </w:tcBorders>
          </w:tcPr>
          <w:p w14:paraId="6E200DB2" w14:textId="77777777" w:rsidR="0046672E" w:rsidRPr="0012597A" w:rsidRDefault="0046672E" w:rsidP="00EF1C7F">
            <w:pPr>
              <w:spacing w:line="240" w:lineRule="auto"/>
              <w:jc w:val="center"/>
              <w:rPr>
                <w:rFonts w:ascii="Times New Roman" w:eastAsia="Arial" w:hAnsi="Times New Roman" w:cs="Times New Roman"/>
                <w:sz w:val="24"/>
                <w:szCs w:val="24"/>
                <w:lang w:val="es-MX"/>
              </w:rPr>
            </w:pPr>
            <w:r w:rsidRPr="0012597A">
              <w:rPr>
                <w:rFonts w:ascii="Times New Roman" w:eastAsia="Arial" w:hAnsi="Times New Roman" w:cs="Times New Roman"/>
                <w:sz w:val="24"/>
                <w:szCs w:val="24"/>
                <w:lang w:val="es-MX"/>
              </w:rPr>
              <w:t>SUBTITULO QUINTO DELITOS DE VIOLENCIA DE GÉNERO</w:t>
            </w:r>
          </w:p>
        </w:tc>
      </w:tr>
      <w:tr w:rsidR="0046672E" w:rsidRPr="0012597A" w14:paraId="34F45D4C" w14:textId="77777777" w:rsidTr="008A11F4">
        <w:trPr>
          <w:trHeight w:val="20"/>
        </w:trPr>
        <w:tc>
          <w:tcPr>
            <w:tcW w:w="4675" w:type="dxa"/>
            <w:tcBorders>
              <w:top w:val="nil"/>
              <w:bottom w:val="nil"/>
            </w:tcBorders>
          </w:tcPr>
          <w:p w14:paraId="1937AD49" w14:textId="77777777" w:rsidR="005B7614"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SIN CORRELATIVO</w:t>
            </w:r>
          </w:p>
          <w:p w14:paraId="2CEBE98A" w14:textId="07FF9726" w:rsidR="0046672E"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SIN CORRELATIVO</w:t>
            </w:r>
          </w:p>
        </w:tc>
        <w:tc>
          <w:tcPr>
            <w:tcW w:w="4675" w:type="dxa"/>
            <w:tcBorders>
              <w:top w:val="nil"/>
              <w:bottom w:val="nil"/>
            </w:tcBorders>
          </w:tcPr>
          <w:p w14:paraId="0B1B76D4" w14:textId="77777777" w:rsidR="00B1066C"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CAPÍTULO IV TER</w:t>
            </w:r>
          </w:p>
          <w:p w14:paraId="716B1AE9" w14:textId="37AA5751" w:rsidR="0046672E" w:rsidRPr="0012597A" w:rsidRDefault="0046672E" w:rsidP="00EF1C7F">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VIOLENCIA EN EL DEPORTE</w:t>
            </w:r>
          </w:p>
        </w:tc>
      </w:tr>
      <w:tr w:rsidR="0046672E" w:rsidRPr="0012597A" w14:paraId="50B844C4" w14:textId="77777777" w:rsidTr="008A11F4">
        <w:trPr>
          <w:trHeight w:val="20"/>
        </w:trPr>
        <w:tc>
          <w:tcPr>
            <w:tcW w:w="4675" w:type="dxa"/>
            <w:tcBorders>
              <w:top w:val="nil"/>
            </w:tcBorders>
          </w:tcPr>
          <w:p w14:paraId="1DAC01CE" w14:textId="77777777" w:rsidR="0046672E"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SIN CORRELATIVO</w:t>
            </w:r>
          </w:p>
          <w:p w14:paraId="6ACE0377"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7C67DEF1"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37E0C75A" w14:textId="42DADEA0" w:rsidR="0046672E" w:rsidRPr="0012597A" w:rsidRDefault="0046672E" w:rsidP="00EF1C7F">
            <w:pPr>
              <w:spacing w:line="240" w:lineRule="auto"/>
              <w:rPr>
                <w:rFonts w:ascii="Times New Roman" w:eastAsia="Arial" w:hAnsi="Times New Roman" w:cs="Times New Roman"/>
                <w:sz w:val="24"/>
                <w:szCs w:val="24"/>
                <w:lang w:val="es-MX"/>
              </w:rPr>
            </w:pPr>
          </w:p>
          <w:p w14:paraId="619B6F9F" w14:textId="77777777" w:rsidR="00B1066C" w:rsidRPr="0012597A" w:rsidRDefault="00B1066C" w:rsidP="00EF1C7F">
            <w:pPr>
              <w:spacing w:line="240" w:lineRule="auto"/>
              <w:rPr>
                <w:rFonts w:ascii="Times New Roman" w:eastAsia="Arial" w:hAnsi="Times New Roman" w:cs="Times New Roman"/>
                <w:sz w:val="24"/>
                <w:szCs w:val="24"/>
                <w:lang w:val="es-MX"/>
              </w:rPr>
            </w:pPr>
          </w:p>
          <w:p w14:paraId="454C8EA7"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25097709"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772849FD"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5FAB782D"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502E4D8F" w14:textId="77777777" w:rsidR="0046672E" w:rsidRPr="0012597A" w:rsidRDefault="0046672E" w:rsidP="00EF1C7F">
            <w:pPr>
              <w:spacing w:line="240" w:lineRule="auto"/>
              <w:rPr>
                <w:rFonts w:ascii="Times New Roman" w:eastAsia="Arial" w:hAnsi="Times New Roman" w:cs="Times New Roman"/>
                <w:sz w:val="24"/>
                <w:szCs w:val="24"/>
                <w:lang w:val="es-MX"/>
              </w:rPr>
            </w:pPr>
          </w:p>
          <w:p w14:paraId="0776089B" w14:textId="23161C40" w:rsidR="00B1066C"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SIN CORRELATIVO</w:t>
            </w:r>
          </w:p>
          <w:p w14:paraId="224695E6" w14:textId="08F15972" w:rsidR="00B1066C" w:rsidRPr="0012597A" w:rsidRDefault="00B1066C" w:rsidP="00EF1C7F">
            <w:pPr>
              <w:spacing w:line="240" w:lineRule="auto"/>
              <w:rPr>
                <w:rFonts w:ascii="Times New Roman" w:eastAsia="Arial" w:hAnsi="Times New Roman" w:cs="Times New Roman"/>
                <w:b/>
                <w:sz w:val="24"/>
                <w:szCs w:val="24"/>
                <w:lang w:val="es-MX"/>
              </w:rPr>
            </w:pPr>
          </w:p>
          <w:p w14:paraId="2E01296E" w14:textId="7D9F3195" w:rsidR="00B1066C" w:rsidRPr="0012597A" w:rsidRDefault="00B1066C" w:rsidP="00EF1C7F">
            <w:pPr>
              <w:spacing w:line="240" w:lineRule="auto"/>
              <w:rPr>
                <w:rFonts w:ascii="Times New Roman" w:eastAsia="Arial" w:hAnsi="Times New Roman" w:cs="Times New Roman"/>
                <w:b/>
                <w:sz w:val="24"/>
                <w:szCs w:val="24"/>
                <w:lang w:val="es-MX"/>
              </w:rPr>
            </w:pPr>
          </w:p>
          <w:p w14:paraId="5F3E0C0D" w14:textId="77777777" w:rsidR="00B1066C" w:rsidRPr="0012597A" w:rsidRDefault="00B1066C" w:rsidP="00EF1C7F">
            <w:pPr>
              <w:spacing w:line="240" w:lineRule="auto"/>
              <w:rPr>
                <w:rFonts w:ascii="Times New Roman" w:eastAsia="Arial" w:hAnsi="Times New Roman" w:cs="Times New Roman"/>
                <w:b/>
                <w:sz w:val="24"/>
                <w:szCs w:val="24"/>
                <w:lang w:val="es-MX"/>
              </w:rPr>
            </w:pPr>
          </w:p>
          <w:p w14:paraId="1B62406B" w14:textId="5634CE4A" w:rsidR="0046672E" w:rsidRPr="0012597A" w:rsidRDefault="0046672E" w:rsidP="00EF1C7F">
            <w:pPr>
              <w:spacing w:line="240" w:lineRule="auto"/>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SIN CORRELATIVO</w:t>
            </w:r>
          </w:p>
        </w:tc>
        <w:tc>
          <w:tcPr>
            <w:tcW w:w="4675" w:type="dxa"/>
            <w:tcBorders>
              <w:top w:val="nil"/>
            </w:tcBorders>
          </w:tcPr>
          <w:p w14:paraId="234DF7B4" w14:textId="3C173B3F" w:rsidR="0046672E" w:rsidRPr="0012597A" w:rsidRDefault="0046672E"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Artículo 280 Ter. Comete el delito de violencia de género en el deporte quien, en el marco de la práctica, organización, dirección, asistencia o difusión de actividades físicas, recreativas o deportivas, realice actos de discriminación, hostigamiento, intimidación, agresión física, psicológica, verbal, económica, institucional o sexual en contra de mujeres, niñas o cualquier persona por razón de género.</w:t>
            </w:r>
          </w:p>
          <w:p w14:paraId="6248B1EE" w14:textId="77777777" w:rsidR="005B7614" w:rsidRPr="0012597A" w:rsidRDefault="005B7614" w:rsidP="00EF1C7F">
            <w:pPr>
              <w:spacing w:line="240" w:lineRule="auto"/>
              <w:jc w:val="both"/>
              <w:rPr>
                <w:rFonts w:ascii="Times New Roman" w:eastAsia="Arial" w:hAnsi="Times New Roman" w:cs="Times New Roman"/>
                <w:b/>
                <w:sz w:val="24"/>
                <w:szCs w:val="24"/>
                <w:lang w:val="es-MX"/>
              </w:rPr>
            </w:pPr>
          </w:p>
          <w:p w14:paraId="01247C07" w14:textId="77777777" w:rsidR="0046672E" w:rsidRPr="0012597A" w:rsidRDefault="0046672E"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Al responsable se le impondrán de seis meses a dos años de prisión y de cincuenta a trescientos días de multa.</w:t>
            </w:r>
          </w:p>
          <w:p w14:paraId="6FB6BE87" w14:textId="77777777" w:rsidR="0046672E" w:rsidRPr="0012597A" w:rsidRDefault="0046672E" w:rsidP="00EF1C7F">
            <w:pPr>
              <w:spacing w:line="240" w:lineRule="auto"/>
              <w:jc w:val="both"/>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Cuando la conducta sea realizada por entrenadores, directivos, jueces, árbitros, personal administrativo o cualquier persona que ejerza una posición de poder, autoridad o confianza dentro del ámbito deportivo, la pena se incrementará hasta en una mitad.</w:t>
            </w:r>
          </w:p>
        </w:tc>
      </w:tr>
    </w:tbl>
    <w:p w14:paraId="48330505"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8546748"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deporte desempeña un papel importante en la lucha contra los estereotipos de género y las </w:t>
      </w:r>
      <w:r w:rsidRPr="0012597A">
        <w:rPr>
          <w:rFonts w:ascii="Times New Roman" w:eastAsia="Arial MT" w:hAnsi="Times New Roman" w:cs="Times New Roman"/>
          <w:sz w:val="24"/>
          <w:szCs w:val="24"/>
        </w:rPr>
        <w:lastRenderedPageBreak/>
        <w:t>actitudes que fomentan la violencia contra las mujeres y niñas; por este motivo consideramos que a través de la presente iniciativa se abordará esta problemática y se respaldará a las deportistas del Estado de México.</w:t>
      </w:r>
    </w:p>
    <w:p w14:paraId="090B268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BD1B5B4" w14:textId="77777777" w:rsidR="0046672E" w:rsidRPr="0012597A" w:rsidRDefault="0046672E" w:rsidP="00EF1C7F">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Por lo anteriormente expuesto, fundamentado y motivado, sometemos a la consideración de este H. Poder Legislativo del Estado de México, para su análisis, discusión y, en su caso, aprobación, la siguiente: INICIATIVA CON PROYECTO DE DECRETO POR LA QUE SE REFORMA EL SEGUNDO PÁRRAFO DE LA FRACCIÓN XV DEL ARTÍCULO 3 DE LA LEY DE ACCESO DE LAS MUJERES A UNA VIDA LIBRE DE VIOLENCIA DEL ESTADO DE MÉXICO; SE ADICIONAN LAS FRACCIONES XXVII AL ARTÍCULO 4 Y LA VII AL ARTÍCULO 118 DE LA LEY DE CULTURA FÍSICA Y DEPORTE DEL ESTADO DE MÉXICO Y SE ADICIONA EL CAPÍTULO IV TER Y EL ARTÍCULO 280 TER DEL CÓDIGO PENAL DEL ESTADO DE MÉXICO, EN MATERIA DE VIOLENCIA DE GÉNERO EN EL DEPORTE.</w:t>
      </w:r>
    </w:p>
    <w:p w14:paraId="073477C3"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sz w:val="24"/>
          <w:szCs w:val="24"/>
        </w:rPr>
      </w:pPr>
    </w:p>
    <w:p w14:paraId="02E31E41"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p w14:paraId="195C2BB5"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JOSÉ ALBERTO COUTTOLENC BUENTELLO</w:t>
      </w:r>
    </w:p>
    <w:p w14:paraId="000576A8"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COORDINADOR DEL GRUPO PARLAMENTARIO DEL</w:t>
      </w:r>
    </w:p>
    <w:p w14:paraId="6CA5AB79"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PARTIDO VERDE ECOLOGISTA DE MÉXICO</w:t>
      </w:r>
    </w:p>
    <w:p w14:paraId="2AB033C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4BE18A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BC49895"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01E64C5" w14:textId="77777777" w:rsidR="0046672E" w:rsidRPr="0012597A" w:rsidRDefault="0046672E" w:rsidP="00EF1C7F">
      <w:pPr>
        <w:widowControl w:val="0"/>
        <w:autoSpaceDE w:val="0"/>
        <w:autoSpaceDN w:val="0"/>
        <w:spacing w:after="0" w:line="240" w:lineRule="auto"/>
        <w:outlineLvl w:val="0"/>
        <w:rPr>
          <w:rFonts w:ascii="Times New Roman" w:eastAsia="Arial" w:hAnsi="Times New Roman" w:cs="Times New Roman"/>
          <w:bCs/>
          <w:sz w:val="24"/>
          <w:szCs w:val="24"/>
        </w:rPr>
      </w:pPr>
      <w:r w:rsidRPr="0012597A">
        <w:rPr>
          <w:rFonts w:ascii="Times New Roman" w:eastAsia="Arial" w:hAnsi="Times New Roman" w:cs="Times New Roman"/>
          <w:b/>
          <w:bCs/>
          <w:sz w:val="24"/>
          <w:szCs w:val="24"/>
        </w:rPr>
        <w:t xml:space="preserve">DECRETO NÚMERO </w:t>
      </w:r>
      <w:r w:rsidRPr="0012597A">
        <w:rPr>
          <w:rFonts w:ascii="Times New Roman" w:eastAsia="Arial" w:hAnsi="Times New Roman" w:cs="Times New Roman"/>
          <w:bCs/>
          <w:sz w:val="24"/>
          <w:szCs w:val="24"/>
          <w:u w:val="thick"/>
        </w:rPr>
        <w:tab/>
      </w:r>
    </w:p>
    <w:p w14:paraId="390CAED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LXII LEGISLATURA DEL ESTADO DE MÉXICO DECRETA:</w:t>
      </w:r>
    </w:p>
    <w:p w14:paraId="369C1658"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1D11F634"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Se reforma el segundo párrafo de la fracción XV del Artículo 3 de la Ley de Acceso de las Mujeres a una Vida libre de Violencia del Estado de México, para quedar como sigue:</w:t>
      </w:r>
    </w:p>
    <w:p w14:paraId="551EE04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C8E4D19" w14:textId="77777777" w:rsidR="0046672E" w:rsidRPr="0012597A" w:rsidRDefault="0046672E"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LEY DE ACCESO DE LAS MUJERES A UNA VIDA LIBRE DE VIOLENCIA DEL ESTADO DE MÉXICO</w:t>
      </w:r>
    </w:p>
    <w:p w14:paraId="1A307AFF"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50EB43FB"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TÍTULO PRIMERO</w:t>
      </w:r>
    </w:p>
    <w:p w14:paraId="6C9BC8A0"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DISPOSICIONES GENERALES</w:t>
      </w:r>
    </w:p>
    <w:p w14:paraId="2F6C972A"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3EFF59B"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CAPÍTULO ÚNICO</w:t>
      </w:r>
    </w:p>
    <w:p w14:paraId="57AE22DC"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NATURALEZA Y OBJETO DE LA LEY</w:t>
      </w:r>
    </w:p>
    <w:p w14:paraId="4E7C2CF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CD5A77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3.- </w:t>
      </w:r>
      <w:r w:rsidRPr="0012597A">
        <w:rPr>
          <w:rFonts w:ascii="Times New Roman" w:eastAsia="Arial MT" w:hAnsi="Times New Roman" w:cs="Times New Roman"/>
          <w:sz w:val="24"/>
          <w:szCs w:val="24"/>
        </w:rPr>
        <w:t>…</w:t>
      </w:r>
    </w:p>
    <w:p w14:paraId="7B857E3A"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4B4871A7"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I. </w:t>
      </w:r>
      <w:r w:rsidRPr="0012597A">
        <w:rPr>
          <w:rFonts w:ascii="Times New Roman" w:eastAsia="Arial MT" w:hAnsi="Times New Roman" w:cs="Times New Roman"/>
          <w:sz w:val="24"/>
          <w:szCs w:val="24"/>
        </w:rPr>
        <w:t xml:space="preserve">a </w:t>
      </w:r>
      <w:r w:rsidRPr="0012597A">
        <w:rPr>
          <w:rFonts w:ascii="Times New Roman" w:eastAsia="Arial MT" w:hAnsi="Times New Roman" w:cs="Times New Roman"/>
          <w:b/>
          <w:sz w:val="24"/>
          <w:szCs w:val="24"/>
        </w:rPr>
        <w:t>XV. …</w:t>
      </w:r>
    </w:p>
    <w:p w14:paraId="353CF3CD"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7E61DB08"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Las modalidades, manera enunciativa y no limitativa, son: violencia familiar, digital y violencia mediática, laboral y docente, violencia en la comunidad, violencia institucional, obstétrica, política, </w:t>
      </w:r>
      <w:r w:rsidRPr="0012597A">
        <w:rPr>
          <w:rFonts w:ascii="Times New Roman" w:eastAsia="Arial MT" w:hAnsi="Times New Roman" w:cs="Times New Roman"/>
          <w:b/>
          <w:sz w:val="24"/>
          <w:szCs w:val="24"/>
        </w:rPr>
        <w:t xml:space="preserve">en el deporte </w:t>
      </w:r>
      <w:r w:rsidRPr="0012597A">
        <w:rPr>
          <w:rFonts w:ascii="Times New Roman" w:eastAsia="Arial MT" w:hAnsi="Times New Roman" w:cs="Times New Roman"/>
          <w:sz w:val="24"/>
          <w:szCs w:val="24"/>
        </w:rPr>
        <w:t>y feminicida;</w:t>
      </w:r>
    </w:p>
    <w:p w14:paraId="0B1CC0C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91BC03F"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XVI. </w:t>
      </w:r>
      <w:r w:rsidRPr="0012597A">
        <w:rPr>
          <w:rFonts w:ascii="Times New Roman" w:eastAsia="Arial MT" w:hAnsi="Times New Roman" w:cs="Times New Roman"/>
          <w:sz w:val="24"/>
          <w:szCs w:val="24"/>
        </w:rPr>
        <w:t xml:space="preserve">a </w:t>
      </w:r>
      <w:r w:rsidRPr="0012597A">
        <w:rPr>
          <w:rFonts w:ascii="Times New Roman" w:eastAsia="Arial MT" w:hAnsi="Times New Roman" w:cs="Times New Roman"/>
          <w:b/>
          <w:sz w:val="24"/>
          <w:szCs w:val="24"/>
        </w:rPr>
        <w:t>XXVIII. …</w:t>
      </w:r>
    </w:p>
    <w:p w14:paraId="68AB0EB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055FAC6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w:t>
      </w:r>
    </w:p>
    <w:p w14:paraId="4265371E"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40005BF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lastRenderedPageBreak/>
        <w:t xml:space="preserve">SEGUNDO. </w:t>
      </w:r>
      <w:r w:rsidRPr="0012597A">
        <w:rPr>
          <w:rFonts w:ascii="Times New Roman" w:eastAsia="Arial MT" w:hAnsi="Times New Roman" w:cs="Times New Roman"/>
          <w:sz w:val="24"/>
          <w:szCs w:val="24"/>
        </w:rPr>
        <w:t>Se adicionan las fracciones XXVII al Artículo 4 y la VII al Artículo 118 de la Ley de Cultura Física y Deporte del Estado de México</w:t>
      </w:r>
      <w:r w:rsidRPr="0012597A">
        <w:rPr>
          <w:rFonts w:ascii="Times New Roman" w:eastAsia="Arial MT" w:hAnsi="Times New Roman" w:cs="Times New Roman"/>
          <w:b/>
          <w:sz w:val="24"/>
          <w:szCs w:val="24"/>
        </w:rPr>
        <w:t xml:space="preserve">, </w:t>
      </w:r>
      <w:r w:rsidRPr="0012597A">
        <w:rPr>
          <w:rFonts w:ascii="Times New Roman" w:eastAsia="Arial MT" w:hAnsi="Times New Roman" w:cs="Times New Roman"/>
          <w:sz w:val="24"/>
          <w:szCs w:val="24"/>
        </w:rPr>
        <w:t>para quedar como sigue:</w:t>
      </w:r>
    </w:p>
    <w:p w14:paraId="68D57D1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12D553D" w14:textId="77777777" w:rsidR="0046672E" w:rsidRPr="0012597A" w:rsidRDefault="0046672E"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LEY DE CULTURA FÍSICA Y DEPORTE DEL ESTADO DE MÉXICO</w:t>
      </w:r>
    </w:p>
    <w:p w14:paraId="232BFC99"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69864196"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TÍTULO PRIMERO</w:t>
      </w:r>
    </w:p>
    <w:p w14:paraId="5E8F06AF"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DISPOSICIONES GENERALES</w:t>
      </w:r>
    </w:p>
    <w:p w14:paraId="300056B2"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80AAC74"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CAPÍTULO ÚNICO</w:t>
      </w:r>
    </w:p>
    <w:p w14:paraId="6C86A40C"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DEL OBJETO Y DE LA CULTURA FÍSICA Y DEPORTE</w:t>
      </w:r>
    </w:p>
    <w:p w14:paraId="04504C4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78A4909"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2.- …</w:t>
      </w:r>
    </w:p>
    <w:p w14:paraId="2F209591"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1016B777"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I. </w:t>
      </w:r>
      <w:r w:rsidRPr="0012597A">
        <w:rPr>
          <w:rFonts w:ascii="Times New Roman" w:eastAsia="Arial MT" w:hAnsi="Times New Roman" w:cs="Times New Roman"/>
          <w:sz w:val="24"/>
          <w:szCs w:val="24"/>
        </w:rPr>
        <w:t xml:space="preserve">a </w:t>
      </w:r>
      <w:r w:rsidRPr="0012597A">
        <w:rPr>
          <w:rFonts w:ascii="Times New Roman" w:eastAsia="Arial MT" w:hAnsi="Times New Roman" w:cs="Times New Roman"/>
          <w:b/>
          <w:sz w:val="24"/>
          <w:szCs w:val="24"/>
        </w:rPr>
        <w:t xml:space="preserve">XXVI. </w:t>
      </w:r>
      <w:r w:rsidRPr="0012597A">
        <w:rPr>
          <w:rFonts w:ascii="Times New Roman" w:eastAsia="Arial MT" w:hAnsi="Times New Roman" w:cs="Times New Roman"/>
          <w:sz w:val="24"/>
          <w:szCs w:val="24"/>
        </w:rPr>
        <w:t>….</w:t>
      </w:r>
    </w:p>
    <w:p w14:paraId="5289174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04E46A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XXVII. Violencia en el deporte: Cualquier acción u omisión que cause daño o sufrimiento, psicológico, físico, simbólico, instrumental, económico, institucional o estructural, ejercida por deportistas, entrenadores, árbitros, dirigentes, servidores públicos, aficionados o cualquier persona, dentro o fuera de instalaciones deportivas, en cualquier práctica o actividad física relacionada con el deporte.</w:t>
      </w:r>
    </w:p>
    <w:p w14:paraId="05FA0C7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64BC7B35"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TÍTULO DÉCIMO SEGUNDO</w:t>
      </w:r>
    </w:p>
    <w:p w14:paraId="2DCF7B85"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DE LAS CONDUCTAS VIOLENTAS EN EL DEPORTE</w:t>
      </w:r>
    </w:p>
    <w:p w14:paraId="0BC259F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3A00FDA4"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CAPÍTULO PRIMERO</w:t>
      </w:r>
    </w:p>
    <w:p w14:paraId="530F51EC"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DE LOS ACTOS VIOLENTOS</w:t>
      </w:r>
    </w:p>
    <w:p w14:paraId="0DC6A04E"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800947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118.- </w:t>
      </w:r>
      <w:r w:rsidRPr="0012597A">
        <w:rPr>
          <w:rFonts w:ascii="Times New Roman" w:eastAsia="Arial MT" w:hAnsi="Times New Roman" w:cs="Times New Roman"/>
          <w:sz w:val="24"/>
          <w:szCs w:val="24"/>
        </w:rPr>
        <w:t>…</w:t>
      </w:r>
    </w:p>
    <w:p w14:paraId="694BB78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8CC6EEB"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I. </w:t>
      </w:r>
      <w:r w:rsidRPr="0012597A">
        <w:rPr>
          <w:rFonts w:ascii="Times New Roman" w:eastAsia="Arial MT" w:hAnsi="Times New Roman" w:cs="Times New Roman"/>
          <w:sz w:val="24"/>
          <w:szCs w:val="24"/>
        </w:rPr>
        <w:t xml:space="preserve">a </w:t>
      </w:r>
      <w:r w:rsidRPr="0012597A">
        <w:rPr>
          <w:rFonts w:ascii="Times New Roman" w:eastAsia="Arial MT" w:hAnsi="Times New Roman" w:cs="Times New Roman"/>
          <w:b/>
          <w:sz w:val="24"/>
          <w:szCs w:val="24"/>
        </w:rPr>
        <w:t xml:space="preserve">VI. </w:t>
      </w:r>
      <w:r w:rsidRPr="0012597A">
        <w:rPr>
          <w:rFonts w:ascii="Times New Roman" w:eastAsia="Arial MT" w:hAnsi="Times New Roman" w:cs="Times New Roman"/>
          <w:sz w:val="24"/>
          <w:szCs w:val="24"/>
        </w:rPr>
        <w:t>...</w:t>
      </w:r>
    </w:p>
    <w:p w14:paraId="75C7DBAC"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F435F6E"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VII. Los actos de acoso, hostigamiento, discriminación, exclusión, abuso, violencia sexual o cualquier otra forma de violencia de género ejercida por deportistas, entrenadores, jueces, árbitros, directivos, organizadores, espectadores o cualquier persona vinculada al evento deportivo, contra niñas, adolescentes y mujeres en la práctica deportiva.</w:t>
      </w:r>
    </w:p>
    <w:p w14:paraId="26B0C1E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60A69B7"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Se adicionan el Capítulo IV Ter y el Artículo 280 Ter del Código Penal del Estado de México, para quedar como sigue:</w:t>
      </w:r>
    </w:p>
    <w:p w14:paraId="38868C4A"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1CC0C18F" w14:textId="77777777" w:rsidR="0046672E" w:rsidRPr="0012597A" w:rsidRDefault="0046672E"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CÓDIGO PENAL DEL ESTADO DE MÉXICO</w:t>
      </w:r>
    </w:p>
    <w:p w14:paraId="29CE5A26"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6C653D6B"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SUBTITULO QUINTO</w:t>
      </w:r>
    </w:p>
    <w:p w14:paraId="02F21501" w14:textId="77777777" w:rsidR="0046672E" w:rsidRPr="0012597A" w:rsidRDefault="0046672E"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DELITOS DE VIOLENCIA DE GÉNERO</w:t>
      </w:r>
    </w:p>
    <w:p w14:paraId="1C1C86D4"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0D6D4717" w14:textId="77777777" w:rsidR="0046672E" w:rsidRPr="0012597A" w:rsidRDefault="0046672E"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CAPÍTULO IV TER</w:t>
      </w:r>
    </w:p>
    <w:p w14:paraId="344D0031" w14:textId="77777777" w:rsidR="0046672E" w:rsidRPr="0012597A" w:rsidRDefault="0046672E"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VIOLENCIA EN EL DEPORTE</w:t>
      </w:r>
    </w:p>
    <w:p w14:paraId="090D328B"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5A58B0B2"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280 Ter. Comete el delito de violencia de género en el deporte quien, en el marco de la práctica, organización, dirección, asistencia o difusión de actividades físicas, recreativas o </w:t>
      </w:r>
      <w:r w:rsidRPr="0012597A">
        <w:rPr>
          <w:rFonts w:ascii="Times New Roman" w:eastAsia="Arial MT" w:hAnsi="Times New Roman" w:cs="Times New Roman"/>
          <w:b/>
          <w:sz w:val="24"/>
          <w:szCs w:val="24"/>
        </w:rPr>
        <w:lastRenderedPageBreak/>
        <w:t>deportivas, realice actos de discriminación, hostigamiento, intimidación, agresión física, psicológica, verbal, económica, institucional o sexual en contra de niñas, adolescentes, mujeres o cualquier persona por razón de género.</w:t>
      </w:r>
    </w:p>
    <w:p w14:paraId="177F9155"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13F7163D"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Al responsable se le impondrán de seis meses a dos años de prisión y de cincuenta a trescientos días de multa.</w:t>
      </w:r>
    </w:p>
    <w:p w14:paraId="091CEA05"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354A7CB6"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Cuando la conducta sea realizada por entrenadores, directivos, jueces, árbitros, personal administrativo o cualquier persona que ejerza una posición de poder, autoridad o confianza dentro del ámbito deportivo, la pena se incrementará hasta en una mitad.</w:t>
      </w:r>
    </w:p>
    <w:p w14:paraId="059F231E"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7E628775" w14:textId="77777777" w:rsidR="0046672E" w:rsidRPr="0012597A" w:rsidRDefault="0046672E" w:rsidP="00EF1C7F">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TRANSITORIOS</w:t>
      </w:r>
    </w:p>
    <w:p w14:paraId="24F37F2E"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b/>
          <w:sz w:val="24"/>
          <w:szCs w:val="24"/>
        </w:rPr>
      </w:pPr>
    </w:p>
    <w:p w14:paraId="2C62BBF0"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PRIMERO. </w:t>
      </w:r>
      <w:r w:rsidRPr="0012597A">
        <w:rPr>
          <w:rFonts w:ascii="Times New Roman" w:eastAsia="Arial MT" w:hAnsi="Times New Roman" w:cs="Times New Roman"/>
          <w:sz w:val="24"/>
          <w:szCs w:val="24"/>
        </w:rPr>
        <w:t>Publíquese el presente Decreto en el Periódico Oficial “Gaceta de Gobierno”.</w:t>
      </w:r>
    </w:p>
    <w:p w14:paraId="62D0B0D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7B1C1877"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SEGUNDO. </w:t>
      </w:r>
      <w:r w:rsidRPr="0012597A">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14:paraId="7FE38590"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5687DAB9"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persona titular del Poder Ejecutivo lo tendrá por entendido, haciendo que se publique y se cumpla.</w:t>
      </w:r>
    </w:p>
    <w:p w14:paraId="34DEDD53" w14:textId="77777777" w:rsidR="0046672E" w:rsidRPr="0012597A" w:rsidRDefault="0046672E" w:rsidP="00EF1C7F">
      <w:pPr>
        <w:widowControl w:val="0"/>
        <w:autoSpaceDE w:val="0"/>
        <w:autoSpaceDN w:val="0"/>
        <w:spacing w:after="0" w:line="240" w:lineRule="auto"/>
        <w:rPr>
          <w:rFonts w:ascii="Times New Roman" w:eastAsia="Arial MT" w:hAnsi="Times New Roman" w:cs="Times New Roman"/>
          <w:sz w:val="24"/>
          <w:szCs w:val="24"/>
        </w:rPr>
      </w:pPr>
    </w:p>
    <w:p w14:paraId="64DD8521" w14:textId="77777777" w:rsidR="0046672E" w:rsidRPr="0012597A" w:rsidRDefault="0046672E"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Capital del Estado de México, a los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días del mes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del año dos mil veintiséis.</w:t>
      </w:r>
    </w:p>
    <w:p w14:paraId="5459D6B3" w14:textId="77777777" w:rsidR="0046672E" w:rsidRPr="0012597A" w:rsidRDefault="0046672E" w:rsidP="00EF1C7F">
      <w:pPr>
        <w:spacing w:after="0" w:line="240" w:lineRule="auto"/>
        <w:jc w:val="center"/>
        <w:rPr>
          <w:rFonts w:ascii="Times New Roman" w:hAnsi="Times New Roman"/>
          <w:sz w:val="24"/>
          <w:szCs w:val="24"/>
        </w:rPr>
      </w:pPr>
    </w:p>
    <w:p w14:paraId="158E6912" w14:textId="77777777" w:rsidR="0046672E" w:rsidRPr="0012597A" w:rsidRDefault="0046672E"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13619B6D" w14:textId="77777777" w:rsidR="0046672E" w:rsidRPr="0012597A" w:rsidRDefault="0046672E" w:rsidP="00EF1C7F">
      <w:pPr>
        <w:spacing w:after="0" w:line="240" w:lineRule="auto"/>
        <w:jc w:val="center"/>
        <w:rPr>
          <w:rFonts w:ascii="Times New Roman" w:hAnsi="Times New Roman"/>
          <w:sz w:val="24"/>
          <w:szCs w:val="24"/>
        </w:rPr>
      </w:pPr>
    </w:p>
    <w:p w14:paraId="6A0DCC60" w14:textId="32D03B72"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Alejandra Figueroa Adame.</w:t>
      </w:r>
    </w:p>
    <w:p w14:paraId="2E66689A"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 registra la iniciativa y se remite a las Comisiones Legislativas de Procuración y Administración de Justicia y de la Juventud y el Deporte para su estudio y dictamen.</w:t>
      </w:r>
    </w:p>
    <w:p w14:paraId="29C79ABD" w14:textId="55FC99F5"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el punto número 16 y a petición del promovente, se omite la lectura en concordancia con el punto 16; el diputado Elías Rescala, presenta en nombre del Grupo Parlamentario del Partido Revolucionario Institucional, iniciativa con proyecto de decreto por el que se reforman, adicionan diversas disposiciones del Código Financiero del Estado de México y Municipios para que la Ciudad de México pague la basura que envía a nuestro Estado y esos recursos, se queden en los municipios afectados.</w:t>
      </w:r>
    </w:p>
    <w:p w14:paraId="38B904AC" w14:textId="77777777" w:rsidR="0045611D" w:rsidRPr="0012597A" w:rsidRDefault="0045611D" w:rsidP="00EF1C7F">
      <w:pPr>
        <w:pStyle w:val="Sinespaciado"/>
        <w:jc w:val="both"/>
        <w:rPr>
          <w:rFonts w:ascii="Times New Roman" w:hAnsi="Times New Roman" w:cs="Times New Roman"/>
          <w:sz w:val="24"/>
          <w:szCs w:val="24"/>
        </w:rPr>
      </w:pPr>
    </w:p>
    <w:p w14:paraId="2CF51C6B" w14:textId="77777777" w:rsidR="0045611D" w:rsidRPr="0012597A" w:rsidRDefault="0045611D"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524FF7DB" w14:textId="77777777" w:rsidR="0045611D" w:rsidRPr="0012597A" w:rsidRDefault="0045611D" w:rsidP="00EF1C7F">
      <w:pPr>
        <w:spacing w:after="0" w:line="240" w:lineRule="auto"/>
        <w:jc w:val="center"/>
        <w:rPr>
          <w:rFonts w:ascii="Times New Roman" w:hAnsi="Times New Roman"/>
          <w:sz w:val="24"/>
          <w:szCs w:val="24"/>
        </w:rPr>
      </w:pPr>
    </w:p>
    <w:p w14:paraId="12C36939" w14:textId="77777777" w:rsidR="006836F2" w:rsidRPr="0012597A" w:rsidRDefault="006836F2" w:rsidP="00EF1C7F">
      <w:pPr>
        <w:widowControl w:val="0"/>
        <w:autoSpaceDE w:val="0"/>
        <w:autoSpaceDN w:val="0"/>
        <w:spacing w:after="0" w:line="240" w:lineRule="auto"/>
        <w:jc w:val="center"/>
        <w:rPr>
          <w:rFonts w:ascii="Times New Roman" w:eastAsia="Arial MT" w:hAnsi="Times New Roman" w:cs="Times New Roman"/>
          <w:b/>
          <w:noProof/>
          <w:sz w:val="24"/>
          <w:szCs w:val="24"/>
        </w:rPr>
      </w:pPr>
      <w:r w:rsidRPr="0012597A">
        <w:rPr>
          <w:rFonts w:ascii="Times New Roman" w:eastAsia="Arial MT" w:hAnsi="Times New Roman" w:cs="Times New Roman"/>
          <w:b/>
          <w:noProof/>
          <w:sz w:val="24"/>
          <w:szCs w:val="24"/>
        </w:rPr>
        <w:t>Dip. Elías Rescala Jiménez</w:t>
      </w:r>
    </w:p>
    <w:p w14:paraId="6DA86E32" w14:textId="77777777" w:rsidR="006836F2" w:rsidRPr="0012597A" w:rsidRDefault="006836F2" w:rsidP="00EF1C7F">
      <w:pPr>
        <w:widowControl w:val="0"/>
        <w:autoSpaceDE w:val="0"/>
        <w:autoSpaceDN w:val="0"/>
        <w:spacing w:after="0" w:line="240" w:lineRule="auto"/>
        <w:jc w:val="center"/>
        <w:rPr>
          <w:rFonts w:ascii="Times New Roman" w:eastAsia="Arial MT" w:hAnsi="Times New Roman" w:cs="Times New Roman"/>
          <w:noProof/>
          <w:sz w:val="24"/>
          <w:szCs w:val="24"/>
        </w:rPr>
      </w:pPr>
      <w:r w:rsidRPr="0012597A">
        <w:rPr>
          <w:rFonts w:ascii="Times New Roman" w:eastAsia="Arial MT" w:hAnsi="Times New Roman" w:cs="Times New Roman"/>
          <w:noProof/>
          <w:sz w:val="24"/>
          <w:szCs w:val="24"/>
        </w:rPr>
        <w:t>Coordinador del Grupo Parlamentario</w:t>
      </w:r>
    </w:p>
    <w:p w14:paraId="719860BC" w14:textId="77777777" w:rsidR="006836F2" w:rsidRPr="0012597A" w:rsidRDefault="006836F2" w:rsidP="00EF1C7F">
      <w:pPr>
        <w:widowControl w:val="0"/>
        <w:autoSpaceDE w:val="0"/>
        <w:autoSpaceDN w:val="0"/>
        <w:spacing w:after="0" w:line="240" w:lineRule="auto"/>
        <w:jc w:val="center"/>
        <w:rPr>
          <w:rFonts w:ascii="Times New Roman" w:eastAsia="Arial MT" w:hAnsi="Times New Roman" w:cs="Times New Roman"/>
          <w:noProof/>
          <w:sz w:val="24"/>
          <w:szCs w:val="24"/>
        </w:rPr>
      </w:pPr>
    </w:p>
    <w:p w14:paraId="7DC3EDC6" w14:textId="77777777" w:rsidR="006836F2" w:rsidRPr="0012597A" w:rsidRDefault="006836F2" w:rsidP="00EF1C7F">
      <w:pPr>
        <w:widowControl w:val="0"/>
        <w:autoSpaceDE w:val="0"/>
        <w:autoSpaceDN w:val="0"/>
        <w:spacing w:after="0" w:line="240" w:lineRule="auto"/>
        <w:ind w:left="3929"/>
        <w:jc w:val="right"/>
        <w:rPr>
          <w:rFonts w:ascii="Times New Roman" w:eastAsia="Arial MT" w:hAnsi="Times New Roman" w:cs="Times New Roman"/>
          <w:sz w:val="24"/>
          <w:szCs w:val="24"/>
        </w:rPr>
      </w:pPr>
      <w:r w:rsidRPr="0012597A">
        <w:rPr>
          <w:rFonts w:ascii="Times New Roman" w:eastAsia="Arial MT" w:hAnsi="Times New Roman" w:cs="Times New Roman"/>
          <w:sz w:val="24"/>
          <w:szCs w:val="24"/>
        </w:rPr>
        <w:t>Toluca, Estado de México, a 18 de marzo de 2026.</w:t>
      </w:r>
    </w:p>
    <w:p w14:paraId="6085D145"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8BA262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DIPUTADA</w:t>
      </w:r>
    </w:p>
    <w:p w14:paraId="685650BA"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MARTHA AZUCENA CAMACHO REYNOSO</w:t>
      </w:r>
    </w:p>
    <w:p w14:paraId="5263D001"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H. “LXII” LEGISLATURA DEL</w:t>
      </w:r>
    </w:p>
    <w:p w14:paraId="5A2F876F"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CONGRESO DEL ESTADO DE MÉXICO</w:t>
      </w:r>
    </w:p>
    <w:p w14:paraId="6C6B9BB1"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lastRenderedPageBreak/>
        <w:t>P R E S E N T E</w:t>
      </w:r>
    </w:p>
    <w:p w14:paraId="7740C47E"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0ABF04E5"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que suscribe, </w:t>
      </w:r>
      <w:r w:rsidRPr="0012597A">
        <w:rPr>
          <w:rFonts w:ascii="Times New Roman" w:eastAsia="Arial MT" w:hAnsi="Times New Roman" w:cs="Times New Roman"/>
          <w:b/>
          <w:sz w:val="24"/>
          <w:szCs w:val="24"/>
        </w:rPr>
        <w:t xml:space="preserve">diputado Elías Rescala Jiménez, coordinador del Grupo Parlamentario del Partido Revolucionario Institucional </w:t>
      </w:r>
      <w:r w:rsidRPr="0012597A">
        <w:rPr>
          <w:rFonts w:ascii="Times New Roman" w:eastAsia="Arial MT"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12597A">
        <w:rPr>
          <w:rFonts w:ascii="Times New Roman" w:eastAsia="Arial MT" w:hAnsi="Times New Roman" w:cs="Times New Roman"/>
          <w:b/>
          <w:sz w:val="24"/>
          <w:szCs w:val="24"/>
        </w:rPr>
        <w:t xml:space="preserve">Iniciativa con proyecto de decreto por el que se reforman y adicionan diversas disposiciones del Código Financiero del Estado de México y Municipios, para que la Ciudad de México pague por la basura que envía a nuestro Estado, y esos recursos se queden en los municipios afectados, </w:t>
      </w:r>
      <w:r w:rsidRPr="0012597A">
        <w:rPr>
          <w:rFonts w:ascii="Times New Roman" w:eastAsia="Arial MT" w:hAnsi="Times New Roman" w:cs="Times New Roman"/>
          <w:sz w:val="24"/>
          <w:szCs w:val="24"/>
        </w:rPr>
        <w:t>conforme a la siguiente:</w:t>
      </w:r>
    </w:p>
    <w:p w14:paraId="5D2B870D"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69E8F0F6" w14:textId="77777777" w:rsidR="006836F2" w:rsidRPr="0012597A" w:rsidRDefault="006836F2" w:rsidP="00EF1C7F">
      <w:pPr>
        <w:widowControl w:val="0"/>
        <w:autoSpaceDE w:val="0"/>
        <w:autoSpaceDN w:val="0"/>
        <w:spacing w:after="0" w:line="240" w:lineRule="auto"/>
        <w:ind w:left="4"/>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 X P O S I C I Ó N  D E  M O T I V O S</w:t>
      </w:r>
    </w:p>
    <w:p w14:paraId="2870F525"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107955E0" w14:textId="77777777" w:rsidR="006836F2" w:rsidRPr="0012597A" w:rsidRDefault="006836F2" w:rsidP="0012453E">
      <w:pPr>
        <w:widowControl w:val="0"/>
        <w:numPr>
          <w:ilvl w:val="0"/>
          <w:numId w:val="35"/>
        </w:numPr>
        <w:autoSpaceDE w:val="0"/>
        <w:autoSpaceDN w:val="0"/>
        <w:spacing w:after="0" w:line="240" w:lineRule="auto"/>
        <w:ind w:left="265" w:hanging="265"/>
        <w:rPr>
          <w:rFonts w:ascii="Times New Roman" w:eastAsia="Arial" w:hAnsi="Times New Roman" w:cs="Times New Roman"/>
          <w:b/>
          <w:sz w:val="24"/>
          <w:szCs w:val="24"/>
        </w:rPr>
      </w:pPr>
      <w:r w:rsidRPr="0012597A">
        <w:rPr>
          <w:rFonts w:ascii="Times New Roman" w:eastAsia="Arial" w:hAnsi="Times New Roman" w:cs="Times New Roman"/>
          <w:b/>
          <w:sz w:val="24"/>
          <w:szCs w:val="24"/>
        </w:rPr>
        <w:t>La crisis de basura en el Estado de México</w:t>
      </w:r>
    </w:p>
    <w:p w14:paraId="19E0262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47246D5A"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crisis de residuos sólidos que enfrentan diversos municipios mexiquenses, particularmente aquellos que integran la Zona Metropolitana del Valle de México, se ha agudizado por la enorme cantidad de basura que diariamente llega desde la Ciudad de México. De hecho, no es un exceso afirmar que Chicoloapan, Cuautitlán Izcalli, Ixtapaluca y Naucalpan se han convertido en el “basurero” de la capital del país, al recibir todos los días miles de toneladas de desechos.</w:t>
      </w:r>
      <w:r w:rsidRPr="0012597A">
        <w:rPr>
          <w:rFonts w:ascii="Times New Roman" w:eastAsia="Arial MT" w:hAnsi="Times New Roman" w:cs="Times New Roman"/>
          <w:color w:val="FF0000"/>
          <w:sz w:val="24"/>
          <w:szCs w:val="24"/>
          <w:vertAlign w:val="superscript"/>
        </w:rPr>
        <w:t>1</w:t>
      </w:r>
    </w:p>
    <w:p w14:paraId="5B83DE99"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6CFF89AB"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 acuerdo con fuentes oficiales del propio gobierno, el Estado de México gestiona cerca de 26 mil toneladas de basura diarias; de ellas, aproximadamente 10 mil provienen de la Ciudad de México y otras 2 mil del estado de Hidalgo.</w:t>
      </w:r>
      <w:r w:rsidRPr="0012597A">
        <w:rPr>
          <w:rFonts w:ascii="Times New Roman" w:eastAsia="Arial MT" w:hAnsi="Times New Roman" w:cs="Times New Roman"/>
          <w:sz w:val="24"/>
          <w:szCs w:val="24"/>
          <w:vertAlign w:val="superscript"/>
        </w:rPr>
        <w:t>2</w:t>
      </w:r>
      <w:r w:rsidRPr="0012597A">
        <w:rPr>
          <w:rFonts w:ascii="Times New Roman" w:eastAsia="Arial MT" w:hAnsi="Times New Roman" w:cs="Times New Roman"/>
          <w:sz w:val="24"/>
          <w:szCs w:val="24"/>
        </w:rPr>
        <w:t xml:space="preserve"> De acuerdo con un reportaje de El Universal, tan sólo Naucalpan llega a recibir más de 2 mil toneladas diarias provenientes de la Ciudad de México. </w:t>
      </w:r>
      <w:r w:rsidRPr="0012597A">
        <w:rPr>
          <w:rFonts w:ascii="Times New Roman" w:eastAsia="Arial MT" w:hAnsi="Times New Roman" w:cs="Times New Roman"/>
          <w:color w:val="FF0000"/>
          <w:sz w:val="24"/>
          <w:szCs w:val="24"/>
          <w:vertAlign w:val="superscript"/>
        </w:rPr>
        <w:t>3</w:t>
      </w:r>
    </w:p>
    <w:p w14:paraId="2251492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3702387"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Esto significa que, cada año, alrededor de 4.5 millones de toneladas de basura provenientes de otras entidades federativas son trasladadas a nuestro Estado, sin que nuestros municipios cuenten con los recursos suficientes ni la infraestructura necesaria para hacer frente a las graves consecuencias sanitarias, ambientales y urbanas que provoca. A ello se suman las más de 6 millones de toneladas que generamos internamente. Casi 10 millones de toneladas al año: ese es el tamaño del desafío.</w:t>
      </w:r>
    </w:p>
    <w:p w14:paraId="200FBB0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1686ABE0"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magnitud del problema ha sido reconocida incluso por autoridades de la Ciudad de México. En febrero del año pasado, la secretaria del Medio Ambiente del Gobierno de la Ciudad de México declaró públicamente: “estamos en deuda con el Estado de México […] porque están recibiendo ellos todos los residuos […] Nosotros en la Ciudad de México […] ya no tenemos rellenos sanitarios […] Sin embargo […] en realidad los trasladaron al Estado de México”.</w:t>
      </w:r>
      <w:r w:rsidRPr="0012597A">
        <w:rPr>
          <w:rFonts w:ascii="Times New Roman" w:eastAsia="Arial MT" w:hAnsi="Times New Roman" w:cs="Times New Roman"/>
          <w:color w:val="FF0000"/>
          <w:sz w:val="24"/>
          <w:szCs w:val="24"/>
          <w:vertAlign w:val="superscript"/>
        </w:rPr>
        <w:t>4</w:t>
      </w:r>
    </w:p>
    <w:p w14:paraId="477C69EB"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p>
    <w:p w14:paraId="0AF84965"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7224662E"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w:t>
      </w:r>
      <w:r w:rsidRPr="0012597A">
        <w:rPr>
          <w:rFonts w:ascii="Times New Roman" w:eastAsia="Arial MT" w:hAnsi="Times New Roman" w:cs="Times New Roman"/>
          <w:sz w:val="20"/>
          <w:szCs w:val="24"/>
        </w:rPr>
        <w:t xml:space="preserve"> Según el Programa de Gestión Integral de Residuos para la Ciudad de México, elaborado por la Secretaría del Medio Ambiente de esa entidad federativa, el 98% de los residuos capitalinos se envían a cinco rellenos sanitarios ubicados en el Estado de México: La Cañada, Chicoloapan, Bicentenario Cuautitlán,</w:t>
      </w:r>
      <w:r w:rsidRPr="0012597A">
        <w:rPr>
          <w:rFonts w:ascii="Times New Roman" w:eastAsia="Arial MT" w:hAnsi="Times New Roman" w:cs="Times New Roman"/>
          <w:sz w:val="20"/>
          <w:szCs w:val="24"/>
        </w:rPr>
        <w:tab/>
        <w:t>Naucalpan y El Milagro. Disponible en: https://</w:t>
      </w:r>
      <w:hyperlink r:id="rId70">
        <w:r w:rsidRPr="0012597A">
          <w:rPr>
            <w:rFonts w:ascii="Times New Roman" w:eastAsia="Arial MT" w:hAnsi="Times New Roman" w:cs="Times New Roman"/>
            <w:sz w:val="20"/>
            <w:szCs w:val="24"/>
          </w:rPr>
          <w:t>www.sedema.cdmx.gob.mx/storage/app/media/DGEIRA/PGIR/PGIR%202021-2025_N_ago21.pdf.</w:t>
        </w:r>
      </w:hyperlink>
    </w:p>
    <w:p w14:paraId="7970DF47"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w:t>
      </w:r>
      <w:r w:rsidRPr="0012597A">
        <w:rPr>
          <w:rFonts w:ascii="Times New Roman" w:eastAsia="Arial MT" w:hAnsi="Times New Roman" w:cs="Times New Roman"/>
          <w:sz w:val="20"/>
          <w:szCs w:val="24"/>
        </w:rPr>
        <w:t xml:space="preserve"> Plan de Desarrollo Estado de México 2023-2029. Gestión integral de residuos.</w:t>
      </w:r>
    </w:p>
    <w:p w14:paraId="7A32AEA2"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3</w:t>
      </w:r>
      <w:r w:rsidRPr="0012597A">
        <w:rPr>
          <w:rFonts w:ascii="Times New Roman" w:eastAsia="Arial MT" w:hAnsi="Times New Roman" w:cs="Times New Roman"/>
          <w:sz w:val="20"/>
          <w:szCs w:val="24"/>
        </w:rPr>
        <w:t xml:space="preserve"> Pedro Villa y Caña, “Naucalpan, el basurero de la CDMX”. El Universal. https://</w:t>
      </w:r>
      <w:hyperlink r:id="rId71">
        <w:r w:rsidRPr="0012597A">
          <w:rPr>
            <w:rFonts w:ascii="Times New Roman" w:eastAsia="Arial MT" w:hAnsi="Times New Roman" w:cs="Times New Roman"/>
            <w:sz w:val="20"/>
            <w:szCs w:val="24"/>
          </w:rPr>
          <w:t>www.eluniversal.com.mx/metropoli/naucalpan-el-basurero-de-la-cdmx/.</w:t>
        </w:r>
      </w:hyperlink>
    </w:p>
    <w:p w14:paraId="05628932"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3035FEE2"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Las consecuencias ambientales y sanitarias son cada vez más visibles. En Naucalpan, por ejemplo, </w:t>
      </w:r>
      <w:r w:rsidRPr="0012597A">
        <w:rPr>
          <w:rFonts w:ascii="Times New Roman" w:eastAsia="Arial MT" w:hAnsi="Times New Roman" w:cs="Times New Roman"/>
          <w:sz w:val="24"/>
          <w:szCs w:val="24"/>
        </w:rPr>
        <w:lastRenderedPageBreak/>
        <w:t>dos rellenos sanitarios (Tepatlaxco y Rincón Verde) se convirtieron en focos rojos de contaminación debido a la acumulación descontrolada de millones de toneladas de residuos sólidos, operando bajo condiciones críticas y formando montañas de desperdicios de hasta 30 metros de altura.</w:t>
      </w:r>
      <w:r w:rsidRPr="0012597A">
        <w:rPr>
          <w:rFonts w:ascii="Times New Roman" w:eastAsia="Arial MT" w:hAnsi="Times New Roman" w:cs="Times New Roman"/>
          <w:color w:val="FF0000"/>
          <w:sz w:val="24"/>
          <w:szCs w:val="24"/>
          <w:vertAlign w:val="superscript"/>
        </w:rPr>
        <w:t>5</w:t>
      </w:r>
    </w:p>
    <w:p w14:paraId="227FF50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1E7C79D"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Uno de los episodios más graves ocurrió en julio de 2023, cuando una explosión provocada por la acumulación de gas metano y la falta de infraestructura adecuada para filtrar gases contaminantes, ocasionó el derrumbe de toneladas de residuos que sepultaron al menos a una decena de trabajadores.</w:t>
      </w:r>
      <w:r w:rsidRPr="0012597A">
        <w:rPr>
          <w:rFonts w:ascii="Times New Roman" w:eastAsia="Arial MT" w:hAnsi="Times New Roman" w:cs="Times New Roman"/>
          <w:color w:val="FF0000"/>
          <w:sz w:val="24"/>
          <w:szCs w:val="24"/>
          <w:vertAlign w:val="superscript"/>
        </w:rPr>
        <w:t>6</w:t>
      </w:r>
    </w:p>
    <w:p w14:paraId="53E1A31B"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123B312E"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Este colapso generó incendios y explosiones, así como derrames de líquidos altamente tóxicos</w:t>
      </w:r>
      <w:r w:rsidRPr="0012597A">
        <w:rPr>
          <w:rFonts w:ascii="Times New Roman" w:eastAsia="Arial MT" w:hAnsi="Times New Roman" w:cs="Times New Roman"/>
          <w:color w:val="FF0000"/>
          <w:sz w:val="24"/>
          <w:szCs w:val="24"/>
          <w:vertAlign w:val="superscript"/>
        </w:rPr>
        <w:t>7</w:t>
      </w:r>
      <w:r w:rsidRPr="0012597A">
        <w:rPr>
          <w:rFonts w:ascii="Times New Roman" w:eastAsia="Arial MT" w:hAnsi="Times New Roman" w:cs="Times New Roman"/>
          <w:sz w:val="24"/>
          <w:szCs w:val="24"/>
        </w:rPr>
        <w:t xml:space="preserve"> que contaminaron el río San Juan y la presa </w:t>
      </w:r>
      <w:proofErr w:type="spellStart"/>
      <w:r w:rsidRPr="0012597A">
        <w:rPr>
          <w:rFonts w:ascii="Times New Roman" w:eastAsia="Arial MT" w:hAnsi="Times New Roman" w:cs="Times New Roman"/>
          <w:sz w:val="24"/>
          <w:szCs w:val="24"/>
        </w:rPr>
        <w:t>Madín</w:t>
      </w:r>
      <w:proofErr w:type="spellEnd"/>
      <w:r w:rsidRPr="0012597A">
        <w:rPr>
          <w:rFonts w:ascii="Times New Roman" w:eastAsia="Arial MT" w:hAnsi="Times New Roman" w:cs="Times New Roman"/>
          <w:sz w:val="24"/>
          <w:szCs w:val="24"/>
        </w:rPr>
        <w:t>, provocando la muerte de cientos de peces y aves, y desencadenando una emergencia ambiental en la zona. Tras el incidente, vecinos de Naucalpan denunciaron la presencia constante de olores pestilentes, proliferación de plagas de insectos y un repunte significativo de enfermedades atribuido a la exposición prolongada a la basura.</w:t>
      </w:r>
      <w:r w:rsidRPr="0012597A">
        <w:rPr>
          <w:rFonts w:ascii="Times New Roman" w:eastAsia="Arial MT" w:hAnsi="Times New Roman" w:cs="Times New Roman"/>
          <w:color w:val="FF0000"/>
          <w:sz w:val="24"/>
          <w:szCs w:val="24"/>
          <w:vertAlign w:val="superscript"/>
        </w:rPr>
        <w:t>8</w:t>
      </w:r>
    </w:p>
    <w:p w14:paraId="03DA7A8C"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6F9BEF40"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4</w:t>
      </w:r>
      <w:r w:rsidRPr="0012597A">
        <w:rPr>
          <w:rFonts w:ascii="Times New Roman" w:eastAsia="Arial MT" w:hAnsi="Times New Roman" w:cs="Times New Roman"/>
          <w:sz w:val="20"/>
          <w:szCs w:val="24"/>
          <w:vertAlign w:val="superscript"/>
        </w:rPr>
        <w:t xml:space="preserve"> </w:t>
      </w:r>
      <w:r w:rsidRPr="0012597A">
        <w:rPr>
          <w:rFonts w:ascii="Times New Roman" w:eastAsia="Arial MT" w:hAnsi="Times New Roman" w:cs="Times New Roman"/>
          <w:sz w:val="20"/>
          <w:szCs w:val="24"/>
        </w:rPr>
        <w:t>“La CDMX está en deuda con el Edomex por recibir su basura”. El Universal,</w:t>
      </w:r>
    </w:p>
    <w:p w14:paraId="4C365266"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sz w:val="20"/>
          <w:szCs w:val="24"/>
        </w:rPr>
        <w:t>https://</w:t>
      </w:r>
      <w:hyperlink r:id="rId72">
        <w:r w:rsidRPr="0012597A">
          <w:rPr>
            <w:rFonts w:ascii="Times New Roman" w:eastAsia="Arial MT" w:hAnsi="Times New Roman" w:cs="Times New Roman"/>
            <w:sz w:val="20"/>
            <w:szCs w:val="24"/>
          </w:rPr>
          <w:t>www.eluniversal.com.mx/metropoli/la-cdmx-esta-en-deuda-con-el-edomex-por-recibir-su-basura/</w:t>
        </w:r>
      </w:hyperlink>
    </w:p>
    <w:p w14:paraId="5B03FF79"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5</w:t>
      </w:r>
      <w:r w:rsidRPr="0012597A">
        <w:rPr>
          <w:rFonts w:ascii="Times New Roman" w:eastAsia="Arial MT" w:hAnsi="Times New Roman" w:cs="Times New Roman"/>
          <w:sz w:val="20"/>
          <w:szCs w:val="24"/>
        </w:rPr>
        <w:t xml:space="preserve"> Rebeca Jiménez, “Crisis ambiental en Naucalpan pese a clausura de dos rellenos sanitarios”. El Universal.</w:t>
      </w:r>
      <w:r w:rsidRPr="0012597A">
        <w:rPr>
          <w:rFonts w:ascii="Times New Roman" w:eastAsia="Arial MT" w:hAnsi="Times New Roman" w:cs="Times New Roman"/>
          <w:sz w:val="20"/>
          <w:szCs w:val="24"/>
        </w:rPr>
        <w:tab/>
        <w:t>https://</w:t>
      </w:r>
      <w:hyperlink r:id="rId73">
        <w:r w:rsidRPr="0012597A">
          <w:rPr>
            <w:rFonts w:ascii="Times New Roman" w:eastAsia="Arial MT" w:hAnsi="Times New Roman" w:cs="Times New Roman"/>
            <w:sz w:val="20"/>
            <w:szCs w:val="24"/>
          </w:rPr>
          <w:t>www.eluniversaledomex.com.mx/valle-de-mexico/crisis-ambiental-en-naucalpan-pese-</w:t>
        </w:r>
      </w:hyperlink>
      <w:r w:rsidRPr="0012597A">
        <w:rPr>
          <w:rFonts w:ascii="Times New Roman" w:eastAsia="Arial MT" w:hAnsi="Times New Roman" w:cs="Times New Roman"/>
          <w:sz w:val="20"/>
          <w:szCs w:val="24"/>
        </w:rPr>
        <w:t xml:space="preserve">   a-clausura-de-dos-rellenos- sanitarios/#:~:text=Crisis%20ambiental%20en%20Naucalpan%20pese%20a%20clausura%20de%20dos</w:t>
      </w:r>
    </w:p>
    <w:p w14:paraId="436CBECA"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sz w:val="20"/>
          <w:szCs w:val="24"/>
        </w:rPr>
        <w:t>%20rellenos%20sanitarios.</w:t>
      </w:r>
    </w:p>
    <w:p w14:paraId="3DE0328F"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6</w:t>
      </w:r>
      <w:r w:rsidRPr="0012597A">
        <w:rPr>
          <w:rFonts w:ascii="Times New Roman" w:eastAsia="Arial MT" w:hAnsi="Times New Roman" w:cs="Times New Roman"/>
          <w:sz w:val="20"/>
          <w:szCs w:val="24"/>
        </w:rPr>
        <w:t xml:space="preserve"> Rebeca Jiménez, “Crisis ambiental en Naucalpan pese a clausura de dos rellenos sanitarios”.</w:t>
      </w:r>
    </w:p>
    <w:p w14:paraId="5D00765B"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7</w:t>
      </w:r>
      <w:r w:rsidRPr="0012597A">
        <w:rPr>
          <w:rFonts w:ascii="Times New Roman" w:eastAsia="Arial MT" w:hAnsi="Times New Roman" w:cs="Times New Roman"/>
          <w:sz w:val="20"/>
          <w:szCs w:val="24"/>
        </w:rPr>
        <w:t xml:space="preserve"> Lixiviados: líquido residual, generalmente tóxico, que se filtra de un vertedero por percolación. Real</w:t>
      </w:r>
    </w:p>
    <w:p w14:paraId="75C97C2A"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sz w:val="20"/>
          <w:szCs w:val="24"/>
        </w:rPr>
        <w:t>Academia Española, 2024: https://dle.rae.es/lixiviado</w:t>
      </w:r>
    </w:p>
    <w:p w14:paraId="4DAD41CE"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8</w:t>
      </w:r>
      <w:r w:rsidRPr="0012597A">
        <w:rPr>
          <w:rFonts w:ascii="Times New Roman" w:eastAsia="Arial MT" w:hAnsi="Times New Roman" w:cs="Times New Roman"/>
          <w:sz w:val="20"/>
          <w:szCs w:val="24"/>
        </w:rPr>
        <w:t xml:space="preserve"> Pedro Villa y Caña, “Naucalpan, el basurero de la CDMX”.</w:t>
      </w:r>
    </w:p>
    <w:p w14:paraId="0AC26111"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5E128BDC"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Vivir cerca de los basureros implica enfrentar diariamente riesgos sanitarios severos. Las comunidades aledañas reportan infecciones gastrointestinales y enfermedades respiratorias que afectan particularmente a niñas, niños y adultos mayores.</w:t>
      </w:r>
      <w:r w:rsidRPr="0012597A">
        <w:rPr>
          <w:rFonts w:ascii="Times New Roman" w:eastAsia="Arial MT" w:hAnsi="Times New Roman" w:cs="Times New Roman"/>
          <w:color w:val="FF0000"/>
          <w:sz w:val="24"/>
          <w:szCs w:val="24"/>
          <w:vertAlign w:val="superscript"/>
        </w:rPr>
        <w:t>9</w:t>
      </w:r>
      <w:r w:rsidRPr="0012597A">
        <w:rPr>
          <w:rFonts w:ascii="Times New Roman" w:eastAsia="Arial MT" w:hAnsi="Times New Roman" w:cs="Times New Roman"/>
          <w:sz w:val="24"/>
          <w:szCs w:val="24"/>
        </w:rPr>
        <w:t xml:space="preserve"> Se estima que más de dos millones de mexiquenses conviven a diario con aire, agua y suelos contaminados, además de malos olores y plagas.</w:t>
      </w:r>
      <w:r w:rsidRPr="0012597A">
        <w:rPr>
          <w:rFonts w:ascii="Times New Roman" w:eastAsia="Arial MT" w:hAnsi="Times New Roman" w:cs="Times New Roman"/>
          <w:color w:val="FF0000"/>
          <w:sz w:val="24"/>
          <w:szCs w:val="24"/>
          <w:vertAlign w:val="superscript"/>
        </w:rPr>
        <w:t>10</w:t>
      </w:r>
    </w:p>
    <w:p w14:paraId="088C6A1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DCEAECE"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lo anterior se suma el impacto urbano. Los vecinos han denunciado que el tránsito constante de camiones provenientes de la Ciudad de México, que transportan miles de toneladas de basura, no sólo ha dañado gravemente las calles, sino que las ha vuelto intransitables. Se llegó a reportar que, tan sólo al relleno sanitario ubicado en Rincón Verde, Naucalpan, llegaban más de 30 góndolas todos los días.</w:t>
      </w:r>
      <w:r w:rsidRPr="0012597A">
        <w:rPr>
          <w:rFonts w:ascii="Times New Roman" w:eastAsia="Arial MT" w:hAnsi="Times New Roman" w:cs="Times New Roman"/>
          <w:color w:val="FF0000"/>
          <w:sz w:val="24"/>
          <w:szCs w:val="24"/>
          <w:vertAlign w:val="superscript"/>
        </w:rPr>
        <w:t>11</w:t>
      </w:r>
    </w:p>
    <w:p w14:paraId="4D14BC06"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F7E0BF2"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Si bien esta problemática afecta al menos a cuatro municipios mexiquenses, Naucalpan y específicamente el Distrito Local 32 han resentido de manera significativa los efectos negativos.</w:t>
      </w:r>
      <w:r w:rsidRPr="0012597A">
        <w:rPr>
          <w:rFonts w:ascii="Times New Roman" w:eastAsia="Arial MT" w:hAnsi="Times New Roman" w:cs="Times New Roman"/>
          <w:color w:val="FF0000"/>
          <w:sz w:val="24"/>
          <w:szCs w:val="24"/>
          <w:vertAlign w:val="superscript"/>
        </w:rPr>
        <w:t>12</w:t>
      </w:r>
      <w:r w:rsidRPr="0012597A">
        <w:rPr>
          <w:rFonts w:ascii="Times New Roman" w:eastAsia="Arial MT" w:hAnsi="Times New Roman" w:cs="Times New Roman"/>
          <w:sz w:val="24"/>
          <w:szCs w:val="24"/>
        </w:rPr>
        <w:t xml:space="preserve"> En consecuencia, la presente iniciativa nace del territorio, y busca hacer justicia a los municipios que, día tras día, reciben basura de otras entidades federativas, particularmente de la Ciudad de México.</w:t>
      </w:r>
    </w:p>
    <w:p w14:paraId="119D0D9F"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512043E9"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Carlos Medellín, “Vertedero colapsado Puente de Piedra genera proliferación de insectos nocivos en Zona Esmeralda”, El Universal. https://lasillarota.com/metropoli/2023/8/27/vertedero-colapsado-puente- de-piedra-genera-proliferacion-de-insectos-nocivos-en-zona-esmeralda-444431.html.</w:t>
      </w:r>
    </w:p>
    <w:p w14:paraId="5DDA0F7E"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10</w:t>
      </w:r>
      <w:r w:rsidRPr="0012597A">
        <w:rPr>
          <w:rFonts w:ascii="Times New Roman" w:eastAsia="Arial MT" w:hAnsi="Times New Roman" w:cs="Times New Roman"/>
          <w:sz w:val="20"/>
          <w:szCs w:val="24"/>
        </w:rPr>
        <w:t xml:space="preserve"> Juan R. Hernández, “Estado de México enfrenta crisis ambiental por 375 tiraderos clandestinos en municipios densamente poblados”, Diario Basta, 5 de septiembre de 2025: https://diariobasta.com/2025/09/05/estado-de-mexico-enfrenta-crisis-ambiental-por-375-tiraderos- clandestinos-en-municipios-densamente- </w:t>
      </w:r>
      <w:r w:rsidRPr="0012597A">
        <w:rPr>
          <w:rFonts w:ascii="Times New Roman" w:eastAsia="Arial MT" w:hAnsi="Times New Roman" w:cs="Times New Roman"/>
          <w:sz w:val="20"/>
          <w:szCs w:val="24"/>
        </w:rPr>
        <w:lastRenderedPageBreak/>
        <w:t>poblados/#:~:text=La%20magnitud%20del%20problema%20es,afectan%20la%20calidad%20del%20aire</w:t>
      </w:r>
    </w:p>
    <w:p w14:paraId="11914A6A"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11</w:t>
      </w:r>
      <w:r w:rsidRPr="0012597A">
        <w:rPr>
          <w:rFonts w:ascii="Times New Roman" w:eastAsia="Arial MT" w:hAnsi="Times New Roman" w:cs="Times New Roman"/>
          <w:sz w:val="20"/>
          <w:szCs w:val="24"/>
        </w:rPr>
        <w:t xml:space="preserve"> “Revisarán concesión de tiradero en Naucalpan”. El Universal. https://</w:t>
      </w:r>
      <w:hyperlink r:id="rId74">
        <w:r w:rsidRPr="0012597A">
          <w:rPr>
            <w:rFonts w:ascii="Times New Roman" w:eastAsia="Arial MT" w:hAnsi="Times New Roman" w:cs="Times New Roman"/>
            <w:sz w:val="20"/>
            <w:szCs w:val="24"/>
          </w:rPr>
          <w:t>www.eluniversal.com.mx/edomex/revisaran-concesion-de-tiradero-en-</w:t>
        </w:r>
      </w:hyperlink>
      <w:r w:rsidRPr="0012597A">
        <w:rPr>
          <w:rFonts w:ascii="Times New Roman" w:eastAsia="Arial MT" w:hAnsi="Times New Roman" w:cs="Times New Roman"/>
          <w:sz w:val="20"/>
          <w:szCs w:val="24"/>
        </w:rPr>
        <w:t xml:space="preserve"> naucalpan/#:~:text=d%C3%ADas%20llegan%20m%C3%A1s%20de%2030%20tr%C3%A1ileres%20de,l a%20NOM%2D083%2DSEMARNAT%2D2003%E2%80%9D%2C%20pues%20miles%20de%20toneladas%20de</w:t>
      </w:r>
    </w:p>
    <w:p w14:paraId="0DE07EBB"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12</w:t>
      </w:r>
      <w:r w:rsidRPr="0012597A">
        <w:rPr>
          <w:rFonts w:ascii="Times New Roman" w:eastAsia="Arial MT" w:hAnsi="Times New Roman" w:cs="Times New Roman"/>
          <w:sz w:val="20"/>
          <w:szCs w:val="24"/>
        </w:rPr>
        <w:t xml:space="preserve"> Instituto Electoral del Estado de México (IEEM). “Dirección de Organización, Cartografía Electoral, Distrito Local 32 (Naucalpan).” Mapoteca Digital Electoral, Planos seccionales individuales (</w:t>
      </w:r>
      <w:proofErr w:type="spellStart"/>
      <w:r w:rsidRPr="0012597A">
        <w:rPr>
          <w:rFonts w:ascii="Times New Roman" w:eastAsia="Arial MT" w:hAnsi="Times New Roman" w:cs="Times New Roman"/>
          <w:sz w:val="20"/>
          <w:szCs w:val="24"/>
        </w:rPr>
        <w:t>distritación</w:t>
      </w:r>
      <w:proofErr w:type="spellEnd"/>
      <w:r w:rsidRPr="0012597A">
        <w:rPr>
          <w:rFonts w:ascii="Times New Roman" w:eastAsia="Arial MT" w:hAnsi="Times New Roman" w:cs="Times New Roman"/>
          <w:sz w:val="20"/>
          <w:szCs w:val="24"/>
        </w:rPr>
        <w:t xml:space="preserve"> local 2022).”</w:t>
      </w:r>
    </w:p>
    <w:p w14:paraId="786A8494"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96D07E5" w14:textId="77777777" w:rsidR="006836F2" w:rsidRPr="0012597A" w:rsidRDefault="006836F2" w:rsidP="0012453E">
      <w:pPr>
        <w:widowControl w:val="0"/>
        <w:numPr>
          <w:ilvl w:val="0"/>
          <w:numId w:val="35"/>
        </w:numPr>
        <w:autoSpaceDE w:val="0"/>
        <w:autoSpaceDN w:val="0"/>
        <w:spacing w:after="0" w:line="240" w:lineRule="auto"/>
        <w:ind w:left="265" w:hanging="265"/>
        <w:rPr>
          <w:rFonts w:ascii="Times New Roman" w:eastAsia="Arial" w:hAnsi="Times New Roman" w:cs="Times New Roman"/>
          <w:b/>
          <w:sz w:val="24"/>
          <w:szCs w:val="24"/>
        </w:rPr>
      </w:pPr>
      <w:r w:rsidRPr="0012597A">
        <w:rPr>
          <w:rFonts w:ascii="Times New Roman" w:eastAsia="Arial" w:hAnsi="Times New Roman" w:cs="Times New Roman"/>
          <w:b/>
          <w:sz w:val="24"/>
          <w:szCs w:val="24"/>
        </w:rPr>
        <w:t>Obligaciones legales de las autoridades estatales y municipales</w:t>
      </w:r>
    </w:p>
    <w:p w14:paraId="56D4A5D8"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36EB3E83"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Ante los evidentes riesgos que la generación y el manejo inadecuado de basura representan para la salud humana y el medio ambiente, la legislación mexicana ha establecido un entramado normativo que obliga a las autoridades a prevenir, mitigar y remediar dichos impactos. En el ámbito nacional, la Ley General para la Prevención y Gestión Integral de los Residuos reconoce la facultad de los gobiernos estatales para establecer mecanismos de coordinación con los municipios en materia de manejo de residuos, así como para promover esquemas de responsabilidad compartida entre generadores, autoridades y operadores del sistema.</w:t>
      </w:r>
      <w:r w:rsidRPr="0012597A">
        <w:rPr>
          <w:rFonts w:ascii="Times New Roman" w:eastAsia="Arial MT" w:hAnsi="Times New Roman" w:cs="Times New Roman"/>
          <w:color w:val="FF0000"/>
          <w:sz w:val="24"/>
          <w:szCs w:val="24"/>
          <w:vertAlign w:val="superscript"/>
        </w:rPr>
        <w:t>13</w:t>
      </w:r>
    </w:p>
    <w:p w14:paraId="79CA08C5"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56BF5DF5"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mismo sentido, la Ley General del Equilibrio Ecológico y la Protección al Ambiente establece que la preservación y restauración del equilibrio ecológico es una facultad concurrente de los tres ámbitos de gobierno, lo que permite que entidades federativas y municipios actúen de manera coordinada para prevenir daños acumulativos y atender emergencias ambientales.</w:t>
      </w:r>
      <w:r w:rsidRPr="0012597A">
        <w:rPr>
          <w:rFonts w:ascii="Times New Roman" w:eastAsia="Arial MT" w:hAnsi="Times New Roman" w:cs="Times New Roman"/>
          <w:color w:val="FF0000"/>
          <w:sz w:val="24"/>
          <w:szCs w:val="24"/>
          <w:vertAlign w:val="superscript"/>
        </w:rPr>
        <w:t>14</w:t>
      </w:r>
    </w:p>
    <w:p w14:paraId="06846B88"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11DE69F"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su parte, el Código para la Biodiversidad del Estado de México incorpora expresamente el principio de “quien contamina paga”, mismo que dispone que quienes generan daños al ambiente deben asumir los costos de su mitigación y reparación. Este principio constituye una base jurídica sólida para la creación de instrumentos fiscales o herramientas compensatorias para resarcir a los municipios que son afectados por la recepción de basura generada en otras entidades federativas.</w:t>
      </w:r>
    </w:p>
    <w:p w14:paraId="13252DAB"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1455ACAD"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13</w:t>
      </w:r>
      <w:r w:rsidRPr="0012597A">
        <w:rPr>
          <w:rFonts w:ascii="Times New Roman" w:eastAsia="Arial MT" w:hAnsi="Times New Roman" w:cs="Times New Roman"/>
          <w:sz w:val="20"/>
          <w:szCs w:val="24"/>
        </w:rPr>
        <w:t xml:space="preserve"> Artículo 1, fracción III, de la Ley General para la Prevención y Gestión Integral de los Residuos.</w:t>
      </w:r>
    </w:p>
    <w:p w14:paraId="35CE1B20"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sz w:val="20"/>
          <w:szCs w:val="24"/>
        </w:rPr>
        <w:t>Disponible en: https://</w:t>
      </w:r>
      <w:hyperlink r:id="rId75">
        <w:r w:rsidRPr="0012597A">
          <w:rPr>
            <w:rFonts w:ascii="Times New Roman" w:eastAsia="Arial MT" w:hAnsi="Times New Roman" w:cs="Times New Roman"/>
            <w:sz w:val="20"/>
            <w:szCs w:val="24"/>
          </w:rPr>
          <w:t>www.diputados.gob.mx/LeyesBiblio/pdf/LGPGIR.pdf</w:t>
        </w:r>
      </w:hyperlink>
    </w:p>
    <w:p w14:paraId="3EF36FE5"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14</w:t>
      </w:r>
      <w:r w:rsidRPr="0012597A">
        <w:rPr>
          <w:rFonts w:ascii="Times New Roman" w:eastAsia="Arial MT" w:hAnsi="Times New Roman" w:cs="Times New Roman"/>
          <w:sz w:val="20"/>
          <w:szCs w:val="24"/>
        </w:rPr>
        <w:t xml:space="preserve"> Artículo 1, fracción VIII, de la Ley General del Equilibrio Ecológico y la Protección al Ambiente.</w:t>
      </w:r>
    </w:p>
    <w:p w14:paraId="1C1872CB"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sz w:val="20"/>
          <w:szCs w:val="24"/>
        </w:rPr>
        <w:t>Disponible en: https://</w:t>
      </w:r>
      <w:hyperlink r:id="rId76">
        <w:r w:rsidRPr="0012597A">
          <w:rPr>
            <w:rFonts w:ascii="Times New Roman" w:eastAsia="Arial MT" w:hAnsi="Times New Roman" w:cs="Times New Roman"/>
            <w:sz w:val="20"/>
            <w:szCs w:val="24"/>
          </w:rPr>
          <w:t>www.diputados.gob.mx/LeyesBiblio/pdf/LGEEPA.pdf</w:t>
        </w:r>
      </w:hyperlink>
    </w:p>
    <w:p w14:paraId="70F89DF9"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CD15D8F" w14:textId="77777777" w:rsidR="006836F2" w:rsidRPr="0012597A" w:rsidRDefault="006836F2" w:rsidP="0012453E">
      <w:pPr>
        <w:widowControl w:val="0"/>
        <w:numPr>
          <w:ilvl w:val="0"/>
          <w:numId w:val="35"/>
        </w:numPr>
        <w:autoSpaceDE w:val="0"/>
        <w:autoSpaceDN w:val="0"/>
        <w:spacing w:after="0" w:line="240" w:lineRule="auto"/>
        <w:ind w:left="265" w:hanging="265"/>
        <w:rPr>
          <w:rFonts w:ascii="Times New Roman" w:eastAsia="Arial" w:hAnsi="Times New Roman" w:cs="Times New Roman"/>
          <w:b/>
          <w:sz w:val="24"/>
          <w:szCs w:val="24"/>
        </w:rPr>
      </w:pPr>
      <w:r w:rsidRPr="0012597A">
        <w:rPr>
          <w:rFonts w:ascii="Times New Roman" w:eastAsia="Arial" w:hAnsi="Times New Roman" w:cs="Times New Roman"/>
          <w:b/>
          <w:sz w:val="24"/>
          <w:szCs w:val="24"/>
        </w:rPr>
        <w:t>Contribuciones ecológicas y su principio restaurativo</w:t>
      </w:r>
    </w:p>
    <w:p w14:paraId="56FEF36A"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0DCD19C1"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Con el propósito de desincentivar actividades que generan daños al entorno natural, diversas entidades federativas comenzaron a implementar, desde 2013, instrumentos fiscales para resarcir los costos reales de la contaminación ambiental. Un ejemplo de ello han sido las llamadas contribuciones “ecológicas”.</w:t>
      </w:r>
    </w:p>
    <w:p w14:paraId="1061B85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FE99010"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 acuerdo con la Suprema Corte de Justicia de la Nación (SCJN), estos tributos parten del reconocimiento de que los bienes ambientales como el aire, el agua o el suelo son recursos limitados cuyo deterioro afecta a la sociedad en su conjunto. En consecuencia, su degradación implica un costo social que no debe cubrirse por los ciudadanos, sino por quienes contaminan. Así, su creación responde a un propósito claro: trasladar a los agentes contaminadores el costo económico de los daños que provocan. Las contribuciones ecológicas, por tanto, aseguran que los recursos recaudados sirvan para mitigar el daño causado al entorno natural.</w:t>
      </w:r>
      <w:r w:rsidRPr="0012597A">
        <w:rPr>
          <w:rFonts w:ascii="Times New Roman" w:eastAsia="Arial MT" w:hAnsi="Times New Roman" w:cs="Times New Roman"/>
          <w:color w:val="FF0000"/>
          <w:sz w:val="24"/>
          <w:szCs w:val="24"/>
          <w:vertAlign w:val="superscript"/>
        </w:rPr>
        <w:t>15</w:t>
      </w:r>
    </w:p>
    <w:p w14:paraId="0E4880F8"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E8864B1"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constitucionalidad de estas contribuciones ha sido ampliamente confirmada por la SCJN, en la medida en que se respete el principio de legalidad tributaria y no se invadan competencias </w:t>
      </w:r>
      <w:r w:rsidRPr="0012597A">
        <w:rPr>
          <w:rFonts w:ascii="Times New Roman" w:eastAsia="Arial MT" w:hAnsi="Times New Roman" w:cs="Times New Roman"/>
          <w:sz w:val="24"/>
          <w:szCs w:val="24"/>
        </w:rPr>
        <w:lastRenderedPageBreak/>
        <w:t>federales. En particular, el máximo tribunal ha sostenido que estos instrumentos fiscales son válidos siempre que el objeto del gravamen se vincule con la protección ambiental y su base esté ligada al impacto ecológico generado.</w:t>
      </w:r>
      <w:r w:rsidRPr="0012597A">
        <w:rPr>
          <w:rFonts w:ascii="Times New Roman" w:eastAsia="Arial MT" w:hAnsi="Times New Roman" w:cs="Times New Roman"/>
          <w:color w:val="FF0000"/>
          <w:sz w:val="24"/>
          <w:szCs w:val="24"/>
          <w:vertAlign w:val="superscript"/>
        </w:rPr>
        <w:t>16</w:t>
      </w:r>
    </w:p>
    <w:p w14:paraId="218B8F6D"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20A1A20"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15</w:t>
      </w:r>
      <w:r w:rsidRPr="0012597A">
        <w:rPr>
          <w:rFonts w:ascii="Times New Roman" w:eastAsia="Arial MT" w:hAnsi="Times New Roman" w:cs="Times New Roman"/>
          <w:sz w:val="20"/>
          <w:szCs w:val="24"/>
        </w:rPr>
        <w:t xml:space="preserve"> SCJN, Impuestos ecológicos o costo eficientes. Su origen, Tesis de jurisprudencia 2a./J. 51/2020 (10a.), Semanario Judicial de la Federación, https://sjf2.scjn.gob.mx/detalle/tesis/2022289.</w:t>
      </w:r>
    </w:p>
    <w:p w14:paraId="5898E2B7"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16</w:t>
      </w:r>
      <w:r w:rsidRPr="0012597A">
        <w:rPr>
          <w:rFonts w:ascii="Times New Roman" w:eastAsia="Arial MT" w:hAnsi="Times New Roman" w:cs="Times New Roman"/>
          <w:sz w:val="20"/>
          <w:szCs w:val="24"/>
        </w:rPr>
        <w:t xml:space="preserve"> SCJN, Impuestos ecológicos o costo eficientes. Su diseño de cálculo incluye un deber público de protección ambiental, Tesis de jurisprudencia 2a./J. 54/2020 (10a.), Semanario Judicial de la Federación, https://sjf2.scjn.gob.mx/detalle/tesis/2022288.</w:t>
      </w:r>
    </w:p>
    <w:p w14:paraId="7C3E5CF2"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7F80B848" w14:textId="77777777" w:rsidR="006836F2" w:rsidRPr="0012597A" w:rsidRDefault="006836F2" w:rsidP="0012453E">
      <w:pPr>
        <w:widowControl w:val="0"/>
        <w:numPr>
          <w:ilvl w:val="0"/>
          <w:numId w:val="35"/>
        </w:numPr>
        <w:autoSpaceDE w:val="0"/>
        <w:autoSpaceDN w:val="0"/>
        <w:spacing w:after="0" w:line="240" w:lineRule="auto"/>
        <w:ind w:left="265" w:hanging="265"/>
        <w:rPr>
          <w:rFonts w:ascii="Times New Roman" w:eastAsia="Arial" w:hAnsi="Times New Roman" w:cs="Times New Roman"/>
          <w:b/>
          <w:sz w:val="24"/>
          <w:szCs w:val="24"/>
        </w:rPr>
      </w:pPr>
      <w:r w:rsidRPr="0012597A">
        <w:rPr>
          <w:rFonts w:ascii="Times New Roman" w:eastAsia="Arial" w:hAnsi="Times New Roman" w:cs="Times New Roman"/>
          <w:b/>
          <w:sz w:val="24"/>
          <w:szCs w:val="24"/>
        </w:rPr>
        <w:t>Los derechos como contribuciones y su relación con los servicios públicos</w:t>
      </w:r>
    </w:p>
    <w:p w14:paraId="082A927A"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64421095"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Ahora bien, dentro del amplio abanico de figuras que la doctrina y la legislación han identificado como contribuciones, se encuentran los denominados derechos. Éstos, por definición, son las contraprestaciones que se pagan por el uso o aprovechamiento de bienes del dominio público, así como por recibir servicios que prestan el Estado, sus organismos o los municipios en funciones de derecho público.</w:t>
      </w:r>
      <w:r w:rsidRPr="0012597A">
        <w:rPr>
          <w:rFonts w:ascii="Times New Roman" w:eastAsia="Arial MT" w:hAnsi="Times New Roman" w:cs="Times New Roman"/>
          <w:color w:val="FF0000"/>
          <w:sz w:val="24"/>
          <w:szCs w:val="24"/>
          <w:vertAlign w:val="superscript"/>
        </w:rPr>
        <w:t>17</w:t>
      </w:r>
    </w:p>
    <w:p w14:paraId="55832228"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2C2464E"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contexto, y para fines de la presente iniciativa, surge un planteamiento central:</w:t>
      </w:r>
    </w:p>
    <w:p w14:paraId="120FD5C9"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 constitucionalmente válido cobrar un derecho a la Ciudad de México y a otros estados por la recepción y disposición final de su basura? Para responder a este cuestionamiento, es necesario analizar dos aspectos fundamentales.</w:t>
      </w:r>
    </w:p>
    <w:p w14:paraId="04894362"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0EAC565"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primer lugar, debe determinarse si la recepción, almacenamiento, tratamiento y disposición final de residuos constituyen, </w:t>
      </w:r>
      <w:r w:rsidRPr="0012597A">
        <w:rPr>
          <w:rFonts w:ascii="Times New Roman" w:eastAsia="Arial MT" w:hAnsi="Times New Roman" w:cs="Times New Roman"/>
          <w:i/>
          <w:sz w:val="24"/>
          <w:szCs w:val="24"/>
        </w:rPr>
        <w:t>per se</w:t>
      </w:r>
      <w:r w:rsidRPr="0012597A">
        <w:rPr>
          <w:rFonts w:ascii="Times New Roman" w:eastAsia="Arial MT" w:hAnsi="Times New Roman" w:cs="Times New Roman"/>
          <w:sz w:val="24"/>
          <w:szCs w:val="24"/>
        </w:rPr>
        <w:t>, un servicio público: la respuesta es afirmativa. El inciso c) de la fracción III del artículo 115 de la Constitución Política de los Estados Unidos Mexicanos establece expresamente que los municipios tendrán a su cargo, entre otros “servicios públicos”, el “tratamiento y disposición final de residuos”. En consecuencia, estas actividades forman parte de los servicios públicos municipales y, con base en las leyes vigentes, pueden ser prestados directamente por las autoridades o a través de concesionarios.</w:t>
      </w:r>
    </w:p>
    <w:p w14:paraId="69A36F68"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3DF5E011"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segundo lugar, debe analizarse si los lugares donde se realizan estas actividades, como basureros, rellenos sanitarios o centros integrales de residuos, son bienes de dominio público. En este punto es importante precisar que no necesariamente todos tienen la misma naturaleza jurídica, pues algunos pertenecen a los municipios, otros han sido concesionados y unos más son privados o se encuentran en terrenos ejidales.</w:t>
      </w:r>
    </w:p>
    <w:p w14:paraId="1CA1CC9C"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6334DC0"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17</w:t>
      </w:r>
      <w:r w:rsidRPr="0012597A">
        <w:rPr>
          <w:rFonts w:ascii="Times New Roman" w:eastAsia="Arial MT" w:hAnsi="Times New Roman" w:cs="Times New Roman"/>
          <w:sz w:val="20"/>
          <w:szCs w:val="24"/>
        </w:rPr>
        <w:t xml:space="preserve"> Artículo 9 del Código Financiero del Estado de México y Municipios.</w:t>
      </w:r>
    </w:p>
    <w:p w14:paraId="793A6064"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4F90CB85" w14:textId="1271143F"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Precisamente, esta circunstancia ha provocado que, en muchos casos, los pagos realizados por la recepción de la basura no ingresen directamente a las haciendas estatal y municipales, sino que se queden en manos de los operadores privados.</w:t>
      </w:r>
    </w:p>
    <w:p w14:paraId="00DC9C70"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A6A367A"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Sin embargo, independientemente de la naturaleza jurídica de estas instalaciones, lo cierto es que la actividad que se realiza en ellas, en términos del texto constitucional vigente, forma parte de un servicio público. Además, es innegable que los efectos sanitarios, ambientales y urbanos que genera la recepción, almacenamiento y disposición final de basura trascienden la esfera privada, y afectan directamente a los municipios donde se ubican.</w:t>
      </w:r>
    </w:p>
    <w:p w14:paraId="47B8AC3B"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12B42479" w14:textId="77777777" w:rsidR="006836F2" w:rsidRPr="0012597A" w:rsidRDefault="006836F2" w:rsidP="0012453E">
      <w:pPr>
        <w:widowControl w:val="0"/>
        <w:numPr>
          <w:ilvl w:val="0"/>
          <w:numId w:val="35"/>
        </w:numPr>
        <w:autoSpaceDE w:val="0"/>
        <w:autoSpaceDN w:val="0"/>
        <w:spacing w:after="0" w:line="240" w:lineRule="auto"/>
        <w:rPr>
          <w:rFonts w:ascii="Times New Roman" w:eastAsia="Arial" w:hAnsi="Times New Roman" w:cs="Times New Roman"/>
          <w:b/>
          <w:sz w:val="24"/>
          <w:szCs w:val="24"/>
        </w:rPr>
      </w:pPr>
      <w:r w:rsidRPr="0012597A">
        <w:rPr>
          <w:rFonts w:ascii="Times New Roman" w:eastAsia="Arial" w:hAnsi="Times New Roman" w:cs="Times New Roman"/>
          <w:b/>
          <w:sz w:val="24"/>
          <w:szCs w:val="24"/>
        </w:rPr>
        <w:t xml:space="preserve">La Ciudad de México debe pagar por la basura que nos manda, y ese dinero debe </w:t>
      </w:r>
      <w:r w:rsidRPr="0012597A">
        <w:rPr>
          <w:rFonts w:ascii="Times New Roman" w:eastAsia="Arial" w:hAnsi="Times New Roman" w:cs="Times New Roman"/>
          <w:b/>
          <w:sz w:val="24"/>
          <w:szCs w:val="24"/>
        </w:rPr>
        <w:lastRenderedPageBreak/>
        <w:t>quedarse quede en los municipios afectados</w:t>
      </w:r>
    </w:p>
    <w:p w14:paraId="23E7E743"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129FBCC0"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partir de las consideraciones anteriores, la presente iniciativa propone, en primer término, que la Ciudad de México e Hidalgo estén obligados al pago de una contribución de 200 pesos por cada tonelada de basura que nos envíen. Es decir, que paguen un derecho por el servicio público que reciben al utilizar la infraestructura de tratamiento y disposición final ubicada en territorio mexiquense.</w:t>
      </w:r>
    </w:p>
    <w:p w14:paraId="1518C933"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72EB6CE3"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Como se demostró, este esquema es constitucional y jurídicamente válido, ya que dichas entidades federativas no sólo se benefician directamente de nuestros basureros, rellenos sanitarios y centros integrales de residuos, independientemente de que sean públicos, concesionados o privados, sino que reciben un servicio público específico: la recepción, el almacenamiento, el procesamiento y la disposición final de su basura.</w:t>
      </w:r>
    </w:p>
    <w:p w14:paraId="4CBD259E"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F5900A2"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 aprobarse esta reforma, y considerando que cada año el Estado de México recibe alrededor de 4.5 millones de toneladas de basura, estaríamos hablando de más de 870 millones de pesos anuales, que permitirán implementar acciones concretas para proteger la salud, restaurar los daños ambientales y mejorar la infraestructura vial.</w:t>
      </w:r>
    </w:p>
    <w:p w14:paraId="6479FF58"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3745D186"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Además, la propuesta plantea que las 2/3 partes del dinero recaudado; esto es, alrededor de 580 millones, se entreguen exclusivamente a los municipios que reciben la basura. Así, cada peso se traduciría en acciones específicas: control de plagas; fortalecimiento de infraestructura de gestión de residuos; instalación y modernización de plantas de tratamiento y máquinas recicladoras; restauración de suelos y cuerpos de agua; programas de forestación y reforestación urbana; y reparación de las calles dañadas por el tránsito constante de camiones de basura.</w:t>
      </w:r>
    </w:p>
    <w:p w14:paraId="0C83D381"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3855BCD4"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tercio restante se quedaría en las arcas estatales, a fin de que el gobierno pueda financiar políticas y acciones que contribuyan a garantizar el derecho de las y los mexiquenses a un medio ambiente sano. Dicho de otro modo: de cada 200 pesos recaudados, 134 se destinarían a los municipios y 66 al Estado.</w:t>
      </w:r>
    </w:p>
    <w:p w14:paraId="4C39D700"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61F9E780"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Finalmente, la iniciativa propone incorporar un mecanismo de trazabilidad de residuos que permita identificar con precisión el origen de la basura; es decir, de qué alcaldía o municipio proviene, para tener claridad sobre las toneladas recibidas y el monto que se obtendrá. Para ello, los comprobantes de pago de este derecho deberán especificar, entre otros datos, la alcaldía o el municipio de origen de los residuos.</w:t>
      </w:r>
    </w:p>
    <w:p w14:paraId="4B3304CC"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7F4BE424"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propósito de esta iniciativa es sencillo y profundamente justo: que la Ciudad de México e Hidalgo paguen por la basura que envían al Estado de México, y que esos recursos se queden en los municipios que enfrentan las consecuencias, porque ahí surge el daño, y ahí también deben centrarse los esfuerzos de remediación y</w:t>
      </w:r>
    </w:p>
    <w:p w14:paraId="1D7C37B6"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4171F3B2"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reparación. En otras palabras: quien contamina debe pagar, y si el daño tiene un territorio concreto, los recursos también debe tener un destino específico.</w:t>
      </w:r>
    </w:p>
    <w:p w14:paraId="4B9EBE71"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3FCD988"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Grupo Parlamentario del PRI creemos firmemente que las y los mexiquenses merecen vivir mejor. No podemos seguir permitiendo que la Ciudad de México y otros estados conviertan a nuestros municipios en basureros, destrocen nuestras calles y pongan en riesgo la salud de nuestras familias.</w:t>
      </w:r>
    </w:p>
    <w:p w14:paraId="36320023"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373C0E5D"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 tiempo de transitar hacia un modelo restaurativo, territorialmente justo y socialmente responsable. Es momento de que la Ciudad de México pague por la basura que tira en nuestro Estado, y de que nuestros municipios reciban la compensación que legítimamente les corresponde.</w:t>
      </w:r>
    </w:p>
    <w:p w14:paraId="15FFE2D9"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14AE693D"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lo expuesto, someto a consideración de este órgano legislativo, la iniciativa con proyecto de decreto que se acompaña.</w:t>
      </w:r>
    </w:p>
    <w:p w14:paraId="02080ACD"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9931273" w14:textId="77777777" w:rsidR="006836F2" w:rsidRPr="0012597A" w:rsidRDefault="006836F2" w:rsidP="00EF1C7F">
      <w:pPr>
        <w:widowControl w:val="0"/>
        <w:autoSpaceDE w:val="0"/>
        <w:autoSpaceDN w:val="0"/>
        <w:spacing w:after="0" w:line="240" w:lineRule="auto"/>
        <w:ind w:left="5"/>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p w14:paraId="6B64D019"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159041CD"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5A390C8B" w14:textId="77777777" w:rsidR="006836F2" w:rsidRPr="0012597A" w:rsidRDefault="006836F2" w:rsidP="00EF1C7F">
      <w:pPr>
        <w:widowControl w:val="0"/>
        <w:autoSpaceDE w:val="0"/>
        <w:autoSpaceDN w:val="0"/>
        <w:spacing w:after="0" w:line="240" w:lineRule="auto"/>
        <w:ind w:left="3186"/>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PROYECTO DE DECRETO</w:t>
      </w:r>
    </w:p>
    <w:p w14:paraId="59A31DBE"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61B8D56B"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DECRETO NÚMERO </w:t>
      </w:r>
      <w:r w:rsidRPr="0012597A">
        <w:rPr>
          <w:rFonts w:ascii="Times New Roman" w:eastAsia="Arial MT" w:hAnsi="Times New Roman" w:cs="Times New Roman"/>
          <w:b/>
          <w:sz w:val="24"/>
          <w:szCs w:val="24"/>
          <w:u w:val="single"/>
        </w:rPr>
        <w:tab/>
      </w:r>
    </w:p>
    <w:p w14:paraId="0AE04A15"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H. "LXII" LEGISLATURA DEL ESTADO DE MÉXICO</w:t>
      </w:r>
    </w:p>
    <w:p w14:paraId="5986C3CC"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DECRETA:</w:t>
      </w:r>
    </w:p>
    <w:p w14:paraId="22123D7B"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30CD5F64"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ÚNICO.- </w:t>
      </w:r>
      <w:r w:rsidRPr="0012597A">
        <w:rPr>
          <w:rFonts w:ascii="Times New Roman" w:eastAsia="Arial MT" w:hAnsi="Times New Roman" w:cs="Times New Roman"/>
          <w:sz w:val="24"/>
          <w:szCs w:val="24"/>
        </w:rPr>
        <w:t>Se deroga el segundo párrafo del artículo 69 U, y se adiciona la Sección Décima Cuarta al Capítulo Segundo del Título Tercero, denominada “Del Derecho por Recepción, Almacenamiento, Tratamiento y Disposición Final de Residuos en el Estado de México”, que contempla los artículos 106 Bis, 106 Ter, 106 Quáter, 106 Quinquies y 106 Sexies, todos del Código Financiero del Estado de México y Municipios, para quedar como siguen:</w:t>
      </w:r>
    </w:p>
    <w:p w14:paraId="51D152A6"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665C838B"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Artículo 69 U</w:t>
      </w:r>
      <w:r w:rsidRPr="0012597A">
        <w:rPr>
          <w:rFonts w:ascii="Times New Roman" w:eastAsia="Arial MT" w:hAnsi="Times New Roman" w:cs="Times New Roman"/>
          <w:sz w:val="24"/>
          <w:szCs w:val="24"/>
        </w:rPr>
        <w:t>.- …</w:t>
      </w:r>
    </w:p>
    <w:p w14:paraId="062F522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606F4FCC"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Se deroga.</w:t>
      </w:r>
    </w:p>
    <w:p w14:paraId="295536B4"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452058F4"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05016003"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20CCFEA0"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7351080E"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6AEE951"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7F396F03"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5964B4D5"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077A3B34" w14:textId="77777777" w:rsidR="006836F2" w:rsidRPr="0012597A" w:rsidRDefault="006836F2" w:rsidP="00EF1C7F">
      <w:pPr>
        <w:widowControl w:val="0"/>
        <w:autoSpaceDE w:val="0"/>
        <w:autoSpaceDN w:val="0"/>
        <w:spacing w:after="0" w:line="240" w:lineRule="auto"/>
        <w:ind w:left="4"/>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Sección Décima Cuarta</w:t>
      </w:r>
    </w:p>
    <w:p w14:paraId="773DFBF9"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1FF8879B" w14:textId="77777777" w:rsidR="006836F2" w:rsidRPr="0012597A" w:rsidRDefault="006836F2" w:rsidP="00EF1C7F">
      <w:pPr>
        <w:widowControl w:val="0"/>
        <w:autoSpaceDE w:val="0"/>
        <w:autoSpaceDN w:val="0"/>
        <w:spacing w:after="0" w:line="240" w:lineRule="auto"/>
        <w:ind w:left="4"/>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Derecho por Recepción, Almacenamiento, Tratamiento y Disposición Final de</w:t>
      </w:r>
    </w:p>
    <w:p w14:paraId="1C76FA6F" w14:textId="77777777" w:rsidR="006836F2" w:rsidRPr="0012597A" w:rsidRDefault="006836F2" w:rsidP="00EF1C7F">
      <w:pPr>
        <w:widowControl w:val="0"/>
        <w:autoSpaceDE w:val="0"/>
        <w:autoSpaceDN w:val="0"/>
        <w:spacing w:after="0" w:line="240" w:lineRule="auto"/>
        <w:ind w:left="4"/>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Residuos en el Estado de México</w:t>
      </w:r>
    </w:p>
    <w:p w14:paraId="1B7245D9"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09EE614A"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106 Bis.- Están obligados al pago del Derecho por Recepción, Almacenamiento, Tratamiento y Disposición Final de Residuos, las entidades federativas, los municipios y las alcaldías de la Ciudad de México que, por sí mismas o a través de intermediarios:</w:t>
      </w:r>
    </w:p>
    <w:p w14:paraId="191703FD"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2300CBEA" w14:textId="77777777" w:rsidR="006836F2" w:rsidRPr="0012597A" w:rsidRDefault="006836F2" w:rsidP="0012453E">
      <w:pPr>
        <w:widowControl w:val="0"/>
        <w:numPr>
          <w:ilvl w:val="0"/>
          <w:numId w:val="34"/>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Utilicen o aprovechen, mediante el depósito o almacenamiento de desechos, la infraestructura de sitios de disposición final de residuos sólidos urbanos y/o de manejo especial, rellenos sanitarios, centros integrales de residuos o centros integrales de residuos de la construcción y demolición, ubicados en el territorio del Estado, independientemente de su naturaleza jurídica.</w:t>
      </w:r>
    </w:p>
    <w:p w14:paraId="709BA30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1DCA2746" w14:textId="77777777" w:rsidR="006836F2" w:rsidRPr="0012597A" w:rsidRDefault="006836F2" w:rsidP="0012453E">
      <w:pPr>
        <w:widowControl w:val="0"/>
        <w:numPr>
          <w:ilvl w:val="0"/>
          <w:numId w:val="34"/>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lastRenderedPageBreak/>
        <w:t>Hagan uso del servicio público de recepción, almacenamiento, tratamiento y disposición final de residuos, conforme al inciso c) de la fracción III del artículo 115 de la Constitución Política de los Estados Unidos Mexicanos.</w:t>
      </w:r>
    </w:p>
    <w:p w14:paraId="6F517946"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23A67242"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106 Ter.- Los sitios de disposición final mencionados en el artículo anterior, en cuya infraestructura se depositen o almacenen los residuos, deberán realizar el cobro anticipado de la cuota a que hace referencia el artículo 106 Quáter, enterarla a la autoridad fiscal competente y emitir el comprobante correspondiente.</w:t>
      </w:r>
    </w:p>
    <w:p w14:paraId="437A2352"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3FA9D65C"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Dicho comprobante dejará constancia de que el pago se recibe en calidad de recaudador del derecho, para su posterior entrega a la autoridad fiscal y deberá consignar, para efectos de trazabilidad, el municipio o alcaldía en donde se generaron u originaron los residuos recibidos.</w:t>
      </w:r>
    </w:p>
    <w:p w14:paraId="71914B8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6E0B7E84"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106 Quáter.- El Derecho por Recepción, Almacenamiento, Tratamiento y Disposición Final de Residuos se determinará aplicando una cuota de 200 pesos por tonelada y la parte proporcional de la cuota, a la fracción de tonelada de los residuos dispuestos, confinados o almacenados en el territorio del Estado.</w:t>
      </w:r>
    </w:p>
    <w:p w14:paraId="4A016D30"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33C69F2F"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106 Quinquies.- Los recursos recaudados por concepto del presente derecho se distribuirán de la siguiente manera: el 67% se destinará exclusivamente a los municipios del Estado, en cuyo territorio se haya realizado la recepción, almacenamiento, tratamiento y disposición final de los residuos, a fin de que implementen acciones integrales de mitigación, remediación y mejora en las zonas contaminadas, así como la reparación de la infraestructura vial afectada; y el 33% se asignará a acciones estatales para garantizar el derecho de las personas a un medio ambiente sano para su desarrollo y bienestar.</w:t>
      </w:r>
    </w:p>
    <w:p w14:paraId="65D59242"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4D58D30E"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106 Sexies.- Los sujetos de este derecho, además de las obligaciones establecidas en este Código y en las demás disposiciones fiscales aplicables, deberán llevar un registro de residuos, el cual deberá contener el municipio o alcaldía de origen, la cantidad de residuos en toneladas y la fecha de depósito. Esta información deberá asentarse en el comprobante de pago anticipado respectivo, y permanecer disponible para verificar la trazabilidad de los residuos.</w:t>
      </w:r>
    </w:p>
    <w:p w14:paraId="63A59B32"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633FC892"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Para el correcto cumplimiento de estas obligaciones, la Secretaría emitirá las Reglas de Carácter General correspondientes.</w:t>
      </w:r>
    </w:p>
    <w:p w14:paraId="20FE6919" w14:textId="77777777" w:rsidR="006836F2" w:rsidRPr="0012597A" w:rsidRDefault="006836F2" w:rsidP="00EF1C7F">
      <w:pPr>
        <w:widowControl w:val="0"/>
        <w:autoSpaceDE w:val="0"/>
        <w:autoSpaceDN w:val="0"/>
        <w:spacing w:after="0" w:line="240" w:lineRule="auto"/>
        <w:ind w:left="4"/>
        <w:jc w:val="center"/>
        <w:rPr>
          <w:rFonts w:ascii="Times New Roman" w:eastAsia="Arial MT" w:hAnsi="Times New Roman" w:cs="Times New Roman"/>
          <w:b/>
          <w:sz w:val="24"/>
          <w:szCs w:val="24"/>
        </w:rPr>
      </w:pPr>
    </w:p>
    <w:p w14:paraId="5595F2D3" w14:textId="77777777" w:rsidR="006836F2" w:rsidRPr="0012597A" w:rsidRDefault="006836F2" w:rsidP="00EF1C7F">
      <w:pPr>
        <w:widowControl w:val="0"/>
        <w:autoSpaceDE w:val="0"/>
        <w:autoSpaceDN w:val="0"/>
        <w:spacing w:after="0" w:line="240" w:lineRule="auto"/>
        <w:ind w:left="4"/>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 R A N S I T O R I O S</w:t>
      </w:r>
    </w:p>
    <w:p w14:paraId="7491631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b/>
          <w:sz w:val="24"/>
          <w:szCs w:val="24"/>
        </w:rPr>
      </w:pPr>
    </w:p>
    <w:p w14:paraId="08934C6A"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Publíquese el presente Decreto en el Periódico Oficial "Gaceta del Gobierno".</w:t>
      </w:r>
    </w:p>
    <w:p w14:paraId="15E73715"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6238D96C"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El presente Decreto entrará en vigor al día siguiente al de su publicación en el Periódico Oficial “Gaceta del Gobierno”.</w:t>
      </w:r>
    </w:p>
    <w:p w14:paraId="39F9F84D"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45B7634F"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 xml:space="preserve">La Secretaría de Finanzas del Estado de México contará con un plazo de 90 días, contados a partir de la entrada en vigor del presente Decreto, para realizar las adecuaciones reglamentarias y administrativas correspondientes, y para emitir, en coordinación con la Secretaría del Medio Ambiente y Desarrollo Sostenible, las Reglas de Carácter General necesarias para garantizar que los recursos recaudados se distribuyan conforme a lo previsto en el artículo 106 </w:t>
      </w:r>
      <w:r w:rsidRPr="0012597A">
        <w:rPr>
          <w:rFonts w:ascii="Times New Roman" w:eastAsia="Arial MT" w:hAnsi="Times New Roman" w:cs="Times New Roman"/>
          <w:sz w:val="24"/>
          <w:szCs w:val="24"/>
        </w:rPr>
        <w:lastRenderedPageBreak/>
        <w:t>Sexies.</w:t>
      </w:r>
    </w:p>
    <w:p w14:paraId="2769B687" w14:textId="77777777" w:rsidR="006836F2" w:rsidRPr="0012597A" w:rsidRDefault="006836F2" w:rsidP="00EF1C7F">
      <w:pPr>
        <w:widowControl w:val="0"/>
        <w:autoSpaceDE w:val="0"/>
        <w:autoSpaceDN w:val="0"/>
        <w:spacing w:after="0" w:line="240" w:lineRule="auto"/>
        <w:rPr>
          <w:rFonts w:ascii="Times New Roman" w:eastAsia="Arial MT" w:hAnsi="Times New Roman" w:cs="Times New Roman"/>
          <w:sz w:val="24"/>
          <w:szCs w:val="24"/>
        </w:rPr>
      </w:pPr>
    </w:p>
    <w:p w14:paraId="1D8C10F1" w14:textId="77777777" w:rsidR="006836F2" w:rsidRPr="0012597A" w:rsidRDefault="006836F2"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de Lerdo, capital del Estado de México, a los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días del mes de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del año </w:t>
      </w:r>
      <w:r w:rsidRPr="0012597A">
        <w:rPr>
          <w:rFonts w:ascii="Times New Roman" w:eastAsia="Arial MT" w:hAnsi="Times New Roman" w:cs="Times New Roman"/>
          <w:sz w:val="24"/>
          <w:szCs w:val="24"/>
          <w:u w:val="single"/>
        </w:rPr>
        <w:tab/>
      </w:r>
    </w:p>
    <w:p w14:paraId="60E4753B" w14:textId="77777777" w:rsidR="0045611D" w:rsidRPr="0012597A" w:rsidRDefault="0045611D" w:rsidP="00EF1C7F">
      <w:pPr>
        <w:spacing w:after="0" w:line="240" w:lineRule="auto"/>
        <w:jc w:val="center"/>
        <w:rPr>
          <w:rFonts w:ascii="Times New Roman" w:hAnsi="Times New Roman"/>
          <w:sz w:val="24"/>
          <w:szCs w:val="24"/>
        </w:rPr>
      </w:pPr>
    </w:p>
    <w:p w14:paraId="37724F1F" w14:textId="77777777" w:rsidR="0045611D" w:rsidRPr="0012597A" w:rsidRDefault="0045611D"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37522750" w14:textId="77777777" w:rsidR="0045611D" w:rsidRPr="0012597A" w:rsidRDefault="0045611D" w:rsidP="00EF1C7F">
      <w:pPr>
        <w:spacing w:after="0" w:line="240" w:lineRule="auto"/>
        <w:jc w:val="center"/>
        <w:rPr>
          <w:rFonts w:ascii="Times New Roman" w:hAnsi="Times New Roman"/>
          <w:sz w:val="24"/>
          <w:szCs w:val="24"/>
        </w:rPr>
      </w:pPr>
    </w:p>
    <w:p w14:paraId="69880060" w14:textId="354C94FE" w:rsidR="00791E2D" w:rsidRPr="0012597A" w:rsidRDefault="0045611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w:t>
      </w:r>
      <w:r w:rsidR="00791E2D" w:rsidRPr="0012597A">
        <w:rPr>
          <w:rFonts w:ascii="Times New Roman" w:hAnsi="Times New Roman" w:cs="Times New Roman"/>
          <w:sz w:val="24"/>
          <w:szCs w:val="24"/>
        </w:rPr>
        <w:t>Se registra la iniciativa y se remite a las Comisiones Legislativas de Planeación y Gasto Público y de Finanzas Públicas para su estudio y dictamen.</w:t>
      </w:r>
    </w:p>
    <w:p w14:paraId="21835A2A"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cuanto al punto 17 y a petición del promovente, se omite la lectura del diputado Alejandro Castro Hernández, que presenta en nombre del Grupo Parlamentario del Partido Revolucionario Institucional, iniciativa con proyecto de decreto por el que se reforman y adicionan diversas disposiciones de la Ley de Educación del Estado de México para garantizar escuelas de tiempo completo para niñas y niños mexiquenses.</w:t>
      </w:r>
    </w:p>
    <w:p w14:paraId="51A8C684" w14:textId="77777777" w:rsidR="000E3EB0" w:rsidRPr="0012597A" w:rsidRDefault="000E3EB0" w:rsidP="00EF1C7F">
      <w:pPr>
        <w:pStyle w:val="Sinespaciado"/>
        <w:jc w:val="both"/>
        <w:rPr>
          <w:rFonts w:ascii="Times New Roman" w:hAnsi="Times New Roman" w:cs="Times New Roman"/>
          <w:sz w:val="24"/>
          <w:szCs w:val="24"/>
        </w:rPr>
      </w:pPr>
    </w:p>
    <w:p w14:paraId="52D48706" w14:textId="77777777" w:rsidR="000E3EB0" w:rsidRPr="0012597A" w:rsidRDefault="000E3EB0"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3E4CDF8D" w14:textId="77777777" w:rsidR="000E3EB0" w:rsidRPr="0012597A" w:rsidRDefault="000E3EB0" w:rsidP="00EF1C7F">
      <w:pPr>
        <w:spacing w:after="0" w:line="240" w:lineRule="auto"/>
        <w:jc w:val="center"/>
        <w:rPr>
          <w:rFonts w:ascii="Times New Roman" w:hAnsi="Times New Roman"/>
          <w:sz w:val="24"/>
          <w:szCs w:val="24"/>
        </w:rPr>
      </w:pPr>
    </w:p>
    <w:p w14:paraId="3DEA9614" w14:textId="77777777" w:rsidR="00F24A80" w:rsidRPr="0012597A" w:rsidRDefault="00F24A80"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Alejandro Castro Hernández</w:t>
      </w:r>
    </w:p>
    <w:p w14:paraId="6B8C5514" w14:textId="77777777" w:rsidR="00F24A80" w:rsidRPr="0012597A" w:rsidRDefault="00F24A80" w:rsidP="00EF1C7F">
      <w:pPr>
        <w:widowControl w:val="0"/>
        <w:autoSpaceDE w:val="0"/>
        <w:autoSpaceDN w:val="0"/>
        <w:spacing w:after="0" w:line="240" w:lineRule="auto"/>
        <w:jc w:val="center"/>
        <w:rPr>
          <w:rFonts w:ascii="Times New Roman" w:eastAsia="Arial MT" w:hAnsi="Times New Roman" w:cs="Times New Roman"/>
          <w:sz w:val="24"/>
          <w:szCs w:val="24"/>
        </w:rPr>
      </w:pPr>
    </w:p>
    <w:p w14:paraId="01A8DBFA" w14:textId="77777777" w:rsidR="00F24A80" w:rsidRPr="0012597A" w:rsidRDefault="00F24A80" w:rsidP="00EF1C7F">
      <w:pPr>
        <w:widowControl w:val="0"/>
        <w:autoSpaceDE w:val="0"/>
        <w:autoSpaceDN w:val="0"/>
        <w:spacing w:after="0" w:line="240" w:lineRule="auto"/>
        <w:ind w:left="3929"/>
        <w:jc w:val="right"/>
        <w:rPr>
          <w:rFonts w:ascii="Times New Roman" w:eastAsia="Arial MT" w:hAnsi="Times New Roman" w:cs="Times New Roman"/>
          <w:sz w:val="24"/>
          <w:szCs w:val="24"/>
        </w:rPr>
      </w:pPr>
      <w:r w:rsidRPr="0012597A">
        <w:rPr>
          <w:rFonts w:ascii="Times New Roman" w:eastAsia="Arial MT" w:hAnsi="Times New Roman" w:cs="Times New Roman"/>
          <w:sz w:val="24"/>
          <w:szCs w:val="24"/>
        </w:rPr>
        <w:t>Toluca, Estado de México, a 18 de marzo de 2026.</w:t>
      </w:r>
    </w:p>
    <w:p w14:paraId="460BB51A"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4A2F7186"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MAURILIO HERNANDEZ GÓNZALEZ</w:t>
      </w:r>
    </w:p>
    <w:p w14:paraId="19230723"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PRESIDENTE DE LA MESA DIRECTIVA DE LA</w:t>
      </w:r>
    </w:p>
    <w:p w14:paraId="6FD57AF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LXII LEGISLATURA DEL ESTADO DE MÉXICO</w:t>
      </w:r>
    </w:p>
    <w:p w14:paraId="6BDA565A"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PRESENTE</w:t>
      </w:r>
    </w:p>
    <w:p w14:paraId="322F9CA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67988F8C"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que suscribe, </w:t>
      </w:r>
      <w:r w:rsidRPr="0012597A">
        <w:rPr>
          <w:rFonts w:ascii="Times New Roman" w:eastAsia="Arial MT" w:hAnsi="Times New Roman" w:cs="Times New Roman"/>
          <w:b/>
          <w:sz w:val="24"/>
          <w:szCs w:val="24"/>
        </w:rPr>
        <w:t xml:space="preserve">diputado Alejandro Castro Hernández, integrante del Grupo Parlamentario del Partido Revolucionario Institucional </w:t>
      </w:r>
      <w:r w:rsidRPr="0012597A">
        <w:rPr>
          <w:rFonts w:ascii="Times New Roman" w:eastAsia="Arial MT"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12597A">
        <w:rPr>
          <w:rFonts w:ascii="Times New Roman" w:eastAsia="Arial MT" w:hAnsi="Times New Roman" w:cs="Times New Roman"/>
          <w:b/>
          <w:sz w:val="24"/>
          <w:szCs w:val="24"/>
        </w:rPr>
        <w:t xml:space="preserve">Iniciativa con proyecto de decreto por el que se reforman y adicionan diversas disposiciones de la Ley de Educación del Estado de México, para garantizar escuelas de tiempo completo a las niñas y niños mexiquenses, </w:t>
      </w:r>
      <w:r w:rsidRPr="0012597A">
        <w:rPr>
          <w:rFonts w:ascii="Times New Roman" w:eastAsia="Arial MT" w:hAnsi="Times New Roman" w:cs="Times New Roman"/>
          <w:sz w:val="24"/>
          <w:szCs w:val="24"/>
        </w:rPr>
        <w:t>al tenor de la siguiente:</w:t>
      </w:r>
    </w:p>
    <w:p w14:paraId="62C7DD80"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28896A11" w14:textId="77777777" w:rsidR="00F24A80" w:rsidRPr="0012597A" w:rsidRDefault="00F24A80" w:rsidP="00EF1C7F">
      <w:pPr>
        <w:widowControl w:val="0"/>
        <w:autoSpaceDE w:val="0"/>
        <w:autoSpaceDN w:val="0"/>
        <w:spacing w:after="0" w:line="240" w:lineRule="auto"/>
        <w:ind w:left="5"/>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 X P O S I C I Ó N  D E  M O T I V O S</w:t>
      </w:r>
    </w:p>
    <w:p w14:paraId="3AB6DD9A"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1460251B" w14:textId="77777777" w:rsidR="00F24A80" w:rsidRPr="0012597A" w:rsidRDefault="00F24A80" w:rsidP="0012453E">
      <w:pPr>
        <w:widowControl w:val="0"/>
        <w:numPr>
          <w:ilvl w:val="0"/>
          <w:numId w:val="41"/>
        </w:numPr>
        <w:autoSpaceDE w:val="0"/>
        <w:autoSpaceDN w:val="0"/>
        <w:spacing w:after="0" w:line="240" w:lineRule="auto"/>
        <w:ind w:left="265" w:hanging="265"/>
        <w:rPr>
          <w:rFonts w:ascii="Times New Roman" w:eastAsia="Arial" w:hAnsi="Times New Roman" w:cs="Times New Roman"/>
          <w:b/>
          <w:sz w:val="24"/>
          <w:szCs w:val="24"/>
        </w:rPr>
      </w:pPr>
      <w:r w:rsidRPr="0012597A">
        <w:rPr>
          <w:rFonts w:ascii="Times New Roman" w:eastAsia="Arial" w:hAnsi="Times New Roman" w:cs="Times New Roman"/>
          <w:b/>
          <w:sz w:val="24"/>
          <w:szCs w:val="24"/>
        </w:rPr>
        <w:t>Las Escuelas de Tiempo Completo</w:t>
      </w:r>
    </w:p>
    <w:p w14:paraId="477C2D36"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01DF577F"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ampliación de la jornada escolar se ha incorporado, en distintos países, como una estrategia de política educativa. Así, la evidencia internacional ha mostrado de forma consistente que, cuando se acompaña de herramientas pedagógicas adecuadas, incrementar el tiempo de interacción en el aula contribuye positivamente a mejorar los resultados de aprendizaje de las y los estudiantes. Su diseño varía según el entorno económico, social y cultural de cada país, pero las bondades y los beneficios generados son innegables.</w:t>
      </w:r>
      <w:r w:rsidRPr="0012597A">
        <w:rPr>
          <w:rFonts w:ascii="Times New Roman" w:eastAsia="Arial MT" w:hAnsi="Times New Roman" w:cs="Times New Roman"/>
          <w:color w:val="FF0000"/>
          <w:sz w:val="24"/>
          <w:szCs w:val="24"/>
          <w:vertAlign w:val="superscript"/>
        </w:rPr>
        <w:t>1</w:t>
      </w:r>
    </w:p>
    <w:p w14:paraId="702C65AC"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2455CB6"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México, las Escuelas de Tiempo Completo surgieron como una política pública federal de </w:t>
      </w:r>
      <w:r w:rsidRPr="0012597A">
        <w:rPr>
          <w:rFonts w:ascii="Times New Roman" w:eastAsia="Arial MT" w:hAnsi="Times New Roman" w:cs="Times New Roman"/>
          <w:sz w:val="24"/>
          <w:szCs w:val="24"/>
        </w:rPr>
        <w:lastRenderedPageBreak/>
        <w:t>educación básica implementada desde 2007. Su propósito central no sólo fue ampliar la jornada escolar para aprovechar mejor el tiempo disponible, sino para fortalecer los aprendizajes y favorecer el desarrollo integral del alumnado. De este modo, lo que comenzó como un programa piloto en un grupo reducido de escuelas, se consolidó como una política educativa sostenida y respaldada por la evidencia.</w:t>
      </w:r>
    </w:p>
    <w:p w14:paraId="6A02B22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047A05CC"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2008, se publicaron las primeras Reglas de Operación del Programa Escuelas de Tiempo Completo, mismas que establecieron seis “líneas de trabajo”: fortalecimiento del aprendizaje sobre contenidos curriculares; uso didáctico de las Tecnologías de la Información y la Comunicación; alimentación saludable; aprendizaje de una lengua adicional; arte y cultura; así como recreación y desarrollo físico.</w:t>
      </w:r>
      <w:r w:rsidRPr="0012597A">
        <w:rPr>
          <w:rFonts w:ascii="Times New Roman" w:eastAsia="Arial MT" w:hAnsi="Times New Roman" w:cs="Times New Roman"/>
          <w:color w:val="FF0000"/>
          <w:sz w:val="24"/>
          <w:szCs w:val="24"/>
          <w:vertAlign w:val="superscript"/>
        </w:rPr>
        <w:t>2</w:t>
      </w:r>
    </w:p>
    <w:p w14:paraId="583D255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3CCE90B0"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diseño normativo del programa fue elevado a rango legal en septiembre de 2013. De esta manera, la Ley General de Educación facultó a las autoridades educativas para establecer, “de forma paulatina y conforme a la suficiencia presupuestal, escuelas de tiempo completo, con jornadas de entre 6 y 8 horas diarias, para aprovechar mejor el tiempo disponible para el desarrollo académico, deportivo y cultural.”</w:t>
      </w:r>
      <w:r w:rsidRPr="0012597A">
        <w:rPr>
          <w:rFonts w:ascii="Times New Roman" w:eastAsia="Arial MT" w:hAnsi="Times New Roman" w:cs="Times New Roman"/>
          <w:color w:val="FF0000"/>
          <w:sz w:val="24"/>
          <w:szCs w:val="24"/>
          <w:vertAlign w:val="superscript"/>
        </w:rPr>
        <w:t>3</w:t>
      </w:r>
    </w:p>
    <w:p w14:paraId="5B91831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85F9479"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la práctica, el programa continuó siendo regulado mediante Reglas de Operación emitidas por la Secretaría de Educación Pública, las cuales definieron su objeto, población beneficiaria, mecanismos de financiamiento, componentes pedagógicos, uso del tiempo, responsabilidades de las autoridades educativas locales y criterios de seguimiento y evaluación.</w:t>
      </w:r>
    </w:p>
    <w:p w14:paraId="05CFD4D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11258272"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w:t>
      </w:r>
      <w:r w:rsidRPr="0012597A">
        <w:rPr>
          <w:rFonts w:ascii="Times New Roman" w:eastAsia="Arial MT" w:hAnsi="Times New Roman" w:cs="Times New Roman"/>
          <w:sz w:val="20"/>
          <w:szCs w:val="24"/>
        </w:rPr>
        <w:t xml:space="preserve"> Mexicanos Primero. Escuelas de tiempo completo. Opiniones y experiencias de comunidades escolares. Disponible en: https://</w:t>
      </w:r>
      <w:hyperlink r:id="rId77">
        <w:r w:rsidRPr="0012597A">
          <w:rPr>
            <w:rFonts w:ascii="Times New Roman" w:eastAsia="Arial MT" w:hAnsi="Times New Roman" w:cs="Times New Roman"/>
            <w:sz w:val="20"/>
            <w:szCs w:val="24"/>
          </w:rPr>
          <w:t>www.mexicanosprimero.org/pdf/investigaciones/escuelas-de-tiempo-</w:t>
        </w:r>
      </w:hyperlink>
    </w:p>
    <w:p w14:paraId="6709FB52"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w:t>
      </w:r>
      <w:r w:rsidRPr="0012597A">
        <w:rPr>
          <w:rFonts w:ascii="Times New Roman" w:eastAsia="Arial MT" w:hAnsi="Times New Roman" w:cs="Times New Roman"/>
          <w:sz w:val="20"/>
          <w:szCs w:val="24"/>
          <w:vertAlign w:val="superscript"/>
        </w:rPr>
        <w:t xml:space="preserve"> </w:t>
      </w:r>
      <w:r w:rsidRPr="0012597A">
        <w:rPr>
          <w:rFonts w:ascii="Times New Roman" w:eastAsia="Arial MT" w:hAnsi="Times New Roman" w:cs="Times New Roman"/>
          <w:sz w:val="20"/>
          <w:szCs w:val="24"/>
        </w:rPr>
        <w:t xml:space="preserve">Diario Oficial de la Federación, 31 de diciembre de 2008. Disponibles en: </w:t>
      </w:r>
      <w:hyperlink r:id="rId78">
        <w:r w:rsidRPr="0012597A">
          <w:rPr>
            <w:rFonts w:ascii="Times New Roman" w:eastAsia="Arial MT" w:hAnsi="Times New Roman" w:cs="Times New Roman"/>
            <w:sz w:val="20"/>
            <w:szCs w:val="24"/>
          </w:rPr>
          <w:t>http://www.sep.gob.mx/work/models/sep1/Resource/7aa2c3ff-aab8-479f-ad93-db49d0a1108a/a475.pdf</w:t>
        </w:r>
      </w:hyperlink>
    </w:p>
    <w:p w14:paraId="04FB639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3</w:t>
      </w:r>
      <w:r w:rsidRPr="0012597A">
        <w:rPr>
          <w:rFonts w:ascii="Times New Roman" w:eastAsia="Arial MT" w:hAnsi="Times New Roman" w:cs="Times New Roman"/>
          <w:sz w:val="20"/>
          <w:szCs w:val="24"/>
        </w:rPr>
        <w:t xml:space="preserve"> Artículo 33 de la Ley General de Educación abrogada el 30 de septiembre de 2019. Disponible en:</w:t>
      </w:r>
    </w:p>
    <w:p w14:paraId="3B275EEF"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sz w:val="20"/>
          <w:szCs w:val="24"/>
        </w:rPr>
        <w:t>https://</w:t>
      </w:r>
      <w:hyperlink r:id="rId79">
        <w:r w:rsidRPr="0012597A">
          <w:rPr>
            <w:rFonts w:ascii="Times New Roman" w:eastAsia="Arial MT" w:hAnsi="Times New Roman" w:cs="Times New Roman"/>
            <w:sz w:val="20"/>
            <w:szCs w:val="24"/>
          </w:rPr>
          <w:t>www.diputados.gob.mx/LeyesBiblio/abro/lge_1993/LGE_abro.pdf</w:t>
        </w:r>
      </w:hyperlink>
    </w:p>
    <w:p w14:paraId="7071C592"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7B56E92"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Sin embargo, con la abrogación de la Ley General de Educación, el 30 de septiembre de 2019, y la posterior expedición de las Reglas de Operación del Programa la Escuela es Nuestra, el 31 de diciembre de 2022,</w:t>
      </w:r>
      <w:r w:rsidRPr="0012597A">
        <w:rPr>
          <w:rFonts w:ascii="Times New Roman" w:eastAsia="Arial MT" w:hAnsi="Times New Roman" w:cs="Times New Roman"/>
          <w:color w:val="FF0000"/>
          <w:sz w:val="24"/>
          <w:szCs w:val="24"/>
          <w:vertAlign w:val="superscript"/>
        </w:rPr>
        <w:t>4</w:t>
      </w:r>
      <w:r w:rsidRPr="0012597A">
        <w:rPr>
          <w:rFonts w:ascii="Times New Roman" w:eastAsia="Arial MT" w:hAnsi="Times New Roman" w:cs="Times New Roman"/>
          <w:sz w:val="24"/>
          <w:szCs w:val="24"/>
        </w:rPr>
        <w:t xml:space="preserve"> el Programa de Escuelas de Tiempo Completo fue eliminado, lo que motivó la presentación de múltiples juicios de amparo que, tras su trámite, lograron reconocer que su desaparición ponía en riesgo la progresividad de los derechos humanos, en particular el derecho a la educación y el principio del interés superior de la niñez.</w:t>
      </w:r>
      <w:r w:rsidRPr="0012597A">
        <w:rPr>
          <w:rFonts w:ascii="Times New Roman" w:eastAsia="Arial MT" w:hAnsi="Times New Roman" w:cs="Times New Roman"/>
          <w:color w:val="FF0000"/>
          <w:sz w:val="24"/>
          <w:szCs w:val="24"/>
          <w:vertAlign w:val="superscript"/>
        </w:rPr>
        <w:t>5</w:t>
      </w:r>
    </w:p>
    <w:p w14:paraId="665FACAE"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F7080A6" w14:textId="77777777" w:rsidR="00F24A80" w:rsidRPr="0012597A" w:rsidRDefault="00F24A80" w:rsidP="0012453E">
      <w:pPr>
        <w:widowControl w:val="0"/>
        <w:numPr>
          <w:ilvl w:val="0"/>
          <w:numId w:val="41"/>
        </w:numPr>
        <w:autoSpaceDE w:val="0"/>
        <w:autoSpaceDN w:val="0"/>
        <w:spacing w:after="0" w:line="240" w:lineRule="auto"/>
        <w:ind w:left="265" w:hanging="265"/>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Beneficios de la estrategia y alcances de la misma</w:t>
      </w:r>
    </w:p>
    <w:p w14:paraId="1A0460A9"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34FCECB7"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Se calcula que, desde su creación en 2008 hasta su extinción en 2022, las Escuelas de Tiempo Completo beneficiaron acumuladamente a más de 30 millones de niñas, niños y adolescentes.</w:t>
      </w:r>
      <w:r w:rsidRPr="0012597A">
        <w:rPr>
          <w:rFonts w:ascii="Times New Roman" w:eastAsia="Arial MT" w:hAnsi="Times New Roman" w:cs="Times New Roman"/>
          <w:color w:val="FF0000"/>
          <w:sz w:val="24"/>
          <w:szCs w:val="24"/>
          <w:vertAlign w:val="superscript"/>
        </w:rPr>
        <w:t>6</w:t>
      </w:r>
      <w:r w:rsidRPr="0012597A">
        <w:rPr>
          <w:rFonts w:ascii="Times New Roman" w:eastAsia="Arial MT" w:hAnsi="Times New Roman" w:cs="Times New Roman"/>
          <w:sz w:val="24"/>
          <w:szCs w:val="24"/>
        </w:rPr>
        <w:t xml:space="preserve"> En su último año, el programa alcanzó a más de 27 mil escuelas y alrededor de 3.6 millones de estudiantes de 3 a 15 años; </w:t>
      </w:r>
      <w:proofErr w:type="gramStart"/>
      <w:r w:rsidRPr="0012597A">
        <w:rPr>
          <w:rFonts w:ascii="Times New Roman" w:eastAsia="Arial MT" w:hAnsi="Times New Roman" w:cs="Times New Roman"/>
          <w:sz w:val="24"/>
          <w:szCs w:val="24"/>
        </w:rPr>
        <w:t>una porción significativa de las escuelas participantes se ubicaban</w:t>
      </w:r>
      <w:proofErr w:type="gramEnd"/>
      <w:r w:rsidRPr="0012597A">
        <w:rPr>
          <w:rFonts w:ascii="Times New Roman" w:eastAsia="Arial MT" w:hAnsi="Times New Roman" w:cs="Times New Roman"/>
          <w:sz w:val="24"/>
          <w:szCs w:val="24"/>
        </w:rPr>
        <w:t xml:space="preserve"> en contextos indígenas y rurales, y el 55% de los menores beneficiados vivían por debajo de la línea de pobreza.</w:t>
      </w:r>
      <w:r w:rsidRPr="0012597A">
        <w:rPr>
          <w:rFonts w:ascii="Times New Roman" w:eastAsia="Arial MT" w:hAnsi="Times New Roman" w:cs="Times New Roman"/>
          <w:color w:val="FF0000"/>
          <w:sz w:val="24"/>
          <w:szCs w:val="24"/>
          <w:vertAlign w:val="superscript"/>
        </w:rPr>
        <w:t>7</w:t>
      </w:r>
    </w:p>
    <w:p w14:paraId="6612009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BADB86F"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Tan sólo en el Estado de México, las Escuelas de Tiempo Completo llegaron a beneficiar, en 2022, a 380 mil alumnos de mil 360 escuelas, lo que demuestra que el programa “abonaba a la economía de las familias y docentes pues representaba horas laborales adicionales, además que significaba un importante apoyo para reforzar los conocimientos de los alumnos y alumnas”.</w:t>
      </w:r>
      <w:r w:rsidRPr="0012597A">
        <w:rPr>
          <w:rFonts w:ascii="Times New Roman" w:eastAsia="Arial MT" w:hAnsi="Times New Roman" w:cs="Times New Roman"/>
          <w:color w:val="FF0000"/>
          <w:sz w:val="24"/>
          <w:szCs w:val="24"/>
          <w:vertAlign w:val="superscript"/>
        </w:rPr>
        <w:t>8</w:t>
      </w:r>
    </w:p>
    <w:p w14:paraId="328965C6"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p>
    <w:p w14:paraId="5C122289"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4</w:t>
      </w:r>
      <w:r w:rsidRPr="0012597A">
        <w:rPr>
          <w:rFonts w:ascii="Times New Roman" w:eastAsia="Arial MT" w:hAnsi="Times New Roman" w:cs="Times New Roman"/>
          <w:sz w:val="18"/>
          <w:szCs w:val="24"/>
        </w:rPr>
        <w:t xml:space="preserve"> https://laescuelaesnuestra.sep.gob.mx/storage/recursos/2023/01/fLJE2Hp6su-ROP%202023.pdf</w:t>
      </w:r>
    </w:p>
    <w:p w14:paraId="3EC3D828"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5</w:t>
      </w:r>
      <w:r w:rsidRPr="0012597A">
        <w:rPr>
          <w:rFonts w:ascii="Times New Roman" w:eastAsia="Arial MT" w:hAnsi="Times New Roman" w:cs="Times New Roman"/>
          <w:sz w:val="18"/>
          <w:szCs w:val="24"/>
        </w:rPr>
        <w:t xml:space="preserve"> Juez concede amparo que obliga a AMLO y SEP a garantizar recursos para escuelas de tiempo completo. Animal Político. https://animalpolitico.com/2021/09/juez-amparo-obliga-amlo-sep-garantizar- recursos-escuelas-tiempo-completo</w:t>
      </w:r>
    </w:p>
    <w:p w14:paraId="7A485011"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6</w:t>
      </w:r>
      <w:r w:rsidRPr="0012597A">
        <w:rPr>
          <w:rFonts w:ascii="Times New Roman" w:eastAsia="Arial MT" w:hAnsi="Times New Roman" w:cs="Times New Roman"/>
          <w:sz w:val="18"/>
          <w:szCs w:val="24"/>
        </w:rPr>
        <w:t xml:space="preserve"> Mexicanos Primero. Escuelas de tiempo completo. Opiniones y experiencias de comunidades escolares.</w:t>
      </w:r>
    </w:p>
    <w:p w14:paraId="43349EB3"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18"/>
          <w:szCs w:val="24"/>
        </w:rPr>
      </w:pPr>
      <w:r w:rsidRPr="0012597A">
        <w:rPr>
          <w:rFonts w:ascii="Times New Roman" w:eastAsia="Arial MT" w:hAnsi="Times New Roman" w:cs="Times New Roman"/>
          <w:color w:val="FF0000"/>
          <w:sz w:val="18"/>
          <w:szCs w:val="24"/>
          <w:vertAlign w:val="superscript"/>
        </w:rPr>
        <w:t>7</w:t>
      </w:r>
      <w:r w:rsidRPr="0012597A">
        <w:rPr>
          <w:rFonts w:ascii="Times New Roman" w:eastAsia="Arial MT" w:hAnsi="Times New Roman" w:cs="Times New Roman"/>
          <w:sz w:val="18"/>
          <w:szCs w:val="24"/>
        </w:rPr>
        <w:t xml:space="preserve"> Instituto para el Futuro de la Educación del Tecnológico de Monterrey. ¿Por qué cerrar las Escuelas a Tiempo Completo es un retroceso?. Disponible en: https://observatorio.tec.mx/edu-news/cierre-escuelas- tiempo-completo-mexico/</w:t>
      </w:r>
    </w:p>
    <w:p w14:paraId="54B9230D"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D828462"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Entre sus principales beneficios estaban el reforzamiento de los contenidos académicos, la ampliación de oportunidades para actividades artísticas, culturales y deportivas, la generación de ambientes escolares más favorables para la convivencia, y un mayor apoyo para madres, padres y personas cuidadoras, al extender el tiempo de permanencia segura de niñas, niños y adolescentes en la escuela.</w:t>
      </w:r>
    </w:p>
    <w:p w14:paraId="731D9B8F"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1E5B5BC"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contexto, las evaluaciones del extinto Consejo Nacional de Evaluación de la Política de Desarrollo Social (CONEVAL) documentaron que el programa logró mejorar los aprendizajes e incrementar las posibilidades de formación integral del alumnado. Además, en escuelas ubicadas en contextos de mayor vulnerabilidad, el componente alimentario representó un beneficio adicional para la permanencia escolar, la atención a condiciones de desigualdad y el bienestar cotidiano.</w:t>
      </w:r>
      <w:r w:rsidRPr="0012597A">
        <w:rPr>
          <w:rFonts w:ascii="Times New Roman" w:eastAsia="Arial MT" w:hAnsi="Times New Roman" w:cs="Times New Roman"/>
          <w:color w:val="FF0000"/>
          <w:sz w:val="24"/>
          <w:szCs w:val="24"/>
          <w:vertAlign w:val="superscript"/>
        </w:rPr>
        <w:t>9</w:t>
      </w:r>
    </w:p>
    <w:p w14:paraId="7479BFA4"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DB9E851"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Como se advierte, las Escuelas de Tiempo Completo no solamente eran jornadas escolares extendidas, sino una estrategia integral con una visión más equitativa, más incluyente y más solidaria de la educación pública que, además de sus bondades pedagógicas, generó beneficios para madres y padres trabajadores, al permitir que sus hija e hijos permanecieran en un espacio seguro, supervisado y orientado al aprendizaje.</w:t>
      </w:r>
    </w:p>
    <w:p w14:paraId="60126170"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3C30E2D3"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8</w:t>
      </w:r>
      <w:r w:rsidRPr="0012597A">
        <w:rPr>
          <w:rFonts w:ascii="Times New Roman" w:eastAsia="Arial MT" w:hAnsi="Times New Roman" w:cs="Times New Roman"/>
          <w:sz w:val="20"/>
          <w:szCs w:val="24"/>
        </w:rPr>
        <w:t xml:space="preserve"> Afectados 380 mil alumnos por cancelación de Escuela de Tiempo Completo. Agencia </w:t>
      </w:r>
      <w:proofErr w:type="spellStart"/>
      <w:r w:rsidRPr="0012597A">
        <w:rPr>
          <w:rFonts w:ascii="Times New Roman" w:eastAsia="Arial MT" w:hAnsi="Times New Roman" w:cs="Times New Roman"/>
          <w:sz w:val="20"/>
          <w:szCs w:val="24"/>
        </w:rPr>
        <w:t>Quadratín</w:t>
      </w:r>
      <w:proofErr w:type="spellEnd"/>
      <w:r w:rsidRPr="0012597A">
        <w:rPr>
          <w:rFonts w:ascii="Times New Roman" w:eastAsia="Arial MT" w:hAnsi="Times New Roman" w:cs="Times New Roman"/>
          <w:sz w:val="20"/>
          <w:szCs w:val="24"/>
        </w:rPr>
        <w:t>. Disponible en: https://edomex.quadratin.com.mx/afectados-380-mil-alumnos-por-cancelacion-de- escuela-de-tiempo-completo/</w:t>
      </w:r>
    </w:p>
    <w:p w14:paraId="3A7A8A06"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Consejo Nacional de Evaluación de la Política de Desarrollo Social. Informe de Evaluación Específica de Desempeño del Programa Escuelas de Tiempo Completo. https://</w:t>
      </w:r>
      <w:hyperlink r:id="rId80">
        <w:r w:rsidRPr="0012597A">
          <w:rPr>
            <w:rFonts w:ascii="Times New Roman" w:eastAsia="Arial MT" w:hAnsi="Times New Roman" w:cs="Times New Roman"/>
            <w:sz w:val="20"/>
            <w:szCs w:val="24"/>
          </w:rPr>
          <w:t>www.gob.mx/cms/uploads/attachment/file/46620/Informe_Completo.pdf</w:t>
        </w:r>
      </w:hyperlink>
    </w:p>
    <w:p w14:paraId="0A0DEC10"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325DA2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Por ello, la presente iniciativa busca recuperarlas, haciéndolas nuevamente obligatorias en el sistema educativo estatal, con el fin de cerrar brechas, apoyar a quienes más lo necesitan y convertir a la escuela en un espacio de aprendizaje, cuidado y sana convivencia.</w:t>
      </w:r>
    </w:p>
    <w:p w14:paraId="6E2F2125"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211788DF" w14:textId="77777777" w:rsidR="00F24A80" w:rsidRPr="0012597A" w:rsidRDefault="00F24A80" w:rsidP="0012453E">
      <w:pPr>
        <w:widowControl w:val="0"/>
        <w:numPr>
          <w:ilvl w:val="0"/>
          <w:numId w:val="41"/>
        </w:numPr>
        <w:autoSpaceDE w:val="0"/>
        <w:autoSpaceDN w:val="0"/>
        <w:spacing w:after="0" w:line="240" w:lineRule="auto"/>
        <w:ind w:left="265" w:hanging="265"/>
        <w:rPr>
          <w:rFonts w:ascii="Times New Roman" w:eastAsia="Arial" w:hAnsi="Times New Roman" w:cs="Times New Roman"/>
          <w:b/>
          <w:sz w:val="24"/>
          <w:szCs w:val="24"/>
        </w:rPr>
      </w:pPr>
      <w:r w:rsidRPr="0012597A">
        <w:rPr>
          <w:rFonts w:ascii="Times New Roman" w:eastAsia="Arial" w:hAnsi="Times New Roman" w:cs="Times New Roman"/>
          <w:b/>
          <w:sz w:val="24"/>
          <w:szCs w:val="24"/>
        </w:rPr>
        <w:t>Algunos estados han recuperado las Escuelas de Tiempo Completo</w:t>
      </w:r>
    </w:p>
    <w:p w14:paraId="1EEA936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2824A4D7"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Tras su desaparición en 2022, diversas entidades federativas reconocieron que las Escuelas de Tiempo Completo demostraron ser una política pública con efectos positivos en el aprendizaje, la alimentación escolar, la seguridad de los estudiantes y el apoyo a las familias. En consecuencia, optaron por retomarlas desde lo local, a través de programas financiados con sus propios recursos.</w:t>
      </w:r>
    </w:p>
    <w:p w14:paraId="20D49337"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162066EC"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Nuevo León, por ejemplo, la Ley de Educación vigente prevé la obligación de establecer, de forma paulatina y conforme a la suficiencia presupuestal, escuelas de tiempo completo, con jornadas de entre 6 y 8 horas diarias, para aprovechar mejor el tiempo disponible para el desarrollo académico, deportivo y cultural.</w:t>
      </w:r>
      <w:r w:rsidRPr="0012597A">
        <w:rPr>
          <w:rFonts w:ascii="Times New Roman" w:eastAsia="Arial MT" w:hAnsi="Times New Roman" w:cs="Times New Roman"/>
          <w:color w:val="FF0000"/>
          <w:sz w:val="24"/>
          <w:szCs w:val="24"/>
          <w:vertAlign w:val="superscript"/>
        </w:rPr>
        <w:t>10</w:t>
      </w:r>
    </w:p>
    <w:p w14:paraId="74191937"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01E936A4"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Aguascalientes, por su parte, adopta una definición similar a la de Nuevo León, pero agrega un componente interesante: señala que esta modalidad educativa debe dar preferencia a los hijos de madres trabajadoras.</w:t>
      </w:r>
      <w:r w:rsidRPr="0012597A">
        <w:rPr>
          <w:rFonts w:ascii="Times New Roman" w:eastAsia="Arial MT" w:hAnsi="Times New Roman" w:cs="Times New Roman"/>
          <w:color w:val="FF0000"/>
          <w:sz w:val="24"/>
          <w:szCs w:val="24"/>
          <w:vertAlign w:val="superscript"/>
        </w:rPr>
        <w:t>11</w:t>
      </w:r>
    </w:p>
    <w:p w14:paraId="6AE1D52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4BBB72D"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mismo sentido, Jalisco ha relanzado el programa de Escuelas de Tiempo Completo para el ciclo escolar 2025-2026. Según datos del gobierno estatal, el programa ofrece, además de un horario ampliado, alimentación, aulas tecnológicas y actividades artísticas, y comenzará con 20 planteles piloto en la Zona Metropolitana de Guadalajara.</w:t>
      </w:r>
      <w:r w:rsidRPr="0012597A">
        <w:rPr>
          <w:rFonts w:ascii="Times New Roman" w:eastAsia="Arial MT" w:hAnsi="Times New Roman" w:cs="Times New Roman"/>
          <w:color w:val="FF0000"/>
          <w:sz w:val="24"/>
          <w:szCs w:val="24"/>
          <w:vertAlign w:val="superscript"/>
        </w:rPr>
        <w:t>12</w:t>
      </w:r>
    </w:p>
    <w:p w14:paraId="606F211F"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p>
    <w:p w14:paraId="22569222"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10</w:t>
      </w:r>
      <w:r w:rsidRPr="0012597A">
        <w:rPr>
          <w:rFonts w:ascii="Times New Roman" w:eastAsia="Arial MT" w:hAnsi="Times New Roman" w:cs="Times New Roman"/>
          <w:sz w:val="20"/>
          <w:szCs w:val="24"/>
        </w:rPr>
        <w:t xml:space="preserve"> Artículo 16 de la Ley de Educación de Nuevo León. Disponible en: https://</w:t>
      </w:r>
      <w:hyperlink r:id="rId81">
        <w:r w:rsidRPr="0012597A">
          <w:rPr>
            <w:rFonts w:ascii="Times New Roman" w:eastAsia="Arial MT" w:hAnsi="Times New Roman" w:cs="Times New Roman"/>
            <w:sz w:val="20"/>
            <w:szCs w:val="24"/>
          </w:rPr>
          <w:t>www.hcnl.gob.mx/trabajo_legislativo/leyes/pdf/LEY%20DE%20EDUCACION%20DEL%20ESTAD</w:t>
        </w:r>
      </w:hyperlink>
      <w:r w:rsidRPr="0012597A">
        <w:rPr>
          <w:rFonts w:ascii="Times New Roman" w:eastAsia="Arial MT" w:hAnsi="Times New Roman" w:cs="Times New Roman"/>
          <w:sz w:val="20"/>
          <w:szCs w:val="24"/>
        </w:rPr>
        <w:t xml:space="preserve"> O.pdf?2023-06-23</w:t>
      </w:r>
    </w:p>
    <w:p w14:paraId="6E30DD1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 xml:space="preserve">11 </w:t>
      </w:r>
      <w:r w:rsidRPr="0012597A">
        <w:rPr>
          <w:rFonts w:ascii="Times New Roman" w:eastAsia="Arial MT" w:hAnsi="Times New Roman" w:cs="Times New Roman"/>
          <w:sz w:val="20"/>
          <w:szCs w:val="24"/>
        </w:rPr>
        <w:t>Artículo 9º de la Ley de Educación de Aguascalientes. https://eservicios2.aguascalientes.gob.mx/NormatecaAdministrador/archivos/EDO-18-168.pdf</w:t>
      </w:r>
    </w:p>
    <w:p w14:paraId="639ECB24"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DE413CB"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Los esfuerzos anteriormente referidos son sólo una muestra de una tendencia estatal orientada a fortalecer el aprovechamiento del tiempo escolar, mejorar el desempeño académico y ampliar las oportunidades de desarrollo integral de niñas, niños, adolescentes, sus familias y cuidadores.</w:t>
      </w:r>
    </w:p>
    <w:p w14:paraId="11D84C4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31F33176" w14:textId="77777777" w:rsidR="00F24A80" w:rsidRPr="0012597A" w:rsidRDefault="00F24A80" w:rsidP="0012453E">
      <w:pPr>
        <w:widowControl w:val="0"/>
        <w:numPr>
          <w:ilvl w:val="0"/>
          <w:numId w:val="41"/>
        </w:numPr>
        <w:autoSpaceDE w:val="0"/>
        <w:autoSpaceDN w:val="0"/>
        <w:spacing w:after="0" w:line="240" w:lineRule="auto"/>
        <w:ind w:left="265" w:hanging="265"/>
        <w:rPr>
          <w:rFonts w:ascii="Times New Roman" w:eastAsia="Arial" w:hAnsi="Times New Roman" w:cs="Times New Roman"/>
          <w:b/>
          <w:sz w:val="24"/>
          <w:szCs w:val="24"/>
        </w:rPr>
      </w:pPr>
      <w:r w:rsidRPr="0012597A">
        <w:rPr>
          <w:rFonts w:ascii="Times New Roman" w:eastAsia="Arial" w:hAnsi="Times New Roman" w:cs="Times New Roman"/>
          <w:b/>
          <w:sz w:val="24"/>
          <w:szCs w:val="24"/>
        </w:rPr>
        <w:t>Garantizar Escuelas de Tiempo Completo para las niñas y niños mexiquenses</w:t>
      </w:r>
    </w:p>
    <w:p w14:paraId="59BD4466"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4CF5D04D"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Con base en lo expuesto, la presente iniciativa busca retomar y desarrollar normativamente las Escuelas de Tiempo Completo para los planteles de nivel básico en el Estado de México. Para dicho propósito, las define como una estrategia educativa basada en la implementación de métodos y técnicas pedagógicas innovadoras ofrecidas a través de una jornada escolar extendida, y establece la obligación de la autoridad educativa estatal de implementarlas, de forma gradual y conforme a la suficiencia presupuestal, en el entendido de que en la educación no se gasta, sino se invierte.</w:t>
      </w:r>
    </w:p>
    <w:p w14:paraId="0D44EC3F"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2827F14C"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Además, la propuesta define con toda puntualidad los objetivos de la estrategia: fortalecer el proceso educativo; consolidar el aprendizaje y reforzar los conocimientos; impulsar hábitos de estudio; desarrollar actividades extracurriculares, como artes, música e idiomas; favorecer la convivencia escolar; y mejorar la evaluación institucional y los resultados educativos de las y los estudiantes.</w:t>
      </w:r>
    </w:p>
    <w:p w14:paraId="1F60C43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E54DA2F"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12</w:t>
      </w:r>
      <w:r w:rsidRPr="0012597A">
        <w:rPr>
          <w:rFonts w:ascii="Times New Roman" w:eastAsia="Arial MT" w:hAnsi="Times New Roman" w:cs="Times New Roman"/>
          <w:sz w:val="20"/>
          <w:szCs w:val="24"/>
        </w:rPr>
        <w:t xml:space="preserve"> Se reactiva el programa de escuelas de tiempo completo en Jalisco. Imagen Noticias. Disponible en: https://</w:t>
      </w:r>
      <w:hyperlink r:id="rId82">
        <w:r w:rsidRPr="0012597A">
          <w:rPr>
            <w:rFonts w:ascii="Times New Roman" w:eastAsia="Arial MT" w:hAnsi="Times New Roman" w:cs="Times New Roman"/>
            <w:sz w:val="20"/>
            <w:szCs w:val="24"/>
          </w:rPr>
          <w:t>www.youtube.com/watch?v=QK2ofq12ZyU</w:t>
        </w:r>
      </w:hyperlink>
    </w:p>
    <w:p w14:paraId="7843133D"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40460704"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iniciativa prevé que la selección de las escuelas que operarán bajo esta modalidad se realizará con base en criterios de oportunidad, pertinencia, necesidad y rezago, y permite que aquellos planteles de un solo turno soliciten, con el respaldo mayoritario de su comunidad escolar, su incorporación al programa.</w:t>
      </w:r>
    </w:p>
    <w:p w14:paraId="5988080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2A9041B"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Finalmente, la reforma precisa que las Escuelas de Tiempo Completo autorizadas deberán contemplar una jornada continua de ocho horas diarias, proporcionar alimentos, con especial énfasis en zonas de alta pobreza o alta marginación, y contar con la organización y asignación de personal necesarias para sostener la jornada ampliada.</w:t>
      </w:r>
    </w:p>
    <w:p w14:paraId="390F5A8C"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1D11856D"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Las y los diputados del PRI estamos convencidos de que la educación es lo único que realmente iguala a las personas. Por ello, la implementación de las Escuelas de Tiempo Completo no sólo mejorará significativamente la calidad educativa en nuestro Estado, sino que transformará la vida de las y los mexiquenses, y permitirá construir una sociedad más armónica y verdaderamente libre.</w:t>
      </w:r>
    </w:p>
    <w:p w14:paraId="443874E6"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44E96E47"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Por lo expuesto, someto a consideración de este órgano legislativo, la iniciativa con proyecto de </w:t>
      </w:r>
      <w:r w:rsidRPr="0012597A">
        <w:rPr>
          <w:rFonts w:ascii="Times New Roman" w:eastAsia="Arial MT" w:hAnsi="Times New Roman" w:cs="Times New Roman"/>
          <w:sz w:val="24"/>
          <w:szCs w:val="24"/>
        </w:rPr>
        <w:lastRenderedPageBreak/>
        <w:t>decreto que se acompaña.</w:t>
      </w:r>
    </w:p>
    <w:p w14:paraId="4A3861A6"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006FE8F" w14:textId="77777777" w:rsidR="00F24A80" w:rsidRPr="0012597A" w:rsidRDefault="00F24A80" w:rsidP="00EF1C7F">
      <w:pPr>
        <w:widowControl w:val="0"/>
        <w:autoSpaceDE w:val="0"/>
        <w:autoSpaceDN w:val="0"/>
        <w:spacing w:after="0" w:line="240" w:lineRule="auto"/>
        <w:ind w:left="5"/>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p w14:paraId="3298DD2D"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2D69DB45"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10DAA53" w14:textId="77777777" w:rsidR="00F24A80" w:rsidRPr="0012597A" w:rsidRDefault="00F24A80" w:rsidP="00EF1C7F">
      <w:pPr>
        <w:widowControl w:val="0"/>
        <w:autoSpaceDE w:val="0"/>
        <w:autoSpaceDN w:val="0"/>
        <w:spacing w:after="0" w:line="240" w:lineRule="auto"/>
        <w:ind w:left="5"/>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PROYECTO DE DECRETO</w:t>
      </w:r>
    </w:p>
    <w:p w14:paraId="144C1E34"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472F6185"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DECRETO NÚMERO </w:t>
      </w:r>
      <w:r w:rsidRPr="0012597A">
        <w:rPr>
          <w:rFonts w:ascii="Times New Roman" w:eastAsia="Arial MT" w:hAnsi="Times New Roman" w:cs="Times New Roman"/>
          <w:b/>
          <w:sz w:val="24"/>
          <w:szCs w:val="24"/>
          <w:u w:val="single"/>
        </w:rPr>
        <w:tab/>
      </w:r>
    </w:p>
    <w:p w14:paraId="7FBD00B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H. "LXII" LEGISLATURA DEL ESTADO DE MÉXICO</w:t>
      </w:r>
    </w:p>
    <w:p w14:paraId="10D208D6"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DECRETA:</w:t>
      </w:r>
    </w:p>
    <w:p w14:paraId="64A9B9CE"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5E49F94A"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ÚNICO.- </w:t>
      </w:r>
      <w:r w:rsidRPr="0012597A">
        <w:rPr>
          <w:rFonts w:ascii="Times New Roman" w:eastAsia="Arial MT" w:hAnsi="Times New Roman" w:cs="Times New Roman"/>
          <w:sz w:val="24"/>
          <w:szCs w:val="24"/>
        </w:rPr>
        <w:t>Se reforma la fracción XII del artículo 121; y se adicionan un último párrafo al artículo 20 y un Capítulo X denominado “De las Escuelas de Tiempo Completo” al Título Segundo, que comprende los artículos 49 Bis, 49 Ter, 49 Quáter y 49 Quinquies, a la Ley de Educación del Estado de México, para quedar como siguen:</w:t>
      </w:r>
    </w:p>
    <w:p w14:paraId="56ED6379"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6C0DFFC2"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Artículo 20. ...</w:t>
      </w:r>
    </w:p>
    <w:p w14:paraId="7019976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20D25A35"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40DB6C9C"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3CE26FD8" w14:textId="77777777" w:rsidR="00F24A80" w:rsidRPr="0012597A" w:rsidRDefault="00F24A80" w:rsidP="0012453E">
      <w:pPr>
        <w:widowControl w:val="0"/>
        <w:numPr>
          <w:ilvl w:val="0"/>
          <w:numId w:val="40"/>
        </w:numPr>
        <w:autoSpaceDE w:val="0"/>
        <w:autoSpaceDN w:val="0"/>
        <w:spacing w:after="0" w:line="240" w:lineRule="auto"/>
        <w:ind w:left="199" w:hanging="199"/>
        <w:rPr>
          <w:rFonts w:ascii="Times New Roman" w:eastAsia="Arial" w:hAnsi="Times New Roman" w:cs="Times New Roman"/>
          <w:sz w:val="24"/>
          <w:szCs w:val="24"/>
        </w:rPr>
      </w:pPr>
      <w:r w:rsidRPr="0012597A">
        <w:rPr>
          <w:rFonts w:ascii="Times New Roman" w:eastAsia="Arial" w:hAnsi="Times New Roman" w:cs="Times New Roman"/>
          <w:sz w:val="24"/>
          <w:szCs w:val="24"/>
        </w:rPr>
        <w:t>a VI. ...</w:t>
      </w:r>
    </w:p>
    <w:p w14:paraId="55E97CC5"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9648075"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1FA1021D"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EDAE4E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2E8B7D7B"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educación básica comprendida en las fracciones II, III y IV, siempre que cumpla con los requisitos establecidos en esta Ley y en la regulación administrativa que al efecto se expida, podrán prestarse en Escuelas de Tiempo Completo.</w:t>
      </w:r>
    </w:p>
    <w:p w14:paraId="3859A755"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627544F0" w14:textId="77777777" w:rsidR="00F24A80" w:rsidRPr="0012597A" w:rsidRDefault="00F24A80"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Capítulo X</w:t>
      </w:r>
    </w:p>
    <w:p w14:paraId="47E29BF4" w14:textId="77777777" w:rsidR="00F24A80" w:rsidRPr="0012597A" w:rsidRDefault="00F24A80" w:rsidP="00EF1C7F">
      <w:pPr>
        <w:widowControl w:val="0"/>
        <w:autoSpaceDE w:val="0"/>
        <w:autoSpaceDN w:val="0"/>
        <w:spacing w:after="0" w:line="240" w:lineRule="auto"/>
        <w:ind w:left="6"/>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 las Escuelas de Tiempo Completo</w:t>
      </w:r>
    </w:p>
    <w:p w14:paraId="5B85C7A4"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3648BCEA"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49 Bis. La Escuela de Tiempo Completo es una estrategia educativa integral, basada en la implementación de métodos y técnicas pedagógicas innovadoras que se ofrecen a través de una jornada escolar extendida, con el propósito fundamental de reforzar el aprendizaje.</w:t>
      </w:r>
    </w:p>
    <w:p w14:paraId="1F842AC9"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2C6A2954"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49 Ter. Los objetivos de la Escuela de Tiempo Completo serán los siguientes:</w:t>
      </w:r>
    </w:p>
    <w:p w14:paraId="7FC039DA"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0C786532" w14:textId="77777777" w:rsidR="00F24A80" w:rsidRPr="0012597A" w:rsidRDefault="00F24A80" w:rsidP="0012453E">
      <w:pPr>
        <w:widowControl w:val="0"/>
        <w:numPr>
          <w:ilvl w:val="0"/>
          <w:numId w:val="39"/>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Fortalecer el proceso educativo, comprendido como el conjunto de estrategias planificadas que facilitan la adquisición de conocimientos;</w:t>
      </w:r>
    </w:p>
    <w:p w14:paraId="01CEF287"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7B3AE3D4" w14:textId="77777777" w:rsidR="00F24A80" w:rsidRPr="0012597A" w:rsidRDefault="00F24A80" w:rsidP="0012453E">
      <w:pPr>
        <w:widowControl w:val="0"/>
        <w:numPr>
          <w:ilvl w:val="0"/>
          <w:numId w:val="39"/>
        </w:numPr>
        <w:autoSpaceDE w:val="0"/>
        <w:autoSpaceDN w:val="0"/>
        <w:spacing w:after="0" w:line="240" w:lineRule="auto"/>
        <w:ind w:left="266" w:hanging="266"/>
        <w:rPr>
          <w:rFonts w:ascii="Times New Roman" w:eastAsia="Arial" w:hAnsi="Times New Roman" w:cs="Times New Roman"/>
          <w:b/>
          <w:sz w:val="24"/>
          <w:szCs w:val="24"/>
        </w:rPr>
      </w:pPr>
      <w:r w:rsidRPr="0012597A">
        <w:rPr>
          <w:rFonts w:ascii="Times New Roman" w:eastAsia="Arial" w:hAnsi="Times New Roman" w:cs="Times New Roman"/>
          <w:b/>
          <w:sz w:val="24"/>
          <w:szCs w:val="24"/>
        </w:rPr>
        <w:t>Consolidar el aprendizaje y reforzar los conocimientos;</w:t>
      </w:r>
    </w:p>
    <w:p w14:paraId="1D434477"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38A64ACB" w14:textId="77777777" w:rsidR="00F24A80" w:rsidRPr="0012597A" w:rsidRDefault="00F24A80" w:rsidP="0012453E">
      <w:pPr>
        <w:widowControl w:val="0"/>
        <w:numPr>
          <w:ilvl w:val="0"/>
          <w:numId w:val="39"/>
        </w:numPr>
        <w:autoSpaceDE w:val="0"/>
        <w:autoSpaceDN w:val="0"/>
        <w:spacing w:after="0" w:line="240" w:lineRule="auto"/>
        <w:ind w:left="333" w:hanging="333"/>
        <w:rPr>
          <w:rFonts w:ascii="Times New Roman" w:eastAsia="Arial" w:hAnsi="Times New Roman" w:cs="Times New Roman"/>
          <w:b/>
          <w:sz w:val="24"/>
          <w:szCs w:val="24"/>
        </w:rPr>
      </w:pPr>
      <w:r w:rsidRPr="0012597A">
        <w:rPr>
          <w:rFonts w:ascii="Times New Roman" w:eastAsia="Arial" w:hAnsi="Times New Roman" w:cs="Times New Roman"/>
          <w:b/>
          <w:sz w:val="24"/>
          <w:szCs w:val="24"/>
        </w:rPr>
        <w:t>Impulsar hábitos de estudio;</w:t>
      </w:r>
    </w:p>
    <w:p w14:paraId="5E90251C"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5AEC9B6E" w14:textId="77777777" w:rsidR="00F24A80" w:rsidRPr="0012597A" w:rsidRDefault="00F24A80" w:rsidP="0012453E">
      <w:pPr>
        <w:widowControl w:val="0"/>
        <w:numPr>
          <w:ilvl w:val="0"/>
          <w:numId w:val="39"/>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Desarrollar actividades extracurriculares. De forma enunciativa más no limitativa, clases de artes, música e idiomas.</w:t>
      </w:r>
    </w:p>
    <w:p w14:paraId="4213B94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09B6DAD8" w14:textId="77777777" w:rsidR="00F24A80" w:rsidRPr="0012597A" w:rsidRDefault="00F24A80" w:rsidP="0012453E">
      <w:pPr>
        <w:widowControl w:val="0"/>
        <w:numPr>
          <w:ilvl w:val="0"/>
          <w:numId w:val="39"/>
        </w:numPr>
        <w:autoSpaceDE w:val="0"/>
        <w:autoSpaceDN w:val="0"/>
        <w:spacing w:after="0" w:line="240" w:lineRule="auto"/>
        <w:ind w:left="292" w:hanging="292"/>
        <w:rPr>
          <w:rFonts w:ascii="Times New Roman" w:eastAsia="Arial" w:hAnsi="Times New Roman" w:cs="Times New Roman"/>
          <w:b/>
          <w:sz w:val="24"/>
          <w:szCs w:val="24"/>
        </w:rPr>
      </w:pPr>
      <w:r w:rsidRPr="0012597A">
        <w:rPr>
          <w:rFonts w:ascii="Times New Roman" w:eastAsia="Arial" w:hAnsi="Times New Roman" w:cs="Times New Roman"/>
          <w:b/>
          <w:sz w:val="24"/>
          <w:szCs w:val="24"/>
        </w:rPr>
        <w:t>Favorecer la convivencia escolar; y,</w:t>
      </w:r>
    </w:p>
    <w:p w14:paraId="46F636F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6EA822F5" w14:textId="77777777" w:rsidR="00F24A80" w:rsidRPr="0012597A" w:rsidRDefault="00F24A80" w:rsidP="0012453E">
      <w:pPr>
        <w:widowControl w:val="0"/>
        <w:numPr>
          <w:ilvl w:val="0"/>
          <w:numId w:val="39"/>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Mejorar la evaluación institucional y los resultados educativos de las y los estudiantes.</w:t>
      </w:r>
    </w:p>
    <w:p w14:paraId="435200CC"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3BF56C40"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49 Quáter. La autoridad educativa estatal llevará a cabo la selección de las escuelas que podrán operar bajo esta estrategia, conforme a lo siguiente:</w:t>
      </w:r>
    </w:p>
    <w:p w14:paraId="51469A6E"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1C9F5D3B" w14:textId="77777777" w:rsidR="00F24A80" w:rsidRPr="0012597A" w:rsidRDefault="00F24A80" w:rsidP="0012453E">
      <w:pPr>
        <w:widowControl w:val="0"/>
        <w:numPr>
          <w:ilvl w:val="0"/>
          <w:numId w:val="38"/>
        </w:numPr>
        <w:autoSpaceDE w:val="0"/>
        <w:autoSpaceDN w:val="0"/>
        <w:spacing w:after="0" w:line="240" w:lineRule="auto"/>
        <w:ind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Seleccionará a las Escuelas de Tiempo Completo con base en criterios de oportunidad, pertinencia, necesidad y rezago; y,</w:t>
      </w:r>
    </w:p>
    <w:p w14:paraId="28C87029"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2C839290" w14:textId="77777777" w:rsidR="00F24A80" w:rsidRPr="0012597A" w:rsidRDefault="00F24A80" w:rsidP="0012453E">
      <w:pPr>
        <w:widowControl w:val="0"/>
        <w:numPr>
          <w:ilvl w:val="0"/>
          <w:numId w:val="38"/>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Los planteles educativos de un solo turno podrán solicitar a la autoridad educativa, por escrito, su inclusión a esta estrategia, siempre que cuenten con el acuerdo de la mayoría de las y los miembros de la comunidad escolar.</w:t>
      </w:r>
    </w:p>
    <w:p w14:paraId="4E9A6498"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14120399"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49 Quinquies. Las Escuelas de Tiempo Completo deberán observar las disposiciones siguientes:</w:t>
      </w:r>
    </w:p>
    <w:p w14:paraId="1220B909"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0C674771" w14:textId="77777777" w:rsidR="00F24A80" w:rsidRPr="0012597A" w:rsidRDefault="00F24A80" w:rsidP="0012453E">
      <w:pPr>
        <w:widowControl w:val="0"/>
        <w:numPr>
          <w:ilvl w:val="0"/>
          <w:numId w:val="37"/>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La jornada escolar comprenderá ocho horas diarias continuas. Este tiempo se destinará primordialmente al desarrollo de actividades de aprendizaje;</w:t>
      </w:r>
    </w:p>
    <w:p w14:paraId="712C843A"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53D99E87" w14:textId="77777777" w:rsidR="00F24A80" w:rsidRPr="0012597A" w:rsidRDefault="00F24A80" w:rsidP="0012453E">
      <w:pPr>
        <w:widowControl w:val="0"/>
        <w:numPr>
          <w:ilvl w:val="0"/>
          <w:numId w:val="37"/>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Suministrarán alimentos con apoyo de los mecanismos de participación social de padres y madres de familia, y en los términos de la regulación administrativa que al efecto se expida. Las escuelas que atiendan a población con elevados índices de pobreza, marginación y en condición alimentaria deficiente, según diagnósticos oficiales de instituciones públicas, proveerán servicio gratuito de alimentos, conforme a la regulación administrativa que se expida;</w:t>
      </w:r>
    </w:p>
    <w:p w14:paraId="5EA38BD0"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4337A48C" w14:textId="77777777" w:rsidR="00F24A80" w:rsidRPr="0012597A" w:rsidRDefault="00F24A80" w:rsidP="0012453E">
      <w:pPr>
        <w:widowControl w:val="0"/>
        <w:numPr>
          <w:ilvl w:val="0"/>
          <w:numId w:val="37"/>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La autoridad educativa estatal adoptará las medidas de organización, asignación de personal y distribución de cargas horarias que resulten necesarias para garantizar la prestación del servicio educativo durante la jornada escolar extendida; y,</w:t>
      </w:r>
    </w:p>
    <w:p w14:paraId="48B05D9C"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3103FFD7" w14:textId="77777777" w:rsidR="00F24A80" w:rsidRPr="0012597A" w:rsidRDefault="00F24A80" w:rsidP="0012453E">
      <w:pPr>
        <w:widowControl w:val="0"/>
        <w:numPr>
          <w:ilvl w:val="0"/>
          <w:numId w:val="37"/>
        </w:numPr>
        <w:autoSpaceDE w:val="0"/>
        <w:autoSpaceDN w:val="0"/>
        <w:spacing w:after="0" w:line="240" w:lineRule="auto"/>
        <w:ind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Sólo podrán participar en esta estrategia las escuelas de un sólo turno de horario escolar.</w:t>
      </w:r>
    </w:p>
    <w:p w14:paraId="017AB09A"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5AD5C116"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Artículo 121. ...</w:t>
      </w:r>
    </w:p>
    <w:p w14:paraId="555D4B39"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771BB407"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7CD66713"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483D51E4" w14:textId="77777777" w:rsidR="00F24A80" w:rsidRPr="0012597A" w:rsidRDefault="00F24A80" w:rsidP="0012453E">
      <w:pPr>
        <w:widowControl w:val="0"/>
        <w:numPr>
          <w:ilvl w:val="0"/>
          <w:numId w:val="36"/>
        </w:numPr>
        <w:autoSpaceDE w:val="0"/>
        <w:autoSpaceDN w:val="0"/>
        <w:spacing w:after="0" w:line="240" w:lineRule="auto"/>
        <w:ind w:left="199" w:hanging="199"/>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a XI. ...</w:t>
      </w:r>
    </w:p>
    <w:p w14:paraId="737B79C2"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62FAF0D3"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XII. Establecer, de forma gradual y progresiva de acuerdo con la suficiencia presupuestal</w:t>
      </w:r>
      <w:r w:rsidRPr="0012597A">
        <w:rPr>
          <w:rFonts w:ascii="Times New Roman" w:eastAsia="Arial MT" w:hAnsi="Times New Roman" w:cs="Times New Roman"/>
          <w:b/>
          <w:sz w:val="24"/>
          <w:szCs w:val="24"/>
        </w:rPr>
        <w:t>, y en los términos previstos por esta Ley, Escuelas de Tiempo Completo de educación básica.</w:t>
      </w:r>
    </w:p>
    <w:p w14:paraId="4FF5B77A"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2D149E9E" w14:textId="77777777" w:rsidR="00F24A80" w:rsidRPr="0012597A" w:rsidRDefault="00F24A80" w:rsidP="00EF1C7F">
      <w:pPr>
        <w:widowControl w:val="0"/>
        <w:autoSpaceDE w:val="0"/>
        <w:autoSpaceDN w:val="0"/>
        <w:spacing w:after="0" w:line="240" w:lineRule="auto"/>
        <w:ind w:left="5"/>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 R A N S I T O R I O S</w:t>
      </w:r>
    </w:p>
    <w:p w14:paraId="0B15D15E"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b/>
          <w:sz w:val="24"/>
          <w:szCs w:val="24"/>
        </w:rPr>
      </w:pPr>
    </w:p>
    <w:p w14:paraId="5F0DBEF1"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Publíquese el presente Decreto en el Periódico Oficial "Gaceta del Gobierno".</w:t>
      </w:r>
    </w:p>
    <w:p w14:paraId="2D62FB7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4954FA5D"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El presente Decreto entrará en vigor al día siguiente al de su publicación en el Periódico Oficial “Gaceta del Gobierno”.</w:t>
      </w:r>
    </w:p>
    <w:p w14:paraId="5C15933B"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42BE2948"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El Poder Ejecutivo del Estado de México, a través de la Secretaría de Educación, Ciencia, Tecnología e Innovación, contará con un plazo de 60 días, contados a partir de la entrada en vigor del presente Decreto, para realizar las adecuaciones reglamentarias y administrativas correspondientes.</w:t>
      </w:r>
    </w:p>
    <w:p w14:paraId="144289BF"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7AB2F04"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CUARTO.- </w:t>
      </w:r>
      <w:r w:rsidRPr="0012597A">
        <w:rPr>
          <w:rFonts w:ascii="Times New Roman" w:eastAsia="Arial MT" w:hAnsi="Times New Roman" w:cs="Times New Roman"/>
          <w:sz w:val="24"/>
          <w:szCs w:val="24"/>
        </w:rPr>
        <w:t>La Secretaría de Educación, Ciencia, Tecnología e Innovación deberá emitir, dentro de los 60 días siguientes a la entrada en vigor del presente Decreto, las estrategias pedagógicas, lineamientos y regulaciones administrativas necesarias para su debida implementación. De igual manera, en el plazo señalado, deberá formular los planes de capacitación correspondiente para el personal docente.</w:t>
      </w:r>
    </w:p>
    <w:p w14:paraId="5D3782FE"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35A9429C"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QUINTO.- </w:t>
      </w:r>
      <w:r w:rsidRPr="0012597A">
        <w:rPr>
          <w:rFonts w:ascii="Times New Roman" w:eastAsia="Arial MT" w:hAnsi="Times New Roman" w:cs="Times New Roman"/>
          <w:sz w:val="24"/>
          <w:szCs w:val="24"/>
        </w:rPr>
        <w:t>Las Escuelas de Tiempo Completo iniciarán su operación a partir del ciclo escolar 2026-2027, de manera gradual y conforme a la suficiencia presupuestaria, la disponibilidad de infraestructura y de personal, y con base las disposiciones administrativas que para tal efecto emita la autoridad educativa.</w:t>
      </w:r>
    </w:p>
    <w:p w14:paraId="396D2992"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2BE0AA25"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SEXTO.- </w:t>
      </w:r>
      <w:r w:rsidRPr="0012597A">
        <w:rPr>
          <w:rFonts w:ascii="Times New Roman" w:eastAsia="Arial MT" w:hAnsi="Times New Roman" w:cs="Times New Roman"/>
          <w:sz w:val="24"/>
          <w:szCs w:val="24"/>
        </w:rPr>
        <w:t>Tratándose del ejercicio fiscal 2026, el Poder Ejecutivo del Estado de México, por conducto de la secretaría competente, realizará los ajustes y adecuaciones presupuestales necesarias para la implementación gradual del presente Decreto. Para los ejercicios subsecuentes, el Congreso del Estado de México garantizará las asignaciones presupuestales correspondientes.</w:t>
      </w:r>
    </w:p>
    <w:p w14:paraId="64EC1AB1" w14:textId="77777777" w:rsidR="00F24A80" w:rsidRPr="0012597A" w:rsidRDefault="00F24A80" w:rsidP="00EF1C7F">
      <w:pPr>
        <w:widowControl w:val="0"/>
        <w:autoSpaceDE w:val="0"/>
        <w:autoSpaceDN w:val="0"/>
        <w:spacing w:after="0" w:line="240" w:lineRule="auto"/>
        <w:rPr>
          <w:rFonts w:ascii="Times New Roman" w:eastAsia="Arial MT" w:hAnsi="Times New Roman" w:cs="Times New Roman"/>
          <w:sz w:val="24"/>
          <w:szCs w:val="24"/>
        </w:rPr>
      </w:pPr>
    </w:p>
    <w:p w14:paraId="50C8DC8E" w14:textId="77777777" w:rsidR="00F24A80" w:rsidRPr="0012597A" w:rsidRDefault="00F24A80"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de Lerdo, capital del Estado de México, a los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días del mes de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del año</w:t>
      </w:r>
      <w:r w:rsidRPr="0012597A">
        <w:rPr>
          <w:rFonts w:ascii="Times New Roman" w:eastAsia="Arial MT" w:hAnsi="Times New Roman" w:cs="Times New Roman"/>
          <w:sz w:val="24"/>
          <w:szCs w:val="24"/>
          <w:u w:val="single"/>
        </w:rPr>
        <w:tab/>
      </w:r>
    </w:p>
    <w:p w14:paraId="2628ED0E" w14:textId="77777777" w:rsidR="000E3EB0" w:rsidRPr="0012597A" w:rsidRDefault="000E3EB0" w:rsidP="00EF1C7F">
      <w:pPr>
        <w:spacing w:after="0" w:line="240" w:lineRule="auto"/>
        <w:jc w:val="center"/>
        <w:rPr>
          <w:rFonts w:ascii="Times New Roman" w:hAnsi="Times New Roman"/>
          <w:sz w:val="24"/>
          <w:szCs w:val="24"/>
        </w:rPr>
      </w:pPr>
    </w:p>
    <w:p w14:paraId="0B1AFAD8" w14:textId="77777777" w:rsidR="000E3EB0" w:rsidRPr="0012597A" w:rsidRDefault="000E3EB0"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2515F242" w14:textId="77777777" w:rsidR="000E3EB0" w:rsidRPr="0012597A" w:rsidRDefault="000E3EB0" w:rsidP="00EF1C7F">
      <w:pPr>
        <w:spacing w:after="0" w:line="240" w:lineRule="auto"/>
        <w:jc w:val="center"/>
        <w:rPr>
          <w:rFonts w:ascii="Times New Roman" w:hAnsi="Times New Roman"/>
          <w:sz w:val="24"/>
          <w:szCs w:val="24"/>
        </w:rPr>
      </w:pPr>
    </w:p>
    <w:p w14:paraId="4726B754" w14:textId="2A5AF6B6" w:rsidR="00791E2D" w:rsidRPr="0012597A" w:rsidRDefault="000E3EB0"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w:t>
      </w:r>
      <w:r w:rsidR="00791E2D" w:rsidRPr="0012597A">
        <w:rPr>
          <w:rFonts w:ascii="Times New Roman" w:hAnsi="Times New Roman" w:cs="Times New Roman"/>
          <w:sz w:val="24"/>
          <w:szCs w:val="24"/>
        </w:rPr>
        <w:t>Se registra la iniciativa y se remite a la Comisión Legislativa de Educación, Cultura, Ciencia y Tecnología e Innovación para su estudio y dictamen.</w:t>
      </w:r>
    </w:p>
    <w:p w14:paraId="3353E297"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cuanto al punto número 18, la diputada Joanna Alejandra Felipe Torres, leerá la Iniciativa con Proyecto de Decreto por el que se reforman y adicionan diversos artículos de la Ley del Agua para el Estado de México y Municipios y del Código Financiero del Estado de México y Municipios, con el objeto de garantizar el acceso al agua para el uso personal y doméstico, especialmente a las personas en situación de vulnerabilidad; así como el reembolso por falta de suministro de agua potable a los contribuyentes, presentada por la diputada Joanna Alejandra Felipe Torres y el diputado Pablo Fernández de Cevallos González, en nombre del Grupo Parlamentario del Partido Acción Nacional.</w:t>
      </w:r>
    </w:p>
    <w:p w14:paraId="342882DD"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DIP. JOANNA FELIPE TORRES. Con su venia diputada Presidenta.</w:t>
      </w:r>
    </w:p>
    <w:p w14:paraId="1131211E"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Compañeras y compañeros diputados, hay una alarma que no suena en los relojes; pero que despierta a miles de familias del Estado de México, todos los días a las 2:00 o 3:00 de la madrugada, es el sonido del silencio en la tubería o el goteo débil que anuncia que, por unas horas, habrá un poco de agua.</w:t>
      </w:r>
    </w:p>
    <w:p w14:paraId="24D044A8"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Imaginen a una madre de familia en una zona de nuestros municipios o en las colonias más pobladas, ella no descansa, tiene que estar alerta en la madrugada para llenar cada bote, cubeta o tambo que tenga a la mano, porque sabe que si no lo hace, mañana no habrá cómo lavar el uniforme de los niños, cómo cocinar o cómo mantener la higiene básica en el hogar, eso no es vivir con dignidad, eso es sobre vivir a una crisis que nos está rebasando.</w:t>
      </w:r>
    </w:p>
    <w:p w14:paraId="64E6A2D1"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El agua, no es sólo un recurso económico, ni un servicio público, es el hilo que sostiene todos nuestros derechos, cuando el agua falta, nuestras niñas y mujeres sufren primero, son ellas quienes dedican horas de su día a la recolección, sacrificando su tiempo, su seguridad y tristemente hasta su educación, la falta de agua en las escuelas y en los hogares, es hoy una causal de deserción escolar.</w:t>
      </w:r>
    </w:p>
    <w:p w14:paraId="7F011832"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La salud se precariza, sin agua limpia, las enfermedades gastrointestinales y de la piel, se vuelven una constante, afectando principalmente a nuestros niños y adultos mayores; además, la economía familiar se rompe.</w:t>
      </w:r>
    </w:p>
    <w:p w14:paraId="680A220F" w14:textId="77777777" w:rsidR="00791E2D" w:rsidRPr="0012597A" w:rsidRDefault="00791E2D" w:rsidP="00EF1C7F">
      <w:pPr>
        <w:spacing w:after="0" w:line="240" w:lineRule="aut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Es injusto que mientras el servicio es deficiente o inexistente, </w:t>
      </w:r>
      <w:r w:rsidRPr="0012597A">
        <w:rPr>
          <w:rFonts w:ascii="Times New Roman" w:eastAsia="Arial" w:hAnsi="Times New Roman" w:cs="Times New Roman"/>
          <w:sz w:val="24"/>
          <w:szCs w:val="24"/>
        </w:rPr>
        <w:t>las familias tengan que pagar recibos y además desembolsar un promedio de 962 pesos por una pipa o gastar más en agua embotellada que en el propio suministro básico; para los 6 millones de mexiquenses en situación de pobreza esto es simplemente impagable; no podemos seguir permitiendo que el 55% de los mexiquenses sientan que su servicio de agua es insatisfactorio. Por ello, esta iniciativa no busca sólo armonizar leyes, busca hacer justicia.</w:t>
      </w:r>
    </w:p>
    <w:p w14:paraId="67C988DE"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Propongo 3 ejes humanos fundamentales:</w:t>
      </w:r>
    </w:p>
    <w:p w14:paraId="39948A4F"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Primero. Garantía de abasto y reembolso. Si el Estado no es capaz de llevar agua a tu llave por mantenimiento o por escasez, tiene la obligación de enviarte una pipa, que tampoco es gratuito porque tú ya la pagaste, si no cumple el Ayuntamiento u organismo, debe reembolsar los pagos realizados por un servicio que no se recibió, eso es lo justo, no se debe pagar por lo que no se recibe.</w:t>
      </w:r>
    </w:p>
    <w:p w14:paraId="128AD47D"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Segundo. Protección a los más vulnerables. Queremos que la bonificación para sectores vulnerables como jubilados, personas con discapacidad, madres solteras y jefas de familia no sea un tema que se negocie cada año en el paquete económico, propongo elevar ese apoyo del 38% al 50% de forma permanente en el Código Financiero.</w:t>
      </w:r>
    </w:p>
    <w:p w14:paraId="73068670"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Tercero. Prioridad humana, poner por delante a quienes están en situación de orfandad, a mujeres embarazadas y a nuestras comunidades más marginadas.</w:t>
      </w:r>
    </w:p>
    <w:p w14:paraId="5C607E62"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Compañeras y compañeros, el acceso al agua es una condición previa de la vida misma; México es el quinto país con mayor consumo por habitante, pero la desigualdad en la distribución es abismal. </w:t>
      </w:r>
    </w:p>
    <w:p w14:paraId="7CDD4DA4"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No permitamos que el derecho humano al agua, se quede en un discurso de tribuna, mientras afuera hay miles de personas esperando a que den las 3:00 de la mañana para ver si hoy sí cae una gota de agua. </w:t>
      </w:r>
    </w:p>
    <w:p w14:paraId="50F876D3"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Pasemos de las palabras a las acciones que alivien el bolsillo y la vida de las familias mexiquenses.</w:t>
      </w:r>
    </w:p>
    <w:p w14:paraId="66F36C5E"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eastAsia="Arial" w:hAnsi="Times New Roman" w:cs="Times New Roman"/>
          <w:sz w:val="24"/>
          <w:szCs w:val="24"/>
        </w:rPr>
        <w:t>Es cuanto diputada Presidenta.</w:t>
      </w:r>
    </w:p>
    <w:p w14:paraId="4B02ED20" w14:textId="77777777" w:rsidR="00EF1C7F" w:rsidRPr="0012597A" w:rsidRDefault="00EF1C7F" w:rsidP="00EF1C7F">
      <w:pPr>
        <w:pStyle w:val="Sinespaciado"/>
        <w:jc w:val="both"/>
        <w:rPr>
          <w:rFonts w:ascii="Times New Roman" w:hAnsi="Times New Roman" w:cs="Times New Roman"/>
          <w:sz w:val="24"/>
          <w:szCs w:val="24"/>
        </w:rPr>
      </w:pPr>
    </w:p>
    <w:p w14:paraId="4A4FCA27" w14:textId="77777777" w:rsidR="00EF1C7F" w:rsidRPr="0012597A" w:rsidRDefault="00EF1C7F"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720B18BA" w14:textId="77777777" w:rsidR="00EF1C7F" w:rsidRPr="0012597A" w:rsidRDefault="00EF1C7F" w:rsidP="00EF1C7F">
      <w:pPr>
        <w:spacing w:after="0" w:line="240" w:lineRule="auto"/>
        <w:jc w:val="center"/>
        <w:rPr>
          <w:rFonts w:ascii="Times New Roman" w:hAnsi="Times New Roman"/>
          <w:sz w:val="24"/>
          <w:szCs w:val="24"/>
        </w:rPr>
      </w:pPr>
    </w:p>
    <w:p w14:paraId="6DE2B6D5"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b/>
          <w:sz w:val="24"/>
          <w:szCs w:val="24"/>
        </w:rPr>
        <w:t>Grupo Parlamentario del Partido Acción Nacional</w:t>
      </w:r>
    </w:p>
    <w:p w14:paraId="2D8D04F0"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p>
    <w:p w14:paraId="160332E6"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"2026. Año del Humanismo Mexicano en el Estado de México"</w:t>
      </w:r>
    </w:p>
    <w:p w14:paraId="13C44E84"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6D04D0D4" w14:textId="77777777" w:rsidR="00EF1C7F" w:rsidRPr="0012597A" w:rsidRDefault="00EF1C7F" w:rsidP="00EF1C7F">
      <w:pPr>
        <w:widowControl w:val="0"/>
        <w:autoSpaceDE w:val="0"/>
        <w:autoSpaceDN w:val="0"/>
        <w:spacing w:after="0" w:line="240" w:lineRule="auto"/>
        <w:jc w:val="right"/>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Toluca de Lerdo, Capital del Estado de México,</w:t>
      </w:r>
    </w:p>
    <w:p w14:paraId="6CCC3BAA" w14:textId="77777777" w:rsidR="00EF1C7F" w:rsidRPr="0012597A" w:rsidRDefault="00EF1C7F" w:rsidP="00EF1C7F">
      <w:pPr>
        <w:widowControl w:val="0"/>
        <w:autoSpaceDE w:val="0"/>
        <w:autoSpaceDN w:val="0"/>
        <w:spacing w:after="0" w:line="240" w:lineRule="auto"/>
        <w:jc w:val="right"/>
        <w:rPr>
          <w:rFonts w:ascii="Times New Roman" w:eastAsia="Arial MT" w:hAnsi="Times New Roman" w:cs="Times New Roman"/>
          <w:b/>
          <w:sz w:val="24"/>
          <w:szCs w:val="24"/>
        </w:rPr>
      </w:pPr>
      <w:r w:rsidRPr="0012597A">
        <w:rPr>
          <w:rFonts w:ascii="Times New Roman" w:eastAsia="Arial MT" w:hAnsi="Times New Roman" w:cs="Times New Roman"/>
          <w:b/>
          <w:sz w:val="24"/>
          <w:szCs w:val="24"/>
          <w:u w:val="single"/>
        </w:rPr>
        <w:tab/>
      </w:r>
      <w:r w:rsidRPr="0012597A">
        <w:rPr>
          <w:rFonts w:ascii="Times New Roman" w:eastAsia="Arial MT" w:hAnsi="Times New Roman" w:cs="Times New Roman"/>
          <w:b/>
          <w:sz w:val="24"/>
          <w:szCs w:val="24"/>
        </w:rPr>
        <w:t>de marzo del 2026.</w:t>
      </w:r>
    </w:p>
    <w:p w14:paraId="7219E343"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2858BBA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DIPUTADA MARTHA AZUCENA CAMACHO REYNOSO</w:t>
      </w:r>
    </w:p>
    <w:p w14:paraId="663080F1" w14:textId="6F24B888"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MESA DIRECTIVA DE LA</w:t>
      </w:r>
    </w:p>
    <w:p w14:paraId="6DCF844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H. LXII LEGISLATURA DEL ESTADO LIBRE Y SOBERANO DE MÉXICO</w:t>
      </w:r>
    </w:p>
    <w:p w14:paraId="4D1272C1"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 R E S E N T E.</w:t>
      </w:r>
    </w:p>
    <w:p w14:paraId="57C943B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5F38532B"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Quienes suscriben, Diputados </w:t>
      </w:r>
      <w:r w:rsidRPr="0012597A">
        <w:rPr>
          <w:rFonts w:ascii="Times New Roman" w:eastAsia="Arial MT" w:hAnsi="Times New Roman" w:cs="Times New Roman"/>
          <w:b/>
          <w:sz w:val="24"/>
          <w:szCs w:val="24"/>
        </w:rPr>
        <w:t>Joanna Alejandra Felipe Torres y Pablo Fernández de Cevallos González</w:t>
      </w:r>
      <w:r w:rsidRPr="0012597A">
        <w:rPr>
          <w:rFonts w:ascii="Times New Roman" w:eastAsia="Arial MT" w:hAnsi="Times New Roman" w:cs="Times New Roman"/>
          <w:sz w:val="24"/>
          <w:szCs w:val="24"/>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12597A">
        <w:rPr>
          <w:rFonts w:ascii="Times New Roman" w:eastAsia="Arial MT" w:hAnsi="Times New Roman" w:cs="Times New Roman"/>
          <w:b/>
          <w:sz w:val="24"/>
          <w:szCs w:val="24"/>
        </w:rPr>
        <w:t>Iniciativa con proyecto de decreto, por el que se reforman y adicionan diversos artículos de la Ley del Agua para el Estado de México y Municipios y del Código Financiero del Estado de México y Municipios, con el objeto de garantizar el acceso al agua para uso personal y doméstico, especialmente a las personas en situación de vulnerabilidad, así como un reembolso por falta del suministro de agua potable a los contribuyentes</w:t>
      </w:r>
      <w:r w:rsidRPr="0012597A">
        <w:rPr>
          <w:rFonts w:ascii="Times New Roman" w:eastAsia="Arial MT" w:hAnsi="Times New Roman" w:cs="Times New Roman"/>
          <w:sz w:val="24"/>
          <w:szCs w:val="24"/>
        </w:rPr>
        <w:t>, con sustento en la siguiente:</w:t>
      </w:r>
    </w:p>
    <w:p w14:paraId="0EDB8A97"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176080E6"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Exposición De Motivos</w:t>
      </w:r>
    </w:p>
    <w:p w14:paraId="6C3DBA50"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17218933"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acceso al agua es por sí mismo un derecho humano indispensable para vivir dignamente, y es condición previa para la realización de otros derechos humanos. En ese sentido, la Comisión Nacional de los Derechos Humanos (CNDH) señala “que el agua debe tratarse fundamentalmente como un bien social y cultural, y no sólo como un bien económico.”</w:t>
      </w:r>
      <w:hyperlink w:anchor="_bookmark0" w:history="1">
        <w:r w:rsidRPr="0012597A">
          <w:rPr>
            <w:rFonts w:ascii="Times New Roman" w:eastAsia="Arial MT" w:hAnsi="Times New Roman" w:cs="Times New Roman"/>
            <w:color w:val="FF0000"/>
            <w:sz w:val="24"/>
            <w:szCs w:val="24"/>
            <w:vertAlign w:val="superscript"/>
          </w:rPr>
          <w:t>1</w:t>
        </w:r>
      </w:hyperlink>
      <w:r w:rsidRPr="0012597A">
        <w:rPr>
          <w:rFonts w:ascii="Times New Roman" w:eastAsia="Arial MT" w:hAnsi="Times New Roman" w:cs="Times New Roman"/>
          <w:sz w:val="24"/>
          <w:szCs w:val="24"/>
        </w:rPr>
        <w:t xml:space="preserve"> La Observación General No. 15 del Comité de Derechos Económicos, Sociales y Culturales de las Naciones Unidas, especifica también que “el agua es un recurso natural limitado y un bien público fundamental para la vida y la salud. El derecho humano al agua es indispensable para vivir dignamente y es condición previa para la realización de otros derechos humanos”</w:t>
      </w:r>
      <w:hyperlink w:anchor="_bookmark1" w:history="1">
        <w:r w:rsidRPr="0012597A">
          <w:rPr>
            <w:rFonts w:ascii="Times New Roman" w:eastAsia="Arial MT" w:hAnsi="Times New Roman" w:cs="Times New Roman"/>
            <w:color w:val="FF0000"/>
            <w:sz w:val="24"/>
            <w:szCs w:val="24"/>
            <w:vertAlign w:val="superscript"/>
          </w:rPr>
          <w:t>2</w:t>
        </w:r>
      </w:hyperlink>
      <w:r w:rsidRPr="0012597A">
        <w:rPr>
          <w:rFonts w:ascii="Times New Roman" w:eastAsia="Arial MT" w:hAnsi="Times New Roman" w:cs="Times New Roman"/>
          <w:sz w:val="24"/>
          <w:szCs w:val="24"/>
        </w:rPr>
        <w:t>, y define el derecho humano al agua, como:</w:t>
      </w:r>
    </w:p>
    <w:p w14:paraId="7C991FFF"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196D7BDD"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w:t>
      </w:r>
      <w:r w:rsidRPr="0012597A">
        <w:rPr>
          <w:rFonts w:ascii="Times New Roman" w:eastAsia="Arial MT" w:hAnsi="Times New Roman" w:cs="Times New Roman"/>
          <w:sz w:val="20"/>
          <w:szCs w:val="24"/>
        </w:rPr>
        <w:t xml:space="preserve"> Comisión Nacional de los Derechos Humanos (CNDH). (2014). “El derecho humano al agua potable y saneamiento”. Disponible en: </w:t>
      </w:r>
      <w:hyperlink r:id="rId83">
        <w:r w:rsidRPr="0012597A">
          <w:rPr>
            <w:rFonts w:ascii="Times New Roman" w:eastAsia="Arial MT" w:hAnsi="Times New Roman" w:cs="Times New Roman"/>
            <w:color w:val="0462C1"/>
            <w:sz w:val="20"/>
            <w:szCs w:val="24"/>
            <w:u w:val="single" w:color="0462C1"/>
          </w:rPr>
          <w:t>https://www.cndh.org.mx/sites/default/files/documentos/2019-</w:t>
        </w:r>
      </w:hyperlink>
      <w:r w:rsidRPr="0012597A">
        <w:rPr>
          <w:rFonts w:ascii="Times New Roman" w:eastAsia="Arial MT" w:hAnsi="Times New Roman" w:cs="Times New Roman"/>
          <w:color w:val="0462C1"/>
          <w:sz w:val="20"/>
          <w:szCs w:val="24"/>
        </w:rPr>
        <w:t xml:space="preserve"> </w:t>
      </w:r>
      <w:hyperlink r:id="rId84">
        <w:r w:rsidRPr="0012597A">
          <w:rPr>
            <w:rFonts w:ascii="Times New Roman" w:eastAsia="Arial MT" w:hAnsi="Times New Roman" w:cs="Times New Roman"/>
            <w:color w:val="0462C1"/>
            <w:sz w:val="20"/>
            <w:szCs w:val="24"/>
            <w:u w:val="single" w:color="0462C1"/>
          </w:rPr>
          <w:t>08/Derecho-Humano-Agua-PS.pdf</w:t>
        </w:r>
      </w:hyperlink>
    </w:p>
    <w:p w14:paraId="18359B70"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5B98DC78" w14:textId="77777777" w:rsidR="00EF1C7F" w:rsidRPr="0012597A" w:rsidRDefault="00EF1C7F" w:rsidP="00EF1C7F">
      <w:pPr>
        <w:widowControl w:val="0"/>
        <w:autoSpaceDE w:val="0"/>
        <w:autoSpaceDN w:val="0"/>
        <w:spacing w:after="0" w:line="240" w:lineRule="auto"/>
        <w:ind w:left="567"/>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derecho de todos a disponer de agua suficiente, salubre, aceptable, accesible y asequible para el uso personal y doméstico. Un abastecimiento adecuado de agua salubre es necesario para evitar la muerte por deshidratación, para reducir el riesgo de las enfermedades relacionadas con el agua y para satisfacer las necesidades de consumo y cocina y las necesidades de higiene personal y doméstica.</w:t>
      </w:r>
      <w:hyperlink w:anchor="_bookmark2" w:history="1">
        <w:r w:rsidRPr="0012597A">
          <w:rPr>
            <w:rFonts w:ascii="Times New Roman" w:eastAsia="Arial MT" w:hAnsi="Times New Roman" w:cs="Times New Roman"/>
            <w:color w:val="FF0000"/>
            <w:sz w:val="24"/>
            <w:szCs w:val="24"/>
            <w:vertAlign w:val="superscript"/>
          </w:rPr>
          <w:t>3</w:t>
        </w:r>
      </w:hyperlink>
    </w:p>
    <w:p w14:paraId="124EDE0F"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76A99F97"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En la Constitución Política de los Estados Unidos Mexicanos (CPEUM), por su parte, se reconoce en el artículo 4°, que:</w:t>
      </w:r>
    </w:p>
    <w:p w14:paraId="645C6242"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4732684D" w14:textId="77777777" w:rsidR="00EF1C7F" w:rsidRPr="0012597A" w:rsidRDefault="00EF1C7F" w:rsidP="00EF1C7F">
      <w:pPr>
        <w:widowControl w:val="0"/>
        <w:autoSpaceDE w:val="0"/>
        <w:autoSpaceDN w:val="0"/>
        <w:spacing w:after="0" w:line="240" w:lineRule="auto"/>
        <w:ind w:left="567"/>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14:paraId="73D82225"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45A2CCE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En la Ley General de Aguas, recién publicada el 11 de diciembre del 2025 en el Diario Oficial de la Federación, en su artículo 10, establece que:</w:t>
      </w:r>
    </w:p>
    <w:p w14:paraId="119C275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2E9F0C61" w14:textId="77777777" w:rsidR="00EF1C7F" w:rsidRPr="0012597A" w:rsidRDefault="00EF1C7F" w:rsidP="00EF1C7F">
      <w:pPr>
        <w:widowControl w:val="0"/>
        <w:autoSpaceDE w:val="0"/>
        <w:autoSpaceDN w:val="0"/>
        <w:spacing w:after="0" w:line="240" w:lineRule="auto"/>
        <w:ind w:left="567"/>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acceso, disposición y saneamiento del agua para uso personal y doméstico como derechos </w:t>
      </w:r>
      <w:r w:rsidRPr="0012597A">
        <w:rPr>
          <w:rFonts w:ascii="Times New Roman" w:eastAsia="Arial MT" w:hAnsi="Times New Roman" w:cs="Times New Roman"/>
          <w:sz w:val="24"/>
          <w:szCs w:val="24"/>
        </w:rPr>
        <w:lastRenderedPageBreak/>
        <w:t>humanos interdependientes e indispensables para el ejercicio de otros derechos, por lo que se debe garantizar su disfrute a toda persona, con especial atención a la niñez, personas adultas mayores, personas con discapacidad, mujeres, personas en situación de vulnerabilidad, personas desplazadas, refugiadas o solicitantes de asilo, en privación de su libertad y víctimas de desastres.</w:t>
      </w:r>
    </w:p>
    <w:p w14:paraId="26AAA6CD"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7BCDDDD6"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w:t>
      </w:r>
      <w:r w:rsidRPr="0012597A">
        <w:rPr>
          <w:rFonts w:ascii="Times New Roman" w:eastAsia="Arial MT" w:hAnsi="Times New Roman" w:cs="Times New Roman"/>
          <w:sz w:val="20"/>
          <w:szCs w:val="24"/>
        </w:rPr>
        <w:t xml:space="preserve"> Comité de Derechos Económicos, Sociales y Culturales. (2002).” Observación general Nº 15. El derecho al agua (artículos 11 y 12 del Pacto Internacional de Derechos Económicos, Sociales y Culturales)”. Disponible en: </w:t>
      </w:r>
      <w:hyperlink r:id="rId85">
        <w:r w:rsidRPr="0012597A">
          <w:rPr>
            <w:rFonts w:ascii="Times New Roman" w:eastAsia="Arial MT" w:hAnsi="Times New Roman" w:cs="Times New Roman"/>
            <w:color w:val="0462C1"/>
            <w:sz w:val="20"/>
            <w:szCs w:val="24"/>
            <w:u w:val="single" w:color="0462C1"/>
          </w:rPr>
          <w:t>https://agua.org.mx/wp-content/uploads/2017/06/Observacion-15_derecho_al_agua.pdf</w:t>
        </w:r>
      </w:hyperlink>
    </w:p>
    <w:p w14:paraId="23C45301"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i/>
          <w:sz w:val="20"/>
          <w:szCs w:val="24"/>
        </w:rPr>
      </w:pPr>
      <w:r w:rsidRPr="0012597A">
        <w:rPr>
          <w:rFonts w:ascii="Times New Roman" w:eastAsia="Arial MT" w:hAnsi="Times New Roman" w:cs="Times New Roman"/>
          <w:color w:val="FF0000"/>
          <w:sz w:val="20"/>
          <w:szCs w:val="24"/>
          <w:vertAlign w:val="superscript"/>
        </w:rPr>
        <w:t>3</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i/>
          <w:sz w:val="20"/>
          <w:szCs w:val="24"/>
        </w:rPr>
        <w:t>Ibid.</w:t>
      </w:r>
    </w:p>
    <w:p w14:paraId="3DB1155F"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i/>
          <w:sz w:val="24"/>
          <w:szCs w:val="24"/>
        </w:rPr>
      </w:pPr>
    </w:p>
    <w:p w14:paraId="4D8DA657"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la misma Ley en comento, establece en su segundo transitorio que </w:t>
      </w:r>
      <w:r w:rsidRPr="0012597A">
        <w:rPr>
          <w:rFonts w:ascii="Times New Roman" w:eastAsia="Arial MT" w:hAnsi="Times New Roman" w:cs="Times New Roman"/>
          <w:i/>
          <w:sz w:val="24"/>
          <w:szCs w:val="24"/>
        </w:rPr>
        <w:t xml:space="preserve">“Las entidades federativas deben armonizar sus disposiciones jurídicas con lo dispuesto en la presente Ley, en un plazo que no exceda de ciento ochenta días naturales a partir de su entrada en vigor” </w:t>
      </w:r>
      <w:r w:rsidRPr="0012597A">
        <w:rPr>
          <w:rFonts w:ascii="Times New Roman" w:eastAsia="Arial MT" w:hAnsi="Times New Roman" w:cs="Times New Roman"/>
          <w:sz w:val="24"/>
          <w:szCs w:val="24"/>
        </w:rPr>
        <w:t>por lo que es necesario armonizar nuestro marco normativo con el fin de no solo dar cumplimiento con los transitorios, sino de fortalecer el derecho humano al agua, obligando a las autoridades en garantizar el suministro suficiente, a pesar de la falta de pago de los usuarios, pues su derecho al agua debe ser prioridad para el Estado.</w:t>
      </w:r>
    </w:p>
    <w:p w14:paraId="4E3346B9"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202D0F5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ámbito local, la Constitución Política del Estado Libre y Soberano de México, en su artículo 18 se establece que:</w:t>
      </w:r>
    </w:p>
    <w:p w14:paraId="7BB30254"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1D6D3C6A" w14:textId="77777777" w:rsidR="00EF1C7F" w:rsidRPr="0012597A" w:rsidRDefault="00EF1C7F" w:rsidP="00EF1C7F">
      <w:pPr>
        <w:widowControl w:val="0"/>
        <w:autoSpaceDE w:val="0"/>
        <w:autoSpaceDN w:val="0"/>
        <w:spacing w:after="0" w:line="240" w:lineRule="auto"/>
        <w:ind w:left="567"/>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p>
    <w:p w14:paraId="02B37791"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39FEACF9"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Sin embargo, el derecho al acceso y disposición de agua se ha vuelto una preocupación en los Estados a nivel mundial y un gran reto, que con el pasar del tiempo aumenta su complejidad para atender las necesidades y demandas de la población, en especial de las personas en situación de vulnerabilidad.</w:t>
      </w:r>
    </w:p>
    <w:p w14:paraId="7A3EA83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50C956E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Organización de las Naciones Unidas (ONU) señala que la escasez de agua </w:t>
      </w:r>
      <w:proofErr w:type="spellStart"/>
      <w:r w:rsidRPr="0012597A">
        <w:rPr>
          <w:rFonts w:ascii="Times New Roman" w:eastAsia="Arial MT" w:hAnsi="Times New Roman" w:cs="Times New Roman"/>
          <w:sz w:val="24"/>
          <w:szCs w:val="24"/>
        </w:rPr>
        <w:t>a</w:t>
      </w:r>
      <w:proofErr w:type="spellEnd"/>
      <w:r w:rsidRPr="0012597A">
        <w:rPr>
          <w:rFonts w:ascii="Times New Roman" w:eastAsia="Arial MT" w:hAnsi="Times New Roman" w:cs="Times New Roman"/>
          <w:sz w:val="24"/>
          <w:szCs w:val="24"/>
        </w:rPr>
        <w:t xml:space="preserve"> pasado de ser un preocupación regional a una crisis hídrica sin precedentes a nivel mundial agravándose constantemente, pues en 2020 el 25% de las personas en el mundo carecía de acceso al agua potable segura y en un reciente estudio dirigido por la ONU y UNICEF publicado por la revista </w:t>
      </w:r>
      <w:proofErr w:type="spellStart"/>
      <w:r w:rsidRPr="0012597A">
        <w:rPr>
          <w:rFonts w:ascii="Times New Roman" w:eastAsia="Arial MT" w:hAnsi="Times New Roman" w:cs="Times New Roman"/>
          <w:sz w:val="24"/>
          <w:szCs w:val="24"/>
        </w:rPr>
        <w:t>Science</w:t>
      </w:r>
      <w:proofErr w:type="spellEnd"/>
      <w:r w:rsidRPr="0012597A">
        <w:rPr>
          <w:rFonts w:ascii="Times New Roman" w:eastAsia="Arial MT" w:hAnsi="Times New Roman" w:cs="Times New Roman"/>
          <w:sz w:val="24"/>
          <w:szCs w:val="24"/>
        </w:rPr>
        <w:t>, se estima que la cifra aumentó al 50% aproximadamente en 2024.</w:t>
      </w:r>
    </w:p>
    <w:p w14:paraId="57187413"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6029DCA9"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 acuerdo a la ONU para el 2030 se espera que el uso de agua aumente en un 40%, a pesar de que los consumos son excesivos, señalando que Estados Unidos tiene el mayor promedio de consumo diario per cápita con 567 litros por habitante al día y México se encuentra en el segundo lugar con 366 litros por habitante al día.</w:t>
      </w:r>
      <w:hyperlink w:anchor="_bookmark3" w:history="1">
        <w:r w:rsidRPr="0012597A">
          <w:rPr>
            <w:rFonts w:ascii="Times New Roman" w:eastAsia="Arial MT" w:hAnsi="Times New Roman" w:cs="Times New Roman"/>
            <w:color w:val="FF0000"/>
            <w:sz w:val="24"/>
            <w:szCs w:val="24"/>
            <w:vertAlign w:val="superscript"/>
          </w:rPr>
          <w:t>4</w:t>
        </w:r>
      </w:hyperlink>
    </w:p>
    <w:p w14:paraId="41031E7B"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2FB51B6B"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Garantizar el acceso al servicio de agua se ha vuelto una tarea titánica para las autoridades pues es el principal distribuidor del servicio, de acuerdo con datos de la Encuesta de Calidad e impacto Gubernamental 2023 del INEGI, en el Estado de México el 88.2% de personas de 18 años y más, refirió que el servicio de agua potable proviene de la red pública, y 55 % considera que el servicio de agua no es satisfactorio, estando por arriba del promedio nacional en 5 puntos</w:t>
      </w:r>
      <w:hyperlink w:anchor="_bookmark4" w:history="1">
        <w:r w:rsidRPr="0012597A">
          <w:rPr>
            <w:rFonts w:ascii="Times New Roman" w:eastAsia="Arial MT" w:hAnsi="Times New Roman" w:cs="Times New Roman"/>
            <w:sz w:val="24"/>
            <w:szCs w:val="24"/>
          </w:rPr>
          <w:t>,</w:t>
        </w:r>
        <w:r w:rsidRPr="0012597A">
          <w:rPr>
            <w:rFonts w:ascii="Times New Roman" w:eastAsia="Arial MT" w:hAnsi="Times New Roman" w:cs="Times New Roman"/>
            <w:color w:val="FF0000"/>
            <w:sz w:val="24"/>
            <w:szCs w:val="24"/>
            <w:vertAlign w:val="superscript"/>
          </w:rPr>
          <w:t>5</w:t>
        </w:r>
      </w:hyperlink>
      <w:r w:rsidRPr="0012597A">
        <w:rPr>
          <w:rFonts w:ascii="Times New Roman" w:eastAsia="Arial MT" w:hAnsi="Times New Roman" w:cs="Times New Roman"/>
          <w:sz w:val="24"/>
          <w:szCs w:val="24"/>
        </w:rPr>
        <w:t xml:space="preserve"> situación que se ha agravado en los últimos 6 años, ya que la insatisfacción por el servicio aumentó en 4 puntos </w:t>
      </w:r>
      <w:r w:rsidRPr="0012597A">
        <w:rPr>
          <w:rFonts w:ascii="Times New Roman" w:eastAsia="Arial MT" w:hAnsi="Times New Roman" w:cs="Times New Roman"/>
          <w:sz w:val="24"/>
          <w:szCs w:val="24"/>
        </w:rPr>
        <w:lastRenderedPageBreak/>
        <w:t>porcentuales, es decir el acceso al agua por de red hidráulica pública va empeorando.</w:t>
      </w:r>
    </w:p>
    <w:p w14:paraId="51E99D54"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0A4587F8"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4</w:t>
      </w:r>
      <w:r w:rsidRPr="0012597A">
        <w:rPr>
          <w:rFonts w:ascii="Times New Roman" w:eastAsia="Arial MT" w:hAnsi="Times New Roman" w:cs="Times New Roman"/>
          <w:sz w:val="20"/>
          <w:szCs w:val="24"/>
        </w:rPr>
        <w:t xml:space="preserve"> </w:t>
      </w:r>
      <w:hyperlink r:id="rId86">
        <w:r w:rsidRPr="0012597A">
          <w:rPr>
            <w:rFonts w:ascii="Times New Roman" w:eastAsia="Arial MT" w:hAnsi="Times New Roman" w:cs="Times New Roman"/>
            <w:color w:val="0462C1"/>
            <w:sz w:val="20"/>
            <w:szCs w:val="24"/>
            <w:u w:val="single" w:color="0462C1"/>
          </w:rPr>
          <w:t>https://onu-habitat.org/index.php/comprender-las-dimensiones-del-problema-del-agua</w:t>
        </w:r>
      </w:hyperlink>
    </w:p>
    <w:p w14:paraId="287DF083"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0280AD02"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la misma encuesta, la entidad está dentro de las 7 con peor suministro de agua, pasando de 55.7% en 2019 a 43.2 % en 2023, y se encuentra en el lugar 13 de los estados que consideran tienen el mayor desperdicio por fugas y el 48.8% considera que el agua que se suministra tiene pureza y claridad, colocando a la entidad en el lugar 25 a nivel nacional.</w:t>
      </w:r>
      <w:hyperlink w:anchor="_bookmark5" w:history="1">
        <w:r w:rsidRPr="0012597A">
          <w:rPr>
            <w:rFonts w:ascii="Times New Roman" w:eastAsia="Arial MT" w:hAnsi="Times New Roman" w:cs="Times New Roman"/>
            <w:color w:val="FF0000"/>
            <w:sz w:val="24"/>
            <w:szCs w:val="24"/>
            <w:vertAlign w:val="superscript"/>
          </w:rPr>
          <w:t>6</w:t>
        </w:r>
      </w:hyperlink>
    </w:p>
    <w:p w14:paraId="1D79C9EB"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64440BF2"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otro lado, el Censo de Población y vivienda 2020, señala que en la entidad mexiquense el 24.9% de la población no cuenta con agua entubada dentro de sus viviendas (1,137,590 familias), mientras que el 22.2% la infraestructura de tubería está en el patio o terreno (1,014,236 viviendas), y el 2.6 no cuenta con agua entubada (118,748).</w:t>
      </w:r>
      <w:hyperlink w:anchor="_bookmark6" w:history="1">
        <w:r w:rsidRPr="0012597A">
          <w:rPr>
            <w:rFonts w:ascii="Times New Roman" w:eastAsia="Arial MT" w:hAnsi="Times New Roman" w:cs="Times New Roman"/>
            <w:color w:val="FF0000"/>
            <w:sz w:val="24"/>
            <w:szCs w:val="24"/>
            <w:vertAlign w:val="superscript"/>
          </w:rPr>
          <w:t>7</w:t>
        </w:r>
      </w:hyperlink>
    </w:p>
    <w:p w14:paraId="218B3003"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73BDA88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misma encuesta refiere, que 18.1% de las viviendas mexiquenses no disponen de equipamiento para almacenar agua y solo 4 de cada 10 cuentan con cisterna o aljibe y 8 de cada 10 con tinaco.</w:t>
      </w:r>
      <w:hyperlink w:anchor="_bookmark7" w:history="1">
        <w:r w:rsidRPr="0012597A">
          <w:rPr>
            <w:rFonts w:ascii="Times New Roman" w:eastAsia="Arial MT" w:hAnsi="Times New Roman" w:cs="Times New Roman"/>
            <w:color w:val="FF0000"/>
            <w:sz w:val="24"/>
            <w:szCs w:val="24"/>
            <w:vertAlign w:val="superscript"/>
          </w:rPr>
          <w:t>8</w:t>
        </w:r>
      </w:hyperlink>
      <w:r w:rsidRPr="0012597A">
        <w:rPr>
          <w:rFonts w:ascii="Times New Roman" w:eastAsia="Arial MT" w:hAnsi="Times New Roman" w:cs="Times New Roman"/>
          <w:sz w:val="24"/>
          <w:szCs w:val="24"/>
        </w:rPr>
        <w:t xml:space="preserve"> La población que no tiene donde almacenar el agua, genera mayor preocupación sobre todo en periodos de escasez, complicando la situación personal y doméstica, así como el desarrollo social principalmente para las niñas y mujeres, pues en zonas rurales, ellas en gran medida son las que recolectan el agua dedicando muchas horas al día, afectando el acceso a la educación (traducido en abandono escolar), su participación en la vida económica y su seguridad social.</w:t>
      </w:r>
      <w:hyperlink w:anchor="_bookmark8" w:history="1">
        <w:r w:rsidRPr="0012597A">
          <w:rPr>
            <w:rFonts w:ascii="Times New Roman" w:eastAsia="Arial MT" w:hAnsi="Times New Roman" w:cs="Times New Roman"/>
            <w:color w:val="FF0000"/>
            <w:sz w:val="24"/>
            <w:szCs w:val="24"/>
            <w:vertAlign w:val="superscript"/>
          </w:rPr>
          <w:t>9</w:t>
        </w:r>
      </w:hyperlink>
      <w:r w:rsidRPr="0012597A">
        <w:rPr>
          <w:rFonts w:ascii="Times New Roman" w:eastAsia="Arial MT" w:hAnsi="Times New Roman" w:cs="Times New Roman"/>
          <w:sz w:val="24"/>
          <w:szCs w:val="24"/>
        </w:rPr>
        <w:t xml:space="preserve"> Sin duda, la falta de agua genera un efecto negativo que transgrede diversos derechos derivado de su interdependencia con otros derechos humanos, como lo es la salud, educación y vivienda, por mencionar algunos.</w:t>
      </w:r>
    </w:p>
    <w:p w14:paraId="4DF7EB4F"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3B0B17A2"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5</w:t>
      </w:r>
      <w:r w:rsidRPr="0012597A">
        <w:rPr>
          <w:rFonts w:ascii="Times New Roman" w:eastAsia="Arial MT" w:hAnsi="Times New Roman" w:cs="Times New Roman"/>
          <w:sz w:val="20"/>
          <w:szCs w:val="24"/>
        </w:rPr>
        <w:t xml:space="preserve"> Encuesta de Calidad e impacto Gubernamental 2023 del INEGI, Se puede revisar en la página: </w:t>
      </w:r>
      <w:hyperlink r:id="rId87">
        <w:r w:rsidRPr="0012597A">
          <w:rPr>
            <w:rFonts w:ascii="Times New Roman" w:eastAsia="Arial MT" w:hAnsi="Times New Roman" w:cs="Times New Roman"/>
            <w:color w:val="0462C1"/>
            <w:sz w:val="20"/>
            <w:szCs w:val="24"/>
            <w:u w:val="single" w:color="0462C1"/>
          </w:rPr>
          <w:t>https://www.inegi.org.mx/contenidos/programas/encig/2023/doc/encig2023_principales_resultados.pdf</w:t>
        </w:r>
      </w:hyperlink>
    </w:p>
    <w:p w14:paraId="339664D7"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i/>
          <w:sz w:val="20"/>
          <w:szCs w:val="24"/>
        </w:rPr>
      </w:pPr>
      <w:r w:rsidRPr="0012597A">
        <w:rPr>
          <w:rFonts w:ascii="Times New Roman" w:eastAsia="Arial MT" w:hAnsi="Times New Roman" w:cs="Times New Roman"/>
          <w:color w:val="FF0000"/>
          <w:sz w:val="20"/>
          <w:szCs w:val="24"/>
          <w:vertAlign w:val="superscript"/>
        </w:rPr>
        <w:t>6</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i/>
          <w:sz w:val="20"/>
          <w:szCs w:val="24"/>
        </w:rPr>
        <w:t>Ibid.</w:t>
      </w:r>
    </w:p>
    <w:p w14:paraId="2BA74E6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7</w:t>
      </w:r>
      <w:r w:rsidRPr="0012597A">
        <w:rPr>
          <w:rFonts w:ascii="Times New Roman" w:eastAsia="Arial MT" w:hAnsi="Times New Roman" w:cs="Times New Roman"/>
          <w:sz w:val="20"/>
          <w:szCs w:val="24"/>
        </w:rPr>
        <w:t xml:space="preserve"> Censo de Población y vivienda 2020 INEGI, se puede revisar en la página: </w:t>
      </w:r>
      <w:hyperlink r:id="rId88">
        <w:r w:rsidRPr="0012597A">
          <w:rPr>
            <w:rFonts w:ascii="Times New Roman" w:eastAsia="Arial MT" w:hAnsi="Times New Roman" w:cs="Times New Roman"/>
            <w:color w:val="0462C1"/>
            <w:sz w:val="20"/>
            <w:szCs w:val="24"/>
            <w:u w:val="single" w:color="0462C1"/>
          </w:rPr>
          <w:t>https://www.inegi.org.mx/contenidos/programas/ccpv/2020/doc/cpv2020_pres_res_mex.pdf</w:t>
        </w:r>
      </w:hyperlink>
    </w:p>
    <w:p w14:paraId="4C782F32"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i/>
          <w:sz w:val="20"/>
          <w:szCs w:val="24"/>
        </w:rPr>
      </w:pPr>
      <w:r w:rsidRPr="0012597A">
        <w:rPr>
          <w:rFonts w:ascii="Times New Roman" w:eastAsia="Arial MT" w:hAnsi="Times New Roman" w:cs="Times New Roman"/>
          <w:i/>
          <w:color w:val="FF0000"/>
          <w:sz w:val="20"/>
          <w:szCs w:val="24"/>
          <w:vertAlign w:val="superscript"/>
        </w:rPr>
        <w:t>8</w:t>
      </w:r>
      <w:r w:rsidRPr="0012597A">
        <w:rPr>
          <w:rFonts w:ascii="Times New Roman" w:eastAsia="Arial MT" w:hAnsi="Times New Roman" w:cs="Times New Roman"/>
          <w:i/>
          <w:sz w:val="20"/>
          <w:szCs w:val="24"/>
        </w:rPr>
        <w:t xml:space="preserve"> Ibid.</w:t>
      </w:r>
    </w:p>
    <w:p w14:paraId="39B76037"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“Las crisis del agua amenazan la paz mundial” informe de la UNESCO.</w:t>
      </w:r>
    </w:p>
    <w:p w14:paraId="4AF2E9A8"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63FABD67"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un estudio del Instituto Belisario Domínguez, del Senado de la República, denominado “Algunas consideraciones sobre el derecho humano al agua en México” señala que las viviendas que cuentan con infraestructura de tubería 5.5 de cada 10 no recibe agua diariamente, lo que refleja grandes desigualdades y un pésimo servicio de suministro por el sector público.</w:t>
      </w:r>
    </w:p>
    <w:p w14:paraId="2540FD6C"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4946EC61"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lo que respecta a las tarifas por el servicio del agua, no se encuentran unificadas debido; a la autonomía normativa que tienen las entidades federativas, los municipios y los organismos de agua; a las asignaciones presupuestales que realiza el Gobierno federal de un estado con respecto a otro; a las condiciones hídricas y estructurales, en consecuencia existen grandes disparidades, por ejemplo, en Quintana Roo y Yucatán el metro cúbico mensual se encuentra en $172,86, mientras que en Morelos está en $0.04, y el Estado de México en $4.70</w:t>
      </w:r>
      <w:hyperlink w:anchor="_bookmark9" w:history="1">
        <w:r w:rsidRPr="0012597A">
          <w:rPr>
            <w:rFonts w:ascii="Times New Roman" w:eastAsia="Arial MT" w:hAnsi="Times New Roman" w:cs="Times New Roman"/>
            <w:color w:val="FF0000"/>
            <w:sz w:val="24"/>
            <w:szCs w:val="24"/>
            <w:vertAlign w:val="superscript"/>
          </w:rPr>
          <w:t>10</w:t>
        </w:r>
      </w:hyperlink>
    </w:p>
    <w:p w14:paraId="40E71E67"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7D863519"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gasto promedio de los hogares mexicanos que asigna para el servicio de agua es de $136.93 mensuales, sin embargo a esto se suman costos adicionales, como la instalaciones de sistemas de purificación, el consumo de agua embotellada y el servicio de pipas, cantidad que incrementa considerablemente, tomando en cuenta que más de la mitad de viviendas que tiene infraestructura de tubería no tienen agua regularmente y la pipa cuesta en promedio en la entidad $962 y la </w:t>
      </w:r>
      <w:r w:rsidRPr="0012597A">
        <w:rPr>
          <w:rFonts w:ascii="Times New Roman" w:eastAsia="Arial MT" w:hAnsi="Times New Roman" w:cs="Times New Roman"/>
          <w:sz w:val="24"/>
          <w:szCs w:val="24"/>
        </w:rPr>
        <w:lastRenderedPageBreak/>
        <w:t>deficiente calidad en algunas regiones del país causa que los mexicanos paguen más por agua embotellada que por agua potable.</w:t>
      </w:r>
      <w:hyperlink w:anchor="_bookmark10" w:history="1">
        <w:r w:rsidRPr="0012597A">
          <w:rPr>
            <w:rFonts w:ascii="Times New Roman" w:eastAsia="Arial MT" w:hAnsi="Times New Roman" w:cs="Times New Roman"/>
            <w:color w:val="FF0000"/>
            <w:sz w:val="24"/>
            <w:szCs w:val="24"/>
            <w:vertAlign w:val="superscript"/>
          </w:rPr>
          <w:t>11</w:t>
        </w:r>
      </w:hyperlink>
    </w:p>
    <w:p w14:paraId="20AFFE90"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1AC5A52B"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lo anterior, hay que sumarle que en el territorio mexiquense hay 6 millones de personas en situación de pobreza y más de 800 mil están en pobreza extrema, contexto que complica la compra de agua embotellada o de una pipa cuando no hay suministro de agua entubada, por lo que las autoridades deben establecer mecanismos para satisfacer la demanda sobre todo en periodos de escasez, de igual forma es necesario fortalecer el sistema normativo para garantizar el acceso y abasto del agua con especial atención a la niñez, personas adultas mayores, personas con discapacidad, mujeres, personas en situación de vulnerabilidad, personas desplazadas, refugiadas o solicitantes de asilo, en privación de su libertad y víctimas de desastres.</w:t>
      </w:r>
    </w:p>
    <w:p w14:paraId="2B5E27B5"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5626105C"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10</w:t>
      </w:r>
      <w:r w:rsidRPr="0012597A">
        <w:rPr>
          <w:rFonts w:ascii="Times New Roman" w:eastAsia="Arial MT" w:hAnsi="Times New Roman" w:cs="Times New Roman"/>
          <w:sz w:val="20"/>
          <w:szCs w:val="24"/>
        </w:rPr>
        <w:t xml:space="preserve"> Instituto Mexicano para la Competitividad [IMCO] (2023). ¿Cuál es el costo real del agua en México?</w:t>
      </w:r>
    </w:p>
    <w:p w14:paraId="0D4E8FD0"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i/>
          <w:sz w:val="20"/>
          <w:szCs w:val="24"/>
        </w:rPr>
      </w:pPr>
      <w:r w:rsidRPr="0012597A">
        <w:rPr>
          <w:rFonts w:ascii="Times New Roman" w:eastAsia="Arial MT" w:hAnsi="Times New Roman" w:cs="Times New Roman"/>
          <w:color w:val="FF0000"/>
          <w:sz w:val="20"/>
          <w:szCs w:val="24"/>
          <w:vertAlign w:val="superscript"/>
        </w:rPr>
        <w:t>11</w:t>
      </w:r>
      <w:r w:rsidRPr="0012597A">
        <w:rPr>
          <w:rFonts w:ascii="Times New Roman" w:eastAsia="Arial MT" w:hAnsi="Times New Roman" w:cs="Times New Roman"/>
          <w:color w:val="FF0000"/>
          <w:sz w:val="20"/>
          <w:szCs w:val="24"/>
        </w:rPr>
        <w:t xml:space="preserve"> </w:t>
      </w:r>
      <w:r w:rsidRPr="0012597A">
        <w:rPr>
          <w:rFonts w:ascii="Times New Roman" w:eastAsia="Arial MT" w:hAnsi="Times New Roman" w:cs="Times New Roman"/>
          <w:i/>
          <w:sz w:val="20"/>
          <w:szCs w:val="24"/>
        </w:rPr>
        <w:t>Ibid.</w:t>
      </w:r>
    </w:p>
    <w:p w14:paraId="19EFD1B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i/>
          <w:sz w:val="24"/>
          <w:szCs w:val="24"/>
        </w:rPr>
      </w:pPr>
    </w:p>
    <w:p w14:paraId="204E1BD3"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sentido, la presente iniciativa busca armonizar Ley del Agua para el Estado de México y Municipios con la Ley General de Aguas, publicada en el DOF el 11 de diciembre del 2025, para garantizar el acceso, disposición y saneamiento del agua para uso personal y doméstico como derechos humanos interdependientes e indispensables para el ejercicio de otros derechos, poniendo especial atención a las personas en situación de vulnerabilidad.</w:t>
      </w:r>
    </w:p>
    <w:p w14:paraId="6F8E3129"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3D00E4F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También se plantea que cuando se suspenda o restrinja el servicio de agua, ya sea por escasez, mantenimiento u otra causas ajenas al usuario de uso doméstico, las autoridades deberán garantizar el abasto de agua para consumo humano básico, a través de pipas o cualquier otro medio que determinen, y de no cumplir con el abasto el Organismo Operador o el Ayuntamiento, deberán reembolsar los pagos por los derechos del servicio de suministro de agua potable realizados por el contribuyente.</w:t>
      </w:r>
    </w:p>
    <w:p w14:paraId="665D7162"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p>
    <w:p w14:paraId="29D3B4A3"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Además se busca apoyar en mayor medida a las personas en situación de vulnerabilidad, como las pensionada o jubilada, por incapacidad permanente total o parcial, persona viuda, con edad de sesenta años o más, menor de edad en situación de orfandad; así como mujeres en estado de gestación o lactancia, en estado civil soltera que acredite tener dependientes económicos, quien haya sido liberada con motivo de una amnistía estatal, o madre jefa de familia sin ingresos fijos, a través de una bonificación del 50% para uso doméstico, es decir, se pasa de una bonificación del 38% establecida anualmente en Ley de Ingresos de los Municipios del Estado de México para el Ejercicio Fiscal 2026 a una bonificación permanente del 50% establecida en el Código Financiero del Estado de México y Municipios, hay que recordar que en el proyecto del paquete económico para el ejercicio fiscal 2026, la bonificación inicial era del 34%, por lo que actualmente está sujeta a cambios en cada ejercicio fiscal.</w:t>
      </w:r>
    </w:p>
    <w:p w14:paraId="39C5AA9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6F2ECA88"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tarea del Estado es crear condiciones para el mejor disfrute de los derechos de cada uno de los habitantes, y el agua es un derecho alineado con muchos más, por lo que es obligatorio darle la importancia necesaria, no solo con discurso sino con presupuesto, para que garantice su disposición con principal relevancia al sector con mayores carencias.</w:t>
      </w:r>
    </w:p>
    <w:p w14:paraId="711CB585"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756CA1BB"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lo expuesto, se propone las reformas y adiciones a la Ley de la Fiscalía General de Justicia del Estado de México, en términos de los siguientes cuadros comparativos:</w:t>
      </w:r>
    </w:p>
    <w:p w14:paraId="63856AD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tbl>
      <w:tblPr>
        <w:tblStyle w:val="TableNormal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7"/>
        <w:gridCol w:w="4417"/>
      </w:tblGrid>
      <w:tr w:rsidR="00EF1C7F" w:rsidRPr="0012597A" w14:paraId="11C60B7B" w14:textId="77777777" w:rsidTr="00132FF2">
        <w:trPr>
          <w:trHeight w:val="20"/>
          <w:jc w:val="center"/>
        </w:trPr>
        <w:tc>
          <w:tcPr>
            <w:tcW w:w="4417" w:type="dxa"/>
          </w:tcPr>
          <w:p w14:paraId="1061515E" w14:textId="77777777" w:rsidR="00EF1C7F" w:rsidRPr="0012597A" w:rsidRDefault="00EF1C7F"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Dice</w:t>
            </w:r>
          </w:p>
        </w:tc>
        <w:tc>
          <w:tcPr>
            <w:tcW w:w="4417" w:type="dxa"/>
          </w:tcPr>
          <w:p w14:paraId="007B35A8" w14:textId="77777777" w:rsidR="00EF1C7F" w:rsidRPr="0012597A" w:rsidRDefault="00EF1C7F"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Debe decir</w:t>
            </w:r>
          </w:p>
        </w:tc>
      </w:tr>
      <w:tr w:rsidR="00EF1C7F" w:rsidRPr="0012597A" w14:paraId="76424596" w14:textId="77777777" w:rsidTr="00132FF2">
        <w:trPr>
          <w:trHeight w:val="20"/>
          <w:jc w:val="center"/>
        </w:trPr>
        <w:tc>
          <w:tcPr>
            <w:tcW w:w="8834" w:type="dxa"/>
            <w:gridSpan w:val="2"/>
          </w:tcPr>
          <w:p w14:paraId="75B32FEB" w14:textId="77777777" w:rsidR="00EF1C7F" w:rsidRPr="0012597A" w:rsidRDefault="00EF1C7F"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lastRenderedPageBreak/>
              <w:t>Ley del Agua para el Estado de México y Municipios</w:t>
            </w:r>
          </w:p>
        </w:tc>
      </w:tr>
      <w:tr w:rsidR="00EF1C7F" w:rsidRPr="0012597A" w14:paraId="54FE31B1" w14:textId="77777777" w:rsidTr="00132FF2">
        <w:trPr>
          <w:trHeight w:val="20"/>
          <w:jc w:val="center"/>
        </w:trPr>
        <w:tc>
          <w:tcPr>
            <w:tcW w:w="4417" w:type="dxa"/>
            <w:tcBorders>
              <w:bottom w:val="nil"/>
            </w:tcBorders>
          </w:tcPr>
          <w:p w14:paraId="677493C9"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8.- </w:t>
            </w:r>
            <w:r w:rsidRPr="0012597A">
              <w:rPr>
                <w:rFonts w:ascii="Times New Roman" w:eastAsia="Arial MT" w:hAnsi="Times New Roman" w:cs="Times New Roman"/>
                <w:sz w:val="24"/>
                <w:szCs w:val="24"/>
                <w:lang w:val="es-MX"/>
              </w:rPr>
              <w:t>Se declara de utilidad pública para esta Ley:</w:t>
            </w:r>
          </w:p>
        </w:tc>
        <w:tc>
          <w:tcPr>
            <w:tcW w:w="4417" w:type="dxa"/>
            <w:tcBorders>
              <w:bottom w:val="nil"/>
            </w:tcBorders>
          </w:tcPr>
          <w:p w14:paraId="7E566F71"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8.- </w:t>
            </w:r>
            <w:r w:rsidRPr="0012597A">
              <w:rPr>
                <w:rFonts w:ascii="Times New Roman" w:eastAsia="Arial MT" w:hAnsi="Times New Roman" w:cs="Times New Roman"/>
                <w:sz w:val="24"/>
                <w:szCs w:val="24"/>
                <w:lang w:val="es-MX"/>
              </w:rPr>
              <w:t>…</w:t>
            </w:r>
          </w:p>
        </w:tc>
      </w:tr>
      <w:tr w:rsidR="00EF1C7F" w:rsidRPr="0012597A" w14:paraId="4E25E5D7" w14:textId="77777777" w:rsidTr="00132FF2">
        <w:trPr>
          <w:trHeight w:val="20"/>
          <w:jc w:val="center"/>
        </w:trPr>
        <w:tc>
          <w:tcPr>
            <w:tcW w:w="4417" w:type="dxa"/>
            <w:tcBorders>
              <w:top w:val="nil"/>
              <w:bottom w:val="nil"/>
            </w:tcBorders>
          </w:tcPr>
          <w:p w14:paraId="36C54604" w14:textId="77777777" w:rsidR="00EF1C7F" w:rsidRPr="0012597A" w:rsidRDefault="00EF1C7F" w:rsidP="00EF1C7F">
            <w:pPr>
              <w:spacing w:line="240" w:lineRule="auto"/>
              <w:rPr>
                <w:rFonts w:ascii="Times New Roman" w:eastAsia="Arial MT" w:hAnsi="Times New Roman" w:cs="Times New Roman"/>
                <w:sz w:val="24"/>
                <w:szCs w:val="24"/>
                <w:lang w:val="es-MX"/>
              </w:rPr>
            </w:pPr>
          </w:p>
        </w:tc>
        <w:tc>
          <w:tcPr>
            <w:tcW w:w="4417" w:type="dxa"/>
            <w:tcBorders>
              <w:top w:val="nil"/>
              <w:bottom w:val="nil"/>
            </w:tcBorders>
          </w:tcPr>
          <w:p w14:paraId="491BE4D0"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 al VII…</w:t>
            </w:r>
          </w:p>
        </w:tc>
      </w:tr>
      <w:tr w:rsidR="00EF1C7F" w:rsidRPr="0012597A" w14:paraId="1623F446" w14:textId="77777777" w:rsidTr="00132FF2">
        <w:trPr>
          <w:trHeight w:val="20"/>
          <w:jc w:val="center"/>
        </w:trPr>
        <w:tc>
          <w:tcPr>
            <w:tcW w:w="4417" w:type="dxa"/>
            <w:tcBorders>
              <w:top w:val="nil"/>
              <w:bottom w:val="nil"/>
            </w:tcBorders>
          </w:tcPr>
          <w:p w14:paraId="1EEF40A0" w14:textId="77777777" w:rsidR="00EF1C7F" w:rsidRPr="0012597A" w:rsidRDefault="00EF1C7F"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I… al VII…</w:t>
            </w:r>
          </w:p>
        </w:tc>
        <w:tc>
          <w:tcPr>
            <w:tcW w:w="4417" w:type="dxa"/>
            <w:tcBorders>
              <w:top w:val="nil"/>
              <w:bottom w:val="nil"/>
            </w:tcBorders>
          </w:tcPr>
          <w:p w14:paraId="5B8EF398" w14:textId="77777777" w:rsidR="00EF1C7F" w:rsidRPr="0012597A" w:rsidRDefault="00EF1C7F" w:rsidP="00EF1C7F">
            <w:pPr>
              <w:spacing w:line="240" w:lineRule="auto"/>
              <w:rPr>
                <w:rFonts w:ascii="Times New Roman" w:eastAsia="Arial MT" w:hAnsi="Times New Roman" w:cs="Times New Roman"/>
                <w:sz w:val="24"/>
                <w:szCs w:val="24"/>
                <w:lang w:val="es-MX"/>
              </w:rPr>
            </w:pPr>
          </w:p>
        </w:tc>
      </w:tr>
      <w:tr w:rsidR="00EF1C7F" w:rsidRPr="0012597A" w14:paraId="64208CF1" w14:textId="77777777" w:rsidTr="00132FF2">
        <w:trPr>
          <w:trHeight w:val="20"/>
          <w:jc w:val="center"/>
        </w:trPr>
        <w:tc>
          <w:tcPr>
            <w:tcW w:w="4417" w:type="dxa"/>
            <w:tcBorders>
              <w:top w:val="nil"/>
              <w:bottom w:val="nil"/>
            </w:tcBorders>
          </w:tcPr>
          <w:p w14:paraId="7C5EE40A" w14:textId="77777777" w:rsidR="00EF1C7F" w:rsidRPr="0012597A" w:rsidRDefault="00EF1C7F"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VIII. </w:t>
            </w:r>
            <w:r w:rsidRPr="0012597A">
              <w:rPr>
                <w:rFonts w:ascii="Times New Roman" w:eastAsia="Arial MT" w:hAnsi="Times New Roman" w:cs="Times New Roman"/>
                <w:sz w:val="24"/>
                <w:szCs w:val="24"/>
                <w:lang w:val="es-MX"/>
              </w:rPr>
              <w:t>Las demás contempladas en la Ley de Expropiación para el Estado de México.</w:t>
            </w:r>
          </w:p>
        </w:tc>
        <w:tc>
          <w:tcPr>
            <w:tcW w:w="4417" w:type="dxa"/>
            <w:tcBorders>
              <w:top w:val="nil"/>
              <w:bottom w:val="nil"/>
            </w:tcBorders>
          </w:tcPr>
          <w:p w14:paraId="5F5F3FD4" w14:textId="77777777" w:rsidR="00EF1C7F" w:rsidRPr="0012597A" w:rsidRDefault="00EF1C7F" w:rsidP="00EF1C7F">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VIII. El acceso, disposición y saneamiento del agua para uso personal y doméstico como derechos humanos, por lo que se debe garantizar su disfrute, con especial atención a personas en situación de vulnerabilidad, así como personas desplazadas, refugiadas o solicitantes de asilo, en privación de su libertad y víctimas de desastres.</w:t>
            </w:r>
          </w:p>
        </w:tc>
      </w:tr>
      <w:tr w:rsidR="00EF1C7F" w:rsidRPr="0012597A" w14:paraId="63E23AE3" w14:textId="77777777" w:rsidTr="00132FF2">
        <w:trPr>
          <w:trHeight w:val="20"/>
          <w:jc w:val="center"/>
        </w:trPr>
        <w:tc>
          <w:tcPr>
            <w:tcW w:w="4417" w:type="dxa"/>
            <w:tcBorders>
              <w:top w:val="nil"/>
              <w:bottom w:val="nil"/>
            </w:tcBorders>
          </w:tcPr>
          <w:p w14:paraId="4FCBED17"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Sin correlativo</w:t>
            </w:r>
          </w:p>
        </w:tc>
        <w:tc>
          <w:tcPr>
            <w:tcW w:w="4417" w:type="dxa"/>
            <w:tcBorders>
              <w:top w:val="nil"/>
              <w:bottom w:val="nil"/>
            </w:tcBorders>
          </w:tcPr>
          <w:p w14:paraId="5D5368A4"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IX…</w:t>
            </w:r>
          </w:p>
        </w:tc>
      </w:tr>
      <w:tr w:rsidR="00EF1C7F" w:rsidRPr="0012597A" w14:paraId="7F47BDA3" w14:textId="77777777" w:rsidTr="00132FF2">
        <w:trPr>
          <w:trHeight w:val="20"/>
          <w:jc w:val="center"/>
        </w:trPr>
        <w:tc>
          <w:tcPr>
            <w:tcW w:w="4417" w:type="dxa"/>
            <w:tcBorders>
              <w:top w:val="nil"/>
              <w:bottom w:val="nil"/>
            </w:tcBorders>
          </w:tcPr>
          <w:p w14:paraId="78F9F219" w14:textId="77777777" w:rsidR="00EF1C7F" w:rsidRPr="0012597A" w:rsidRDefault="00EF1C7F"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66.- </w:t>
            </w:r>
            <w:r w:rsidRPr="0012597A">
              <w:rPr>
                <w:rFonts w:ascii="Times New Roman" w:eastAsia="Arial MT" w:hAnsi="Times New Roman" w:cs="Times New Roman"/>
                <w:sz w:val="24"/>
                <w:szCs w:val="24"/>
                <w:lang w:val="es-MX"/>
              </w:rPr>
              <w:t>Cuando el organismo operador compruebe que el usuario de agua, por su situación económica, no puede cubrir las cuotas a su cargo, su titular podrá establecer cuotas especiales, y/o convenios de pago, con la autorización del Consejo Directivo.</w:t>
            </w:r>
          </w:p>
        </w:tc>
        <w:tc>
          <w:tcPr>
            <w:tcW w:w="4417" w:type="dxa"/>
            <w:tcBorders>
              <w:top w:val="nil"/>
              <w:bottom w:val="nil"/>
            </w:tcBorders>
          </w:tcPr>
          <w:p w14:paraId="27C9AEE8" w14:textId="77777777" w:rsidR="00EF1C7F" w:rsidRPr="0012597A" w:rsidRDefault="00EF1C7F" w:rsidP="00EF1C7F">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Artículo 66</w:t>
            </w:r>
            <w:r w:rsidRPr="0012597A">
              <w:rPr>
                <w:rFonts w:ascii="Times New Roman" w:eastAsia="Arial MT" w:hAnsi="Times New Roman" w:cs="Times New Roman"/>
                <w:sz w:val="24"/>
                <w:szCs w:val="24"/>
                <w:lang w:val="es-MX"/>
              </w:rPr>
              <w:t xml:space="preserve">.- </w:t>
            </w:r>
            <w:r w:rsidRPr="0012597A">
              <w:rPr>
                <w:rFonts w:ascii="Times New Roman" w:eastAsia="Arial MT" w:hAnsi="Times New Roman" w:cs="Times New Roman"/>
                <w:b/>
                <w:sz w:val="24"/>
                <w:szCs w:val="24"/>
                <w:lang w:val="es-MX"/>
              </w:rPr>
              <w:t>El organismo operador establecerá cuotas especiales en el presupuesto de egresos y realizará convenios de pago, dirigido exclusivamente a usuarios de agua, que por su situación económica, no puede cubrir las cuotas a su cargo.</w:t>
            </w:r>
          </w:p>
        </w:tc>
      </w:tr>
      <w:tr w:rsidR="00EF1C7F" w:rsidRPr="0012597A" w14:paraId="03C4460A" w14:textId="77777777" w:rsidTr="00132FF2">
        <w:trPr>
          <w:trHeight w:val="20"/>
          <w:jc w:val="center"/>
        </w:trPr>
        <w:tc>
          <w:tcPr>
            <w:tcW w:w="4417" w:type="dxa"/>
            <w:tcBorders>
              <w:top w:val="nil"/>
              <w:bottom w:val="nil"/>
            </w:tcBorders>
          </w:tcPr>
          <w:p w14:paraId="7E4321BA" w14:textId="77777777" w:rsidR="00EF1C7F" w:rsidRPr="0012597A" w:rsidRDefault="00EF1C7F" w:rsidP="00EF1C7F">
            <w:pPr>
              <w:spacing w:line="240" w:lineRule="auto"/>
              <w:rPr>
                <w:rFonts w:ascii="Times New Roman" w:eastAsia="Arial MT" w:hAnsi="Times New Roman" w:cs="Times New Roman"/>
                <w:sz w:val="24"/>
                <w:szCs w:val="24"/>
                <w:lang w:val="es-MX"/>
              </w:rPr>
            </w:pPr>
          </w:p>
          <w:p w14:paraId="7071E529"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Sin correlativo</w:t>
            </w:r>
          </w:p>
        </w:tc>
        <w:tc>
          <w:tcPr>
            <w:tcW w:w="4417" w:type="dxa"/>
            <w:tcBorders>
              <w:top w:val="nil"/>
              <w:bottom w:val="nil"/>
            </w:tcBorders>
          </w:tcPr>
          <w:p w14:paraId="5C715B31" w14:textId="77777777" w:rsidR="00EF1C7F" w:rsidRPr="0012597A" w:rsidRDefault="00EF1C7F" w:rsidP="00EF1C7F">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Además, no podrán suspender el suministro de agua potable y el servicio de saneamiento por falta de pago, sólo se suministrará la cantidad mínima para el consumo humano básico.</w:t>
            </w:r>
          </w:p>
        </w:tc>
      </w:tr>
      <w:tr w:rsidR="00EF1C7F" w:rsidRPr="0012597A" w14:paraId="12266D03" w14:textId="77777777" w:rsidTr="00132FF2">
        <w:trPr>
          <w:trHeight w:val="20"/>
          <w:jc w:val="center"/>
        </w:trPr>
        <w:tc>
          <w:tcPr>
            <w:tcW w:w="4417" w:type="dxa"/>
            <w:tcBorders>
              <w:bottom w:val="nil"/>
            </w:tcBorders>
          </w:tcPr>
          <w:p w14:paraId="3EBE9CDD" w14:textId="77777777" w:rsidR="00EF1C7F" w:rsidRPr="0012597A" w:rsidRDefault="00EF1C7F" w:rsidP="00525246">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75.- </w:t>
            </w:r>
            <w:r w:rsidRPr="0012597A">
              <w:rPr>
                <w:rFonts w:ascii="Times New Roman" w:eastAsia="Arial MT" w:hAnsi="Times New Roman" w:cs="Times New Roman"/>
                <w:sz w:val="24"/>
                <w:szCs w:val="24"/>
                <w:lang w:val="es-MX"/>
              </w:rPr>
              <w:t>El prestador del servicio de agua potable organismo operador podrá restringir o suspender el servicio,</w:t>
            </w:r>
            <w:r w:rsidR="00525246" w:rsidRPr="0012597A">
              <w:rPr>
                <w:rFonts w:ascii="Times New Roman" w:eastAsia="Arial MT" w:hAnsi="Times New Roman" w:cs="Times New Roman"/>
                <w:sz w:val="24"/>
                <w:szCs w:val="24"/>
                <w:lang w:val="es-MX"/>
              </w:rPr>
              <w:t xml:space="preserve"> </w:t>
            </w:r>
            <w:r w:rsidRPr="0012597A">
              <w:rPr>
                <w:rFonts w:ascii="Times New Roman" w:eastAsia="Arial MT" w:hAnsi="Times New Roman" w:cs="Times New Roman"/>
                <w:sz w:val="24"/>
                <w:szCs w:val="24"/>
                <w:lang w:val="es-MX"/>
              </w:rPr>
              <w:t>cuando:</w:t>
            </w:r>
          </w:p>
          <w:p w14:paraId="618CA361" w14:textId="33E04B89" w:rsidR="00525246" w:rsidRPr="0012597A" w:rsidRDefault="00525246" w:rsidP="00525246">
            <w:pPr>
              <w:spacing w:line="240" w:lineRule="auto"/>
              <w:jc w:val="both"/>
              <w:rPr>
                <w:rFonts w:ascii="Times New Roman" w:eastAsia="Arial MT" w:hAnsi="Times New Roman" w:cs="Times New Roman"/>
                <w:sz w:val="24"/>
                <w:szCs w:val="24"/>
                <w:lang w:val="es-MX"/>
              </w:rPr>
            </w:pPr>
          </w:p>
        </w:tc>
        <w:tc>
          <w:tcPr>
            <w:tcW w:w="4417" w:type="dxa"/>
            <w:tcBorders>
              <w:bottom w:val="nil"/>
            </w:tcBorders>
          </w:tcPr>
          <w:p w14:paraId="6B64B952" w14:textId="0E672656"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75.- </w:t>
            </w:r>
            <w:r w:rsidRPr="0012597A">
              <w:rPr>
                <w:rFonts w:ascii="Times New Roman" w:eastAsia="Arial MT" w:hAnsi="Times New Roman" w:cs="Times New Roman"/>
                <w:sz w:val="24"/>
                <w:szCs w:val="24"/>
                <w:lang w:val="es-MX"/>
              </w:rPr>
              <w:t>…</w:t>
            </w:r>
          </w:p>
        </w:tc>
      </w:tr>
      <w:tr w:rsidR="00525246" w:rsidRPr="0012597A" w14:paraId="2E395FCA" w14:textId="77777777" w:rsidTr="00132FF2">
        <w:trPr>
          <w:trHeight w:val="20"/>
          <w:jc w:val="center"/>
        </w:trPr>
        <w:tc>
          <w:tcPr>
            <w:tcW w:w="4417" w:type="dxa"/>
            <w:tcBorders>
              <w:top w:val="nil"/>
            </w:tcBorders>
          </w:tcPr>
          <w:p w14:paraId="6F7E03C2" w14:textId="77777777" w:rsidR="00525246" w:rsidRPr="0012597A" w:rsidRDefault="00525246" w:rsidP="0012453E">
            <w:pPr>
              <w:numPr>
                <w:ilvl w:val="0"/>
                <w:numId w:val="42"/>
              </w:numPr>
              <w:spacing w:line="240" w:lineRule="auto"/>
              <w:ind w:left="0" w:firstLine="0"/>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Exista escasez de agua en las fuentes de abastecimiento;</w:t>
            </w:r>
          </w:p>
          <w:p w14:paraId="50630DF4" w14:textId="77777777" w:rsidR="00525246" w:rsidRPr="0012597A" w:rsidRDefault="00525246" w:rsidP="0012453E">
            <w:pPr>
              <w:numPr>
                <w:ilvl w:val="0"/>
                <w:numId w:val="42"/>
              </w:numPr>
              <w:spacing w:line="240" w:lineRule="auto"/>
              <w:ind w:left="0" w:firstLine="0"/>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Se requiera hacer alguna reparación o dar mantenimiento a la infraestructura hidráulica; o</w:t>
            </w:r>
          </w:p>
          <w:p w14:paraId="6730C70E" w14:textId="031B39D0" w:rsidR="00525246" w:rsidRPr="0012597A" w:rsidRDefault="00525246" w:rsidP="0012453E">
            <w:pPr>
              <w:numPr>
                <w:ilvl w:val="0"/>
                <w:numId w:val="42"/>
              </w:numPr>
              <w:spacing w:line="240" w:lineRule="auto"/>
              <w:ind w:left="0" w:firstLine="0"/>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Exista solicitud justificada del usuario.</w:t>
            </w:r>
          </w:p>
        </w:tc>
        <w:tc>
          <w:tcPr>
            <w:tcW w:w="4417" w:type="dxa"/>
            <w:tcBorders>
              <w:top w:val="nil"/>
            </w:tcBorders>
          </w:tcPr>
          <w:p w14:paraId="74263AE6" w14:textId="77777777" w:rsidR="00525246" w:rsidRPr="0012597A" w:rsidRDefault="00525246"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w:t>
            </w:r>
          </w:p>
          <w:p w14:paraId="79AE840F" w14:textId="77777777" w:rsidR="00525246" w:rsidRPr="0012597A" w:rsidRDefault="00525246" w:rsidP="00EF1C7F">
            <w:pPr>
              <w:spacing w:line="240" w:lineRule="auto"/>
              <w:rPr>
                <w:rFonts w:ascii="Times New Roman" w:eastAsia="Arial MT" w:hAnsi="Times New Roman" w:cs="Times New Roman"/>
                <w:sz w:val="24"/>
                <w:szCs w:val="24"/>
                <w:lang w:val="es-MX"/>
              </w:rPr>
            </w:pPr>
          </w:p>
          <w:p w14:paraId="2CB724D4" w14:textId="77777777" w:rsidR="00525246" w:rsidRPr="0012597A" w:rsidRDefault="00525246"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II…</w:t>
            </w:r>
          </w:p>
          <w:p w14:paraId="42AA219C" w14:textId="65EDEFC1" w:rsidR="00525246" w:rsidRPr="0012597A" w:rsidRDefault="00525246" w:rsidP="00EF1C7F">
            <w:pPr>
              <w:spacing w:line="240" w:lineRule="auto"/>
              <w:rPr>
                <w:rFonts w:ascii="Times New Roman" w:eastAsia="Arial MT" w:hAnsi="Times New Roman" w:cs="Times New Roman"/>
                <w:sz w:val="24"/>
                <w:szCs w:val="24"/>
                <w:lang w:val="es-MX"/>
              </w:rPr>
            </w:pPr>
          </w:p>
          <w:p w14:paraId="7413B80B" w14:textId="77777777" w:rsidR="00525246" w:rsidRPr="0012597A" w:rsidRDefault="00525246" w:rsidP="00EF1C7F">
            <w:pPr>
              <w:spacing w:line="240" w:lineRule="auto"/>
              <w:rPr>
                <w:rFonts w:ascii="Times New Roman" w:eastAsia="Arial MT" w:hAnsi="Times New Roman" w:cs="Times New Roman"/>
                <w:sz w:val="24"/>
                <w:szCs w:val="24"/>
                <w:lang w:val="es-MX"/>
              </w:rPr>
            </w:pPr>
          </w:p>
          <w:p w14:paraId="5551626A" w14:textId="13D8241C" w:rsidR="00525246" w:rsidRPr="0012597A" w:rsidRDefault="00525246"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III…</w:t>
            </w:r>
          </w:p>
        </w:tc>
      </w:tr>
      <w:tr w:rsidR="00EF1C7F" w:rsidRPr="0012597A" w14:paraId="0035CDD7" w14:textId="77777777" w:rsidTr="00132FF2">
        <w:trPr>
          <w:trHeight w:val="20"/>
          <w:jc w:val="center"/>
        </w:trPr>
        <w:tc>
          <w:tcPr>
            <w:tcW w:w="4417" w:type="dxa"/>
            <w:tcBorders>
              <w:top w:val="nil"/>
              <w:bottom w:val="nil"/>
            </w:tcBorders>
          </w:tcPr>
          <w:p w14:paraId="23C756EA"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Sin correlativo</w:t>
            </w:r>
          </w:p>
        </w:tc>
        <w:tc>
          <w:tcPr>
            <w:tcW w:w="4417" w:type="dxa"/>
            <w:tcBorders>
              <w:top w:val="nil"/>
              <w:bottom w:val="nil"/>
            </w:tcBorders>
          </w:tcPr>
          <w:p w14:paraId="315E0D6D" w14:textId="77777777" w:rsidR="00EF1C7F" w:rsidRPr="0012597A" w:rsidRDefault="00EF1C7F" w:rsidP="00EF1C7F">
            <w:pPr>
              <w:spacing w:line="240" w:lineRule="auto"/>
              <w:rPr>
                <w:rFonts w:ascii="Times New Roman" w:eastAsia="Arial MT" w:hAnsi="Times New Roman" w:cs="Times New Roman"/>
                <w:sz w:val="24"/>
                <w:szCs w:val="24"/>
                <w:lang w:val="es-MX"/>
              </w:rPr>
            </w:pPr>
          </w:p>
        </w:tc>
      </w:tr>
      <w:tr w:rsidR="00EF1C7F" w:rsidRPr="0012597A" w14:paraId="13F96164" w14:textId="77777777" w:rsidTr="00132FF2">
        <w:trPr>
          <w:trHeight w:val="20"/>
          <w:jc w:val="center"/>
        </w:trPr>
        <w:tc>
          <w:tcPr>
            <w:tcW w:w="4417" w:type="dxa"/>
            <w:tcBorders>
              <w:top w:val="nil"/>
              <w:bottom w:val="nil"/>
            </w:tcBorders>
          </w:tcPr>
          <w:p w14:paraId="2B267046" w14:textId="77777777" w:rsidR="00EF1C7F" w:rsidRPr="0012597A" w:rsidRDefault="00EF1C7F" w:rsidP="00EF1C7F">
            <w:pPr>
              <w:spacing w:line="240" w:lineRule="auto"/>
              <w:rPr>
                <w:rFonts w:ascii="Times New Roman" w:eastAsia="Arial MT" w:hAnsi="Times New Roman" w:cs="Times New Roman"/>
                <w:sz w:val="24"/>
                <w:szCs w:val="24"/>
                <w:lang w:val="es-MX"/>
              </w:rPr>
            </w:pPr>
          </w:p>
        </w:tc>
        <w:tc>
          <w:tcPr>
            <w:tcW w:w="4417" w:type="dxa"/>
            <w:tcBorders>
              <w:top w:val="nil"/>
              <w:bottom w:val="nil"/>
            </w:tcBorders>
          </w:tcPr>
          <w:p w14:paraId="7CADE5A0" w14:textId="77777777" w:rsidR="00EF1C7F" w:rsidRPr="0012597A" w:rsidRDefault="00EF1C7F" w:rsidP="00EF1C7F">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En caso de la fracción I y II o cuando el servicio de agua potable sea suspendido por alguna otra causa ajena al usuario, en caso de uso doméstico, las autoridades deberán garantizar el abasto de agua para consumo humano básico, a través de pipas o cualquier otro medio que</w:t>
            </w:r>
          </w:p>
          <w:p w14:paraId="364F1C31" w14:textId="77777777" w:rsidR="00EF1C7F" w:rsidRPr="0012597A" w:rsidRDefault="00EF1C7F"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determinen.</w:t>
            </w:r>
          </w:p>
        </w:tc>
      </w:tr>
      <w:tr w:rsidR="00EF1C7F" w:rsidRPr="0012597A" w14:paraId="0E47D9F2" w14:textId="77777777" w:rsidTr="00132FF2">
        <w:trPr>
          <w:trHeight w:val="20"/>
          <w:jc w:val="center"/>
        </w:trPr>
        <w:tc>
          <w:tcPr>
            <w:tcW w:w="4417" w:type="dxa"/>
            <w:tcBorders>
              <w:top w:val="nil"/>
              <w:bottom w:val="nil"/>
            </w:tcBorders>
          </w:tcPr>
          <w:p w14:paraId="6119E7C8" w14:textId="77777777" w:rsidR="00EF1C7F" w:rsidRPr="0012597A" w:rsidRDefault="00EF1C7F"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Sin correlativo</w:t>
            </w:r>
          </w:p>
        </w:tc>
        <w:tc>
          <w:tcPr>
            <w:tcW w:w="4417" w:type="dxa"/>
            <w:tcBorders>
              <w:top w:val="nil"/>
              <w:bottom w:val="nil"/>
            </w:tcBorders>
          </w:tcPr>
          <w:p w14:paraId="39DDD52C" w14:textId="77777777" w:rsidR="00EF1C7F" w:rsidRPr="0012597A" w:rsidRDefault="00EF1C7F" w:rsidP="00EF1C7F">
            <w:pPr>
              <w:spacing w:line="240" w:lineRule="auto"/>
              <w:rPr>
                <w:rFonts w:ascii="Times New Roman" w:eastAsia="Arial MT" w:hAnsi="Times New Roman" w:cs="Times New Roman"/>
                <w:sz w:val="24"/>
                <w:szCs w:val="24"/>
                <w:lang w:val="es-MX"/>
              </w:rPr>
            </w:pPr>
          </w:p>
        </w:tc>
      </w:tr>
      <w:tr w:rsidR="00EF1C7F" w:rsidRPr="0012597A" w14:paraId="1B83F4FD" w14:textId="77777777" w:rsidTr="00132FF2">
        <w:trPr>
          <w:trHeight w:val="20"/>
          <w:jc w:val="center"/>
        </w:trPr>
        <w:tc>
          <w:tcPr>
            <w:tcW w:w="4417" w:type="dxa"/>
            <w:tcBorders>
              <w:top w:val="nil"/>
            </w:tcBorders>
          </w:tcPr>
          <w:p w14:paraId="7580CE09" w14:textId="77777777" w:rsidR="00EF1C7F" w:rsidRPr="0012597A" w:rsidRDefault="00EF1C7F" w:rsidP="00EF1C7F">
            <w:pPr>
              <w:spacing w:line="240" w:lineRule="auto"/>
              <w:rPr>
                <w:rFonts w:ascii="Times New Roman" w:eastAsia="Arial MT" w:hAnsi="Times New Roman" w:cs="Times New Roman"/>
                <w:sz w:val="24"/>
                <w:szCs w:val="24"/>
                <w:lang w:val="es-MX"/>
              </w:rPr>
            </w:pPr>
          </w:p>
        </w:tc>
        <w:tc>
          <w:tcPr>
            <w:tcW w:w="4417" w:type="dxa"/>
            <w:tcBorders>
              <w:top w:val="nil"/>
            </w:tcBorders>
          </w:tcPr>
          <w:p w14:paraId="696D2727" w14:textId="77777777" w:rsidR="00EF1C7F" w:rsidRPr="0012597A" w:rsidRDefault="00EF1C7F" w:rsidP="00EF1C7F">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 xml:space="preserve">De no cumplir con lo establecido en el </w:t>
            </w:r>
            <w:r w:rsidRPr="0012597A">
              <w:rPr>
                <w:rFonts w:ascii="Times New Roman" w:eastAsia="Arial MT" w:hAnsi="Times New Roman" w:cs="Times New Roman"/>
                <w:b/>
                <w:sz w:val="24"/>
                <w:szCs w:val="24"/>
                <w:lang w:val="es-MX"/>
              </w:rPr>
              <w:lastRenderedPageBreak/>
              <w:t>párrafo anterior, el Organismo operador o el Ayuntamiento, deberán reembolsar los pagos por los derechos del servicio de suministro de agua potable realizados por el contribuyente.</w:t>
            </w:r>
          </w:p>
        </w:tc>
      </w:tr>
    </w:tbl>
    <w:p w14:paraId="036853CC" w14:textId="54636DEF" w:rsidR="00F909FA" w:rsidRPr="0012597A" w:rsidRDefault="00F909FA"/>
    <w:tbl>
      <w:tblPr>
        <w:tblStyle w:val="TableNormal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7"/>
        <w:gridCol w:w="4417"/>
      </w:tblGrid>
      <w:tr w:rsidR="00EF1C7F" w:rsidRPr="0012597A" w14:paraId="1109EA76" w14:textId="77777777" w:rsidTr="00F909FA">
        <w:trPr>
          <w:trHeight w:val="20"/>
          <w:jc w:val="center"/>
        </w:trPr>
        <w:tc>
          <w:tcPr>
            <w:tcW w:w="8834" w:type="dxa"/>
            <w:gridSpan w:val="2"/>
          </w:tcPr>
          <w:p w14:paraId="305A3E04" w14:textId="71EBF023" w:rsidR="00EF1C7F" w:rsidRPr="0012597A" w:rsidRDefault="00EF1C7F" w:rsidP="00EF1C7F">
            <w:pPr>
              <w:spacing w:line="240" w:lineRule="auto"/>
              <w:jc w:val="center"/>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Código Financiero del Estado de México y Municipios</w:t>
            </w:r>
          </w:p>
        </w:tc>
      </w:tr>
      <w:tr w:rsidR="00F909FA" w:rsidRPr="0012597A" w14:paraId="65ECA9EA" w14:textId="77777777" w:rsidTr="00F909FA">
        <w:trPr>
          <w:trHeight w:val="20"/>
          <w:jc w:val="center"/>
        </w:trPr>
        <w:tc>
          <w:tcPr>
            <w:tcW w:w="4417" w:type="dxa"/>
          </w:tcPr>
          <w:p w14:paraId="7DB5C699" w14:textId="029B08D1" w:rsidR="00F909FA" w:rsidRPr="0012597A" w:rsidRDefault="00F909FA"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b/>
                <w:sz w:val="24"/>
                <w:szCs w:val="24"/>
                <w:lang w:val="es-MX"/>
              </w:rPr>
              <w:t xml:space="preserve">Artículo 130.- </w:t>
            </w:r>
            <w:r w:rsidRPr="0012597A">
              <w:rPr>
                <w:rFonts w:ascii="Times New Roman" w:eastAsia="Arial MT" w:hAnsi="Times New Roman" w:cs="Times New Roman"/>
                <w:sz w:val="24"/>
                <w:szCs w:val="24"/>
                <w:lang w:val="es-MX"/>
              </w:rPr>
              <w:t>Los derechos por el servicio de Suministro de Agua Potable, se pagarán mensualmente, bimestralmente o de manera anticipada, según la opción que elija el contribuyente, de entre aquellas modalidades que cada municipio tenga habilitadas, según su capacidad administrativa, y de acuerdo con los medios de pago autorizados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p>
          <w:p w14:paraId="4190CCCD"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6B0D99A1"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 Para uso doméstico:</w:t>
            </w:r>
          </w:p>
          <w:p w14:paraId="03CBA86F"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37095004"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A). Servicio Medido:…</w:t>
            </w:r>
          </w:p>
          <w:p w14:paraId="7B4F6AF0"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30C66FF3"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MENSUAL</w:t>
            </w:r>
          </w:p>
          <w:p w14:paraId="47C1935F"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683F7209"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6506AAE5"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BIMESTRAL</w:t>
            </w:r>
          </w:p>
          <w:p w14:paraId="4BD6F50C"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1083AFBE"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26F9D275"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590BA274"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2E640EB7"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4F953C66"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2B3AFE8E"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11445DD6"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06D0A2D4"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0D034874" w14:textId="77777777" w:rsidR="00F909FA" w:rsidRPr="0012597A" w:rsidRDefault="00F909FA"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La cuota mínima a pagar en el mes o bimestre no será menor a la que corresponda a un consumo de 7.5 m3 y 15 m3, respectivamente, incluyendo la aplicación de los estímulos fiscales y en la Ley de Ingresos del Ejercicio Fiscal de que se trate</w:t>
            </w:r>
          </w:p>
          <w:p w14:paraId="51FF4EC6" w14:textId="77777777" w:rsidR="00F909FA" w:rsidRPr="0012597A" w:rsidRDefault="00F909FA" w:rsidP="004703A1">
            <w:pPr>
              <w:spacing w:line="240" w:lineRule="auto"/>
              <w:jc w:val="both"/>
              <w:rPr>
                <w:rFonts w:ascii="Times New Roman" w:eastAsia="Arial MT" w:hAnsi="Times New Roman" w:cs="Times New Roman"/>
                <w:sz w:val="24"/>
                <w:szCs w:val="24"/>
                <w:lang w:val="es-MX"/>
              </w:rPr>
            </w:pPr>
          </w:p>
          <w:p w14:paraId="4A7DEA74" w14:textId="77777777" w:rsidR="00F909FA" w:rsidRPr="0012597A" w:rsidRDefault="00F909FA" w:rsidP="004703A1">
            <w:pPr>
              <w:spacing w:line="240" w:lineRule="auto"/>
              <w:jc w:val="both"/>
              <w:rPr>
                <w:rFonts w:ascii="Times New Roman" w:eastAsia="Arial MT" w:hAnsi="Times New Roman" w:cs="Times New Roman"/>
                <w:sz w:val="24"/>
                <w:szCs w:val="24"/>
                <w:lang w:val="es-MX"/>
              </w:rPr>
            </w:pPr>
          </w:p>
          <w:p w14:paraId="7680BB2D" w14:textId="77777777" w:rsidR="00F909FA" w:rsidRPr="0012597A" w:rsidRDefault="00F909FA" w:rsidP="004703A1">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lastRenderedPageBreak/>
              <w:t>B) Cuota fija: Si no existe aparato medidor o se encuentra en desuso, se pagarán los derechos dentro de los</w:t>
            </w:r>
          </w:p>
          <w:p w14:paraId="4399A78E" w14:textId="77777777" w:rsidR="00F909FA" w:rsidRPr="0012597A" w:rsidRDefault="00F909FA" w:rsidP="00EF1C7F">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primeros diez días siguientes al mes o bimestre que corresponda de acuerdo con lo siguiente:</w:t>
            </w:r>
          </w:p>
          <w:p w14:paraId="78BDD650" w14:textId="77777777" w:rsidR="00F909FA" w:rsidRPr="0012597A" w:rsidRDefault="00F909FA" w:rsidP="00EF1C7F">
            <w:pPr>
              <w:spacing w:line="240" w:lineRule="auto"/>
              <w:jc w:val="both"/>
              <w:rPr>
                <w:rFonts w:ascii="Times New Roman" w:eastAsia="Arial MT" w:hAnsi="Times New Roman" w:cs="Times New Roman"/>
                <w:sz w:val="24"/>
                <w:szCs w:val="24"/>
                <w:lang w:val="es-MX"/>
              </w:rPr>
            </w:pPr>
          </w:p>
          <w:p w14:paraId="25D3B233"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MENSUAL</w:t>
            </w:r>
          </w:p>
          <w:p w14:paraId="4568212C"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46CD7C3C"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5423EF2D"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BIMESTRAL</w:t>
            </w:r>
          </w:p>
          <w:p w14:paraId="019B61FA"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410A5204"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43F94503"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4CD95610"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48C772B6"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Sin correlativo</w:t>
            </w:r>
          </w:p>
          <w:p w14:paraId="26889439"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60AB1BF5"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1F5C6A43"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3765412A"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4281C445"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07536702"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25A36655"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0899A3F9"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093439D0"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339A9670"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4C8A112A"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67C16739"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01A1F64A"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3D721CAC"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5DC2B745"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11FDADA2"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44745D86" w14:textId="4BFAD1FA"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II…</w:t>
            </w:r>
          </w:p>
        </w:tc>
        <w:tc>
          <w:tcPr>
            <w:tcW w:w="4417" w:type="dxa"/>
          </w:tcPr>
          <w:p w14:paraId="69F5FABE" w14:textId="77777777" w:rsidR="00F909FA" w:rsidRPr="0012597A" w:rsidRDefault="00F909FA"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lastRenderedPageBreak/>
              <w:t>130…</w:t>
            </w:r>
          </w:p>
          <w:p w14:paraId="1CA13BA5"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7079DCA4"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0E126629"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72E5D9A1"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76DAF22A"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48893F0D"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5444B10F"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6A497665"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1F4FFAC0" w14:textId="17685698" w:rsidR="00F909FA" w:rsidRPr="0012597A" w:rsidRDefault="00F909FA" w:rsidP="00EF1C7F">
            <w:pPr>
              <w:spacing w:line="240" w:lineRule="auto"/>
              <w:rPr>
                <w:rFonts w:ascii="Times New Roman" w:eastAsia="Arial MT" w:hAnsi="Times New Roman" w:cs="Times New Roman"/>
                <w:sz w:val="24"/>
                <w:szCs w:val="24"/>
                <w:lang w:val="es-MX"/>
              </w:rPr>
            </w:pPr>
          </w:p>
          <w:p w14:paraId="18CEBA92" w14:textId="4DD8331A" w:rsidR="00F909FA" w:rsidRPr="0012597A" w:rsidRDefault="00F909FA" w:rsidP="00EF1C7F">
            <w:pPr>
              <w:spacing w:line="240" w:lineRule="auto"/>
              <w:rPr>
                <w:rFonts w:ascii="Times New Roman" w:eastAsia="Arial MT" w:hAnsi="Times New Roman" w:cs="Times New Roman"/>
                <w:sz w:val="24"/>
                <w:szCs w:val="24"/>
                <w:lang w:val="es-MX"/>
              </w:rPr>
            </w:pPr>
          </w:p>
          <w:p w14:paraId="7A2D51E5" w14:textId="37ABBC26" w:rsidR="00F909FA" w:rsidRPr="0012597A" w:rsidRDefault="00F909FA" w:rsidP="00EF1C7F">
            <w:pPr>
              <w:spacing w:line="240" w:lineRule="auto"/>
              <w:rPr>
                <w:rFonts w:ascii="Times New Roman" w:eastAsia="Arial MT" w:hAnsi="Times New Roman" w:cs="Times New Roman"/>
                <w:sz w:val="24"/>
                <w:szCs w:val="24"/>
                <w:lang w:val="es-MX"/>
              </w:rPr>
            </w:pPr>
          </w:p>
          <w:p w14:paraId="525DBE51" w14:textId="715B1253" w:rsidR="00F909FA" w:rsidRPr="0012597A" w:rsidRDefault="00F909FA" w:rsidP="00EF1C7F">
            <w:pPr>
              <w:spacing w:line="240" w:lineRule="auto"/>
              <w:rPr>
                <w:rFonts w:ascii="Times New Roman" w:eastAsia="Arial MT" w:hAnsi="Times New Roman" w:cs="Times New Roman"/>
                <w:sz w:val="24"/>
                <w:szCs w:val="24"/>
                <w:lang w:val="es-MX"/>
              </w:rPr>
            </w:pPr>
          </w:p>
          <w:p w14:paraId="4DDADF61"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5A536D77"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4D9B66A4"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5DBD7772" w14:textId="77777777" w:rsidR="00F909FA" w:rsidRPr="0012597A" w:rsidRDefault="00F909FA"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I…</w:t>
            </w:r>
          </w:p>
          <w:p w14:paraId="489C3066" w14:textId="77777777" w:rsidR="00F909FA" w:rsidRPr="0012597A" w:rsidRDefault="00F909FA" w:rsidP="00EF1C7F">
            <w:pPr>
              <w:spacing w:line="240" w:lineRule="auto"/>
              <w:rPr>
                <w:rFonts w:ascii="Times New Roman" w:eastAsia="Arial MT" w:hAnsi="Times New Roman" w:cs="Times New Roman"/>
                <w:b/>
                <w:sz w:val="24"/>
                <w:szCs w:val="24"/>
                <w:lang w:val="es-MX"/>
              </w:rPr>
            </w:pPr>
          </w:p>
          <w:p w14:paraId="2AF986AF" w14:textId="77777777" w:rsidR="00F909FA" w:rsidRPr="0012597A" w:rsidRDefault="00F909FA"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A)…</w:t>
            </w:r>
          </w:p>
          <w:p w14:paraId="41B0A1F2"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3041877F"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MENSUAL</w:t>
            </w:r>
          </w:p>
          <w:p w14:paraId="5CF7F105"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2EE63D83"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51D28542"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BIMESTRAL</w:t>
            </w:r>
          </w:p>
          <w:p w14:paraId="144F176F"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3942CABA"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52680D66"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7CD6D4FF"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58B63DC3"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626C36E2"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6C825C28"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6016657D"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56404918"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7B411201" w14:textId="77777777" w:rsidR="00F909FA" w:rsidRPr="0012597A" w:rsidRDefault="00F909FA" w:rsidP="004703A1">
            <w:pPr>
              <w:spacing w:line="240" w:lineRule="auto"/>
              <w:jc w:val="both"/>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 xml:space="preserve">La cuota mínima a pagar en el mes o bimestre no será menor a la que corresponda a un consumo de 7.5 m3 y 15 m3, respectivamente, incluyendo la aplicación de los estímulos fiscales </w:t>
            </w:r>
            <w:r w:rsidRPr="0012597A">
              <w:rPr>
                <w:rFonts w:ascii="Times New Roman" w:eastAsia="Arial MT" w:hAnsi="Times New Roman" w:cs="Times New Roman"/>
                <w:b/>
                <w:sz w:val="24"/>
                <w:szCs w:val="24"/>
                <w:lang w:val="es-MX"/>
              </w:rPr>
              <w:t xml:space="preserve">establecidos en el presente Código </w:t>
            </w:r>
            <w:r w:rsidRPr="0012597A">
              <w:rPr>
                <w:rFonts w:ascii="Times New Roman" w:eastAsia="Arial MT" w:hAnsi="Times New Roman" w:cs="Times New Roman"/>
                <w:sz w:val="24"/>
                <w:szCs w:val="24"/>
                <w:lang w:val="es-MX"/>
              </w:rPr>
              <w:t>y en la Ley de Ingresos del Ejercicio Fiscal de que se trate</w:t>
            </w:r>
          </w:p>
          <w:p w14:paraId="0A5CACF9" w14:textId="77777777" w:rsidR="00F909FA" w:rsidRPr="0012597A" w:rsidRDefault="00F909FA" w:rsidP="004703A1">
            <w:pPr>
              <w:spacing w:line="240" w:lineRule="auto"/>
              <w:jc w:val="both"/>
              <w:rPr>
                <w:rFonts w:ascii="Times New Roman" w:eastAsia="Arial MT" w:hAnsi="Times New Roman" w:cs="Times New Roman"/>
                <w:sz w:val="24"/>
                <w:szCs w:val="24"/>
                <w:lang w:val="es-MX"/>
              </w:rPr>
            </w:pPr>
          </w:p>
          <w:p w14:paraId="321BC6F8" w14:textId="77777777" w:rsidR="00F909FA" w:rsidRPr="0012597A" w:rsidRDefault="00F909FA" w:rsidP="004703A1">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lastRenderedPageBreak/>
              <w:t>B)…</w:t>
            </w:r>
          </w:p>
          <w:p w14:paraId="6EACF6BA"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7C822737"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28276DAE"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0BA77A11"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33028716"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MENSUAL</w:t>
            </w:r>
          </w:p>
          <w:p w14:paraId="03053794"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7A31E168"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66A15F46"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TARIFA BIMESTRAL</w:t>
            </w:r>
          </w:p>
          <w:p w14:paraId="57D0E103"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03550F1A"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71311835" w14:textId="77777777" w:rsidR="00F909FA" w:rsidRPr="0012597A" w:rsidRDefault="00F909FA" w:rsidP="00EF1C7F">
            <w:pPr>
              <w:spacing w:line="240" w:lineRule="auto"/>
              <w:rPr>
                <w:rFonts w:ascii="Times New Roman" w:eastAsia="Arial MT" w:hAnsi="Times New Roman" w:cs="Times New Roman"/>
                <w:sz w:val="24"/>
                <w:szCs w:val="24"/>
                <w:lang w:val="es-MX"/>
              </w:rPr>
            </w:pPr>
            <w:r w:rsidRPr="0012597A">
              <w:rPr>
                <w:rFonts w:ascii="Times New Roman" w:eastAsia="Arial MT" w:hAnsi="Times New Roman" w:cs="Times New Roman"/>
                <w:sz w:val="24"/>
                <w:szCs w:val="24"/>
                <w:lang w:val="es-MX"/>
              </w:rPr>
              <w:t>…</w:t>
            </w:r>
          </w:p>
          <w:p w14:paraId="037A9934" w14:textId="77777777" w:rsidR="00F909FA" w:rsidRPr="0012597A" w:rsidRDefault="00F909FA" w:rsidP="00EF1C7F">
            <w:pPr>
              <w:spacing w:line="240" w:lineRule="auto"/>
              <w:rPr>
                <w:rFonts w:ascii="Times New Roman" w:eastAsia="Arial MT" w:hAnsi="Times New Roman" w:cs="Times New Roman"/>
                <w:sz w:val="24"/>
                <w:szCs w:val="24"/>
                <w:lang w:val="es-MX"/>
              </w:rPr>
            </w:pPr>
          </w:p>
          <w:p w14:paraId="11541252" w14:textId="77777777" w:rsidR="00F909FA" w:rsidRPr="0012597A" w:rsidRDefault="00F909FA" w:rsidP="00EF1C7F">
            <w:pPr>
              <w:spacing w:line="240" w:lineRule="auto"/>
              <w:jc w:val="both"/>
              <w:rPr>
                <w:rFonts w:ascii="Times New Roman" w:eastAsia="Arial MT" w:hAnsi="Times New Roman" w:cs="Times New Roman"/>
                <w:b/>
                <w:sz w:val="24"/>
                <w:szCs w:val="24"/>
                <w:lang w:val="es-MX"/>
              </w:rPr>
            </w:pPr>
            <w:r w:rsidRPr="0012597A">
              <w:rPr>
                <w:rFonts w:ascii="Times New Roman" w:eastAsia="Arial MT" w:hAnsi="Times New Roman" w:cs="Times New Roman"/>
                <w:b/>
                <w:sz w:val="24"/>
                <w:szCs w:val="24"/>
                <w:lang w:val="es-MX"/>
              </w:rPr>
              <w:t>Las persona pensionada o jubilada, con incapacidad permanente total o parcial conforme a lo dispuesto por la Ley Federal del Trabajo, persona viuda, con edad de sesenta años o más, menor de edad en situación de orfandad a través de la persona que legalmente lo represente; así como mujeres en estado de gestación o lactancia, en estado civil soltera que acredite tener dependientes económicos, quien haya sido liberada con motivo de una amnistía estatal, o madre jefa de familia sin ingresos fijos, tendrá el derecho de una bonificación por parte del ayuntamiento del 50% para uso doméstico, siempre y cuando acrediten alguna de las condiciones referidas en el presente párrafo.</w:t>
            </w:r>
          </w:p>
          <w:p w14:paraId="137277A1" w14:textId="77777777" w:rsidR="006E4F8A" w:rsidRPr="0012597A" w:rsidRDefault="006E4F8A" w:rsidP="00EF1C7F">
            <w:pPr>
              <w:spacing w:line="240" w:lineRule="auto"/>
              <w:rPr>
                <w:rFonts w:ascii="Times New Roman" w:eastAsia="Arial MT" w:hAnsi="Times New Roman" w:cs="Times New Roman"/>
                <w:sz w:val="24"/>
                <w:szCs w:val="24"/>
                <w:lang w:val="es-MX"/>
              </w:rPr>
            </w:pPr>
          </w:p>
          <w:p w14:paraId="3F34C169" w14:textId="342891E9" w:rsidR="00F909FA" w:rsidRPr="0012597A" w:rsidRDefault="00F909FA" w:rsidP="00EF1C7F">
            <w:pPr>
              <w:spacing w:line="240" w:lineRule="auto"/>
              <w:rPr>
                <w:rFonts w:ascii="Times New Roman" w:eastAsia="Arial MT" w:hAnsi="Times New Roman" w:cs="Times New Roman"/>
                <w:b/>
                <w:sz w:val="24"/>
                <w:szCs w:val="24"/>
                <w:lang w:val="es-MX"/>
              </w:rPr>
            </w:pPr>
            <w:r w:rsidRPr="0012597A">
              <w:rPr>
                <w:rFonts w:ascii="Times New Roman" w:eastAsia="Arial MT" w:hAnsi="Times New Roman" w:cs="Times New Roman"/>
                <w:sz w:val="24"/>
                <w:szCs w:val="24"/>
                <w:lang w:val="es-MX"/>
              </w:rPr>
              <w:t>II…</w:t>
            </w:r>
          </w:p>
        </w:tc>
      </w:tr>
    </w:tbl>
    <w:p w14:paraId="111EBF05"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6392EBC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Por lo anteriormente expuesto, fundamentado y motivado se somete a la consideración de esta H. Soberanía, el siguiente:</w:t>
      </w:r>
    </w:p>
    <w:p w14:paraId="166CC7C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6639E361"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55D4ED42"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649EE1D4"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PROYECTO DE DECRETO</w:t>
      </w:r>
    </w:p>
    <w:p w14:paraId="3E4A6E9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488151E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DECRETO NÚMERO </w:t>
      </w:r>
      <w:r w:rsidRPr="0012597A">
        <w:rPr>
          <w:rFonts w:ascii="Times New Roman" w:eastAsia="Arial MT" w:hAnsi="Times New Roman" w:cs="Times New Roman"/>
          <w:b/>
          <w:sz w:val="24"/>
          <w:szCs w:val="24"/>
          <w:u w:val="single"/>
        </w:rPr>
        <w:tab/>
      </w:r>
    </w:p>
    <w:p w14:paraId="242FC37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H. “LXI” LEGISLATURA DEL ESTADO DE MÉXICO</w:t>
      </w:r>
    </w:p>
    <w:p w14:paraId="576B7191"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DECRETA:</w:t>
      </w:r>
    </w:p>
    <w:p w14:paraId="4FF0BBBD"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615F295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PRIMERO. - </w:t>
      </w:r>
      <w:r w:rsidRPr="0012597A">
        <w:rPr>
          <w:rFonts w:ascii="Times New Roman" w:eastAsia="Arial MT" w:hAnsi="Times New Roman" w:cs="Times New Roman"/>
          <w:sz w:val="24"/>
          <w:szCs w:val="24"/>
        </w:rPr>
        <w:t>Se reforma el primer párrafo de los artículos 66 y 75, se adiciona la fracción VIII recorriendo el subsecuente del artículo 8, el segundo párrafo del artículo 66, y el segundo y tercer párrafo del artículo 75, todos de la Ley del Agua para el Estado de México y Municipios, para quedar como sigue:</w:t>
      </w:r>
    </w:p>
    <w:p w14:paraId="1AC29740"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36312A2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8.- </w:t>
      </w:r>
      <w:r w:rsidRPr="0012597A">
        <w:rPr>
          <w:rFonts w:ascii="Times New Roman" w:eastAsia="Arial MT" w:hAnsi="Times New Roman" w:cs="Times New Roman"/>
          <w:sz w:val="24"/>
          <w:szCs w:val="24"/>
        </w:rPr>
        <w:t>…</w:t>
      </w:r>
    </w:p>
    <w:p w14:paraId="172ABA9D"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5D45E57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I… al VII…</w:t>
      </w:r>
    </w:p>
    <w:p w14:paraId="5D80C432"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p>
    <w:p w14:paraId="2FF39452"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VIII. El acceso, disposición y saneamiento del agua para uso personal y doméstico como derechos humanos, por lo que se debe garantizar su disfrute, con especial atención a personas en situación de vulnerabilidad, así como personas desplazadas, refugiadas o solicitantes de asilo, en privación de su libertad y víctimas de desastres.</w:t>
      </w:r>
    </w:p>
    <w:p w14:paraId="2E8DE5A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14B12087"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IX…</w:t>
      </w:r>
    </w:p>
    <w:p w14:paraId="6A398620"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3BDB6479"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66</w:t>
      </w:r>
      <w:r w:rsidRPr="0012597A">
        <w:rPr>
          <w:rFonts w:ascii="Times New Roman" w:eastAsia="Arial MT" w:hAnsi="Times New Roman" w:cs="Times New Roman"/>
          <w:sz w:val="24"/>
          <w:szCs w:val="24"/>
        </w:rPr>
        <w:t xml:space="preserve">.- </w:t>
      </w:r>
      <w:r w:rsidRPr="0012597A">
        <w:rPr>
          <w:rFonts w:ascii="Times New Roman" w:eastAsia="Arial MT" w:hAnsi="Times New Roman" w:cs="Times New Roman"/>
          <w:b/>
          <w:sz w:val="24"/>
          <w:szCs w:val="24"/>
        </w:rPr>
        <w:t>El organismo operador establecerá cuotas especiales en el presupuesto de egresos y realizará convenios de pago, dirigido exclusivamente a usuarios de agua, que por su situación económica, no puede cubrir las cuotas a su cargo.</w:t>
      </w:r>
    </w:p>
    <w:p w14:paraId="6AAA508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22E0D57D"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Además, no podrán suspender el suministro de agua potable y el servicio de saneamiento por falta de pago, sólo se suministrará la cantidad mínima para el consumo humano básico.</w:t>
      </w:r>
    </w:p>
    <w:p w14:paraId="266AF2F4"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6FF74C9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75.- </w:t>
      </w:r>
      <w:r w:rsidRPr="0012597A">
        <w:rPr>
          <w:rFonts w:ascii="Times New Roman" w:eastAsia="Arial MT" w:hAnsi="Times New Roman" w:cs="Times New Roman"/>
          <w:sz w:val="24"/>
          <w:szCs w:val="24"/>
        </w:rPr>
        <w:t>…</w:t>
      </w:r>
    </w:p>
    <w:p w14:paraId="7D42F1E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0C484202"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I…</w:t>
      </w:r>
    </w:p>
    <w:p w14:paraId="4B18F4A8"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II…</w:t>
      </w:r>
    </w:p>
    <w:p w14:paraId="176EB823"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III…</w:t>
      </w:r>
    </w:p>
    <w:p w14:paraId="0D9AC7C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p>
    <w:p w14:paraId="05EF8F9D"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En caso de la fracción I y II o cuando el servicio de agua potable sea suspendido por alguna otra causa ajena al usuario, en caso de uso doméstico, las autoridades deberán garantizar el abasto de agua para consumo humano básico, a través de pipas o cualquier otro medio que determinen.</w:t>
      </w:r>
    </w:p>
    <w:p w14:paraId="52653DD8"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11027012" w14:textId="5E464931"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 no cumplir con lo establecido en el párrafo anterior, el Organismo operador o el Ayuntamiento, deberán reembolsar los pagos por los derechos del servicio de suministro de agua potable realizados por el contribuyente.</w:t>
      </w:r>
    </w:p>
    <w:p w14:paraId="4972D86F" w14:textId="77777777" w:rsidR="004703A1" w:rsidRPr="0012597A" w:rsidRDefault="004703A1" w:rsidP="00EF1C7F">
      <w:pPr>
        <w:widowControl w:val="0"/>
        <w:autoSpaceDE w:val="0"/>
        <w:autoSpaceDN w:val="0"/>
        <w:spacing w:after="0" w:line="240" w:lineRule="auto"/>
        <w:jc w:val="both"/>
        <w:rPr>
          <w:rFonts w:ascii="Times New Roman" w:eastAsia="Arial MT" w:hAnsi="Times New Roman" w:cs="Times New Roman"/>
          <w:b/>
          <w:sz w:val="24"/>
          <w:szCs w:val="24"/>
        </w:rPr>
      </w:pPr>
    </w:p>
    <w:p w14:paraId="25922BE5"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SEGUNDO. </w:t>
      </w:r>
      <w:r w:rsidRPr="0012597A">
        <w:rPr>
          <w:rFonts w:ascii="Times New Roman" w:eastAsia="Arial MT" w:hAnsi="Times New Roman" w:cs="Times New Roman"/>
          <w:sz w:val="24"/>
          <w:szCs w:val="24"/>
        </w:rPr>
        <w:t>Se reforma el octavo párrafo, del inciso A), de la fracción I, y se adiciona el cuarto párrafo, inciso B), de la Fracción I del Artículo 130 del Código Financiero del Estado de México y Municipios, para quedar como sigue:</w:t>
      </w:r>
    </w:p>
    <w:p w14:paraId="73AAC35C"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79159216" w14:textId="55E5E8EC"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130.- </w:t>
      </w:r>
      <w:r w:rsidRPr="0012597A">
        <w:rPr>
          <w:rFonts w:ascii="Times New Roman" w:eastAsia="Arial MT" w:hAnsi="Times New Roman" w:cs="Times New Roman"/>
          <w:sz w:val="24"/>
          <w:szCs w:val="24"/>
        </w:rPr>
        <w:t>…</w:t>
      </w:r>
    </w:p>
    <w:p w14:paraId="7252D214" w14:textId="77777777" w:rsidR="004703A1" w:rsidRPr="0012597A" w:rsidRDefault="004703A1" w:rsidP="00EF1C7F">
      <w:pPr>
        <w:widowControl w:val="0"/>
        <w:autoSpaceDE w:val="0"/>
        <w:autoSpaceDN w:val="0"/>
        <w:spacing w:after="0" w:line="240" w:lineRule="auto"/>
        <w:jc w:val="both"/>
        <w:rPr>
          <w:rFonts w:ascii="Times New Roman" w:eastAsia="Arial MT" w:hAnsi="Times New Roman" w:cs="Times New Roman"/>
          <w:sz w:val="24"/>
          <w:szCs w:val="24"/>
        </w:rPr>
      </w:pPr>
    </w:p>
    <w:p w14:paraId="4B9244F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I…</w:t>
      </w:r>
    </w:p>
    <w:p w14:paraId="456C6BA8"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A)…</w:t>
      </w:r>
    </w:p>
    <w:p w14:paraId="6B6AE12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7E4C55D4"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TARIFA MENSUAL</w:t>
      </w:r>
    </w:p>
    <w:p w14:paraId="51859CED"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0DE21421"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TARIFA BIMESTRAL</w:t>
      </w:r>
    </w:p>
    <w:p w14:paraId="352AFC46"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4D1CCB71"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64B588DD"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235065D2"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lastRenderedPageBreak/>
        <w:t>…</w:t>
      </w:r>
    </w:p>
    <w:p w14:paraId="5E5EF377"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7BAF15B0"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06DFEBA4"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575F98D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09784F86"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cuota mínima a pagar en el mes o bimestre no será menor a la que corresponda a un consumo de 7.5 m3 y 15 m3, respectivamente, incluyendo la aplicación de los estímulos fiscales </w:t>
      </w:r>
      <w:r w:rsidRPr="0012597A">
        <w:rPr>
          <w:rFonts w:ascii="Times New Roman" w:eastAsia="Arial MT" w:hAnsi="Times New Roman" w:cs="Times New Roman"/>
          <w:b/>
          <w:sz w:val="24"/>
          <w:szCs w:val="24"/>
        </w:rPr>
        <w:t xml:space="preserve">establecidos en el presente Código </w:t>
      </w:r>
      <w:r w:rsidRPr="0012597A">
        <w:rPr>
          <w:rFonts w:ascii="Times New Roman" w:eastAsia="Arial MT" w:hAnsi="Times New Roman" w:cs="Times New Roman"/>
          <w:sz w:val="24"/>
          <w:szCs w:val="24"/>
        </w:rPr>
        <w:t>y en la Ley de Ingresos del Ejercicio Fiscal de que se trate</w:t>
      </w:r>
    </w:p>
    <w:p w14:paraId="678F771B"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05D94631" w14:textId="7E1F7AE5"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B) </w:t>
      </w:r>
      <w:r w:rsidRPr="0012597A">
        <w:rPr>
          <w:rFonts w:ascii="Times New Roman" w:eastAsia="Arial MT" w:hAnsi="Times New Roman" w:cs="Times New Roman"/>
          <w:sz w:val="24"/>
          <w:szCs w:val="24"/>
        </w:rPr>
        <w:t>…</w:t>
      </w:r>
    </w:p>
    <w:p w14:paraId="18BAA951" w14:textId="77777777" w:rsidR="007223D9" w:rsidRPr="0012597A" w:rsidRDefault="007223D9" w:rsidP="00EF1C7F">
      <w:pPr>
        <w:widowControl w:val="0"/>
        <w:autoSpaceDE w:val="0"/>
        <w:autoSpaceDN w:val="0"/>
        <w:spacing w:after="0" w:line="240" w:lineRule="auto"/>
        <w:rPr>
          <w:rFonts w:ascii="Times New Roman" w:eastAsia="Arial MT" w:hAnsi="Times New Roman" w:cs="Times New Roman"/>
          <w:sz w:val="24"/>
          <w:szCs w:val="24"/>
        </w:rPr>
      </w:pPr>
    </w:p>
    <w:p w14:paraId="7B66712E"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TARIFA MENSUAL</w:t>
      </w:r>
    </w:p>
    <w:p w14:paraId="2410F86F"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3A178494"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TARIFA BIMESTRAL</w:t>
      </w:r>
    </w:p>
    <w:p w14:paraId="741BD547" w14:textId="77777777" w:rsidR="007223D9" w:rsidRPr="0012597A" w:rsidRDefault="007223D9" w:rsidP="00EF1C7F">
      <w:pPr>
        <w:widowControl w:val="0"/>
        <w:autoSpaceDE w:val="0"/>
        <w:autoSpaceDN w:val="0"/>
        <w:spacing w:after="0" w:line="240" w:lineRule="auto"/>
        <w:rPr>
          <w:rFonts w:ascii="Times New Roman" w:eastAsia="Arial MT" w:hAnsi="Times New Roman" w:cs="Times New Roman"/>
          <w:sz w:val="24"/>
          <w:szCs w:val="24"/>
        </w:rPr>
      </w:pPr>
    </w:p>
    <w:p w14:paraId="3345FBD5" w14:textId="4BFE414C"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1EDADA98"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4D00C63F"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31C22E3D"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Las persona pensionada o jubilada, por incapacidad permanente total o parcial, conforme a lo dispuesto por la Ley Federal del Trabajo; persona viuda, con edad de sesenta años o más, menor de edad en situación de orfandad a través de la persona que legalmente lo represente; así como mujeres en estado de gestación o lactancia, en estado civil soltera que acredite tener dependientes económicos, quien haya sido liberada con motivo de una amnistía estatal, o madre jefa de familia sin ingresos fijos, tendrá el derecho de una bonificación por parte del ayuntamiento del 50% para uso doméstico, siempre y cuando acrediten alguna de las condiciones referidas en el presente párrafo.</w:t>
      </w:r>
    </w:p>
    <w:p w14:paraId="01749B5A"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b/>
          <w:sz w:val="24"/>
          <w:szCs w:val="24"/>
        </w:rPr>
      </w:pPr>
    </w:p>
    <w:p w14:paraId="71788038"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II…</w:t>
      </w:r>
    </w:p>
    <w:p w14:paraId="420D2662"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0D864FF3"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 R A N S I T O R I O S</w:t>
      </w:r>
    </w:p>
    <w:p w14:paraId="11CC6DCA" w14:textId="77777777" w:rsidR="007223D9" w:rsidRPr="0012597A" w:rsidRDefault="007223D9" w:rsidP="00EF1C7F">
      <w:pPr>
        <w:widowControl w:val="0"/>
        <w:autoSpaceDE w:val="0"/>
        <w:autoSpaceDN w:val="0"/>
        <w:spacing w:after="0" w:line="240" w:lineRule="auto"/>
        <w:rPr>
          <w:rFonts w:ascii="Times New Roman" w:eastAsia="Arial MT" w:hAnsi="Times New Roman" w:cs="Times New Roman"/>
          <w:b/>
          <w:sz w:val="24"/>
          <w:szCs w:val="24"/>
        </w:rPr>
      </w:pPr>
    </w:p>
    <w:p w14:paraId="74B5E8A7" w14:textId="6AD1E85F"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Publíquese el presente Decreto en el Periódico Oficial “Gaceta del Gobierno”.</w:t>
      </w:r>
    </w:p>
    <w:p w14:paraId="01AB4489"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b/>
          <w:sz w:val="24"/>
          <w:szCs w:val="24"/>
        </w:rPr>
      </w:pPr>
    </w:p>
    <w:p w14:paraId="2270E49C" w14:textId="77777777" w:rsidR="00EF1C7F" w:rsidRPr="0012597A" w:rsidRDefault="00EF1C7F" w:rsidP="00EF1C7F">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SEGUNDO</w:t>
      </w:r>
      <w:r w:rsidRPr="0012597A">
        <w:rPr>
          <w:rFonts w:ascii="Times New Roman" w:eastAsia="Arial MT" w:hAnsi="Times New Roman" w:cs="Times New Roman"/>
          <w:sz w:val="24"/>
          <w:szCs w:val="24"/>
        </w:rPr>
        <w:t>. El presente Decreto entrará en vigor el día siguiente al de su publicación en el Periódico Oficial “Gaceta del Gobierno”.</w:t>
      </w:r>
    </w:p>
    <w:p w14:paraId="5FFEE7EC"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511442DE" w14:textId="77777777" w:rsidR="00EF1C7F" w:rsidRPr="0012597A" w:rsidRDefault="00EF1C7F" w:rsidP="007223D9">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TERCERO</w:t>
      </w:r>
      <w:r w:rsidRPr="0012597A">
        <w:rPr>
          <w:rFonts w:ascii="Times New Roman" w:eastAsia="Arial MT" w:hAnsi="Times New Roman" w:cs="Times New Roman"/>
          <w:sz w:val="24"/>
          <w:szCs w:val="24"/>
        </w:rPr>
        <w:t>. - Para ser acreedor a la bonificación del párrafo cuarto, inciso B), de la Fracción I del Artículo 130, del Código Financiero del Estado de México y Municipio, además de acreditar alguna de las condiciones establecidas, deberá ser propietario del inmueble al cual se le aplicará exclusivamente la reducción, salvo el caso del cónyuge superviviente, así como no tener un valor catastral del inmueble que exceda la cantidad de $2,500,000.00.</w:t>
      </w:r>
    </w:p>
    <w:p w14:paraId="11561B57" w14:textId="77777777" w:rsidR="00EF1C7F" w:rsidRPr="0012597A" w:rsidRDefault="00EF1C7F" w:rsidP="007223D9">
      <w:pPr>
        <w:widowControl w:val="0"/>
        <w:autoSpaceDE w:val="0"/>
        <w:autoSpaceDN w:val="0"/>
        <w:spacing w:after="0" w:line="240" w:lineRule="auto"/>
        <w:jc w:val="both"/>
        <w:rPr>
          <w:rFonts w:ascii="Times New Roman" w:eastAsia="Arial MT" w:hAnsi="Times New Roman" w:cs="Times New Roman"/>
          <w:sz w:val="24"/>
          <w:szCs w:val="24"/>
        </w:rPr>
      </w:pPr>
    </w:p>
    <w:p w14:paraId="2F63802B" w14:textId="77777777" w:rsidR="00EF1C7F" w:rsidRPr="0012597A" w:rsidRDefault="00EF1C7F" w:rsidP="007223D9">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CUARTO. - </w:t>
      </w:r>
      <w:r w:rsidRPr="0012597A">
        <w:rPr>
          <w:rFonts w:ascii="Times New Roman" w:eastAsia="Arial MT" w:hAnsi="Times New Roman" w:cs="Times New Roman"/>
          <w:sz w:val="24"/>
          <w:szCs w:val="24"/>
        </w:rPr>
        <w:t>Se derogan todas las disposiciones que se opongan al presente Decreto.</w:t>
      </w:r>
    </w:p>
    <w:p w14:paraId="1738C7DE" w14:textId="77777777" w:rsidR="00EF1C7F" w:rsidRPr="0012597A" w:rsidRDefault="00EF1C7F" w:rsidP="007223D9">
      <w:pPr>
        <w:widowControl w:val="0"/>
        <w:autoSpaceDE w:val="0"/>
        <w:autoSpaceDN w:val="0"/>
        <w:spacing w:after="0" w:line="240" w:lineRule="auto"/>
        <w:jc w:val="both"/>
        <w:rPr>
          <w:rFonts w:ascii="Times New Roman" w:eastAsia="Arial MT" w:hAnsi="Times New Roman" w:cs="Times New Roman"/>
          <w:sz w:val="24"/>
          <w:szCs w:val="24"/>
        </w:rPr>
      </w:pPr>
    </w:p>
    <w:p w14:paraId="785845BE" w14:textId="77777777" w:rsidR="00EF1C7F" w:rsidRPr="0012597A" w:rsidRDefault="00EF1C7F" w:rsidP="007223D9">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Lo tendrá entendido la Gobernadora del Estado de México, haciendo que se publique y se cumpla.</w:t>
      </w:r>
    </w:p>
    <w:p w14:paraId="6D788FC5" w14:textId="77777777" w:rsidR="00EF1C7F" w:rsidRPr="0012597A" w:rsidRDefault="00EF1C7F" w:rsidP="007223D9">
      <w:pPr>
        <w:widowControl w:val="0"/>
        <w:autoSpaceDE w:val="0"/>
        <w:autoSpaceDN w:val="0"/>
        <w:spacing w:after="0" w:line="240" w:lineRule="auto"/>
        <w:jc w:val="both"/>
        <w:rPr>
          <w:rFonts w:ascii="Times New Roman" w:eastAsia="Arial MT" w:hAnsi="Times New Roman" w:cs="Times New Roman"/>
          <w:sz w:val="24"/>
          <w:szCs w:val="24"/>
        </w:rPr>
      </w:pPr>
    </w:p>
    <w:p w14:paraId="45305B3F" w14:textId="77777777" w:rsidR="00EF1C7F" w:rsidRPr="0012597A" w:rsidRDefault="00EF1C7F" w:rsidP="007223D9">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de Lerdo, capital del Estado de México, a los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días del mes de marzo del año dos mil veintiséis.</w:t>
      </w:r>
    </w:p>
    <w:p w14:paraId="6B296244" w14:textId="77777777" w:rsidR="00EF1C7F" w:rsidRPr="0012597A" w:rsidRDefault="00EF1C7F" w:rsidP="00EF1C7F">
      <w:pPr>
        <w:widowControl w:val="0"/>
        <w:autoSpaceDE w:val="0"/>
        <w:autoSpaceDN w:val="0"/>
        <w:spacing w:after="0" w:line="240" w:lineRule="auto"/>
        <w:rPr>
          <w:rFonts w:ascii="Times New Roman" w:eastAsia="Arial MT" w:hAnsi="Times New Roman" w:cs="Times New Roman"/>
          <w:sz w:val="24"/>
          <w:szCs w:val="24"/>
        </w:rPr>
      </w:pPr>
    </w:p>
    <w:p w14:paraId="2DABB780"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lastRenderedPageBreak/>
        <w:t>ATENTAMENTE</w:t>
      </w:r>
    </w:p>
    <w:p w14:paraId="2FAB7973"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GRUPO PARLAMENTARIO DEL PARTIDO ACCIÓN NACIONAL</w:t>
      </w:r>
    </w:p>
    <w:p w14:paraId="38104D9E" w14:textId="40C7194B"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Diputada Joanna Alejandra Felipe Torres</w:t>
      </w:r>
    </w:p>
    <w:p w14:paraId="60A37D04" w14:textId="77777777" w:rsidR="00EF1C7F" w:rsidRPr="0012597A" w:rsidRDefault="00EF1C7F" w:rsidP="00EF1C7F">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Diputado Pablo Fernández de Cevallos G.</w:t>
      </w:r>
    </w:p>
    <w:p w14:paraId="2EC07A41" w14:textId="77777777" w:rsidR="00EF1C7F" w:rsidRPr="0012597A" w:rsidRDefault="00EF1C7F" w:rsidP="00EF1C7F">
      <w:pPr>
        <w:spacing w:after="0" w:line="240" w:lineRule="auto"/>
        <w:jc w:val="center"/>
        <w:rPr>
          <w:rFonts w:ascii="Times New Roman" w:hAnsi="Times New Roman"/>
          <w:sz w:val="24"/>
          <w:szCs w:val="24"/>
        </w:rPr>
      </w:pPr>
    </w:p>
    <w:p w14:paraId="291ECBA2" w14:textId="77777777" w:rsidR="00EF1C7F" w:rsidRPr="0012597A" w:rsidRDefault="00EF1C7F" w:rsidP="00EF1C7F">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1D76CC49" w14:textId="77777777" w:rsidR="00EF1C7F" w:rsidRPr="0012597A" w:rsidRDefault="00EF1C7F" w:rsidP="00EF1C7F">
      <w:pPr>
        <w:spacing w:after="0" w:line="240" w:lineRule="auto"/>
        <w:jc w:val="center"/>
        <w:rPr>
          <w:rFonts w:ascii="Times New Roman" w:hAnsi="Times New Roman"/>
          <w:sz w:val="24"/>
          <w:szCs w:val="24"/>
        </w:rPr>
      </w:pPr>
    </w:p>
    <w:p w14:paraId="23914BAF" w14:textId="7AE1FF98" w:rsidR="00791E2D" w:rsidRPr="0012597A" w:rsidRDefault="00791E2D" w:rsidP="00EF1C7F">
      <w:pPr>
        <w:pStyle w:val="Sinespaciado"/>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 xml:space="preserve">PRESIDENTA DIP. MARTHA AZUCENA CAMACHO REYNOSO. Gracias diputada Joanna Alejandra Felipe Torres. </w:t>
      </w:r>
    </w:p>
    <w:p w14:paraId="181143E1"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Se registra la iniciativa y se remite a las Comisiones Legislativas de Planeación y Gasto Público, de Finanzas Públicas y de Recursos Hidráulicos para su estudio y dictamen.</w:t>
      </w:r>
    </w:p>
    <w:p w14:paraId="6965D744" w14:textId="170AE8A9"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eastAsia="Arial" w:hAnsi="Times New Roman" w:cs="Times New Roman"/>
          <w:sz w:val="24"/>
          <w:szCs w:val="24"/>
        </w:rPr>
        <w:t xml:space="preserve">En el siguiente punto, la diputada Maricela Beltrán Sánchez, leerá la Iniciativa con Proyecto de Decreto por el que se reforman y adicionan diversas disposiciones de la Ley de Seguridad Social para los Servidores Públicos del Estado de México y Municipios, en materia de reembolso en favor de los </w:t>
      </w:r>
      <w:r w:rsidR="008E2F16" w:rsidRPr="0012597A">
        <w:rPr>
          <w:rFonts w:ascii="Times New Roman" w:eastAsia="Arial" w:hAnsi="Times New Roman" w:cs="Times New Roman"/>
          <w:sz w:val="24"/>
          <w:szCs w:val="24"/>
        </w:rPr>
        <w:t>derechohabientes</w:t>
      </w:r>
      <w:r w:rsidRPr="0012597A">
        <w:rPr>
          <w:rFonts w:ascii="Times New Roman" w:eastAsia="Arial" w:hAnsi="Times New Roman" w:cs="Times New Roman"/>
          <w:sz w:val="24"/>
          <w:szCs w:val="24"/>
        </w:rPr>
        <w:t xml:space="preserve"> por falta de medicamentos y tratamientos, presentada por las y los integrantes del Grupo Parlamentario del Partido Movimiento Ciudadano.</w:t>
      </w:r>
    </w:p>
    <w:p w14:paraId="03004551" w14:textId="77777777" w:rsidR="00791E2D" w:rsidRPr="0012597A" w:rsidRDefault="00791E2D" w:rsidP="00EF1C7F">
      <w:pPr>
        <w:pStyle w:val="Sinespaciado"/>
        <w:jc w:val="both"/>
        <w:rPr>
          <w:rFonts w:ascii="Times New Roman" w:eastAsia="Arial" w:hAnsi="Times New Roman" w:cs="Times New Roman"/>
          <w:sz w:val="24"/>
          <w:szCs w:val="24"/>
        </w:rPr>
      </w:pPr>
      <w:r w:rsidRPr="0012597A">
        <w:rPr>
          <w:rFonts w:ascii="Times New Roman" w:hAnsi="Times New Roman" w:cs="Times New Roman"/>
          <w:sz w:val="24"/>
          <w:szCs w:val="24"/>
        </w:rPr>
        <w:t xml:space="preserve">DIP. MARICELA BELTRÁN SÁNCHEZ. </w:t>
      </w:r>
      <w:r w:rsidRPr="0012597A">
        <w:rPr>
          <w:rFonts w:ascii="Times New Roman" w:eastAsia="Arial" w:hAnsi="Times New Roman" w:cs="Times New Roman"/>
          <w:sz w:val="24"/>
          <w:szCs w:val="24"/>
        </w:rPr>
        <w:t>Muchas gracias. Muy buenas tardes.</w:t>
      </w:r>
    </w:p>
    <w:p w14:paraId="3C6FE056"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Antes de iniciar, a nombre de los floricultores del Sur del Estado de México, reciban esta flor amarilla las mujeres, que simboliza el amor, los nuevos comienzos, las muestras de amistad, de afecto, de cariño, de alegría, de felicidad; así como de prosperidad, de alegría, de energía positiva.</w:t>
      </w:r>
    </w:p>
    <w:p w14:paraId="2AFE07A8"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Nuestras floricultoras y floricultores del Estado de México, se han esmerado para que podamos tener esta buena producción.</w:t>
      </w:r>
    </w:p>
    <w:p w14:paraId="6E787C4A"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El 21 de marzo es el día que se ha relevado a que podamos regalar flores amarillas y hagamos consumo local.</w:t>
      </w:r>
    </w:p>
    <w:p w14:paraId="1F450EEF" w14:textId="38AF9A20"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Muchísimas gracias y felicidades a todas ustedes.</w:t>
      </w:r>
    </w:p>
    <w:p w14:paraId="375A979A" w14:textId="77777777" w:rsidR="00791E2D" w:rsidRPr="0012597A" w:rsidRDefault="00791E2D" w:rsidP="00EF1C7F">
      <w:pPr>
        <w:pStyle w:val="Sinespaciado"/>
        <w:ind w:firstLine="708"/>
        <w:jc w:val="both"/>
        <w:rPr>
          <w:rFonts w:ascii="Times New Roman" w:eastAsia="Arial" w:hAnsi="Times New Roman" w:cs="Times New Roman"/>
          <w:sz w:val="24"/>
          <w:szCs w:val="24"/>
        </w:rPr>
      </w:pPr>
      <w:r w:rsidRPr="0012597A">
        <w:rPr>
          <w:rFonts w:ascii="Times New Roman" w:eastAsia="Arial" w:hAnsi="Times New Roman" w:cs="Times New Roman"/>
          <w:sz w:val="24"/>
          <w:szCs w:val="24"/>
        </w:rPr>
        <w:t>Con la venia de la Presidencia, compañeras, compañeros diputados, saludo con mucho gusto a las personas que siguen la transmisión de esta sesión, en esta ocasión como integrante de la bancada de Movimiento Ciudadano, quiero hablarles de lo que pasa en la mesa de una maestra jubilada, en la casa de un policía que se juega por todos nosotros o en la vida de cualquier servidor público, tras años de entregarle su vida al Estado de México, hoy se siente abandonado.</w:t>
      </w:r>
    </w:p>
    <w:p w14:paraId="2976D24D"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eastAsia="Arial" w:hAnsi="Times New Roman" w:cs="Times New Roman"/>
          <w:sz w:val="24"/>
          <w:szCs w:val="24"/>
        </w:rPr>
        <w:t>¿Cuántas veces hemos escuchado la misma historia? Un trabajador va a la clínica del</w:t>
      </w:r>
      <w:r w:rsidRPr="0012597A">
        <w:rPr>
          <w:rFonts w:ascii="Times New Roman" w:hAnsi="Times New Roman" w:cs="Times New Roman"/>
          <w:sz w:val="24"/>
          <w:szCs w:val="24"/>
        </w:rPr>
        <w:t xml:space="preserve"> ISSEMyM, espera horas para ser atendido, recibe su consulta y al final, sale con una receta en la mano; pero con las manos vacías de la farmacia, la respuesta siempre es la misma, “No hay”, “no hay por el momento” significa que esa madre de familia tiene que decidir hoy o compra la medicina para su hijo o hija o completa para la renta, no hay significa que el Estado le está fallando a quien más lo necesita. </w:t>
      </w:r>
    </w:p>
    <w:p w14:paraId="4E6EA844"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Desde la Bancada de Movimiento Ciudadano lo decimos claro, el derecho a la salud, no es un papel firmado, es la medicina en la mano y en el tratamiento a tiempo.</w:t>
      </w:r>
    </w:p>
    <w:p w14:paraId="063A1FCF"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La Seguridad Social no es un regalo ni es una dádiva del gobierno, es un derecho de nuestras y nuestros trabajadores que han construido peso a peso con su esfuerzo y con sus aportaciones, es un contrato de solidaridad, por eso, cuando el sistema no te da la medicina que te recetó, está rompiendo el proceso y su palabra. </w:t>
      </w:r>
    </w:p>
    <w:p w14:paraId="7EE2F946"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Según datos del CONEVAL, el gasto que las familias hacen de su propio bolsillo para la salud ha crecido considerablemente, en muchos casos este gasto se vuelve catastrófico, obligando a la gente a empeñar lo poco que tiene para no ver morir a un familiar, esto es injusto, es una falla institucional que hoy termina pagando los que menos tienen. </w:t>
      </w:r>
    </w:p>
    <w:p w14:paraId="6481F1A8"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En el Estado de México, el costo de los medicamentos para tratar las enfermedades más comunes como diabetes, la hipertensión, el cáncer, diálisis o padecimientos autoinmunes, representa una carga económica desproporcionada para las familias.</w:t>
      </w:r>
    </w:p>
    <w:p w14:paraId="6820A45A"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Cuando el ISSEMyM, no suministra estos insumos esenciales, el impacto financiero es más severo para los hogares, las personas con discapacidad o aquellos cuyos ingresos ya están comprometidos por gastos básicos, como alimentación y vivienda, esta situación obliga a los derechohabientes a incurrir a un gasto de bolsillo que, según datos nacionales, ha desplazado el presupuesto familiar hacia la compra de medicamentos sin receta, los cuales pasaron de presentar y de representar el 35.2% del gasto en salud en 2018 a un 48.2% en el año 2020. </w:t>
      </w:r>
    </w:p>
    <w:p w14:paraId="474E073B"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Ante la falta de abasto, el costo de la salud se privatiza injustamente, debilitando la estabilidad económica de quienes dependen de tratamientos continuos para su bienestar y su salud; por eso, hoy presentamos esta iniciativa para reformar la Ley de Seguridad Social de nuestro Estado. </w:t>
      </w:r>
    </w:p>
    <w:p w14:paraId="177849E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Queremos crear un mecanismo de reembolso por falta de medicamentos y tratamientos, la regla es sencilla, si el ISSEMyM, no tiene la medicina, que te la pague, no estamos inventando el hilo negro, estamos proponiendo que cuando una persona tenga que comprar con su propio dinero algún medicamento que la institución no le dio, pueda presentar su receta y factura para que se le devuelva su dinero, este mecanismo no es sólo un alivio económico, es una herramienta de justicia que busca:</w:t>
      </w:r>
    </w:p>
    <w:p w14:paraId="7CB84390"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1. Garantizar que nadie interrumpa su tratamiento.</w:t>
      </w:r>
    </w:p>
    <w:p w14:paraId="4404D5EF"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2. Cuidar el patrimonio de las familias.</w:t>
      </w:r>
    </w:p>
    <w:p w14:paraId="08901DF3"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3. Obligar al Instituto a ser más eficiente porque cada medicamento no surtido ahora tendrá un rostro y una consecuencia administrativa.</w:t>
      </w:r>
    </w:p>
    <w:p w14:paraId="1BD9AAE0"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Sabemos que habrá voces que pregunten ¿Y el dinero? A ellos les respondemos que la verdad técnica, esta propuesta es responsable.</w:t>
      </w:r>
    </w:p>
    <w:p w14:paraId="087D24AD"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No estamos pidiendo compras arbitrarias el reembolso solo aplicará si hay una receta oficial, si hay una factura fiscal y si se comprueba que efectivamente la farmacia de la unidad médica no tenía el insumo. </w:t>
      </w:r>
    </w:p>
    <w:p w14:paraId="43F4B765"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Incluso, la propuesta contempla que, si las unidades médicas no informan, por qué no entregaron el medicamento, se dé vista al Órgano Interno de Control. ¡Ya basta de opacidad en las compras de medicinas! El dinero de las y los mexiquenses debe usarse para los mexiquenses con transparencia y honradez, como lo manda nuestra Constitución.</w:t>
      </w:r>
    </w:p>
    <w:p w14:paraId="1E2C8086" w14:textId="0134E9D8"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Compañeras, compañere y compañeros, legislar para la gente es quitarles pesos de encima, no ponerles más cargas, esta Reforma no es una bandera partidista, es una causa humana.</w:t>
      </w:r>
    </w:p>
    <w:p w14:paraId="2C4B5E8F"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Es por la maestra de Toluca que gasta la mitad de su pensión en pastillas para la diabetes, es por el policía de Ecatepec, que no puede esperar 3 meses a que llegue una clave para su tratamiento de hipertensión. </w:t>
      </w:r>
    </w:p>
    <w:p w14:paraId="62777188"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Por todas y por todos los derechohabientes del Estado de México.</w:t>
      </w:r>
    </w:p>
    <w:p w14:paraId="1B4B6997"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Es por las familias mexiquenses que ya no aguantan más vueltas y vueltas y más excusas no podemos desentendernos del problema. Si el Estado falla, el Estado debe de reparar el daño. </w:t>
      </w:r>
    </w:p>
    <w:p w14:paraId="371E9102"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Pongamos a las personas en el centro, hagamos que la Seguridad Social en el Estado de México, sea de verdad una red que sostenga los trabajadores y no un laberinto que los agote. </w:t>
      </w:r>
    </w:p>
    <w:p w14:paraId="2AADDAAF"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Legislamos en favor de la salud, a favor de la economía familiar y, sobre todo, a favor de la dignidad humana. </w:t>
      </w:r>
    </w:p>
    <w:p w14:paraId="6AAB470F"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Es </w:t>
      </w:r>
      <w:proofErr w:type="spellStart"/>
      <w:r w:rsidRPr="0012597A">
        <w:rPr>
          <w:rFonts w:ascii="Times New Roman" w:hAnsi="Times New Roman" w:cs="Times New Roman"/>
          <w:sz w:val="24"/>
          <w:szCs w:val="24"/>
        </w:rPr>
        <w:t>cuanto</w:t>
      </w:r>
      <w:proofErr w:type="spellEnd"/>
      <w:r w:rsidRPr="0012597A">
        <w:rPr>
          <w:rFonts w:ascii="Times New Roman" w:hAnsi="Times New Roman" w:cs="Times New Roman"/>
          <w:sz w:val="24"/>
          <w:szCs w:val="24"/>
        </w:rPr>
        <w:t>. Muchas gracias.</w:t>
      </w:r>
    </w:p>
    <w:p w14:paraId="492CFCAF" w14:textId="77777777" w:rsidR="009B2232" w:rsidRPr="0012597A" w:rsidRDefault="009B2232" w:rsidP="007F283E">
      <w:pPr>
        <w:pStyle w:val="Sinespaciado"/>
        <w:jc w:val="both"/>
        <w:rPr>
          <w:rFonts w:ascii="Times New Roman" w:hAnsi="Times New Roman" w:cs="Times New Roman"/>
          <w:sz w:val="24"/>
          <w:szCs w:val="24"/>
        </w:rPr>
      </w:pPr>
    </w:p>
    <w:p w14:paraId="5DE68EA1" w14:textId="77777777" w:rsidR="009B2232" w:rsidRPr="0012597A" w:rsidRDefault="009B2232"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70FA9425" w14:textId="77777777" w:rsidR="009B2232" w:rsidRPr="0012597A" w:rsidRDefault="009B2232" w:rsidP="007F283E">
      <w:pPr>
        <w:spacing w:after="0" w:line="240" w:lineRule="auto"/>
        <w:jc w:val="center"/>
        <w:rPr>
          <w:rFonts w:ascii="Times New Roman" w:hAnsi="Times New Roman"/>
          <w:sz w:val="24"/>
          <w:szCs w:val="24"/>
        </w:rPr>
      </w:pPr>
    </w:p>
    <w:p w14:paraId="20385A68"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Bancada Naranja</w:t>
      </w:r>
    </w:p>
    <w:p w14:paraId="2CF11376"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p>
    <w:p w14:paraId="37845AE1"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“2026. Año del Humanismo Mexicano en el Estado de México”</w:t>
      </w:r>
    </w:p>
    <w:p w14:paraId="6B9F2860"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53DCE562" w14:textId="77777777" w:rsidR="00BF3F81" w:rsidRPr="0012597A" w:rsidRDefault="00BF3F81" w:rsidP="00BF3F81">
      <w:pPr>
        <w:widowControl w:val="0"/>
        <w:autoSpaceDE w:val="0"/>
        <w:autoSpaceDN w:val="0"/>
        <w:spacing w:after="0" w:line="240" w:lineRule="auto"/>
        <w:jc w:val="right"/>
        <w:rPr>
          <w:rFonts w:ascii="Times New Roman" w:eastAsia="Arial MT" w:hAnsi="Times New Roman" w:cs="Times New Roman"/>
          <w:sz w:val="24"/>
          <w:szCs w:val="24"/>
        </w:rPr>
      </w:pPr>
      <w:r w:rsidRPr="0012597A">
        <w:rPr>
          <w:rFonts w:ascii="Times New Roman" w:eastAsia="Arial MT" w:hAnsi="Times New Roman" w:cs="Times New Roman"/>
          <w:sz w:val="24"/>
          <w:szCs w:val="24"/>
        </w:rPr>
        <w:t>Toluca de Lerdo, Estado de México, 18 de marzo de 2026.</w:t>
      </w:r>
    </w:p>
    <w:p w14:paraId="5C58B9D7"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52DE53C2" w14:textId="77777777" w:rsidR="00BF3F81" w:rsidRPr="0012597A" w:rsidRDefault="00BF3F81" w:rsidP="00BF3F81">
      <w:pPr>
        <w:widowControl w:val="0"/>
        <w:autoSpaceDE w:val="0"/>
        <w:autoSpaceDN w:val="0"/>
        <w:spacing w:after="0" w:line="240" w:lineRule="auto"/>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DIPUTADA</w:t>
      </w:r>
    </w:p>
    <w:p w14:paraId="36400D79"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MARTHA AZUCENA CAMACHO REYNOSO</w:t>
      </w:r>
    </w:p>
    <w:p w14:paraId="5251A62F"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LXII LEGISLATURA</w:t>
      </w:r>
    </w:p>
    <w:p w14:paraId="21614100"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ESTADO DE MÉXICO</w:t>
      </w:r>
    </w:p>
    <w:p w14:paraId="2B07745E"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58080C0B"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12597A">
        <w:rPr>
          <w:rFonts w:ascii="Times New Roman" w:eastAsia="Arial MT" w:hAnsi="Times New Roman" w:cs="Times New Roman"/>
          <w:b/>
          <w:sz w:val="24"/>
          <w:szCs w:val="24"/>
        </w:rPr>
        <w:t>Iniciativa con Proyecto de Decreto que adiciona diversas disposiciones de la de la Ley de Seguridad Social para los Servidores Públicos del Estado de México y Municipios en materia de reembolso en favor de los derechos habientes por falta de medicamentos y tratamientos</w:t>
      </w:r>
      <w:r w:rsidRPr="0012597A">
        <w:rPr>
          <w:rFonts w:ascii="Times New Roman" w:eastAsia="Arial MT" w:hAnsi="Times New Roman" w:cs="Times New Roman"/>
          <w:sz w:val="24"/>
          <w:szCs w:val="24"/>
        </w:rPr>
        <w:t>, de conformidad con la siguiente:</w:t>
      </w:r>
    </w:p>
    <w:p w14:paraId="47C2F04A"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1C892F1C"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u w:val="single"/>
        </w:rPr>
        <w:t>EXPOSICIÓN DE MOTIVOS</w:t>
      </w:r>
    </w:p>
    <w:p w14:paraId="55E1120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367E3E23"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presente iniciativa parte de una premisa constitucional sencilla y, al mismo tiempo, exigente: el derecho a la protección de la salud no se satisface con la sola existencia formal de servicios médicos, sino con la posibilidad real, oportuna y continua de recibir la atención, los medicamentos y los tratamientos prescritos.</w:t>
      </w:r>
      <w:r w:rsidRPr="0012597A">
        <w:rPr>
          <w:rFonts w:ascii="Times New Roman" w:eastAsia="Arial MT" w:hAnsi="Times New Roman" w:cs="Times New Roman"/>
          <w:color w:val="FF0000"/>
          <w:sz w:val="24"/>
          <w:szCs w:val="24"/>
          <w:vertAlign w:val="superscript"/>
        </w:rPr>
        <w:t>1</w:t>
      </w:r>
      <w:r w:rsidRPr="0012597A">
        <w:rPr>
          <w:rFonts w:ascii="Times New Roman" w:eastAsia="Arial MT" w:hAnsi="Times New Roman" w:cs="Times New Roman"/>
          <w:sz w:val="24"/>
          <w:szCs w:val="24"/>
        </w:rPr>
        <w:t xml:space="preserve"> En ese sentido la Bancada de Movimiento Ciudadano continua su lucha de mejorar el marco jurídico para que las y los mexiquenses puedan gozar de los derechos que les confiere la Carta Magna.</w:t>
      </w:r>
    </w:p>
    <w:p w14:paraId="24228E2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CB3FB94"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Cuando una persona derechohabiente acude a una unidad médica pública, obtiene una valoración profesional y recibe una receta expedida por personal autorizado, la obligación institucional no concluye con el acto médico; se extiende a garantizar, dentro de sus competencias y capacidades normativas, la disponibilidad material de los insumos indispensables para que el tratamiento tenga eficacia. Si el medicamento no es entregado y la o el paciente debe adquirirlo con recursos propios para evitar el deterioro de su salud, el costo de la falla institucional se traslada injustamente al patrimonio familiar.</w:t>
      </w:r>
    </w:p>
    <w:p w14:paraId="7FC74A4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B7AA7F8"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w:t>
      </w:r>
      <w:r w:rsidRPr="0012597A">
        <w:rPr>
          <w:rFonts w:ascii="Times New Roman" w:eastAsia="Arial" w:hAnsi="Times New Roman" w:cs="Times New Roman"/>
          <w:sz w:val="20"/>
          <w:szCs w:val="24"/>
        </w:rPr>
        <w:t xml:space="preserve"> Comité de Derechos Económicos, Sociales y Culturales. (2000). </w:t>
      </w:r>
      <w:r w:rsidRPr="0012597A">
        <w:rPr>
          <w:rFonts w:ascii="Times New Roman" w:eastAsia="Arial" w:hAnsi="Times New Roman" w:cs="Times New Roman"/>
          <w:i/>
          <w:sz w:val="20"/>
          <w:szCs w:val="24"/>
        </w:rPr>
        <w:t>Observación general núm. 14: El derecho al disfrute del más alto nivel posible de salud (artículo 12 del PIDESC)</w:t>
      </w:r>
      <w:r w:rsidRPr="0012597A">
        <w:rPr>
          <w:rFonts w:ascii="Times New Roman" w:eastAsia="Arial" w:hAnsi="Times New Roman" w:cs="Times New Roman"/>
          <w:sz w:val="20"/>
          <w:szCs w:val="24"/>
        </w:rPr>
        <w:t xml:space="preserve">. Oficina del Alto Comisionado de las Naciones Unidas para los Derechos Humanos; Consejo Nacional de Evaluación de la Política de Desarrollo Social. (2024). </w:t>
      </w:r>
      <w:r w:rsidRPr="0012597A">
        <w:rPr>
          <w:rFonts w:ascii="Times New Roman" w:eastAsia="Arial" w:hAnsi="Times New Roman" w:cs="Times New Roman"/>
          <w:i/>
          <w:sz w:val="20"/>
          <w:szCs w:val="24"/>
        </w:rPr>
        <w:t>El derecho a la salud para las entidades federativas de México: compendio de indicadores para su diagnóstico</w:t>
      </w:r>
      <w:r w:rsidRPr="0012597A">
        <w:rPr>
          <w:rFonts w:ascii="Times New Roman" w:eastAsia="Arial" w:hAnsi="Times New Roman" w:cs="Times New Roman"/>
          <w:sz w:val="20"/>
          <w:szCs w:val="24"/>
        </w:rPr>
        <w:t>.</w:t>
      </w:r>
    </w:p>
    <w:p w14:paraId="4B8AA4E4"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20E4A9D4"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Esa traslación del riesgo desde la institución hacia las familias resulta particularmente grave en el ámbito de la seguridad social de las y los servidores públicos del Estado de México y municipios. La seguridad social no es una prestación graciosa ni una dádiva administrativa; es un derecho construido a partir del trabajo, de las aportaciones y de un pacto de solidaridad intergeneracional. Por ello, cuando el sistema no surte medicamentos prescritos y obliga al gasto privado, no sólo se produce una afectación sanitaria, sino también una ruptura del principio de reciprocidad que </w:t>
      </w:r>
      <w:r w:rsidRPr="0012597A">
        <w:rPr>
          <w:rFonts w:ascii="Times New Roman" w:eastAsia="Arial MT" w:hAnsi="Times New Roman" w:cs="Times New Roman"/>
          <w:sz w:val="24"/>
          <w:szCs w:val="24"/>
        </w:rPr>
        <w:lastRenderedPageBreak/>
        <w:t>justifica el régimen de seguridad social.</w:t>
      </w:r>
    </w:p>
    <w:p w14:paraId="7F53EC2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1986319"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Desde la óptica constitucional, la propuesta encuentra sustento en los artículos 1 y 4 de la Constitución Política de los Estados Unidos Mexicanos. El primero obliga a todas las autoridades, en el ámbito de sus competencias, a promover, respetar, proteger y garantizar los derechos humanos bajo el principio pro persona; el segundo reconoce el derecho de toda persona a la protección de la salud.</w:t>
      </w:r>
      <w:r w:rsidRPr="0012597A">
        <w:rPr>
          <w:rFonts w:ascii="Times New Roman" w:eastAsia="Arial MT" w:hAnsi="Times New Roman" w:cs="Times New Roman"/>
          <w:color w:val="FF0000"/>
          <w:sz w:val="24"/>
          <w:szCs w:val="24"/>
          <w:vertAlign w:val="superscript"/>
        </w:rPr>
        <w:t>2</w:t>
      </w:r>
    </w:p>
    <w:p w14:paraId="5E1E8D8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528268B"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nivel local, la Constitución Política del Estado Libre y Soberano de México reproduce el deber de interpretación favorable, la obligación de todas las autoridades de garantizar derechos humanos y el mandato de igualdad y no discriminación.</w:t>
      </w:r>
      <w:r w:rsidRPr="0012597A">
        <w:rPr>
          <w:rFonts w:ascii="Times New Roman" w:eastAsia="Arial MT" w:hAnsi="Times New Roman" w:cs="Times New Roman"/>
          <w:color w:val="FF0000"/>
          <w:sz w:val="24"/>
          <w:szCs w:val="24"/>
          <w:vertAlign w:val="superscript"/>
        </w:rPr>
        <w:t>3</w:t>
      </w:r>
      <w:r w:rsidRPr="0012597A">
        <w:rPr>
          <w:rFonts w:ascii="Times New Roman" w:eastAsia="Arial MT" w:hAnsi="Times New Roman" w:cs="Times New Roman"/>
          <w:sz w:val="24"/>
          <w:szCs w:val="24"/>
        </w:rPr>
        <w:t xml:space="preserve"> En esa línea, la Observación General número 14 del Comité de Derechos Económicos, Sociales y Culturales de las Naciones Unidas ha precisado que el derecho a la salud comprende la disponibilidad de bienes y servicios de salud, incluidos los medicamentos esenciales, así como condiciones de accesibilidad material y económica.</w:t>
      </w:r>
      <w:r w:rsidRPr="0012597A">
        <w:rPr>
          <w:rFonts w:ascii="Times New Roman" w:eastAsia="Arial MT" w:hAnsi="Times New Roman" w:cs="Times New Roman"/>
          <w:color w:val="FF0000"/>
          <w:sz w:val="24"/>
          <w:szCs w:val="24"/>
          <w:vertAlign w:val="superscript"/>
        </w:rPr>
        <w:t>4</w:t>
      </w:r>
    </w:p>
    <w:p w14:paraId="005B8CA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33064B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Lo anterior no es una formulación abstracta. El propio CONEVAL ha señalado que, para evaluar el derecho a la salud, no basta observar afiliación o cobertura formal; también deben considerarse dimensiones como la disponibilidad de medicamentos e insumos suficientes, la accesibilidad económica y la calidad de la atención.</w:t>
      </w:r>
      <w:r w:rsidRPr="0012597A">
        <w:rPr>
          <w:rFonts w:ascii="Times New Roman" w:eastAsia="Arial MT" w:hAnsi="Times New Roman" w:cs="Times New Roman"/>
          <w:color w:val="FF0000"/>
          <w:sz w:val="24"/>
          <w:szCs w:val="24"/>
          <w:vertAlign w:val="superscript"/>
        </w:rPr>
        <w:t>5</w:t>
      </w:r>
      <w:r w:rsidRPr="0012597A">
        <w:rPr>
          <w:rFonts w:ascii="Times New Roman" w:eastAsia="Arial MT" w:hAnsi="Times New Roman" w:cs="Times New Roman"/>
          <w:sz w:val="24"/>
          <w:szCs w:val="24"/>
        </w:rPr>
        <w:t xml:space="preserve"> En otras palabras, una persona puede aparecer estadísticamente como derechohabiente y, sin embargo, experimentar una vulneración concreta a su derecho si no recibe el medicamento necesario para restituir o estabilizar su estado de salud.</w:t>
      </w:r>
    </w:p>
    <w:p w14:paraId="0294D691"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22F833D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Los antecedentes normativos muestran, además, que el problema del abasto farmacéutico es reconocido por el propio sistema jurídico mexicano. La Ley General de Salud dispone que la Secretaría de Salud debe definir planes, proyectos y mecanismos que permitan optimizar, de manera oportuna y con calidad, el abasto de medicamentos y demás insumos para la salud en las instituciones públicas.</w:t>
      </w:r>
      <w:r w:rsidRPr="0012597A">
        <w:rPr>
          <w:rFonts w:ascii="Times New Roman" w:eastAsia="Arial MT" w:hAnsi="Times New Roman" w:cs="Times New Roman"/>
          <w:color w:val="FF0000"/>
          <w:sz w:val="24"/>
          <w:szCs w:val="24"/>
          <w:vertAlign w:val="superscript"/>
        </w:rPr>
        <w:t>6</w:t>
      </w:r>
    </w:p>
    <w:p w14:paraId="26EAB886"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15B5B43D" w14:textId="77777777" w:rsidR="00BF3F81" w:rsidRPr="0012597A" w:rsidRDefault="00BF3F81" w:rsidP="00BF3F81">
      <w:pPr>
        <w:widowControl w:val="0"/>
        <w:autoSpaceDE w:val="0"/>
        <w:autoSpaceDN w:val="0"/>
        <w:spacing w:after="0" w:line="240" w:lineRule="auto"/>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2</w:t>
      </w:r>
      <w:r w:rsidRPr="0012597A">
        <w:rPr>
          <w:rFonts w:ascii="Times New Roman" w:eastAsia="Arial" w:hAnsi="Times New Roman" w:cs="Times New Roman"/>
          <w:sz w:val="20"/>
          <w:szCs w:val="24"/>
        </w:rPr>
        <w:t xml:space="preserve"> Cámara de Diputados del H. Congreso de la Unión. (2026). </w:t>
      </w:r>
      <w:r w:rsidRPr="0012597A">
        <w:rPr>
          <w:rFonts w:ascii="Times New Roman" w:eastAsia="Arial" w:hAnsi="Times New Roman" w:cs="Times New Roman"/>
          <w:i/>
          <w:sz w:val="20"/>
          <w:szCs w:val="24"/>
        </w:rPr>
        <w:t>Constitución Política de los Estados Unidos Mexicanos</w:t>
      </w:r>
      <w:r w:rsidRPr="0012597A">
        <w:rPr>
          <w:rFonts w:ascii="Times New Roman" w:eastAsia="Arial" w:hAnsi="Times New Roman" w:cs="Times New Roman"/>
          <w:sz w:val="20"/>
          <w:szCs w:val="24"/>
        </w:rPr>
        <w:t>.</w:t>
      </w:r>
    </w:p>
    <w:p w14:paraId="76D04D8A" w14:textId="77777777" w:rsidR="00BF3F81" w:rsidRPr="0012597A" w:rsidRDefault="00BF3F81" w:rsidP="00BF3F81">
      <w:pPr>
        <w:widowControl w:val="0"/>
        <w:autoSpaceDE w:val="0"/>
        <w:autoSpaceDN w:val="0"/>
        <w:spacing w:after="0" w:line="240" w:lineRule="auto"/>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3</w:t>
      </w:r>
      <w:r w:rsidRPr="0012597A">
        <w:rPr>
          <w:rFonts w:ascii="Times New Roman" w:eastAsia="Arial" w:hAnsi="Times New Roman" w:cs="Times New Roman"/>
          <w:sz w:val="20"/>
          <w:szCs w:val="24"/>
        </w:rPr>
        <w:t xml:space="preserve"> Gobierno del Estado de México. (2026). </w:t>
      </w:r>
      <w:r w:rsidRPr="0012597A">
        <w:rPr>
          <w:rFonts w:ascii="Times New Roman" w:eastAsia="Arial" w:hAnsi="Times New Roman" w:cs="Times New Roman"/>
          <w:i/>
          <w:sz w:val="20"/>
          <w:szCs w:val="24"/>
        </w:rPr>
        <w:t>Constitución Política del Estado Libre y Soberano de México</w:t>
      </w:r>
      <w:r w:rsidRPr="0012597A">
        <w:rPr>
          <w:rFonts w:ascii="Times New Roman" w:eastAsia="Arial" w:hAnsi="Times New Roman" w:cs="Times New Roman"/>
          <w:sz w:val="20"/>
          <w:szCs w:val="24"/>
        </w:rPr>
        <w:t>.</w:t>
      </w:r>
    </w:p>
    <w:p w14:paraId="303BAEFB" w14:textId="77777777" w:rsidR="00BF3F81" w:rsidRPr="0012597A" w:rsidRDefault="00BF3F81" w:rsidP="00BF3F81">
      <w:pPr>
        <w:widowControl w:val="0"/>
        <w:autoSpaceDE w:val="0"/>
        <w:autoSpaceDN w:val="0"/>
        <w:spacing w:after="0" w:line="240" w:lineRule="auto"/>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4</w:t>
      </w:r>
      <w:r w:rsidRPr="0012597A">
        <w:rPr>
          <w:rFonts w:ascii="Times New Roman" w:eastAsia="Arial" w:hAnsi="Times New Roman" w:cs="Times New Roman"/>
          <w:sz w:val="20"/>
          <w:szCs w:val="24"/>
        </w:rPr>
        <w:t xml:space="preserve"> Comité de Derechos Económicos, Sociales y Culturales. (2000). </w:t>
      </w:r>
      <w:r w:rsidRPr="0012597A">
        <w:rPr>
          <w:rFonts w:ascii="Times New Roman" w:eastAsia="Arial" w:hAnsi="Times New Roman" w:cs="Times New Roman"/>
          <w:i/>
          <w:sz w:val="20"/>
          <w:szCs w:val="24"/>
        </w:rPr>
        <w:t>Observación general núm. 14: El derecho al disfrute del más alto nivel posible de salud (artículo 12 del PIDESC)</w:t>
      </w:r>
      <w:r w:rsidRPr="0012597A">
        <w:rPr>
          <w:rFonts w:ascii="Times New Roman" w:eastAsia="Arial" w:hAnsi="Times New Roman" w:cs="Times New Roman"/>
          <w:sz w:val="20"/>
          <w:szCs w:val="24"/>
        </w:rPr>
        <w:t>.</w:t>
      </w:r>
    </w:p>
    <w:p w14:paraId="7CB492CB" w14:textId="77777777" w:rsidR="00BF3F81" w:rsidRPr="0012597A" w:rsidRDefault="00BF3F81" w:rsidP="00BF3F81">
      <w:pPr>
        <w:widowControl w:val="0"/>
        <w:autoSpaceDE w:val="0"/>
        <w:autoSpaceDN w:val="0"/>
        <w:spacing w:after="0" w:line="240" w:lineRule="auto"/>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5</w:t>
      </w:r>
      <w:r w:rsidRPr="0012597A">
        <w:rPr>
          <w:rFonts w:ascii="Times New Roman" w:eastAsia="Arial" w:hAnsi="Times New Roman" w:cs="Times New Roman"/>
          <w:sz w:val="20"/>
          <w:szCs w:val="24"/>
        </w:rPr>
        <w:t xml:space="preserve"> Consejo Nacional de Evaluación de la Política de Desarrollo Social. (2024). </w:t>
      </w:r>
      <w:r w:rsidRPr="0012597A">
        <w:rPr>
          <w:rFonts w:ascii="Times New Roman" w:eastAsia="Arial" w:hAnsi="Times New Roman" w:cs="Times New Roman"/>
          <w:i/>
          <w:sz w:val="20"/>
          <w:szCs w:val="24"/>
        </w:rPr>
        <w:t>El derecho a la salud para las entidades federativas de México: compendio de indicadores para su diagnóstico</w:t>
      </w:r>
      <w:r w:rsidRPr="0012597A">
        <w:rPr>
          <w:rFonts w:ascii="Times New Roman" w:eastAsia="Arial" w:hAnsi="Times New Roman" w:cs="Times New Roman"/>
          <w:sz w:val="20"/>
          <w:szCs w:val="24"/>
        </w:rPr>
        <w:t>.</w:t>
      </w:r>
    </w:p>
    <w:p w14:paraId="36707E1E" w14:textId="77777777" w:rsidR="00BF3F81" w:rsidRPr="0012597A" w:rsidRDefault="00BF3F81" w:rsidP="00BF3F81">
      <w:pPr>
        <w:widowControl w:val="0"/>
        <w:autoSpaceDE w:val="0"/>
        <w:autoSpaceDN w:val="0"/>
        <w:spacing w:after="0" w:line="240" w:lineRule="auto"/>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6</w:t>
      </w:r>
      <w:r w:rsidRPr="0012597A">
        <w:rPr>
          <w:rFonts w:ascii="Times New Roman" w:eastAsia="Arial" w:hAnsi="Times New Roman" w:cs="Times New Roman"/>
          <w:sz w:val="20"/>
          <w:szCs w:val="24"/>
        </w:rPr>
        <w:t xml:space="preserve"> Cámara de Diputados del H. Congreso de la Unión. (2026). </w:t>
      </w:r>
      <w:r w:rsidRPr="0012597A">
        <w:rPr>
          <w:rFonts w:ascii="Times New Roman" w:eastAsia="Arial" w:hAnsi="Times New Roman" w:cs="Times New Roman"/>
          <w:i/>
          <w:sz w:val="20"/>
          <w:szCs w:val="24"/>
        </w:rPr>
        <w:t>Ley General de Salud</w:t>
      </w:r>
      <w:r w:rsidRPr="0012597A">
        <w:rPr>
          <w:rFonts w:ascii="Times New Roman" w:eastAsia="Arial" w:hAnsi="Times New Roman" w:cs="Times New Roman"/>
          <w:sz w:val="20"/>
          <w:szCs w:val="24"/>
        </w:rPr>
        <w:t>, artículo 10.</w:t>
      </w:r>
    </w:p>
    <w:p w14:paraId="14A30EDB"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4E7DA5C0"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su vez, en noviembre de 2024 el Gobierno de México y el IMSS anunciaron la plataforma recetacompleta.gob.mx para reportar recetas no surtidas completamente, reconociendo expresamente que las medicinas pueden entregarse de forma total, parcial o incluso rechazarse al momento en que la persona usuaria acude a farmacia.</w:t>
      </w:r>
      <w:r w:rsidRPr="0012597A">
        <w:rPr>
          <w:rFonts w:ascii="Times New Roman" w:eastAsia="Arial MT" w:hAnsi="Times New Roman" w:cs="Times New Roman"/>
          <w:color w:val="FF0000"/>
          <w:sz w:val="24"/>
          <w:szCs w:val="24"/>
          <w:vertAlign w:val="superscript"/>
        </w:rPr>
        <w:t>7</w:t>
      </w:r>
      <w:r w:rsidRPr="0012597A">
        <w:rPr>
          <w:rFonts w:ascii="Times New Roman" w:eastAsia="Arial MT" w:hAnsi="Times New Roman" w:cs="Times New Roman"/>
          <w:sz w:val="24"/>
          <w:szCs w:val="24"/>
        </w:rPr>
        <w:t xml:space="preserve"> Si el propio sector público federal admite la necesidad de mecanismos de reporte y corrección frente al no surtimiento, resulta jurídicamente razonable que la Bancada de Movimiento Ciudadano plante, dentro de la competencia local y en el marco del ISSEMyM, un mecanismo específico de reparación económica para el supuesto en que la falta de suministro obligue al gasto directo de las familias.</w:t>
      </w:r>
    </w:p>
    <w:p w14:paraId="454C8773"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23F5124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 acuerdo con la ENIGH 2024, el ingreso corriente promedio mensual por hogar en México fue de 25,955 pesos, mientras que el gasto corriente monetario promedio mensual ascendió a 15,891 pesos. Dentro de ese gasto, el rubro de salud alcanzó 535 pesos mensuales por hogar, cifra superior a la observada en 2022, cuando fue de 496 pesos.</w:t>
      </w:r>
      <w:r w:rsidRPr="0012597A">
        <w:rPr>
          <w:rFonts w:ascii="Times New Roman" w:eastAsia="Arial MT" w:hAnsi="Times New Roman" w:cs="Times New Roman"/>
          <w:color w:val="FF0000"/>
          <w:sz w:val="24"/>
          <w:szCs w:val="24"/>
          <w:vertAlign w:val="superscript"/>
        </w:rPr>
        <w:t>8</w:t>
      </w:r>
    </w:p>
    <w:p w14:paraId="0BCC17C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2FB8CDD0"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Aun cuando el promedio nacional no agota la diversidad territorial, sí demuestra que la salud ya representa un componente ordinario del gasto familiar. Ese dato cobra mayor relevancia cuando se observa que las mujeres reportaron en 2024 un ingreso monetario promedio mensual de 7,905 pesos, las personas con discapacidad 6,927 pesos y las personas indígenas o hablantes de lengua indígena 7,439 pesos, por debajo del promedio nacional.</w:t>
      </w:r>
      <w:r w:rsidRPr="0012597A">
        <w:rPr>
          <w:rFonts w:ascii="Times New Roman" w:eastAsia="Arial MT" w:hAnsi="Times New Roman" w:cs="Times New Roman"/>
          <w:color w:val="FF0000"/>
          <w:sz w:val="24"/>
          <w:szCs w:val="24"/>
          <w:vertAlign w:val="superscript"/>
        </w:rPr>
        <w:t>9</w:t>
      </w:r>
      <w:r w:rsidRPr="0012597A">
        <w:rPr>
          <w:rFonts w:ascii="Times New Roman" w:eastAsia="Arial MT" w:hAnsi="Times New Roman" w:cs="Times New Roman"/>
          <w:sz w:val="24"/>
          <w:szCs w:val="24"/>
        </w:rPr>
        <w:t xml:space="preserve"> Por tanto, cualquier falla pública que obligue a cubrir medicamentos con recursos propios impacta con mayor severidad a hogares que ya enfrentan desventajas estructurales.</w:t>
      </w:r>
    </w:p>
    <w:p w14:paraId="5FBC77F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C52D23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evidencia del CONEVAL confirma esa presión económica. En 2020, 3.9% de los hogares en México incurrieron en gastos catastróficos en salud, esto es, destinaron más de 30% de su capacidad de pago o ingreso disponible a ese rubro; ello representó 1,377,055 hogares y supuso un incremento de 1.8 puntos porcentuales respecto de 2018.</w:t>
      </w:r>
      <w:r w:rsidRPr="0012597A">
        <w:rPr>
          <w:rFonts w:ascii="Times New Roman" w:eastAsia="Arial MT" w:hAnsi="Times New Roman" w:cs="Times New Roman"/>
          <w:color w:val="FF0000"/>
          <w:sz w:val="24"/>
          <w:szCs w:val="24"/>
          <w:vertAlign w:val="superscript"/>
        </w:rPr>
        <w:t>10</w:t>
      </w:r>
    </w:p>
    <w:p w14:paraId="7057442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EDE3A2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mismo organismo documentó que, para 2020, el gasto de bolsillo se desplazó con fuerza hacia medicamentos sin receta, cuyo peso dentro del gasto de bolsillo pasó de 35.2% en 2018 a 48.2% en 2020.</w:t>
      </w:r>
      <w:r w:rsidRPr="0012597A">
        <w:rPr>
          <w:rFonts w:ascii="Times New Roman" w:eastAsia="Arial MT" w:hAnsi="Times New Roman" w:cs="Times New Roman"/>
          <w:color w:val="FF0000"/>
          <w:sz w:val="24"/>
          <w:szCs w:val="24"/>
          <w:vertAlign w:val="superscript"/>
        </w:rPr>
        <w:t>11</w:t>
      </w:r>
      <w:r w:rsidRPr="0012597A">
        <w:rPr>
          <w:rFonts w:ascii="Times New Roman" w:eastAsia="Arial MT" w:hAnsi="Times New Roman" w:cs="Times New Roman"/>
          <w:sz w:val="24"/>
          <w:szCs w:val="24"/>
        </w:rPr>
        <w:t xml:space="preserve"> Estas cifras permiten extraer una conclusión legislativa clara: cuando el Estado no garantiza oportunamente el acceso a medicamentos, el costo no desaparece; simplemente se privatiza y se absorbe en el presupuesto de los hogares.</w:t>
      </w:r>
    </w:p>
    <w:p w14:paraId="0E6A983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2A5DE42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Estado de México, la necesidad de una respuesta legislativa es todavía más apremiante por la magnitud demográfica y operativa del sistema. El Censo de Población y Vivienda 2020 reportó 16,992,418 habitantes en la entidad.</w:t>
      </w:r>
      <w:r w:rsidRPr="0012597A">
        <w:rPr>
          <w:rFonts w:ascii="Times New Roman" w:eastAsia="Arial MT" w:hAnsi="Times New Roman" w:cs="Times New Roman"/>
          <w:color w:val="FF0000"/>
          <w:sz w:val="24"/>
          <w:szCs w:val="24"/>
          <w:vertAlign w:val="superscript"/>
        </w:rPr>
        <w:t>12</w:t>
      </w:r>
      <w:r w:rsidRPr="0012597A">
        <w:rPr>
          <w:rFonts w:ascii="Times New Roman" w:eastAsia="Arial MT" w:hAnsi="Times New Roman" w:cs="Times New Roman"/>
          <w:sz w:val="24"/>
          <w:szCs w:val="24"/>
        </w:rPr>
        <w:t xml:space="preserve"> A ello se suma que el ISSEMyM refiere contar con 110 unidades médicas en las distintas regiones del estado.</w:t>
      </w:r>
      <w:r w:rsidRPr="0012597A">
        <w:rPr>
          <w:rFonts w:ascii="Times New Roman" w:eastAsia="Arial MT" w:hAnsi="Times New Roman" w:cs="Times New Roman"/>
          <w:color w:val="FF0000"/>
          <w:sz w:val="24"/>
          <w:szCs w:val="24"/>
          <w:vertAlign w:val="superscript"/>
        </w:rPr>
        <w:t>13</w:t>
      </w:r>
    </w:p>
    <w:p w14:paraId="6F0656C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613CDDDF"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18"/>
          <w:szCs w:val="24"/>
        </w:rPr>
      </w:pPr>
      <w:r w:rsidRPr="0012597A">
        <w:rPr>
          <w:rFonts w:ascii="Times New Roman" w:eastAsia="Arial" w:hAnsi="Times New Roman" w:cs="Times New Roman"/>
          <w:color w:val="FF0000"/>
          <w:sz w:val="18"/>
          <w:szCs w:val="24"/>
          <w:vertAlign w:val="superscript"/>
        </w:rPr>
        <w:t>7</w:t>
      </w:r>
      <w:r w:rsidRPr="0012597A">
        <w:rPr>
          <w:rFonts w:ascii="Times New Roman" w:eastAsia="Arial" w:hAnsi="Times New Roman" w:cs="Times New Roman"/>
          <w:sz w:val="18"/>
          <w:szCs w:val="24"/>
        </w:rPr>
        <w:t xml:space="preserve"> Instituto Mexicano del Seguro Social. (2024, 26 de noviembre). </w:t>
      </w:r>
      <w:r w:rsidRPr="0012597A">
        <w:rPr>
          <w:rFonts w:ascii="Times New Roman" w:eastAsia="Arial" w:hAnsi="Times New Roman" w:cs="Times New Roman"/>
          <w:i/>
          <w:sz w:val="18"/>
          <w:szCs w:val="24"/>
        </w:rPr>
        <w:t>Lanza gobierno de México plataforma digital para mejorar entrega de medicamentos</w:t>
      </w:r>
      <w:r w:rsidRPr="0012597A">
        <w:rPr>
          <w:rFonts w:ascii="Times New Roman" w:eastAsia="Arial" w:hAnsi="Times New Roman" w:cs="Times New Roman"/>
          <w:sz w:val="18"/>
          <w:szCs w:val="24"/>
        </w:rPr>
        <w:t>.</w:t>
      </w:r>
    </w:p>
    <w:p w14:paraId="7718A753"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18"/>
          <w:szCs w:val="24"/>
        </w:rPr>
      </w:pPr>
      <w:r w:rsidRPr="0012597A">
        <w:rPr>
          <w:rFonts w:ascii="Times New Roman" w:eastAsia="Arial" w:hAnsi="Times New Roman" w:cs="Times New Roman"/>
          <w:color w:val="FF0000"/>
          <w:sz w:val="18"/>
          <w:szCs w:val="24"/>
          <w:vertAlign w:val="superscript"/>
        </w:rPr>
        <w:t>8</w:t>
      </w:r>
      <w:r w:rsidRPr="0012597A">
        <w:rPr>
          <w:rFonts w:ascii="Times New Roman" w:eastAsia="Arial" w:hAnsi="Times New Roman" w:cs="Times New Roman"/>
          <w:sz w:val="18"/>
          <w:szCs w:val="24"/>
        </w:rPr>
        <w:t xml:space="preserve"> Instituto Nacional de Estadística y Geografía. (2025). </w:t>
      </w:r>
      <w:r w:rsidRPr="0012597A">
        <w:rPr>
          <w:rFonts w:ascii="Times New Roman" w:eastAsia="Arial" w:hAnsi="Times New Roman" w:cs="Times New Roman"/>
          <w:i/>
          <w:sz w:val="18"/>
          <w:szCs w:val="24"/>
        </w:rPr>
        <w:t>Encuesta Nacional de Ingresos y Gastos de los Hogares (ENIGH) 2024</w:t>
      </w:r>
      <w:r w:rsidRPr="0012597A">
        <w:rPr>
          <w:rFonts w:ascii="Times New Roman" w:eastAsia="Arial" w:hAnsi="Times New Roman" w:cs="Times New Roman"/>
          <w:sz w:val="18"/>
          <w:szCs w:val="24"/>
        </w:rPr>
        <w:t>.</w:t>
      </w:r>
    </w:p>
    <w:p w14:paraId="07D809E6"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18"/>
          <w:szCs w:val="24"/>
        </w:rPr>
      </w:pPr>
      <w:r w:rsidRPr="0012597A">
        <w:rPr>
          <w:rFonts w:ascii="Times New Roman" w:eastAsia="Arial" w:hAnsi="Times New Roman" w:cs="Times New Roman"/>
          <w:color w:val="FF0000"/>
          <w:sz w:val="18"/>
          <w:szCs w:val="24"/>
          <w:vertAlign w:val="superscript"/>
        </w:rPr>
        <w:t>9</w:t>
      </w:r>
      <w:r w:rsidRPr="0012597A">
        <w:rPr>
          <w:rFonts w:ascii="Times New Roman" w:eastAsia="Arial" w:hAnsi="Times New Roman" w:cs="Times New Roman"/>
          <w:sz w:val="18"/>
          <w:szCs w:val="24"/>
        </w:rPr>
        <w:t xml:space="preserve"> Instituto Nacional de Estadística y Geografía. (2025). </w:t>
      </w:r>
      <w:r w:rsidRPr="0012597A">
        <w:rPr>
          <w:rFonts w:ascii="Times New Roman" w:eastAsia="Arial" w:hAnsi="Times New Roman" w:cs="Times New Roman"/>
          <w:i/>
          <w:sz w:val="18"/>
          <w:szCs w:val="24"/>
        </w:rPr>
        <w:t>Encuesta Nacional de Ingresos y Gastos de los Hogares (ENIGH) 2024</w:t>
      </w:r>
      <w:r w:rsidRPr="0012597A">
        <w:rPr>
          <w:rFonts w:ascii="Times New Roman" w:eastAsia="Arial" w:hAnsi="Times New Roman" w:cs="Times New Roman"/>
          <w:sz w:val="18"/>
          <w:szCs w:val="24"/>
        </w:rPr>
        <w:t>.</w:t>
      </w:r>
    </w:p>
    <w:p w14:paraId="06008204"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18"/>
          <w:szCs w:val="24"/>
        </w:rPr>
      </w:pPr>
      <w:r w:rsidRPr="0012597A">
        <w:rPr>
          <w:rFonts w:ascii="Times New Roman" w:eastAsia="Arial" w:hAnsi="Times New Roman" w:cs="Times New Roman"/>
          <w:color w:val="FF0000"/>
          <w:sz w:val="18"/>
          <w:szCs w:val="24"/>
          <w:vertAlign w:val="superscript"/>
        </w:rPr>
        <w:t>10</w:t>
      </w:r>
      <w:r w:rsidRPr="0012597A">
        <w:rPr>
          <w:rFonts w:ascii="Times New Roman" w:eastAsia="Arial" w:hAnsi="Times New Roman" w:cs="Times New Roman"/>
          <w:sz w:val="18"/>
          <w:szCs w:val="24"/>
        </w:rPr>
        <w:t xml:space="preserve"> Consejo Nacional de Evaluación de la Política de Desarrollo Social. (2022). </w:t>
      </w:r>
      <w:r w:rsidRPr="0012597A">
        <w:rPr>
          <w:rFonts w:ascii="Times New Roman" w:eastAsia="Arial" w:hAnsi="Times New Roman" w:cs="Times New Roman"/>
          <w:i/>
          <w:sz w:val="18"/>
          <w:szCs w:val="24"/>
        </w:rPr>
        <w:t>Nota informativa sobre la Evaluación Estratégica de Salud</w:t>
      </w:r>
      <w:r w:rsidRPr="0012597A">
        <w:rPr>
          <w:rFonts w:ascii="Times New Roman" w:eastAsia="Arial" w:hAnsi="Times New Roman" w:cs="Times New Roman"/>
          <w:sz w:val="18"/>
          <w:szCs w:val="24"/>
        </w:rPr>
        <w:t>.</w:t>
      </w:r>
    </w:p>
    <w:p w14:paraId="5C88958A"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18"/>
          <w:szCs w:val="24"/>
        </w:rPr>
      </w:pPr>
      <w:r w:rsidRPr="0012597A">
        <w:rPr>
          <w:rFonts w:ascii="Times New Roman" w:eastAsia="Arial" w:hAnsi="Times New Roman" w:cs="Times New Roman"/>
          <w:color w:val="FF0000"/>
          <w:sz w:val="18"/>
          <w:szCs w:val="24"/>
          <w:vertAlign w:val="superscript"/>
        </w:rPr>
        <w:t>11</w:t>
      </w:r>
      <w:r w:rsidRPr="0012597A">
        <w:rPr>
          <w:rFonts w:ascii="Times New Roman" w:eastAsia="Arial" w:hAnsi="Times New Roman" w:cs="Times New Roman"/>
          <w:sz w:val="18"/>
          <w:szCs w:val="24"/>
        </w:rPr>
        <w:t xml:space="preserve"> Consejo Nacional de Evaluación de la Política de Desarrollo Social. (2022). </w:t>
      </w:r>
      <w:r w:rsidRPr="0012597A">
        <w:rPr>
          <w:rFonts w:ascii="Times New Roman" w:eastAsia="Arial" w:hAnsi="Times New Roman" w:cs="Times New Roman"/>
          <w:i/>
          <w:sz w:val="18"/>
          <w:szCs w:val="24"/>
        </w:rPr>
        <w:t>Nota informativa sobre la Evaluación Estratégica de Salud</w:t>
      </w:r>
      <w:r w:rsidRPr="0012597A">
        <w:rPr>
          <w:rFonts w:ascii="Times New Roman" w:eastAsia="Arial" w:hAnsi="Times New Roman" w:cs="Times New Roman"/>
          <w:sz w:val="18"/>
          <w:szCs w:val="24"/>
        </w:rPr>
        <w:t>.</w:t>
      </w:r>
    </w:p>
    <w:p w14:paraId="7EDDB0E9"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9D8DC6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una entidad con esta escala, cualquier insuficiencia recurrente en el surtimiento de medicamentos tiene un efecto multiplicador sobre miles de personas servidoras públicas, pensionadas, jubiladas y sus familias, particularmente en contextos de enfermedades crónicas, tratamientos continuos, urgencias terapéuticas y padecimientos cuyo control depende de la adherencia estricta al tratamiento.</w:t>
      </w:r>
    </w:p>
    <w:p w14:paraId="2F8CE5CA"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4B5845F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vertAlign w:val="superscript"/>
        </w:rPr>
      </w:pPr>
      <w:r w:rsidRPr="0012597A">
        <w:rPr>
          <w:rFonts w:ascii="Times New Roman" w:eastAsia="Arial MT" w:hAnsi="Times New Roman" w:cs="Times New Roman"/>
          <w:sz w:val="24"/>
          <w:szCs w:val="24"/>
        </w:rPr>
        <w:t>Los antecedentes administrativos confirman que el tema farmacéutico no es ajeno a la organización interna del ISSEMyM. En diciembre de 2024 se autorizó el Cuadro Básico de Medicamentos para el ejercicio 2025, de conformidad con el Reglamento de Servicios de Salud del Instituto.</w:t>
      </w:r>
      <w:r w:rsidRPr="0012597A">
        <w:rPr>
          <w:rFonts w:ascii="Times New Roman" w:eastAsia="Arial MT" w:hAnsi="Times New Roman" w:cs="Times New Roman"/>
          <w:color w:val="FF0000"/>
          <w:sz w:val="24"/>
          <w:szCs w:val="24"/>
          <w:vertAlign w:val="superscript"/>
        </w:rPr>
        <w:t>14</w:t>
      </w:r>
      <w:r w:rsidRPr="0012597A">
        <w:rPr>
          <w:rFonts w:ascii="Times New Roman" w:eastAsia="Arial MT" w:hAnsi="Times New Roman" w:cs="Times New Roman"/>
          <w:sz w:val="24"/>
          <w:szCs w:val="24"/>
        </w:rPr>
        <w:t xml:space="preserve"> Asimismo, desde 2021 existe un Manual de Procedimientos para la Subrogación de Medicamentos Fuera de Cuadro Básico, cuyo objetivo consiste en otorgar el tratamiento prescrito mediante la subrogación urgente u ordinaria de medicamentos no contemplados en dicho cuadro</w:t>
      </w:r>
      <w:r w:rsidRPr="0012597A">
        <w:rPr>
          <w:rFonts w:ascii="Times New Roman" w:eastAsia="Arial MT" w:hAnsi="Times New Roman" w:cs="Times New Roman"/>
          <w:sz w:val="24"/>
          <w:szCs w:val="24"/>
          <w:vertAlign w:val="superscript"/>
        </w:rPr>
        <w:t>.</w:t>
      </w:r>
      <w:r w:rsidRPr="0012597A">
        <w:rPr>
          <w:rFonts w:ascii="Times New Roman" w:eastAsia="Arial MT" w:hAnsi="Times New Roman" w:cs="Times New Roman"/>
          <w:color w:val="FF0000"/>
          <w:sz w:val="24"/>
          <w:szCs w:val="24"/>
          <w:vertAlign w:val="superscript"/>
        </w:rPr>
        <w:t>15</w:t>
      </w:r>
    </w:p>
    <w:p w14:paraId="14809E19"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253DF39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Es decir, el diseño institucional ya reconoce que, en determinados supuestos, deben existir vías excepcionales para que la persona paciente no vea interrumpido su tratamiento. Sin embargo, subsiste un vacío respecto de los medicamentos que sí forman parte de la prescripción institucional y cuya falta de entrega obliga a la compra directa por la persona derechohabiente. La iniciativa de </w:t>
      </w:r>
      <w:r w:rsidRPr="0012597A">
        <w:rPr>
          <w:rFonts w:ascii="Times New Roman" w:eastAsia="Arial MT" w:hAnsi="Times New Roman" w:cs="Times New Roman"/>
          <w:sz w:val="24"/>
          <w:szCs w:val="24"/>
        </w:rPr>
        <w:lastRenderedPageBreak/>
        <w:t>la Bancada Naranja busca precisamente cerrar ese vacío.</w:t>
      </w:r>
    </w:p>
    <w:p w14:paraId="54B768E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B417AA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Desde una perspectiva técnico-jurídica, el mecanismo de reembolso propuesto cumple varias funciones simultáneas. En primer lugar, opera como garantía de continuidad terapéutica: evita que la falta momentánea de existencias anule en la práctica el derecho a recibir tratamiento. En segundo lugar, corrige una asimetría económica, pues impide que la omisión administrativa sea financiada por las familias. En tercer lugar, genera trazabilidad institucional, ya que exige solicitud, expediente, informe de la unidad médica y resolución. En cuarto lugar, fortalece el control interno, porque la omisión de rendir informes da lugar a vista al órgano interno de control. En suma, no se trata sólo de crear un beneficio económico, sino de construir una herramienta de tutela del derecho a la salud, de rendición de cuentas y de mejora administrativa.</w:t>
      </w:r>
    </w:p>
    <w:p w14:paraId="3A0C479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042358A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experiencia de fiscalización también demuestra por qué es indispensable incorporar mecanismos de trazabilidad. En su Informe de Resultados del ejercicio fiscal 2023 sobre el ISSEMyM, el OSFEM reportó observaciones por falta de estudios de mercado, falta de evidencia documental sobre garantías de cumplimiento, ausencia de acreditación del ingreso de penas convencionales por incumplimiento de proveedores, falta de elementos de convicción sobre la recepción de bienes y servicios a entera satisfacción, así como casos sin suficiencia presupuestal acreditada.</w:t>
      </w:r>
      <w:r w:rsidRPr="0012597A">
        <w:rPr>
          <w:rFonts w:ascii="Times New Roman" w:eastAsia="Arial MT" w:hAnsi="Times New Roman" w:cs="Times New Roman"/>
          <w:color w:val="FF0000"/>
          <w:sz w:val="24"/>
          <w:szCs w:val="24"/>
          <w:vertAlign w:val="superscript"/>
        </w:rPr>
        <w:t>16</w:t>
      </w:r>
    </w:p>
    <w:p w14:paraId="5B0CCE9D"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155F55F9" w14:textId="77777777" w:rsidR="00BF3F81" w:rsidRPr="0012597A" w:rsidRDefault="00BF3F81" w:rsidP="00BF3F81">
      <w:pPr>
        <w:widowControl w:val="0"/>
        <w:autoSpaceDE w:val="0"/>
        <w:autoSpaceDN w:val="0"/>
        <w:spacing w:after="0" w:line="240" w:lineRule="auto"/>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12</w:t>
      </w:r>
      <w:r w:rsidRPr="0012597A">
        <w:rPr>
          <w:rFonts w:ascii="Times New Roman" w:eastAsia="Arial" w:hAnsi="Times New Roman" w:cs="Times New Roman"/>
          <w:sz w:val="20"/>
          <w:szCs w:val="24"/>
        </w:rPr>
        <w:t xml:space="preserve"> Instituto Nacional de Estadística y Geografía. (2021). </w:t>
      </w:r>
      <w:r w:rsidRPr="0012597A">
        <w:rPr>
          <w:rFonts w:ascii="Times New Roman" w:eastAsia="Arial" w:hAnsi="Times New Roman" w:cs="Times New Roman"/>
          <w:i/>
          <w:sz w:val="20"/>
          <w:szCs w:val="24"/>
        </w:rPr>
        <w:t>En el Estado de México somos 16 992 418 habitantes: Censo de Población y Vivienda 2020</w:t>
      </w:r>
      <w:r w:rsidRPr="0012597A">
        <w:rPr>
          <w:rFonts w:ascii="Times New Roman" w:eastAsia="Arial" w:hAnsi="Times New Roman" w:cs="Times New Roman"/>
          <w:sz w:val="20"/>
          <w:szCs w:val="24"/>
        </w:rPr>
        <w:t>.</w:t>
      </w:r>
    </w:p>
    <w:p w14:paraId="0571EB61"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13</w:t>
      </w:r>
      <w:r w:rsidRPr="0012597A">
        <w:rPr>
          <w:rFonts w:ascii="Times New Roman" w:eastAsia="Arial MT" w:hAnsi="Times New Roman" w:cs="Times New Roman"/>
          <w:sz w:val="20"/>
          <w:szCs w:val="24"/>
        </w:rPr>
        <w:t xml:space="preserve"> Instituto de Seguridad Social del Estado de México y Municipios. (2026). </w:t>
      </w:r>
      <w:r w:rsidRPr="0012597A">
        <w:rPr>
          <w:rFonts w:ascii="Times New Roman" w:eastAsia="Arial MT" w:hAnsi="Times New Roman" w:cs="Times New Roman"/>
          <w:i/>
          <w:sz w:val="20"/>
          <w:szCs w:val="24"/>
        </w:rPr>
        <w:t>Portal institucional del ISSEMyM</w:t>
      </w:r>
      <w:r w:rsidRPr="0012597A">
        <w:rPr>
          <w:rFonts w:ascii="Times New Roman" w:eastAsia="Arial MT" w:hAnsi="Times New Roman" w:cs="Times New Roman"/>
          <w:sz w:val="20"/>
          <w:szCs w:val="24"/>
        </w:rPr>
        <w:t>.</w:t>
      </w:r>
    </w:p>
    <w:p w14:paraId="7E5FAB5F"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14</w:t>
      </w:r>
      <w:r w:rsidRPr="0012597A">
        <w:rPr>
          <w:rFonts w:ascii="Times New Roman" w:eastAsia="Arial" w:hAnsi="Times New Roman" w:cs="Times New Roman"/>
          <w:sz w:val="20"/>
          <w:szCs w:val="24"/>
        </w:rPr>
        <w:t xml:space="preserve"> Instituto de Seguridad Social del Estado de México y Municipios. (2025). </w:t>
      </w:r>
      <w:r w:rsidRPr="0012597A">
        <w:rPr>
          <w:rFonts w:ascii="Times New Roman" w:eastAsia="Arial" w:hAnsi="Times New Roman" w:cs="Times New Roman"/>
          <w:i/>
          <w:sz w:val="20"/>
          <w:szCs w:val="24"/>
        </w:rPr>
        <w:t>Cuadro básico de medicamentos para el ejercicio 2025 del ISSEMyM</w:t>
      </w:r>
      <w:r w:rsidRPr="0012597A">
        <w:rPr>
          <w:rFonts w:ascii="Times New Roman" w:eastAsia="Arial" w:hAnsi="Times New Roman" w:cs="Times New Roman"/>
          <w:sz w:val="20"/>
          <w:szCs w:val="24"/>
        </w:rPr>
        <w:t>. Periódico Oficial Gaceta del Gobierno.</w:t>
      </w:r>
    </w:p>
    <w:p w14:paraId="373E5220"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15</w:t>
      </w:r>
      <w:r w:rsidRPr="0012597A">
        <w:rPr>
          <w:rFonts w:ascii="Times New Roman" w:eastAsia="Arial" w:hAnsi="Times New Roman" w:cs="Times New Roman"/>
          <w:sz w:val="20"/>
          <w:szCs w:val="24"/>
        </w:rPr>
        <w:t xml:space="preserve"> Instituto de Seguridad Social del Estado de México y Municipios. (2021). </w:t>
      </w:r>
      <w:r w:rsidRPr="0012597A">
        <w:rPr>
          <w:rFonts w:ascii="Times New Roman" w:eastAsia="Arial" w:hAnsi="Times New Roman" w:cs="Times New Roman"/>
          <w:i/>
          <w:sz w:val="20"/>
          <w:szCs w:val="24"/>
        </w:rPr>
        <w:t>Manual de procedimientos para la subrogación de medicamentos fuera de cuadro básico del ISSEMyM</w:t>
      </w:r>
      <w:r w:rsidRPr="0012597A">
        <w:rPr>
          <w:rFonts w:ascii="Times New Roman" w:eastAsia="Arial" w:hAnsi="Times New Roman" w:cs="Times New Roman"/>
          <w:sz w:val="20"/>
          <w:szCs w:val="24"/>
        </w:rPr>
        <w:t>. Periódico Oficial Gaceta del Gobierno.</w:t>
      </w:r>
    </w:p>
    <w:p w14:paraId="6CE15DC7"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CD7986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 jurídicamente responsable subrayar que estas observaciones constituyen hallazgos de fiscalización y presunciones de irregularidad administrativa, no sentencias firmes de responsabilidad. No obstante, sí revelan áreas objetivas de riesgo en procesos de adquisición, comprobación y control del gasto que pueden afectar, directa o indirectamente, el suministro oportuno de bienes e insumos.</w:t>
      </w:r>
    </w:p>
    <w:p w14:paraId="15FF4E43"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7E6A30C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plano federal, la ASF identificó igualmente deficiencias en la supervisión y coordinación de la adquisición consolidada de medicamentos y material de curación del ejercicio 2022, entre ellas documentación parcial, ausencia de documentos sustantivos del procedimiento y casos en que proveedores adjudicados no cumplieron con la titularidad de registros sanitarios.</w:t>
      </w:r>
      <w:r w:rsidRPr="0012597A">
        <w:rPr>
          <w:rFonts w:ascii="Times New Roman" w:eastAsia="Arial MT" w:hAnsi="Times New Roman" w:cs="Times New Roman"/>
          <w:color w:val="FF0000"/>
          <w:sz w:val="24"/>
          <w:szCs w:val="24"/>
          <w:vertAlign w:val="superscript"/>
        </w:rPr>
        <w:t>17</w:t>
      </w:r>
    </w:p>
    <w:p w14:paraId="4ADF788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7A207CBB"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Estos antecedentes permiten afirmar, con prudencia y base documental, que el problema del desabasto no puede explicarse sólo por un factor clínico o logístico aislado; también se relaciona con debilidades de planeación, compra pública, seguimiento contractual y control administrativo. Precisamente por ello, un esquema de reembolso con expediente, comprobación fiscal y pronunciamiento formal contribuye a producir información útil para detectar patrones de falla, responsabilidades y áreas de mejora.</w:t>
      </w:r>
    </w:p>
    <w:p w14:paraId="4B5E050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70F39104"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reforma, además, es consistente con el mandato del artículo 134 constitucional, conforme al cual los recursos públicos deben administrarse con eficiencia, eficacia, economía, transparencia y honradez para satisfacer los objetivos a los que están destinados.</w:t>
      </w:r>
      <w:r w:rsidRPr="0012597A">
        <w:rPr>
          <w:rFonts w:ascii="Times New Roman" w:eastAsia="Arial MT" w:hAnsi="Times New Roman" w:cs="Times New Roman"/>
          <w:sz w:val="24"/>
          <w:szCs w:val="24"/>
          <w:vertAlign w:val="superscript"/>
        </w:rPr>
        <w:t>18</w:t>
      </w:r>
      <w:r w:rsidRPr="0012597A">
        <w:rPr>
          <w:rFonts w:ascii="Times New Roman" w:eastAsia="Arial MT" w:hAnsi="Times New Roman" w:cs="Times New Roman"/>
          <w:sz w:val="24"/>
          <w:szCs w:val="24"/>
        </w:rPr>
        <w:t xml:space="preserve"> Resultaría contrario a ese mandato que el Estado financie un sistema de seguridad social, cobre aportaciones y emita recetas </w:t>
      </w:r>
      <w:r w:rsidRPr="0012597A">
        <w:rPr>
          <w:rFonts w:ascii="Times New Roman" w:eastAsia="Arial MT" w:hAnsi="Times New Roman" w:cs="Times New Roman"/>
          <w:sz w:val="24"/>
          <w:szCs w:val="24"/>
        </w:rPr>
        <w:lastRenderedPageBreak/>
        <w:t>médicas, pero deje a la persona derechohabiente sin una vía de resarcimiento cuando el medicamento no es suministrado y el tratamiento debe continuar por razones de inmediatez. La eficiencia presupuestaria no puede medirse sólo por el ahorro contable, sino por la capacidad del gasto público para cumplir materialmente con su finalidad: proteger la salud.</w:t>
      </w:r>
    </w:p>
    <w:p w14:paraId="4B0F3E7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22DD1AF4"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Desde la visión de Movimiento Ciudadano, esta iniciativa se inscribe en una concepción de justicia social que entiende la salud como un piso mínimo de igualdad real. Hablar de justicia social, en este contexto, no significa introducir una consigna partidista en el texto legal, sino afirmar un criterio rector de política pública: el costo de las fallas del sistema no debe recaer en quien menos margen tiene para absorberlo. Cuando una maestra, un policía, una enfermera, una trabajadora administrativa, un jubilado o una persona pensionada del servicio público mexiquense debe pagar de su bolsillo un medicamento recetado por su propia institución, el Estado social se debilita y la desigualdad se profundiza. La reforma propone exactamente lo contrario: que la ley repare, ordene y responsabilice.</w:t>
      </w:r>
    </w:p>
    <w:p w14:paraId="175FB871"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4E338A90"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16</w:t>
      </w:r>
      <w:r w:rsidRPr="0012597A">
        <w:rPr>
          <w:rFonts w:ascii="Times New Roman" w:eastAsia="Arial" w:hAnsi="Times New Roman" w:cs="Times New Roman"/>
          <w:sz w:val="20"/>
          <w:szCs w:val="24"/>
        </w:rPr>
        <w:t xml:space="preserve"> Órgano Superior de Fiscalización del Estado de México. (2024). </w:t>
      </w:r>
      <w:r w:rsidRPr="0012597A">
        <w:rPr>
          <w:rFonts w:ascii="Times New Roman" w:eastAsia="Arial" w:hAnsi="Times New Roman" w:cs="Times New Roman"/>
          <w:i/>
          <w:sz w:val="20"/>
          <w:szCs w:val="24"/>
        </w:rPr>
        <w:t>Informe de Resultados. Ejercicio Fiscal 2023. Auditoría de Cumplimiento Financiero. ISSEMyM</w:t>
      </w:r>
      <w:r w:rsidRPr="0012597A">
        <w:rPr>
          <w:rFonts w:ascii="Times New Roman" w:eastAsia="Arial" w:hAnsi="Times New Roman" w:cs="Times New Roman"/>
          <w:sz w:val="20"/>
          <w:szCs w:val="24"/>
        </w:rPr>
        <w:t>.</w:t>
      </w:r>
    </w:p>
    <w:p w14:paraId="2A57830A"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17</w:t>
      </w:r>
      <w:r w:rsidRPr="0012597A">
        <w:rPr>
          <w:rFonts w:ascii="Times New Roman" w:eastAsia="Arial" w:hAnsi="Times New Roman" w:cs="Times New Roman"/>
          <w:sz w:val="20"/>
          <w:szCs w:val="24"/>
        </w:rPr>
        <w:t xml:space="preserve"> Auditoría Superior de la Federación. (2024). </w:t>
      </w:r>
      <w:r w:rsidRPr="0012597A">
        <w:rPr>
          <w:rFonts w:ascii="Times New Roman" w:eastAsia="Arial" w:hAnsi="Times New Roman" w:cs="Times New Roman"/>
          <w:i/>
          <w:sz w:val="20"/>
          <w:szCs w:val="24"/>
        </w:rPr>
        <w:t>Adquisición consolidada de medicamentos y material de curación. Auditoría de Cumplimiento: 2022-1-12NAW-19-0140-2023</w:t>
      </w:r>
      <w:r w:rsidRPr="0012597A">
        <w:rPr>
          <w:rFonts w:ascii="Times New Roman" w:eastAsia="Arial" w:hAnsi="Times New Roman" w:cs="Times New Roman"/>
          <w:sz w:val="20"/>
          <w:szCs w:val="24"/>
        </w:rPr>
        <w:t>.</w:t>
      </w:r>
    </w:p>
    <w:p w14:paraId="7A4AF078"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18</w:t>
      </w:r>
      <w:r w:rsidRPr="0012597A">
        <w:rPr>
          <w:rFonts w:ascii="Times New Roman" w:eastAsia="Arial" w:hAnsi="Times New Roman" w:cs="Times New Roman"/>
          <w:sz w:val="20"/>
          <w:szCs w:val="24"/>
        </w:rPr>
        <w:t xml:space="preserve"> Cámara de Diputados del H. Congreso de la Unión. (2026). </w:t>
      </w:r>
      <w:r w:rsidRPr="0012597A">
        <w:rPr>
          <w:rFonts w:ascii="Times New Roman" w:eastAsia="Arial" w:hAnsi="Times New Roman" w:cs="Times New Roman"/>
          <w:i/>
          <w:sz w:val="20"/>
          <w:szCs w:val="24"/>
        </w:rPr>
        <w:t>Constitución Política de los Estados Unidos Mexicanos</w:t>
      </w:r>
      <w:r w:rsidRPr="0012597A">
        <w:rPr>
          <w:rFonts w:ascii="Times New Roman" w:eastAsia="Arial" w:hAnsi="Times New Roman" w:cs="Times New Roman"/>
          <w:sz w:val="20"/>
          <w:szCs w:val="24"/>
        </w:rPr>
        <w:t>, artículo 134.</w:t>
      </w:r>
    </w:p>
    <w:p w14:paraId="27F823A1"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757BB10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iniciativa también se justifica por razones de no discriminación indirecta. La falta de medicamentos no afecta a todas las personas por igual. Su impacto es más severo en quienes requieren tratamientos prolongados; en personas adultas mayores; en pacientes con diabetes, hipertensión, cáncer o enfermedades autoinmunes; en hogares con jefatura femenina; y en familias cuyo ingreso ya se encuentra comprometido por transporte, vivienda, alimentación y cuidados. Por ello, el reembolso no debe leerse como una medida meramente financiera, sino como una herramienta correctiva frente a un daño diferenciado que suele recaer en grupos que ya enfrentan barreras de acceso y vulnerabilidad económica.</w:t>
      </w:r>
      <w:r w:rsidRPr="0012597A">
        <w:rPr>
          <w:rFonts w:ascii="Times New Roman" w:eastAsia="Arial MT" w:hAnsi="Times New Roman" w:cs="Times New Roman"/>
          <w:color w:val="FF0000"/>
          <w:sz w:val="24"/>
          <w:szCs w:val="24"/>
          <w:vertAlign w:val="superscript"/>
        </w:rPr>
        <w:t>19</w:t>
      </w:r>
    </w:p>
    <w:p w14:paraId="254335B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E70246B"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cuanto al diseño normativo, la propuesta es prudente y compatible con la técnica legislativa exigible. No establece una obligación abierta, indeterminada o imposible de verificar. Por el contrario, exige: a) receta emitida por personal médico autorizado; b) comprobante fiscal del gasto; c) integración de expediente; d) informe de la unidad médica que emitió la receta; e) resolución fundada en la acreditación de la falta total o parcial del suministro; y f) atención sujeta al orden de recepción y a la suficiencia presupuestal. Con ello se evita un incentivo perverso para compras arbitrarias y, al mismo tiempo, se protege a la persona derechohabiente que actuó ante una omisión institucional verificable.</w:t>
      </w:r>
    </w:p>
    <w:p w14:paraId="4F31D12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4532569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Tampoco se trata de sustituir la obligación primaria del Instituto de surtir medicamentos por una política de reembolsos generalizados. La obligación principal sigue siendo garantizar el abasto oportuno. El reembolso es una medida subsidiaria, excepcional y reparadora frente a la falla del sistema. Su valor jurídico reside en que convierte una afectación normalmente invisibilizada en un procedimiento reconocible, documentado y exigible. Desde la administración pública, ello mejora la información; desde los derechos humanos, fortalece la exigibilidad; y desde la economía familiar, reduce el daño.</w:t>
      </w:r>
    </w:p>
    <w:p w14:paraId="3730648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68E4791"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Finalmente, esta Soberanía debe advertir que legislar en esta materia no sólo es jurídicamente posible, sino socialmente necesario. El derecho a la salud, la buena administración, la integridad </w:t>
      </w:r>
      <w:r w:rsidRPr="0012597A">
        <w:rPr>
          <w:rFonts w:ascii="Times New Roman" w:eastAsia="Arial MT" w:hAnsi="Times New Roman" w:cs="Times New Roman"/>
          <w:sz w:val="24"/>
          <w:szCs w:val="24"/>
        </w:rPr>
        <w:lastRenderedPageBreak/>
        <w:t>en las contrataciones públicas y la protección del ingreso familiar convergen en un mismo punto: ninguna persona derechohabiente del ISSEMyM debe verse obligada a elegir entre atender su padecimiento o comprometer la estabilidad económica de su hogar por una falla que no le es imputable. Cuando el medicamento prescrito no se entrega, el Estado no puede desentenderse del problema. Debe responder, reparar y corregir.</w:t>
      </w:r>
    </w:p>
    <w:p w14:paraId="2B5C776B"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55E135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todo lo anterior, se considera jurídicamente procedente y socialmente indispensable reformar la Ley de Seguridad Social para los Servidores Públicos del Estado de México y Municipios, a fin de establecer un procedimiento de reembolso por falta de medicamentos y tratamientos, con reglas claras, controles verificables y orientación protectora de derechos.</w:t>
      </w:r>
    </w:p>
    <w:p w14:paraId="5519F2A3"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5F7E29DC"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19</w:t>
      </w:r>
      <w:r w:rsidRPr="0012597A">
        <w:rPr>
          <w:rFonts w:ascii="Times New Roman" w:eastAsia="Arial" w:hAnsi="Times New Roman" w:cs="Times New Roman"/>
          <w:sz w:val="20"/>
          <w:szCs w:val="24"/>
        </w:rPr>
        <w:t xml:space="preserve"> Instituto Nacional de Estadística y Geografía. (2025). </w:t>
      </w:r>
      <w:r w:rsidRPr="0012597A">
        <w:rPr>
          <w:rFonts w:ascii="Times New Roman" w:eastAsia="Arial" w:hAnsi="Times New Roman" w:cs="Times New Roman"/>
          <w:i/>
          <w:sz w:val="20"/>
          <w:szCs w:val="24"/>
        </w:rPr>
        <w:t>Encuesta Nacional de Ingresos y Gastos de los Hogares (ENIGH) 2024</w:t>
      </w:r>
      <w:r w:rsidRPr="0012597A">
        <w:rPr>
          <w:rFonts w:ascii="Times New Roman" w:eastAsia="Arial" w:hAnsi="Times New Roman" w:cs="Times New Roman"/>
          <w:sz w:val="20"/>
          <w:szCs w:val="24"/>
        </w:rPr>
        <w:t xml:space="preserve">; Consejo Nacional de Evaluación de la Política de Desarrollo Social. (2022). </w:t>
      </w:r>
      <w:r w:rsidRPr="0012597A">
        <w:rPr>
          <w:rFonts w:ascii="Times New Roman" w:eastAsia="Arial" w:hAnsi="Times New Roman" w:cs="Times New Roman"/>
          <w:i/>
          <w:sz w:val="20"/>
          <w:szCs w:val="24"/>
        </w:rPr>
        <w:t>Nota informativa sobre la Evaluación Estratégica de Salud</w:t>
      </w:r>
      <w:r w:rsidRPr="0012597A">
        <w:rPr>
          <w:rFonts w:ascii="Times New Roman" w:eastAsia="Arial" w:hAnsi="Times New Roman" w:cs="Times New Roman"/>
          <w:sz w:val="20"/>
          <w:szCs w:val="24"/>
        </w:rPr>
        <w:t>.</w:t>
      </w:r>
    </w:p>
    <w:p w14:paraId="0618C42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7F2AB15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propuesta fortalece el carácter garantista de la seguridad social mexiquense, dota de contenido efectivo al derecho a la salud y coloca en el centro a las personas derechohabientes y a sus familias, bajo los principios de justicia social, progresividad, transparencia y responsabilidad pública.</w:t>
      </w:r>
    </w:p>
    <w:p w14:paraId="23E30D69"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88639B4"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previsión de suficiencia presupuestal incorporada en la propuesta no desnaturaliza el derecho que se tutela; al contrario, permite armonizar la protección de la persona derechohabiente con los principios de legalidad presupuestaria, disciplina financiera y programación del gasto.</w:t>
      </w:r>
    </w:p>
    <w:p w14:paraId="30608FF3"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037F23CA"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Esto supone reconocer que el reembolso debe operar con reglas de procedencia ciertas y con un cauce administrativo verificable, sin abrir espacios a discrecionalidad ni comprometer erogaciones carentes de soporte documental. La clave está en que el presupuesto no funcione como excusa para omitir la atención, sino como un deber de planeación que obligue al Instituto a medir, registrar y prever el costo real del no surtimiento de medicamentos.</w:t>
      </w:r>
    </w:p>
    <w:p w14:paraId="3F8CACF0"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2D341A4"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esa medida, la reforma puede producir un efecto virtuoso de gestión pública. Al registrar solicitudes, montos, claves faltantes, unidades médicas emisoras, tiempos de respuesta y reincidencias, el Instituto contará con información estratégica para detectar puntos críticos del abasto, proveedores incumplidos, fallas de distribución, insuficiencias de inventario y patrones territoriales o terapéuticos de desabasto. Dicho de otro modo: el reembolso no sólo compensa un daño ya ocasionado, sino que genera inteligencia institucional para prevenir su repetición. Esta dimensión es especialmente valiosa en sistemas complejos, donde el problema del abasto suele fragmentarse entre compra, almacén, farmacia, prescripción y supervisión.</w:t>
      </w:r>
    </w:p>
    <w:p w14:paraId="4D89EAD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3F0452F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También debe destacarse que la propuesta es congruente con el principio de progresividad. Si la obligación estatal consiste en avanzar, y no retroceder, en la protección efectiva del derecho a la salud, entonces el legislador local se encuentra habilitado para adoptar medidas que amplíen la tutela de las personas derechohabientes frente a fallas concretas del servicio. La creación de un procedimiento de reembolso no reduce prestaciones existentes ni traslada nuevas cargas irrazonables a la población usuaria; por el contrario, mejora el estándar de protección al reconocer que la continuidad terapéutica tiene una dimensión económica que la ley debe atender expresamente.</w:t>
      </w:r>
      <w:r w:rsidRPr="0012597A">
        <w:rPr>
          <w:rFonts w:ascii="Times New Roman" w:eastAsia="Arial MT" w:hAnsi="Times New Roman" w:cs="Times New Roman"/>
          <w:color w:val="FF0000"/>
          <w:sz w:val="24"/>
          <w:szCs w:val="24"/>
          <w:vertAlign w:val="superscript"/>
        </w:rPr>
        <w:t>20</w:t>
      </w:r>
    </w:p>
    <w:p w14:paraId="23F095EB"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5FB42253"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reforma también respeta el reparto institucional de competencias. No invade atribuciones federales en materia de salubridad general ni altera el régimen nacional de adquisiciones; se limita </w:t>
      </w:r>
      <w:r w:rsidRPr="0012597A">
        <w:rPr>
          <w:rFonts w:ascii="Times New Roman" w:eastAsia="Arial MT" w:hAnsi="Times New Roman" w:cs="Times New Roman"/>
          <w:sz w:val="24"/>
          <w:szCs w:val="24"/>
        </w:rPr>
        <w:lastRenderedPageBreak/>
        <w:t>a regular las consecuencias jurídicas que, dentro del ámbito de la seguridad social mexiquense, produce la omisión de suministrar medicamentos o tratamientos prescritos por la institución competente. Ello la vuelve una medida idónea, necesaria y proporcional: idónea porque atiende un problema verificable; necesaria porque hoy existe un vacío para resarcir el gasto efectuado por la persona derechohabiente; y proporcional porque condiciona el reembolso a receta institucional, comprobación fiscal, integración de expediente e informe de la unidad médica.</w:t>
      </w:r>
    </w:p>
    <w:p w14:paraId="1C95AEB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355C2674" w14:textId="77777777" w:rsidR="00BF3F81" w:rsidRPr="0012597A" w:rsidRDefault="00BF3F81" w:rsidP="00BF3F81">
      <w:pPr>
        <w:widowControl w:val="0"/>
        <w:autoSpaceDE w:val="0"/>
        <w:autoSpaceDN w:val="0"/>
        <w:spacing w:after="0" w:line="240" w:lineRule="auto"/>
        <w:jc w:val="both"/>
        <w:rPr>
          <w:rFonts w:ascii="Times New Roman" w:eastAsia="Arial" w:hAnsi="Times New Roman" w:cs="Times New Roman"/>
          <w:sz w:val="20"/>
          <w:szCs w:val="24"/>
        </w:rPr>
      </w:pPr>
      <w:r w:rsidRPr="0012597A">
        <w:rPr>
          <w:rFonts w:ascii="Times New Roman" w:eastAsia="Arial" w:hAnsi="Times New Roman" w:cs="Times New Roman"/>
          <w:color w:val="FF0000"/>
          <w:sz w:val="20"/>
          <w:szCs w:val="24"/>
          <w:vertAlign w:val="superscript"/>
        </w:rPr>
        <w:t>20</w:t>
      </w:r>
      <w:r w:rsidRPr="0012597A">
        <w:rPr>
          <w:rFonts w:ascii="Times New Roman" w:eastAsia="Arial" w:hAnsi="Times New Roman" w:cs="Times New Roman"/>
          <w:sz w:val="20"/>
          <w:szCs w:val="24"/>
        </w:rPr>
        <w:t xml:space="preserve"> Cámara de Diputados del H. Congreso de la Unión. (2026). </w:t>
      </w:r>
      <w:r w:rsidRPr="0012597A">
        <w:rPr>
          <w:rFonts w:ascii="Times New Roman" w:eastAsia="Arial" w:hAnsi="Times New Roman" w:cs="Times New Roman"/>
          <w:i/>
          <w:sz w:val="20"/>
          <w:szCs w:val="24"/>
        </w:rPr>
        <w:t>Constitución Política de los Estados Unidos Mexicanos</w:t>
      </w:r>
      <w:r w:rsidRPr="0012597A">
        <w:rPr>
          <w:rFonts w:ascii="Times New Roman" w:eastAsia="Arial" w:hAnsi="Times New Roman" w:cs="Times New Roman"/>
          <w:sz w:val="20"/>
          <w:szCs w:val="24"/>
        </w:rPr>
        <w:t xml:space="preserve">, artículo 1o.; Comité de Derechos Económicos, Sociales y Culturales. (2000). </w:t>
      </w:r>
      <w:r w:rsidRPr="0012597A">
        <w:rPr>
          <w:rFonts w:ascii="Times New Roman" w:eastAsia="Arial" w:hAnsi="Times New Roman" w:cs="Times New Roman"/>
          <w:i/>
          <w:sz w:val="20"/>
          <w:szCs w:val="24"/>
        </w:rPr>
        <w:t>Observación general núm. 14: El derecho al disfrute del más alto nivel posible de salud (artículo 12 del PIDESC)</w:t>
      </w:r>
      <w:r w:rsidRPr="0012597A">
        <w:rPr>
          <w:rFonts w:ascii="Times New Roman" w:eastAsia="Arial" w:hAnsi="Times New Roman" w:cs="Times New Roman"/>
          <w:sz w:val="20"/>
          <w:szCs w:val="24"/>
        </w:rPr>
        <w:t>.</w:t>
      </w:r>
    </w:p>
    <w:p w14:paraId="2B3BFBA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3732AC8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virtud de lo anterior la presente propuesta representa una respuesta jurídicamente viable, socialmente necesaria y financieramente responsable frente a una problemática que afecta de manera directa la salud, la dignidad y la economía de las familias mexiquenses. Garantizar el reembolso de medicamentos y tratamientos no suministrados por la institución no constituye una concesión extraordinaria, sino una medida mínima de justicia administrativa y de protección efectiva del derecho humano a la salud.</w:t>
      </w:r>
    </w:p>
    <w:p w14:paraId="2E12B0D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E16AEC7"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Desde la visión de Movimiento Ciudadano, legislar en esta materia implica colocar a las personas en el centro de la acción pública, combatir las omisiones institucionales que profundizan la desigualdad y avanzar hacia un modelo de seguridad social más humano, transparente y solidario, en el que el Estado asuma plenamente su responsabilidad frente a quienes han depositado en sus instituciones la tutela de su bienestar.</w:t>
      </w:r>
    </w:p>
    <w:p w14:paraId="673BC223"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7A939B3E"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tbl>
      <w:tblPr>
        <w:tblStyle w:val="TableNormal5"/>
        <w:tblW w:w="9420" w:type="dxa"/>
        <w:jc w:val="center"/>
        <w:tblLayout w:type="fixed"/>
        <w:tblLook w:val="01E0" w:firstRow="1" w:lastRow="1" w:firstColumn="1" w:lastColumn="1" w:noHBand="0" w:noVBand="0"/>
      </w:tblPr>
      <w:tblGrid>
        <w:gridCol w:w="4468"/>
        <w:gridCol w:w="4952"/>
      </w:tblGrid>
      <w:tr w:rsidR="00BF3F81" w:rsidRPr="0012597A" w14:paraId="58F48136" w14:textId="77777777" w:rsidTr="002C1293">
        <w:trPr>
          <w:trHeight w:val="20"/>
          <w:jc w:val="center"/>
        </w:trPr>
        <w:tc>
          <w:tcPr>
            <w:tcW w:w="4468" w:type="dxa"/>
          </w:tcPr>
          <w:p w14:paraId="1CBF6FD6" w14:textId="77777777" w:rsidR="00BF3F81" w:rsidRPr="0012597A" w:rsidRDefault="00BF3F81" w:rsidP="00BF3F81">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DIP. RUTH SALINAS REYES</w:t>
            </w:r>
          </w:p>
        </w:tc>
        <w:tc>
          <w:tcPr>
            <w:tcW w:w="4952" w:type="dxa"/>
          </w:tcPr>
          <w:p w14:paraId="77321FA2" w14:textId="77777777" w:rsidR="00BF3F81" w:rsidRPr="0012597A" w:rsidRDefault="00BF3F81" w:rsidP="00BF3F81">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DIP. MARICELA BELTRÁN SÁNCHEZ</w:t>
            </w:r>
          </w:p>
        </w:tc>
      </w:tr>
      <w:tr w:rsidR="00BF3F81" w:rsidRPr="0012597A" w14:paraId="79724FD6" w14:textId="77777777" w:rsidTr="002C1293">
        <w:trPr>
          <w:trHeight w:val="20"/>
          <w:jc w:val="center"/>
        </w:trPr>
        <w:tc>
          <w:tcPr>
            <w:tcW w:w="4468" w:type="dxa"/>
          </w:tcPr>
          <w:p w14:paraId="370DDC18" w14:textId="77777777" w:rsidR="00BF3F81" w:rsidRPr="0012597A" w:rsidRDefault="00BF3F81" w:rsidP="00BF3F81">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DIP. MARTÍN ZEPEDA HERNÁNDEZ</w:t>
            </w:r>
          </w:p>
        </w:tc>
        <w:tc>
          <w:tcPr>
            <w:tcW w:w="4952" w:type="dxa"/>
          </w:tcPr>
          <w:p w14:paraId="29C158A4" w14:textId="77777777" w:rsidR="00BF3F81" w:rsidRPr="0012597A" w:rsidRDefault="00BF3F81" w:rsidP="00BF3F81">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DIP. JUAN MANUEL ZEPEDA HERNÁNDEZ</w:t>
            </w:r>
          </w:p>
        </w:tc>
      </w:tr>
      <w:tr w:rsidR="00BF3F81" w:rsidRPr="0012597A" w14:paraId="58240C86" w14:textId="77777777" w:rsidTr="002C1293">
        <w:trPr>
          <w:trHeight w:val="20"/>
          <w:jc w:val="center"/>
        </w:trPr>
        <w:tc>
          <w:tcPr>
            <w:tcW w:w="9420" w:type="dxa"/>
            <w:gridSpan w:val="2"/>
          </w:tcPr>
          <w:p w14:paraId="316DB0CA" w14:textId="77777777" w:rsidR="00BF3F81" w:rsidRPr="0012597A" w:rsidRDefault="00BF3F81" w:rsidP="00BF3F81">
            <w:pPr>
              <w:spacing w:line="240" w:lineRule="auto"/>
              <w:jc w:val="center"/>
              <w:rPr>
                <w:rFonts w:ascii="Times New Roman" w:eastAsia="Arial" w:hAnsi="Times New Roman" w:cs="Times New Roman"/>
                <w:b/>
                <w:sz w:val="24"/>
                <w:szCs w:val="24"/>
                <w:lang w:val="es-MX"/>
              </w:rPr>
            </w:pPr>
            <w:r w:rsidRPr="0012597A">
              <w:rPr>
                <w:rFonts w:ascii="Times New Roman" w:eastAsia="Arial" w:hAnsi="Times New Roman" w:cs="Times New Roman"/>
                <w:b/>
                <w:sz w:val="24"/>
                <w:szCs w:val="24"/>
                <w:lang w:val="es-MX"/>
              </w:rPr>
              <w:t>Integrantes del Grupo Parlamentario de Movimiento Ciudadano de la LXII Legislatura del Estado de México</w:t>
            </w:r>
          </w:p>
        </w:tc>
      </w:tr>
    </w:tbl>
    <w:p w14:paraId="7A015408"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2001B191"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7C05C87C" w14:textId="77777777" w:rsidR="00BF3F81" w:rsidRPr="0012597A" w:rsidRDefault="00BF3F81" w:rsidP="005F226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PROYECTO DE DECRETO</w:t>
      </w:r>
    </w:p>
    <w:p w14:paraId="04E941D3"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038EEA09"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H.LXII Legislatura del Estado de México</w:t>
      </w:r>
    </w:p>
    <w:p w14:paraId="1CB51F75"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Decreta:</w:t>
      </w:r>
    </w:p>
    <w:p w14:paraId="6B848A37"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56B7617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UNÍCO. – Se reforma el artículo 47 y se adicionan la sección primera bis así como los artículos 57 bis, 57 ter, 57 quarte, 57 quinquies y 57 sexties a la Ley de Seguridad Social para los Servidores Públicos del Estado de México y Municipios, para quedar de la siguiente manera:</w:t>
      </w:r>
    </w:p>
    <w:p w14:paraId="54229A8C"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4E8FCCEB"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Ley de Seguridad Social para los Servidores Públicos del Estado de México y Municipios</w:t>
      </w:r>
    </w:p>
    <w:p w14:paraId="7DB527F6"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29CB0B5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ARTICULO 47.- En casos de extrema urgencia, </w:t>
      </w:r>
      <w:r w:rsidRPr="0012597A">
        <w:rPr>
          <w:rFonts w:ascii="Times New Roman" w:eastAsia="Arial MT" w:hAnsi="Times New Roman" w:cs="Times New Roman"/>
          <w:b/>
          <w:sz w:val="24"/>
          <w:szCs w:val="24"/>
        </w:rPr>
        <w:t>la imposibilidad plenamente comprobada de acudir a los servicios de salud que presta el Instituto o falta de medicamentos, insumos o tratamientos</w:t>
      </w:r>
      <w:r w:rsidRPr="0012597A">
        <w:rPr>
          <w:rFonts w:ascii="Times New Roman" w:eastAsia="Arial MT" w:hAnsi="Times New Roman" w:cs="Times New Roman"/>
          <w:sz w:val="24"/>
          <w:szCs w:val="24"/>
        </w:rPr>
        <w:t xml:space="preserve">, los derechohabientes podrán asistir a otras instituciones, preferentemente públicas y por excepción en las de tipo privado y solicitar posteriormente, el reembolso de los gastos efectuados, para lo cual deberán presentar la comprobación respectiva y cumplir los demás requisitos que establezcan las disposiciones reglamentarias de esta ley. En ningún caso, el reintegro </w:t>
      </w:r>
      <w:r w:rsidRPr="0012597A">
        <w:rPr>
          <w:rFonts w:ascii="Times New Roman" w:eastAsia="Arial MT" w:hAnsi="Times New Roman" w:cs="Times New Roman"/>
          <w:sz w:val="24"/>
          <w:szCs w:val="24"/>
        </w:rPr>
        <w:lastRenderedPageBreak/>
        <w:t>podrá exceder a las tarifas máximas autorizadas.</w:t>
      </w:r>
    </w:p>
    <w:p w14:paraId="6D7EF5EC"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w:t>
      </w:r>
    </w:p>
    <w:p w14:paraId="3AAD5F76"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28340E1B"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Sección Primera Bis</w:t>
      </w:r>
    </w:p>
    <w:p w14:paraId="700DEC49" w14:textId="77777777" w:rsidR="00BF3F81" w:rsidRPr="0012597A" w:rsidRDefault="00BF3F81" w:rsidP="00BF3F81">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Pago por Reembolso de Medicamentos y Tratamientos</w:t>
      </w:r>
    </w:p>
    <w:p w14:paraId="612E9B7D"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540FE4B3"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57 bis.- El Instituto cubrirá el pago, vía reembolso, de los costos de los medicamentos o tratamientos que no proporcione gratuitamente a sus derechohabientes y que, por esta razón de inmediatez, tengan que ser adquiridos en instituciones o establecimientos farmacéuticos privados.</w:t>
      </w:r>
    </w:p>
    <w:p w14:paraId="00B8DA84" w14:textId="77777777" w:rsidR="00C976F9" w:rsidRPr="0012597A" w:rsidRDefault="00C976F9" w:rsidP="00BF3F81">
      <w:pPr>
        <w:widowControl w:val="0"/>
        <w:autoSpaceDE w:val="0"/>
        <w:autoSpaceDN w:val="0"/>
        <w:spacing w:after="0" w:line="240" w:lineRule="auto"/>
        <w:jc w:val="both"/>
        <w:rPr>
          <w:rFonts w:ascii="Times New Roman" w:eastAsia="Arial MT" w:hAnsi="Times New Roman" w:cs="Times New Roman"/>
          <w:b/>
          <w:sz w:val="24"/>
          <w:szCs w:val="24"/>
        </w:rPr>
      </w:pPr>
    </w:p>
    <w:p w14:paraId="00C57C26" w14:textId="0A6C8862"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57 ter. La persona derechohabiente que solicite el reembolso por la adquisición de medicamentos que no le hubieren sido suministrados por la institución, deberá presentar la solicitud correspondiente, preferentemente por medios electrónicos, o en su defecto, por escrito, acompañada de:</w:t>
      </w:r>
    </w:p>
    <w:p w14:paraId="33387E7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19589212" w14:textId="77777777" w:rsidR="00BF3F81" w:rsidRPr="0012597A" w:rsidRDefault="00BF3F81" w:rsidP="0012453E">
      <w:pPr>
        <w:widowControl w:val="0"/>
        <w:numPr>
          <w:ilvl w:val="0"/>
          <w:numId w:val="43"/>
        </w:numPr>
        <w:autoSpaceDE w:val="0"/>
        <w:autoSpaceDN w:val="0"/>
        <w:spacing w:after="0" w:line="240" w:lineRule="auto"/>
        <w:ind w:left="0" w:firstLine="0"/>
        <w:rPr>
          <w:rFonts w:ascii="Times New Roman" w:eastAsia="Arial" w:hAnsi="Times New Roman" w:cs="Times New Roman"/>
          <w:b/>
          <w:sz w:val="24"/>
          <w:szCs w:val="24"/>
        </w:rPr>
      </w:pPr>
      <w:r w:rsidRPr="0012597A">
        <w:rPr>
          <w:rFonts w:ascii="Times New Roman" w:eastAsia="Arial" w:hAnsi="Times New Roman" w:cs="Times New Roman"/>
          <w:b/>
          <w:sz w:val="24"/>
          <w:szCs w:val="24"/>
        </w:rPr>
        <w:t>La receta médica expedida por personal médico autorizado de la institución; y</w:t>
      </w:r>
    </w:p>
    <w:p w14:paraId="75E87EA9" w14:textId="77777777" w:rsidR="00BF3F81" w:rsidRPr="0012597A" w:rsidRDefault="00BF3F81" w:rsidP="0012453E">
      <w:pPr>
        <w:widowControl w:val="0"/>
        <w:numPr>
          <w:ilvl w:val="0"/>
          <w:numId w:val="43"/>
        </w:numPr>
        <w:autoSpaceDE w:val="0"/>
        <w:autoSpaceDN w:val="0"/>
        <w:spacing w:after="0" w:line="240" w:lineRule="auto"/>
        <w:ind w:left="0" w:firstLine="0"/>
        <w:jc w:val="both"/>
        <w:rPr>
          <w:rFonts w:ascii="Times New Roman" w:eastAsia="Arial" w:hAnsi="Times New Roman" w:cs="Times New Roman"/>
          <w:b/>
          <w:sz w:val="24"/>
          <w:szCs w:val="24"/>
        </w:rPr>
      </w:pPr>
      <w:r w:rsidRPr="0012597A">
        <w:rPr>
          <w:rFonts w:ascii="Times New Roman" w:eastAsia="Arial" w:hAnsi="Times New Roman" w:cs="Times New Roman"/>
          <w:b/>
          <w:sz w:val="24"/>
          <w:szCs w:val="24"/>
        </w:rPr>
        <w:t>El comprobante fiscal que acredite la erogación efectuada por la adquisición de los medicamentos no proporcionados.</w:t>
      </w:r>
    </w:p>
    <w:p w14:paraId="735011D7"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61C951A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Artículo 57 </w:t>
      </w:r>
      <w:proofErr w:type="spellStart"/>
      <w:r w:rsidRPr="0012597A">
        <w:rPr>
          <w:rFonts w:ascii="Times New Roman" w:eastAsia="Arial MT" w:hAnsi="Times New Roman" w:cs="Times New Roman"/>
          <w:b/>
          <w:sz w:val="24"/>
          <w:szCs w:val="24"/>
        </w:rPr>
        <w:t>quater</w:t>
      </w:r>
      <w:proofErr w:type="spellEnd"/>
      <w:r w:rsidRPr="0012597A">
        <w:rPr>
          <w:rFonts w:ascii="Times New Roman" w:eastAsia="Arial MT" w:hAnsi="Times New Roman" w:cs="Times New Roman"/>
          <w:b/>
          <w:sz w:val="24"/>
          <w:szCs w:val="24"/>
        </w:rPr>
        <w:t>. Recibida la solicitud, el Instituto deberá integrar el expediente respectivo dentro de un plazo no mayor a cinco días hábiles.</w:t>
      </w:r>
    </w:p>
    <w:p w14:paraId="034F3B55"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11A3EB6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Integrado el expediente, el Instituto requerirá a la clínica, hospital o unidad médica que hubiere emitido la receta, para que, dentro del plazo de cinco días hábiles, remita el informe correspondiente en el que precise si los medicamentos prescritos fueron suministrados total o parcialmente a la persona solicitante.</w:t>
      </w:r>
    </w:p>
    <w:p w14:paraId="588B42E9"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7192C9B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Cuando la unidad médica requerida no remita el informe en el plazo señalado, el Instituto la requerirá por una sola ocasión para que lo presente dentro de los cinco días hábiles siguientes.</w:t>
      </w:r>
    </w:p>
    <w:p w14:paraId="27519952"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 persistir la omisión, el Instituto dará vista al Órgano Interno de Control competente para los efectos administrativos conducentes.</w:t>
      </w:r>
    </w:p>
    <w:p w14:paraId="0073B3D6"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71C6D26F"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57 quinquies. Una vez recibido el informe a que se refiere el artículo anterior, y acreditada la falta total o parcial en el suministro de los medicamentos prescritos, el Instituto emitirá la determinación que corresponda y, en su caso, autorizará el reembolso a favor de la persona derechohabiente por el monto efectivamente erogado, conforme a la documentación comprobatoria exhibida.</w:t>
      </w:r>
    </w:p>
    <w:p w14:paraId="7383E74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264C9D62"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El pago del reembolso se realizará a través del medio señalado por la persona solicitante en su petición, en términos de las disposiciones administrativas aplicables.</w:t>
      </w:r>
    </w:p>
    <w:p w14:paraId="643E858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4D9660F7"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Artículo 57 sexties. Las solicitudes de reembolso previstas en este Capítulo se atenderán y resolverán conforme al orden de su recepción.</w:t>
      </w:r>
    </w:p>
    <w:p w14:paraId="1D12CF68"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75AB7CEE"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El otorgamiento del reembolso estará sujeto a la disponibilidad y suficiencia presupuestal del Instituto, de conformidad con la normatividad aplicable.</w:t>
      </w:r>
    </w:p>
    <w:p w14:paraId="4EE4A07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33ED8FC9" w14:textId="77777777" w:rsidR="00BF3F81" w:rsidRPr="0012597A" w:rsidRDefault="00BF3F81" w:rsidP="00BF3F8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T R A N S I T O R I O S</w:t>
      </w:r>
    </w:p>
    <w:p w14:paraId="3BB1EA96"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33814ACB"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b/>
          <w:sz w:val="24"/>
          <w:szCs w:val="24"/>
        </w:rPr>
        <w:t>PRIMERO</w:t>
      </w:r>
      <w:r w:rsidRPr="0012597A">
        <w:rPr>
          <w:rFonts w:ascii="Times New Roman" w:eastAsia="Arial MT" w:hAnsi="Times New Roman" w:cs="Times New Roman"/>
          <w:sz w:val="24"/>
          <w:szCs w:val="24"/>
        </w:rPr>
        <w:t>. Publíquese el presente Decreto en el Periódico Oficial, “Gaceta del Gobierno”.</w:t>
      </w:r>
    </w:p>
    <w:p w14:paraId="021F2079"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b/>
          <w:sz w:val="24"/>
          <w:szCs w:val="24"/>
        </w:rPr>
      </w:pPr>
    </w:p>
    <w:p w14:paraId="7F2D6372"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14:paraId="0B4D140A"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b/>
          <w:sz w:val="24"/>
          <w:szCs w:val="24"/>
        </w:rPr>
      </w:pPr>
    </w:p>
    <w:p w14:paraId="27068559"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El Instituto emitirá el Reglamento, Lineamientos y normativa necesaria para la adecuada operación del pago por reembolso de medicamentos y tratamientos a sus derechohabientes del presente decreto en un periodo no mayor a 180 días hábiles.</w:t>
      </w:r>
    </w:p>
    <w:p w14:paraId="40366646"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p>
    <w:p w14:paraId="01FE5517" w14:textId="77777777" w:rsidR="00BF3F81" w:rsidRPr="0012597A" w:rsidRDefault="00BF3F81" w:rsidP="00BF3F81">
      <w:pPr>
        <w:widowControl w:val="0"/>
        <w:autoSpaceDE w:val="0"/>
        <w:autoSpaceDN w:val="0"/>
        <w:spacing w:after="0" w:line="240" w:lineRule="auto"/>
        <w:rPr>
          <w:rFonts w:ascii="Times New Roman" w:eastAsia="Arial MT" w:hAnsi="Times New Roman" w:cs="Times New Roman"/>
          <w:sz w:val="24"/>
          <w:szCs w:val="24"/>
        </w:rPr>
      </w:pPr>
      <w:r w:rsidRPr="0012597A">
        <w:rPr>
          <w:rFonts w:ascii="Times New Roman" w:eastAsia="Arial MT" w:hAnsi="Times New Roman" w:cs="Times New Roman"/>
          <w:sz w:val="24"/>
          <w:szCs w:val="24"/>
        </w:rPr>
        <w:t>Lo tendrá entendido la Gobernadora del Estado, haciendo que se publique y se cumpla.</w:t>
      </w:r>
    </w:p>
    <w:p w14:paraId="1512F5AD"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p>
    <w:p w14:paraId="1367A8AC" w14:textId="77777777" w:rsidR="00BF3F81" w:rsidRPr="0012597A" w:rsidRDefault="00BF3F81" w:rsidP="00BF3F81">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Capital del Estado de México, a los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días del mes de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del año dos mil veintiséis.</w:t>
      </w:r>
    </w:p>
    <w:p w14:paraId="58125197" w14:textId="77777777" w:rsidR="009B2232" w:rsidRPr="0012597A" w:rsidRDefault="009B2232" w:rsidP="007F283E">
      <w:pPr>
        <w:spacing w:after="0" w:line="240" w:lineRule="auto"/>
        <w:jc w:val="center"/>
        <w:rPr>
          <w:rFonts w:ascii="Times New Roman" w:hAnsi="Times New Roman"/>
          <w:sz w:val="24"/>
          <w:szCs w:val="24"/>
        </w:rPr>
      </w:pPr>
    </w:p>
    <w:p w14:paraId="51D0FB53" w14:textId="77777777" w:rsidR="009B2232" w:rsidRPr="0012597A" w:rsidRDefault="009B2232"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59468774" w14:textId="77777777" w:rsidR="009B2232" w:rsidRPr="0012597A" w:rsidRDefault="009B2232" w:rsidP="007F283E">
      <w:pPr>
        <w:spacing w:after="0" w:line="240" w:lineRule="auto"/>
        <w:jc w:val="center"/>
        <w:rPr>
          <w:rFonts w:ascii="Times New Roman" w:hAnsi="Times New Roman"/>
          <w:sz w:val="24"/>
          <w:szCs w:val="24"/>
        </w:rPr>
      </w:pPr>
    </w:p>
    <w:p w14:paraId="47D20256" w14:textId="479DD036"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kern w:val="2"/>
          <w:sz w:val="24"/>
          <w:szCs w:val="24"/>
          <w:lang w:eastAsia="es-MX"/>
        </w:rPr>
        <w:t xml:space="preserve">PRESIDENTA DIP. MARTHA AZUCENA CAMACHO REYNOSO. </w:t>
      </w:r>
      <w:r w:rsidRPr="0012597A">
        <w:rPr>
          <w:rFonts w:ascii="Times New Roman" w:hAnsi="Times New Roman" w:cs="Times New Roman"/>
          <w:sz w:val="24"/>
          <w:szCs w:val="24"/>
        </w:rPr>
        <w:t xml:space="preserve">Gracias Diputada Maricela Beltrán Sánchez. </w:t>
      </w:r>
    </w:p>
    <w:p w14:paraId="5EB068B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Se registra la iniciativa y se remite a las Comisiones Legislativas de Trabajo, Previsión y Seguridad Social y de Salud, Asistencia y Bienestar Social, para su estudio y dictamen. </w:t>
      </w:r>
    </w:p>
    <w:p w14:paraId="30AD4B2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En cuanto al punto número 20, la diputada Ruth Salinas Reyes, leerá la </w:t>
      </w:r>
      <w:r w:rsidRPr="0012597A">
        <w:rPr>
          <w:rFonts w:ascii="Times New Roman" w:hAnsi="Times New Roman" w:cs="Times New Roman"/>
          <w:bCs/>
          <w:sz w:val="24"/>
          <w:szCs w:val="24"/>
        </w:rPr>
        <w:t xml:space="preserve">Iniciativa </w:t>
      </w:r>
      <w:r w:rsidRPr="0012597A">
        <w:rPr>
          <w:rFonts w:ascii="Times New Roman" w:hAnsi="Times New Roman" w:cs="Times New Roman"/>
          <w:sz w:val="24"/>
          <w:szCs w:val="24"/>
        </w:rPr>
        <w:t xml:space="preserve">con Proyecto de Decreto que reforma y adiciona diversas disposiciones de la </w:t>
      </w:r>
      <w:r w:rsidRPr="0012597A">
        <w:rPr>
          <w:rFonts w:ascii="Times New Roman" w:hAnsi="Times New Roman" w:cs="Times New Roman"/>
          <w:bCs/>
          <w:sz w:val="24"/>
          <w:szCs w:val="24"/>
        </w:rPr>
        <w:t xml:space="preserve">Ley de Movilidad y Seguridad Vial del Estado de México </w:t>
      </w:r>
      <w:r w:rsidRPr="0012597A">
        <w:rPr>
          <w:rFonts w:ascii="Times New Roman" w:hAnsi="Times New Roman" w:cs="Times New Roman"/>
          <w:sz w:val="24"/>
          <w:szCs w:val="24"/>
        </w:rPr>
        <w:t xml:space="preserve">y del </w:t>
      </w:r>
      <w:r w:rsidRPr="0012597A">
        <w:rPr>
          <w:rFonts w:ascii="Times New Roman" w:hAnsi="Times New Roman" w:cs="Times New Roman"/>
          <w:bCs/>
          <w:sz w:val="24"/>
          <w:szCs w:val="24"/>
        </w:rPr>
        <w:t>Código Administrativo del Estado de México</w:t>
      </w:r>
      <w:r w:rsidRPr="0012597A">
        <w:rPr>
          <w:rFonts w:ascii="Times New Roman" w:hAnsi="Times New Roman" w:cs="Times New Roman"/>
          <w:sz w:val="24"/>
          <w:szCs w:val="24"/>
        </w:rPr>
        <w:t xml:space="preserve">, en materia de garantías de seguridad para los operadores y usuarios de los servicios electrónicos de transporte privado de personas, presentada por las y los integrantes del Grupo Parlamentario del Partido Movimiento Ciudadano. </w:t>
      </w:r>
    </w:p>
    <w:p w14:paraId="0328225C" w14:textId="77777777" w:rsidR="00791E2D" w:rsidRPr="0012597A" w:rsidRDefault="00791E2D" w:rsidP="00EF1C7F">
      <w:pPr>
        <w:pStyle w:val="Default"/>
        <w:jc w:val="both"/>
        <w:rPr>
          <w:rFonts w:ascii="Times New Roman" w:hAnsi="Times New Roman" w:cs="Times New Roman"/>
          <w:color w:val="auto"/>
        </w:rPr>
      </w:pPr>
      <w:r w:rsidRPr="0012597A">
        <w:rPr>
          <w:rFonts w:ascii="Times New Roman" w:hAnsi="Times New Roman" w:cs="Times New Roman"/>
          <w:color w:val="auto"/>
        </w:rPr>
        <w:tab/>
        <w:t xml:space="preserve">En cuanto al punto número 21, la diputada Araceli Casasola Salazar, leerá la </w:t>
      </w:r>
      <w:r w:rsidRPr="0012597A">
        <w:rPr>
          <w:rFonts w:ascii="Times New Roman" w:hAnsi="Times New Roman" w:cs="Times New Roman"/>
          <w:bCs/>
          <w:color w:val="auto"/>
        </w:rPr>
        <w:t xml:space="preserve">Iniciativa </w:t>
      </w:r>
      <w:r w:rsidRPr="0012597A">
        <w:rPr>
          <w:rFonts w:ascii="Times New Roman" w:hAnsi="Times New Roman" w:cs="Times New Roman"/>
          <w:color w:val="auto"/>
        </w:rPr>
        <w:t xml:space="preserve">con Proyecto de Decreto por el que se reforman y adicionan diversas disposiciones de la </w:t>
      </w:r>
      <w:r w:rsidRPr="0012597A">
        <w:rPr>
          <w:rFonts w:ascii="Times New Roman" w:hAnsi="Times New Roman" w:cs="Times New Roman"/>
          <w:bCs/>
          <w:color w:val="auto"/>
        </w:rPr>
        <w:t>Ley para Prevenir, Combatir y Eliminar Actos de Discriminación en el Estado de México</w:t>
      </w:r>
      <w:r w:rsidRPr="0012597A">
        <w:rPr>
          <w:rFonts w:ascii="Times New Roman" w:hAnsi="Times New Roman" w:cs="Times New Roman"/>
          <w:color w:val="auto"/>
        </w:rPr>
        <w:t xml:space="preserve">, en materia de personas neurodivergentes, presentado por el Diputado Omar Ortega Álvarez y la Diputada Araceli Casasola Salazar, en nombre del Grupo Parlamentario del Partido de la Revolución Democrática. </w:t>
      </w:r>
    </w:p>
    <w:p w14:paraId="35BAD015"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DIP. ARACELI CASASOLA SALAZAR. Muchísimas gracias Presidenta. </w:t>
      </w:r>
    </w:p>
    <w:p w14:paraId="5ACD72FF"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Con el permiso de la presidenta de mis compañeros que integran esta Mesa y a todos mis compañeras y compañeros y compañere diputados de esta LXII Legislatura. </w:t>
      </w:r>
    </w:p>
    <w:p w14:paraId="16C1886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Saludo con mucho respeto a quien nos siguen a través de las diferentes plataformas digitales, Sean todos muy bienvenidos.</w:t>
      </w:r>
    </w:p>
    <w:p w14:paraId="199B13F1"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La presente iniciativa de reforma tiene como finalidad actualizar y fortalecer el marco jurídico en materia de derechos humanos en el Estado de México, a través de la incorporación de nuevas formas de discriminación y el reconocimiento de grupos históricamente vulnerables.</w:t>
      </w:r>
    </w:p>
    <w:p w14:paraId="6D58B853"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La discriminación como bien sabemos, es una práctica cotidiana que consiste en dar un trato desfavorable o de desprecio inmerecido a determinado grupo de personas, y que en ocasiones no es percibida. En el Estado de México es una problemática persistente que afecta a diversos grupos sociales, evidenciando desigualdades estructurales en el acceso a derechos y oportunidades.</w:t>
      </w:r>
    </w:p>
    <w:p w14:paraId="7FA435B2"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A pesar de los avances normativos que ya han estado implementados, en las políticas públicas sigue siendo un desafío; y he de nombrar yo que en la Encuesta Nacional sobre Discriminación realizada por el INEGI nos da el 24.7% que de la población mexiquense de 18 años y más declaró haber sido víctima de algún acto discriminatorio en los últimos 12 meses; este </w:t>
      </w:r>
      <w:r w:rsidRPr="0012597A">
        <w:rPr>
          <w:rFonts w:ascii="Times New Roman" w:hAnsi="Times New Roman" w:cs="Times New Roman"/>
          <w:sz w:val="24"/>
          <w:szCs w:val="24"/>
        </w:rPr>
        <w:lastRenderedPageBreak/>
        <w:t>porcentaje es superior al índice de nacional promedio, que es el 23.7. Entre los grupos más afectados se encuentran obviamente:</w:t>
      </w:r>
    </w:p>
    <w:p w14:paraId="59ACDD15"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Las mujeres con el 26% reportando haber sido discriminadas, destacando la discriminación por género como una problemática significativa. Eso siempre, ya lo hemos sabido.</w:t>
      </w:r>
    </w:p>
    <w:p w14:paraId="57AA4C5D"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Personas con discapacidad: que este grupo enfrenta barreras con diversos ámbitos, incluyendo la educación y el empleo, debido a la falta de accesibilidad y sensibilidad por parte de los ciudadanos.</w:t>
      </w:r>
    </w:p>
    <w:p w14:paraId="3B406E8B"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Poblaciones indígenas y afrodescendientes: a pesar de ser un grupo minoritario, estas comunidades enfrentan estigmatización y exclusión social, especialmente en áreas rurales, donde el Estado debe ser garante de sus derechos humanos. Y cumplir con los retos tecnológicos y sociales, asegurando una nueva visión a la tecnología y al acceso a plataformas digitales, ya que son hoy por hoy parte fundamental de la educación, la libertad de expresión, la participación política y el acceso de servicios públicos. </w:t>
      </w:r>
    </w:p>
    <w:p w14:paraId="31DD8D69"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Sin embargo, persisten brechas significativas que impiden que ciertos sectores de la población, particularmente en zonas rurales, con bajos recursos o con discapacidades, accedan en igualdad de condiciones a estas herramientas. Además, en el entorno digital proliferan prácticas discriminatorias como el ciberacoso, el discurso de odio y la exclusión digital sistemática. </w:t>
      </w:r>
    </w:p>
    <w:p w14:paraId="1B86B07E"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Es urgente reconocer jurídicamente la discriminación digital como una forma de violencia estructural que deba ser combatida con políticas públicas concretas, miles de personas en el Estado de México viven con condiciones neurodivergentes como es el trastorno del espectro autista y también el Trastorno por Déficit de Atención con Hiperactividad y dislexia, entre otros, por mencionar algunos. </w:t>
      </w:r>
    </w:p>
    <w:p w14:paraId="192D7FDB"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Estas condiciones, lejos de ser discapacidad en sí misma, son formas distintas de percibir y procesar el mundo; sin embargo, estas personas enfrentan barreras estructurales en el ámbito de educación, el empleo y la salud. </w:t>
      </w:r>
    </w:p>
    <w:p w14:paraId="018EC33D"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La ley actual no contempla de forma explícita la diversidad neurodivergente, lo que contribuye a su invisibilización y desprotección siendo indispensable que en el marco legal reconozca y proteja esta población, promoviendo ajustes razonables y una cultura de inclusión desde un enfoque de derechos humanos. </w:t>
      </w:r>
    </w:p>
    <w:p w14:paraId="5CE4A3FF"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Por otra parte, la participación ciudadana es una herramienta indispensable para la rendición de cuentas, la vigilancia del ejercicio público y la co-creación de políticas más efectivas e inclusivas, por lo que también es necesario fortalecer los mecanismos mediante los cuales la sociedad civil, los colectivos y organizaciones puedan incidir en la formulación, implementación y evaluación de políticas contra esta discriminación. </w:t>
      </w:r>
    </w:p>
    <w:p w14:paraId="4A74474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Con esta iniciativa, compañeros, proponemos establecer canales institucionalizados y efectivos para la observación social, así como fomentar procesos participativos en la planeación de políticas públicas antidiscriminatorias, pese a los grandes avances en materia de derechos de las personas de LGBTTIQ+ en el país, en el Estado de México, siguen persistiendo prácticas discriminatorias y vacíos legales que afectan profundamente la vida y dignidad de estas poblaciones. </w:t>
      </w:r>
    </w:p>
    <w:p w14:paraId="69DE50D8"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En conclusión, es fundamental implementar acciones afirmativas mediante políticas públicas que eliminen esa brecha digital en personas neurodivergentes, a fin de prevenir y combatir actos discriminatorios, promoviendo un entorno digital más seguro, justo e inclusivo. </w:t>
      </w:r>
    </w:p>
    <w:p w14:paraId="10D04C35"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Fíjense, compañeros, que mi iniciativa, que es reformar la Ley para Prevenir la Discriminación en el Estado de México, voy a mencionar puntos importantes como es:</w:t>
      </w:r>
    </w:p>
    <w:p w14:paraId="220849A6"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Primero. Inclusión de la brecha digital y la neurodivergencia ¿Qué se pretende aquí? En el artículo 5 proponemos reformar para tipificar nuevas modalidades de discriminación que es el objetivo de mi iniciativa, discriminación digital y la neurodivergencia que son las que están contemplados.</w:t>
      </w:r>
    </w:p>
    <w:p w14:paraId="32FE2837"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Otro artículo que es el 9 está enfocado a las nuevas obligaciones para el estado ¿Qué pretende esta forma? La reforma mandata la creación de políticas específicas para garantizar la igualdad, una garantía digital, una diversidad sexual, una accesibilidad universal que contempla todos estos en el artículo 9 y la participación ciudadana y vigilancia que esto viene contemplado en el artículo 13 de esta ley, no busca más que fortalecer el papel de la sociedad civil en la toma de decisiones.</w:t>
      </w:r>
    </w:p>
    <w:p w14:paraId="5B59A7B0" w14:textId="77777777" w:rsidR="00791E2D" w:rsidRPr="0012597A" w:rsidRDefault="00791E2D"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Obviamente siendo sesiones mensuales, anteriormente lo manejaban bimestrales y el observatorio ciudadano que faculta de la creación de estos observatorios por sectores en las mujeres, en los jóvenes, en la discapacidad, la diversidad sexual, para tener la problemática específica de cada grupo y también viene una modificación al artículo 23, donde habla del régimen de sanciones.</w:t>
      </w:r>
    </w:p>
    <w:p w14:paraId="1982DF62"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 introduce una sanción novedosa para el entorno habitual que es el bloqueo digital ¿Qué quiere decir con esto? Se autoriza el bloqueo temporal de plataformas digitales, sitios web o cuentas institucionales que promuevan actos discriminatorios previo a un procedimiento correspondiente y por supuesto, la implementación y los plazos; pero sobre todo ahí el protocolo que es la Comisión de los Derechos Humanos, donde yo establezco en esta ley que tendrán hasta 120 días para actualizar sus lineamientos.</w:t>
      </w:r>
    </w:p>
    <w:p w14:paraId="4CC08147" w14:textId="77777777" w:rsidR="00791E2D" w:rsidRPr="0012597A" w:rsidRDefault="00791E2D"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Así que por ellos compañeras y compañeros diputados el Grupo Parlamentario del Partido de la Revolución Democrática, el diputado Omar Ortega Álvarez y Araceli Casasola, somete a consideración de esta Honorable Asamblea el siguiente proyecto de decreto y espero Presidenta que vaya en sus términos a las mesas de debate.</w:t>
      </w:r>
    </w:p>
    <w:p w14:paraId="102C4FFF"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Es cuanto, muchas gracias.</w:t>
      </w:r>
    </w:p>
    <w:p w14:paraId="725AAE0B" w14:textId="77777777" w:rsidR="00176697" w:rsidRPr="0012597A" w:rsidRDefault="00176697" w:rsidP="007F283E">
      <w:pPr>
        <w:pStyle w:val="Sinespaciado"/>
        <w:jc w:val="both"/>
        <w:rPr>
          <w:rFonts w:ascii="Times New Roman" w:hAnsi="Times New Roman" w:cs="Times New Roman"/>
          <w:sz w:val="24"/>
          <w:szCs w:val="24"/>
        </w:rPr>
      </w:pPr>
    </w:p>
    <w:p w14:paraId="1BD3C07A" w14:textId="77777777" w:rsidR="00176697" w:rsidRPr="0012597A" w:rsidRDefault="00176697"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258BD220" w14:textId="77777777" w:rsidR="00176697" w:rsidRPr="0012597A" w:rsidRDefault="00176697" w:rsidP="007F283E">
      <w:pPr>
        <w:spacing w:after="0" w:line="240" w:lineRule="auto"/>
        <w:jc w:val="center"/>
        <w:rPr>
          <w:rFonts w:ascii="Times New Roman" w:hAnsi="Times New Roman"/>
          <w:sz w:val="24"/>
          <w:szCs w:val="24"/>
        </w:rPr>
      </w:pPr>
    </w:p>
    <w:p w14:paraId="5EF93287" w14:textId="77777777" w:rsidR="00176697" w:rsidRPr="0012597A" w:rsidRDefault="00176697" w:rsidP="00176697">
      <w:pPr>
        <w:spacing w:after="0" w:line="240" w:lineRule="auto"/>
        <w:rPr>
          <w:rFonts w:ascii="Times New Roman" w:hAnsi="Times New Roman" w:cs="Times New Roman"/>
          <w:sz w:val="24"/>
          <w:szCs w:val="24"/>
        </w:rPr>
      </w:pPr>
    </w:p>
    <w:p w14:paraId="19144687" w14:textId="77777777" w:rsidR="00176697" w:rsidRPr="0012597A" w:rsidRDefault="00176697" w:rsidP="00176697">
      <w:pPr>
        <w:spacing w:after="0" w:line="240" w:lineRule="auto"/>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1"/>
      </w:tblGrid>
      <w:tr w:rsidR="00176697" w:rsidRPr="0012597A" w14:paraId="386D6FCF" w14:textId="77777777" w:rsidTr="007F283E">
        <w:trPr>
          <w:jc w:val="center"/>
        </w:trPr>
        <w:tc>
          <w:tcPr>
            <w:tcW w:w="3119" w:type="dxa"/>
          </w:tcPr>
          <w:p w14:paraId="39E26895" w14:textId="77777777" w:rsidR="00176697" w:rsidRPr="0012597A" w:rsidRDefault="00176697" w:rsidP="007F283E">
            <w:pPr>
              <w:pStyle w:val="Default"/>
              <w:jc w:val="both"/>
              <w:rPr>
                <w:rFonts w:ascii="Times New Roman" w:hAnsi="Times New Roman" w:cs="Times New Roman"/>
                <w:b/>
                <w:bCs/>
                <w:color w:val="auto"/>
              </w:rPr>
            </w:pPr>
            <w:r w:rsidRPr="0012597A">
              <w:rPr>
                <w:rFonts w:ascii="Times New Roman" w:hAnsi="Times New Roman" w:cs="Times New Roman"/>
                <w:b/>
                <w:bCs/>
                <w:color w:val="auto"/>
              </w:rPr>
              <w:t>CONGRESO</w:t>
            </w:r>
          </w:p>
          <w:p w14:paraId="3DD2F72B" w14:textId="77777777" w:rsidR="00176697" w:rsidRPr="0012597A" w:rsidRDefault="00176697" w:rsidP="007F283E">
            <w:pPr>
              <w:pStyle w:val="Default"/>
              <w:jc w:val="both"/>
              <w:rPr>
                <w:rFonts w:ascii="Times New Roman" w:hAnsi="Times New Roman" w:cs="Times New Roman"/>
                <w:b/>
                <w:bCs/>
                <w:color w:val="auto"/>
              </w:rPr>
            </w:pPr>
            <w:r w:rsidRPr="0012597A">
              <w:rPr>
                <w:rFonts w:ascii="Times New Roman" w:hAnsi="Times New Roman" w:cs="Times New Roman"/>
                <w:b/>
                <w:bCs/>
                <w:color w:val="auto"/>
              </w:rPr>
              <w:t>ESTADO DE MÉXICO</w:t>
            </w:r>
          </w:p>
          <w:p w14:paraId="6160FAB2" w14:textId="77777777" w:rsidR="00176697" w:rsidRPr="0012597A" w:rsidRDefault="00176697" w:rsidP="007F283E">
            <w:pPr>
              <w:spacing w:line="240" w:lineRule="auto"/>
              <w:rPr>
                <w:rFonts w:ascii="Times New Roman" w:hAnsi="Times New Roman" w:cs="Times New Roman"/>
                <w:sz w:val="24"/>
                <w:szCs w:val="24"/>
              </w:rPr>
            </w:pPr>
          </w:p>
        </w:tc>
        <w:tc>
          <w:tcPr>
            <w:tcW w:w="6231" w:type="dxa"/>
          </w:tcPr>
          <w:p w14:paraId="607E62D7" w14:textId="77777777" w:rsidR="00176697" w:rsidRPr="0012597A" w:rsidRDefault="00176697" w:rsidP="007F283E">
            <w:pPr>
              <w:spacing w:line="240" w:lineRule="auto"/>
              <w:jc w:val="both"/>
              <w:rPr>
                <w:rFonts w:ascii="Times New Roman" w:hAnsi="Times New Roman" w:cs="Times New Roman"/>
                <w:sz w:val="24"/>
                <w:szCs w:val="24"/>
              </w:rPr>
            </w:pPr>
            <w:r w:rsidRPr="0012597A">
              <w:rPr>
                <w:rFonts w:ascii="Times New Roman" w:hAnsi="Times New Roman" w:cs="Times New Roman"/>
                <w:sz w:val="24"/>
                <w:szCs w:val="24"/>
              </w:rPr>
              <w:t xml:space="preserve">Grupo Parlamentario del </w:t>
            </w:r>
            <w:r w:rsidRPr="0012597A">
              <w:rPr>
                <w:rFonts w:ascii="Times New Roman" w:hAnsi="Times New Roman" w:cs="Times New Roman"/>
                <w:b/>
                <w:sz w:val="24"/>
                <w:szCs w:val="24"/>
              </w:rPr>
              <w:t>PRD</w:t>
            </w:r>
          </w:p>
          <w:p w14:paraId="6BA2CCB0" w14:textId="77777777" w:rsidR="00176697" w:rsidRPr="0012597A" w:rsidRDefault="00176697" w:rsidP="007F283E">
            <w:pPr>
              <w:pStyle w:val="Default"/>
              <w:jc w:val="both"/>
              <w:rPr>
                <w:rFonts w:ascii="Times New Roman" w:hAnsi="Times New Roman" w:cs="Times New Roman"/>
                <w:b/>
                <w:bCs/>
                <w:color w:val="auto"/>
              </w:rPr>
            </w:pPr>
            <w:r w:rsidRPr="0012597A">
              <w:rPr>
                <w:rFonts w:ascii="Times New Roman" w:hAnsi="Times New Roman" w:cs="Times New Roman"/>
                <w:b/>
                <w:color w:val="auto"/>
              </w:rPr>
              <w:t>Dip. Araceli Casasola Salazar</w:t>
            </w:r>
          </w:p>
          <w:p w14:paraId="5F935C12" w14:textId="77777777" w:rsidR="00176697" w:rsidRPr="0012597A" w:rsidRDefault="00176697" w:rsidP="007F283E">
            <w:pPr>
              <w:pStyle w:val="Default"/>
              <w:jc w:val="both"/>
              <w:rPr>
                <w:rFonts w:ascii="Times New Roman" w:hAnsi="Times New Roman" w:cs="Times New Roman"/>
                <w:b/>
                <w:bCs/>
                <w:color w:val="auto"/>
              </w:rPr>
            </w:pPr>
          </w:p>
          <w:p w14:paraId="333FFA2D" w14:textId="77777777" w:rsidR="00176697" w:rsidRPr="0012597A" w:rsidRDefault="00176697" w:rsidP="007F283E">
            <w:pPr>
              <w:pStyle w:val="Default"/>
              <w:jc w:val="both"/>
              <w:rPr>
                <w:rFonts w:ascii="Times New Roman" w:hAnsi="Times New Roman" w:cs="Times New Roman"/>
                <w:color w:val="auto"/>
              </w:rPr>
            </w:pPr>
            <w:r w:rsidRPr="0012597A">
              <w:rPr>
                <w:rFonts w:ascii="Times New Roman" w:hAnsi="Times New Roman" w:cs="Times New Roman"/>
                <w:b/>
                <w:color w:val="auto"/>
              </w:rPr>
              <w:t>PRESIDENTA DE LA COMISIÓN DE TRANSPARENCIA, ACCESO A LA INFORMACIÓN PÚBLICA Y PROTECCIÓN DE DATOS PERSONALES.</w:t>
            </w:r>
          </w:p>
        </w:tc>
      </w:tr>
    </w:tbl>
    <w:p w14:paraId="59671B69" w14:textId="77777777" w:rsidR="00176697" w:rsidRPr="0012597A" w:rsidRDefault="00176697" w:rsidP="00176697">
      <w:pPr>
        <w:spacing w:after="0" w:line="240" w:lineRule="auto"/>
        <w:rPr>
          <w:rFonts w:ascii="Times New Roman" w:hAnsi="Times New Roman" w:cs="Times New Roman"/>
          <w:sz w:val="24"/>
          <w:szCs w:val="24"/>
        </w:rPr>
      </w:pPr>
    </w:p>
    <w:p w14:paraId="6393625C" w14:textId="77777777" w:rsidR="00176697" w:rsidRPr="0012597A" w:rsidRDefault="00176697" w:rsidP="00176697">
      <w:pPr>
        <w:spacing w:after="0" w:line="240" w:lineRule="auto"/>
        <w:jc w:val="center"/>
        <w:rPr>
          <w:rFonts w:ascii="Times New Roman" w:eastAsia="Calibri" w:hAnsi="Times New Roman" w:cs="Times New Roman"/>
          <w:sz w:val="24"/>
          <w:szCs w:val="24"/>
        </w:rPr>
      </w:pPr>
      <w:r w:rsidRPr="0012597A">
        <w:rPr>
          <w:rFonts w:ascii="Times New Roman" w:eastAsia="Calibri" w:hAnsi="Times New Roman" w:cs="Times New Roman"/>
          <w:b/>
          <w:sz w:val="24"/>
          <w:szCs w:val="24"/>
        </w:rPr>
        <w:t>"2026. Año del Humanismo Mexicano en el Estado de México”</w:t>
      </w:r>
    </w:p>
    <w:p w14:paraId="28314DBF" w14:textId="77777777" w:rsidR="00176697" w:rsidRPr="0012597A" w:rsidRDefault="00176697" w:rsidP="00176697">
      <w:pPr>
        <w:pStyle w:val="Textoindependiente"/>
        <w:spacing w:after="0" w:line="240" w:lineRule="auto"/>
        <w:rPr>
          <w:rFonts w:ascii="Times New Roman" w:hAnsi="Times New Roman" w:cs="Times New Roman"/>
          <w:sz w:val="24"/>
          <w:szCs w:val="24"/>
        </w:rPr>
      </w:pPr>
    </w:p>
    <w:p w14:paraId="06806890" w14:textId="77777777" w:rsidR="00176697" w:rsidRPr="0012597A" w:rsidRDefault="00176697" w:rsidP="00176697">
      <w:pPr>
        <w:spacing w:after="0" w:line="240" w:lineRule="auto"/>
        <w:jc w:val="right"/>
        <w:rPr>
          <w:rFonts w:ascii="Times New Roman" w:eastAsia="Times New Roman" w:hAnsi="Times New Roman" w:cs="Times New Roman"/>
          <w:sz w:val="24"/>
          <w:szCs w:val="24"/>
          <w:lang w:eastAsia="es-ES_tradnl"/>
        </w:rPr>
      </w:pPr>
      <w:r w:rsidRPr="0012597A">
        <w:rPr>
          <w:rFonts w:ascii="Times New Roman" w:eastAsia="Times New Roman" w:hAnsi="Times New Roman" w:cs="Times New Roman"/>
          <w:sz w:val="24"/>
          <w:szCs w:val="24"/>
          <w:lang w:eastAsia="es-ES_tradnl"/>
        </w:rPr>
        <w:t>Toluca, México a 20 de mayo de 2025</w:t>
      </w:r>
    </w:p>
    <w:p w14:paraId="07381D6E" w14:textId="77777777" w:rsidR="00176697" w:rsidRPr="0012597A" w:rsidRDefault="00176697" w:rsidP="00176697">
      <w:pPr>
        <w:spacing w:after="0" w:line="240" w:lineRule="auto"/>
        <w:jc w:val="both"/>
        <w:rPr>
          <w:rFonts w:ascii="Times New Roman" w:eastAsia="Times New Roman" w:hAnsi="Times New Roman" w:cs="Times New Roman"/>
          <w:b/>
          <w:sz w:val="24"/>
          <w:szCs w:val="24"/>
          <w:lang w:eastAsia="es-ES_tradnl"/>
        </w:rPr>
      </w:pPr>
    </w:p>
    <w:p w14:paraId="0ECDB285" w14:textId="77777777" w:rsidR="00176697" w:rsidRPr="0012597A" w:rsidRDefault="00176697" w:rsidP="00176697">
      <w:pPr>
        <w:spacing w:after="0" w:line="240" w:lineRule="auto"/>
        <w:jc w:val="both"/>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CC. DIPUTADOS INTEGRANTES DE LA MESA</w:t>
      </w:r>
    </w:p>
    <w:p w14:paraId="04465C94" w14:textId="77777777" w:rsidR="00176697" w:rsidRPr="0012597A" w:rsidRDefault="00176697" w:rsidP="00176697">
      <w:pPr>
        <w:spacing w:after="0" w:line="240" w:lineRule="auto"/>
        <w:jc w:val="both"/>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DIRECTIVA DE LA H. LXII LEGISLATURA DEL</w:t>
      </w:r>
    </w:p>
    <w:p w14:paraId="1A5A5F74" w14:textId="77777777" w:rsidR="00176697" w:rsidRPr="0012597A" w:rsidRDefault="00176697" w:rsidP="00176697">
      <w:pPr>
        <w:spacing w:after="0" w:line="240" w:lineRule="auto"/>
        <w:jc w:val="both"/>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ESTADO LIBRE Y SOBERANO DE MÉXICO.</w:t>
      </w:r>
    </w:p>
    <w:p w14:paraId="180C95C6" w14:textId="77777777" w:rsidR="00176697" w:rsidRPr="0012597A" w:rsidRDefault="00176697" w:rsidP="00176697">
      <w:pPr>
        <w:spacing w:after="0" w:line="240" w:lineRule="auto"/>
        <w:jc w:val="both"/>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PRESENTES.</w:t>
      </w:r>
    </w:p>
    <w:p w14:paraId="35DA7BFC"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ES_tradnl"/>
        </w:rPr>
      </w:pPr>
    </w:p>
    <w:p w14:paraId="19D34F16"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ES_tradnl"/>
        </w:rPr>
      </w:pPr>
      <w:r w:rsidRPr="0012597A">
        <w:rPr>
          <w:rFonts w:ascii="Times New Roman" w:eastAsia="Times New Roman" w:hAnsi="Times New Roman" w:cs="Times New Roman"/>
          <w:sz w:val="24"/>
          <w:szCs w:val="24"/>
          <w:lang w:eastAsia="es-ES_tradnl"/>
        </w:rPr>
        <w:t xml:space="preserve">En ejercicio de las facultades que me confieren, lo dispuesto por los artículos 57 y 61, fracción I de la Constitución Política del Estado Libre y Soberano de México; 38 fracción IV, de la Ley Orgánica del Poder Legislativo; y 72 de su Reglamento, la que suscribe, Diputada Araceli Casasola Salazar, en representación del Grupo Parlamentario del Partido de la Revolución Democrática, someto a consideración de esta Honorable Asamblea la siguiente </w:t>
      </w:r>
      <w:r w:rsidRPr="0012597A">
        <w:rPr>
          <w:rFonts w:ascii="Times New Roman" w:eastAsia="Times New Roman" w:hAnsi="Times New Roman" w:cs="Times New Roman"/>
          <w:b/>
          <w:sz w:val="24"/>
          <w:szCs w:val="24"/>
          <w:lang w:eastAsia="es-ES_tradnl"/>
        </w:rPr>
        <w:t xml:space="preserve">Iniciativa con proyecto de decreto por el que se reforman y adicionan diversas disposiciones de la Ley para Prevenir, </w:t>
      </w:r>
      <w:r w:rsidRPr="0012597A">
        <w:rPr>
          <w:rFonts w:ascii="Times New Roman" w:eastAsia="Times New Roman" w:hAnsi="Times New Roman" w:cs="Times New Roman"/>
          <w:b/>
          <w:sz w:val="24"/>
          <w:szCs w:val="24"/>
          <w:lang w:eastAsia="es-ES_tradnl"/>
        </w:rPr>
        <w:lastRenderedPageBreak/>
        <w:t>Combatir y Eliminar Actos de Discriminación en el Estado de México</w:t>
      </w:r>
      <w:r w:rsidRPr="0012597A">
        <w:rPr>
          <w:rFonts w:ascii="Times New Roman" w:eastAsia="Times New Roman" w:hAnsi="Times New Roman" w:cs="Times New Roman"/>
          <w:sz w:val="24"/>
          <w:szCs w:val="24"/>
          <w:lang w:eastAsia="es-ES_tradnl"/>
        </w:rPr>
        <w:t>, de conformidad con la siguiente:</w:t>
      </w:r>
    </w:p>
    <w:p w14:paraId="5A8DBEFB" w14:textId="77777777" w:rsidR="00176697" w:rsidRPr="0012597A" w:rsidRDefault="00176697" w:rsidP="00176697">
      <w:pPr>
        <w:spacing w:after="0" w:line="240" w:lineRule="auto"/>
        <w:jc w:val="center"/>
        <w:rPr>
          <w:rFonts w:ascii="Times New Roman" w:eastAsia="Times New Roman" w:hAnsi="Times New Roman" w:cs="Times New Roman"/>
          <w:b/>
          <w:sz w:val="24"/>
          <w:szCs w:val="24"/>
          <w:lang w:eastAsia="es-ES_tradnl"/>
        </w:rPr>
      </w:pPr>
    </w:p>
    <w:p w14:paraId="0AE481AC" w14:textId="77777777" w:rsidR="00176697" w:rsidRPr="0012597A" w:rsidRDefault="00176697" w:rsidP="00176697">
      <w:pPr>
        <w:spacing w:after="0" w:line="240" w:lineRule="auto"/>
        <w:jc w:val="center"/>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EXPOSICIÓN DE MOTIVOS</w:t>
      </w:r>
    </w:p>
    <w:p w14:paraId="7B4F58D4"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2E0FC9CF"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La presente iniciativa de reforma tiene como finalidad actualizar y fortalecer el marco jurídico en materia de derechos humanos en el Estado de México, a través de la incorporación de nuevas formas de discriminación y el reconocimiento de grupos históricamente vulnerados.</w:t>
      </w:r>
    </w:p>
    <w:p w14:paraId="2EBDC95D"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41E2D358"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La discriminación es una práctica cotidiana que consiste en dar un trato desfavorable o de desprecio inmerecido a determinada persona o grupo, y que en ocasiones no es percibida.  En el Estado de México es una problemática persistente que afecta a diversos grupos sociales, evidenciando desigualdades estructurales en el acceso a derechos y oportunidades.</w:t>
      </w:r>
    </w:p>
    <w:p w14:paraId="35D2B9A6"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7028F79C" w14:textId="77777777" w:rsidR="00176697" w:rsidRPr="0012597A" w:rsidRDefault="00176697" w:rsidP="00176697">
      <w:pPr>
        <w:spacing w:after="0" w:line="240" w:lineRule="auto"/>
        <w:jc w:val="both"/>
        <w:rPr>
          <w:rFonts w:ascii="Times New Roman" w:eastAsia="Times New Roman" w:hAnsi="Times New Roman" w:cs="Times New Roman"/>
          <w:b/>
          <w:bCs/>
          <w:sz w:val="24"/>
          <w:szCs w:val="24"/>
          <w:lang w:eastAsia="es-MX"/>
        </w:rPr>
      </w:pPr>
      <w:r w:rsidRPr="0012597A">
        <w:rPr>
          <w:rFonts w:ascii="Times New Roman" w:eastAsia="Times New Roman" w:hAnsi="Times New Roman" w:cs="Times New Roman"/>
          <w:sz w:val="24"/>
          <w:szCs w:val="24"/>
          <w:lang w:eastAsia="es-MX"/>
        </w:rPr>
        <w:t>A pesar de los avances normativos, la implementación efectiva de políticas públicas sigue siendo un desafío, según la ENADIS (Encuesta Nacional sobre Discriminación) 2022, realizada por el Instituto Nacional de Estadística y Geografía (INEGI), el 24.7% de la población mexiquense de 18 años y más declaró haber sido víctima de algún acto de discriminación en los últimos 12 meses; este porcentaje es superior al promedio nacional del 23.7%. Entre los grupos más afectados se encuentran:</w:t>
      </w:r>
      <w:r w:rsidRPr="0012597A">
        <w:rPr>
          <w:rFonts w:ascii="Times New Roman" w:eastAsia="Times New Roman" w:hAnsi="Times New Roman" w:cs="Times New Roman"/>
          <w:b/>
          <w:bCs/>
          <w:sz w:val="24"/>
          <w:szCs w:val="24"/>
          <w:lang w:eastAsia="es-MX"/>
        </w:rPr>
        <w:t xml:space="preserve"> </w:t>
      </w:r>
    </w:p>
    <w:p w14:paraId="6EB0017F" w14:textId="77777777" w:rsidR="00176697" w:rsidRPr="0012597A" w:rsidRDefault="00176697" w:rsidP="00176697">
      <w:pPr>
        <w:spacing w:after="0" w:line="240" w:lineRule="auto"/>
        <w:jc w:val="both"/>
        <w:rPr>
          <w:rFonts w:ascii="Times New Roman" w:eastAsia="Times New Roman" w:hAnsi="Times New Roman" w:cs="Times New Roman"/>
          <w:b/>
          <w:bCs/>
          <w:sz w:val="24"/>
          <w:szCs w:val="24"/>
          <w:lang w:eastAsia="es-MX"/>
        </w:rPr>
      </w:pPr>
    </w:p>
    <w:p w14:paraId="71365FA4"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b/>
          <w:bCs/>
          <w:sz w:val="24"/>
          <w:szCs w:val="24"/>
          <w:lang w:eastAsia="es-MX"/>
        </w:rPr>
        <w:t>Mujeres</w:t>
      </w:r>
      <w:r w:rsidRPr="0012597A">
        <w:rPr>
          <w:rFonts w:ascii="Times New Roman" w:eastAsia="Times New Roman" w:hAnsi="Times New Roman" w:cs="Times New Roman"/>
          <w:sz w:val="24"/>
          <w:szCs w:val="24"/>
          <w:lang w:eastAsia="es-MX"/>
        </w:rPr>
        <w:t xml:space="preserve">: El 26.2% de las mujeres en el Estado de México reportaron haber sido discriminadas, destacando la discriminación por género como una problemática significativa. </w:t>
      </w:r>
    </w:p>
    <w:p w14:paraId="4E00162E"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745FC96F"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b/>
          <w:bCs/>
          <w:sz w:val="24"/>
          <w:szCs w:val="24"/>
          <w:lang w:eastAsia="es-MX"/>
        </w:rPr>
        <w:t>Personas con discapacidad</w:t>
      </w:r>
      <w:r w:rsidRPr="0012597A">
        <w:rPr>
          <w:rFonts w:ascii="Times New Roman" w:eastAsia="Times New Roman" w:hAnsi="Times New Roman" w:cs="Times New Roman"/>
          <w:sz w:val="24"/>
          <w:szCs w:val="24"/>
          <w:lang w:eastAsia="es-MX"/>
        </w:rPr>
        <w:t xml:space="preserve">: Este grupo enfrenta barreras en diversos ámbitos, incluyendo la educación y el empleo, debido a la falta de accesibilidad y sensibilización. </w:t>
      </w:r>
    </w:p>
    <w:p w14:paraId="19BFA8A7"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68B5D5EC"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b/>
          <w:bCs/>
          <w:sz w:val="24"/>
          <w:szCs w:val="24"/>
          <w:lang w:eastAsia="es-MX"/>
        </w:rPr>
        <w:t>Poblaciones indígenas y afrodescendientes</w:t>
      </w:r>
      <w:r w:rsidRPr="0012597A">
        <w:rPr>
          <w:rFonts w:ascii="Times New Roman" w:eastAsia="Times New Roman" w:hAnsi="Times New Roman" w:cs="Times New Roman"/>
          <w:sz w:val="24"/>
          <w:szCs w:val="24"/>
          <w:lang w:eastAsia="es-MX"/>
        </w:rPr>
        <w:t xml:space="preserve">: a pesar de ser minoritarias, estas comunidades enfrentan estigmatización y exclusión social, especialmente en áreas rurales, donde el </w:t>
      </w:r>
      <w:r w:rsidRPr="0012597A">
        <w:rPr>
          <w:rFonts w:ascii="Times New Roman" w:eastAsia="Times New Roman" w:hAnsi="Times New Roman" w:cs="Times New Roman"/>
          <w:b/>
          <w:sz w:val="24"/>
          <w:szCs w:val="24"/>
          <w:lang w:eastAsia="es-MX"/>
        </w:rPr>
        <w:t>estado debe ser garante</w:t>
      </w:r>
      <w:r w:rsidRPr="0012597A">
        <w:rPr>
          <w:rFonts w:ascii="Times New Roman" w:eastAsia="Times New Roman" w:hAnsi="Times New Roman" w:cs="Times New Roman"/>
          <w:sz w:val="24"/>
          <w:szCs w:val="24"/>
          <w:lang w:eastAsia="es-MX"/>
        </w:rPr>
        <w:t xml:space="preserve"> de sus derechos humanos. Y cumplir con los retos tecnológicos y sociales asegurando una nueva visión a la tecnología y el acceso a plataformas digitales ya que son hoy por hoy parte fundamental de la educación, la libertad de expresión, la participación política y el acceso a servicios públicos. </w:t>
      </w:r>
    </w:p>
    <w:p w14:paraId="22DCB4F9"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08178010"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Sin embargo, persisten brechas significativas que impiden que ciertos sectores de la población, particularmente en zonas rurales, con bajos recursos o con discapacidades, accedan en igualdad de condiciones a estas herramientas.  Además, en el entorno digital proliferan prácticas discriminatorias como el ciber acoso, el discurso de odio y la exclusión digital sistemática. </w:t>
      </w:r>
    </w:p>
    <w:p w14:paraId="0898A3DB"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62D2CB51"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Es urgente reconocer jurídicamente la </w:t>
      </w:r>
      <w:r w:rsidRPr="0012597A">
        <w:rPr>
          <w:rFonts w:ascii="Times New Roman" w:eastAsia="Times New Roman" w:hAnsi="Times New Roman" w:cs="Times New Roman"/>
          <w:b/>
          <w:bCs/>
          <w:sz w:val="24"/>
          <w:szCs w:val="24"/>
          <w:lang w:eastAsia="es-MX"/>
        </w:rPr>
        <w:t>discriminación digital</w:t>
      </w:r>
      <w:r w:rsidRPr="0012597A">
        <w:rPr>
          <w:rFonts w:ascii="Times New Roman" w:eastAsia="Times New Roman" w:hAnsi="Times New Roman" w:cs="Times New Roman"/>
          <w:sz w:val="24"/>
          <w:szCs w:val="24"/>
          <w:lang w:eastAsia="es-MX"/>
        </w:rPr>
        <w:t xml:space="preserve"> como una forma de violencia estructural que debe ser combatida con políticas públicas concretas, miles de personas en el Estado de México viven con condiciones neurodivergentes como el trastorno del espectro autista, el TDAH (trastorno por déficit de atención con hiperactividad) y dislexia, entre otros.  </w:t>
      </w:r>
    </w:p>
    <w:p w14:paraId="4BCEDC8F"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59F036A2"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Estas condiciones, lejos de ser discapacidades en sí mismas, son formas distintas de percibir y procesar el mundo; sin embargo, estas personas enfrentan barreras estructurales en ámbitos como la educación, el empleo y la salud. </w:t>
      </w:r>
    </w:p>
    <w:p w14:paraId="6F6CD923"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3DD31052"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lastRenderedPageBreak/>
        <w:t xml:space="preserve">La ley actual no contempla de forma explícita la </w:t>
      </w:r>
      <w:r w:rsidRPr="0012597A">
        <w:rPr>
          <w:rFonts w:ascii="Times New Roman" w:eastAsia="Times New Roman" w:hAnsi="Times New Roman" w:cs="Times New Roman"/>
          <w:b/>
          <w:bCs/>
          <w:sz w:val="24"/>
          <w:szCs w:val="24"/>
          <w:lang w:eastAsia="es-MX"/>
        </w:rPr>
        <w:t>diversidad neurodivergente</w:t>
      </w:r>
      <w:r w:rsidRPr="0012597A">
        <w:rPr>
          <w:rFonts w:ascii="Times New Roman" w:eastAsia="Times New Roman" w:hAnsi="Times New Roman" w:cs="Times New Roman"/>
          <w:sz w:val="24"/>
          <w:szCs w:val="24"/>
          <w:lang w:eastAsia="es-MX"/>
        </w:rPr>
        <w:t>, lo que contribuye a su invisibilización y desprotección siendo indispensable que el marco legal reconozca y proteja a esta población, promoviendo ajustes razonables y una cultura de inclusión desde un enfoque de derechos humanos.</w:t>
      </w:r>
    </w:p>
    <w:p w14:paraId="6525F653"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7C67B480"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Por otra parte, la participación ciudadana es una herramienta indispensable para la rendición de cuentas, la vigilancia del ejercicio público y la co-creación de políticas más efectivas e inclusivas, por lo que también es necesario fortalecer los mecanismos mediante los cuales la sociedad civil, colectivos y organizaciones pueden incidir en la formulación, implementación y evaluación de políticas contra la discriminación. </w:t>
      </w:r>
    </w:p>
    <w:p w14:paraId="31849759"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46AF0D1E"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Con esta iniciativa, proponemos establecer canales institucionalizados y efectivos para la </w:t>
      </w:r>
      <w:r w:rsidRPr="0012597A">
        <w:rPr>
          <w:rFonts w:ascii="Times New Roman" w:eastAsia="Times New Roman" w:hAnsi="Times New Roman" w:cs="Times New Roman"/>
          <w:b/>
          <w:bCs/>
          <w:sz w:val="24"/>
          <w:szCs w:val="24"/>
          <w:lang w:eastAsia="es-MX"/>
        </w:rPr>
        <w:t>observación social</w:t>
      </w:r>
      <w:r w:rsidRPr="0012597A">
        <w:rPr>
          <w:rFonts w:ascii="Times New Roman" w:eastAsia="Times New Roman" w:hAnsi="Times New Roman" w:cs="Times New Roman"/>
          <w:sz w:val="24"/>
          <w:szCs w:val="24"/>
          <w:lang w:eastAsia="es-MX"/>
        </w:rPr>
        <w:t>, así como fomentar procesos participativos en la planeación de políticas públicas antidiscriminatorias, pues pese a los grandes avances en materia de derechos de las personas LGBTTIQ+ en el país, en el Estado de México persisten prácticas discriminatorias y vacíos legales que afectan profundamente la vida y dignidad de estas poblaciones.</w:t>
      </w:r>
    </w:p>
    <w:p w14:paraId="4497254B"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757E8F93"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En conclusión, es fundamental implementar acciones afirmativas mediante políticas públicas que eliminen la brecha digital en personas nuerodivergentes, a fin de prevenir y combatir actos discriminatorios, promoviendo un entorno digital más seguro, justo e inclusivo. </w:t>
      </w:r>
    </w:p>
    <w:p w14:paraId="1356F8BC"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0A91015E"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Por ello, el Grupo Parlamentario del Partido de la Revolución Democrática, somete a consideración de esta Honorable Asamblea el siguiente proyecto de decreto.</w:t>
      </w:r>
    </w:p>
    <w:p w14:paraId="77EE280B"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06833758"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Es </w:t>
      </w:r>
      <w:proofErr w:type="spellStart"/>
      <w:r w:rsidRPr="0012597A">
        <w:rPr>
          <w:rFonts w:ascii="Times New Roman" w:eastAsia="Times New Roman" w:hAnsi="Times New Roman" w:cs="Times New Roman"/>
          <w:sz w:val="24"/>
          <w:szCs w:val="24"/>
          <w:lang w:eastAsia="es-MX"/>
        </w:rPr>
        <w:t>cuanto</w:t>
      </w:r>
      <w:proofErr w:type="spellEnd"/>
      <w:r w:rsidRPr="0012597A">
        <w:rPr>
          <w:rFonts w:ascii="Times New Roman" w:eastAsia="Times New Roman" w:hAnsi="Times New Roman" w:cs="Times New Roman"/>
          <w:sz w:val="24"/>
          <w:szCs w:val="24"/>
          <w:lang w:eastAsia="es-MX"/>
        </w:rPr>
        <w:t>.</w:t>
      </w:r>
    </w:p>
    <w:p w14:paraId="72EEDC7E"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508DD073" w14:textId="77777777" w:rsidR="00176697" w:rsidRPr="0012597A" w:rsidRDefault="00176697" w:rsidP="00176697">
      <w:pPr>
        <w:spacing w:after="0" w:line="240" w:lineRule="auto"/>
        <w:jc w:val="center"/>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A T E N T A M E N T E</w:t>
      </w:r>
    </w:p>
    <w:p w14:paraId="6B829D39" w14:textId="77777777" w:rsidR="00176697" w:rsidRPr="0012597A" w:rsidRDefault="00176697" w:rsidP="00176697">
      <w:pPr>
        <w:spacing w:after="0" w:line="240" w:lineRule="auto"/>
        <w:jc w:val="center"/>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GRUPO PARLAMENTARIO DEL</w:t>
      </w:r>
    </w:p>
    <w:p w14:paraId="0CD67E8F" w14:textId="77777777" w:rsidR="00176697" w:rsidRPr="0012597A" w:rsidRDefault="00176697" w:rsidP="00176697">
      <w:pPr>
        <w:spacing w:after="0" w:line="240" w:lineRule="auto"/>
        <w:jc w:val="center"/>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PARTIDO DE LA REVOLUCIÓN DEMOCRÁTICA.</w:t>
      </w:r>
    </w:p>
    <w:p w14:paraId="1BC1E854" w14:textId="77777777" w:rsidR="00176697" w:rsidRPr="0012597A" w:rsidRDefault="00176697" w:rsidP="00176697">
      <w:pPr>
        <w:spacing w:after="0" w:line="240" w:lineRule="auto"/>
        <w:jc w:val="center"/>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DIP. ARACELI CASASOLA SALAZAR.</w:t>
      </w:r>
    </w:p>
    <w:p w14:paraId="78FA90B7"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3F8EB125" w14:textId="77777777" w:rsidR="00176697" w:rsidRPr="0012597A" w:rsidRDefault="00176697" w:rsidP="00176697">
      <w:pPr>
        <w:spacing w:after="0" w:line="240" w:lineRule="auto"/>
        <w:jc w:val="both"/>
        <w:rPr>
          <w:rFonts w:ascii="Times New Roman" w:eastAsia="Times New Roman" w:hAnsi="Times New Roman" w:cs="Times New Roman"/>
          <w:sz w:val="24"/>
          <w:szCs w:val="24"/>
          <w:lang w:eastAsia="es-MX"/>
        </w:rPr>
      </w:pPr>
    </w:p>
    <w:p w14:paraId="602EAB3C" w14:textId="77777777" w:rsidR="00176697" w:rsidRPr="0012597A" w:rsidRDefault="00176697" w:rsidP="00176697">
      <w:pPr>
        <w:spacing w:after="0" w:line="240" w:lineRule="auto"/>
        <w:jc w:val="center"/>
        <w:rPr>
          <w:rFonts w:ascii="Times New Roman" w:hAnsi="Times New Roman" w:cs="Times New Roman"/>
          <w:b/>
          <w:sz w:val="24"/>
          <w:szCs w:val="24"/>
        </w:rPr>
      </w:pPr>
      <w:r w:rsidRPr="0012597A">
        <w:rPr>
          <w:rFonts w:ascii="Times New Roman" w:hAnsi="Times New Roman" w:cs="Times New Roman"/>
          <w:b/>
          <w:sz w:val="24"/>
          <w:szCs w:val="24"/>
        </w:rPr>
        <w:t>PROYECTO DE DECRETO</w:t>
      </w:r>
    </w:p>
    <w:p w14:paraId="796C11FB" w14:textId="77777777" w:rsidR="00176697" w:rsidRPr="0012597A" w:rsidRDefault="00176697" w:rsidP="00176697">
      <w:pPr>
        <w:spacing w:after="0" w:line="240" w:lineRule="auto"/>
        <w:rPr>
          <w:rFonts w:ascii="Times New Roman" w:hAnsi="Times New Roman" w:cs="Times New Roman"/>
          <w:sz w:val="24"/>
          <w:szCs w:val="24"/>
        </w:rPr>
      </w:pPr>
    </w:p>
    <w:p w14:paraId="41FACDAF" w14:textId="77777777" w:rsidR="00176697" w:rsidRPr="0012597A" w:rsidRDefault="00176697" w:rsidP="00176697">
      <w:pPr>
        <w:spacing w:after="0" w:line="240" w:lineRule="auto"/>
        <w:jc w:val="both"/>
        <w:rPr>
          <w:rFonts w:ascii="Times New Roman" w:hAnsi="Times New Roman" w:cs="Times New Roman"/>
          <w:b/>
          <w:sz w:val="24"/>
          <w:szCs w:val="24"/>
        </w:rPr>
      </w:pPr>
      <w:r w:rsidRPr="0012597A">
        <w:rPr>
          <w:rFonts w:ascii="Times New Roman" w:hAnsi="Times New Roman" w:cs="Times New Roman"/>
          <w:b/>
          <w:sz w:val="24"/>
          <w:szCs w:val="24"/>
        </w:rPr>
        <w:t>DECRETO NÚMERO: ____________</w:t>
      </w:r>
    </w:p>
    <w:p w14:paraId="4DB18405" w14:textId="77777777" w:rsidR="00176697" w:rsidRPr="0012597A" w:rsidRDefault="00176697" w:rsidP="00176697">
      <w:pPr>
        <w:spacing w:after="0" w:line="240" w:lineRule="auto"/>
        <w:jc w:val="both"/>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LA H. LXII LEGISLATURA DEL ESTADO LIBRE Y SOBERANO DE MÉXICO</w:t>
      </w:r>
    </w:p>
    <w:p w14:paraId="2E229EAA" w14:textId="77777777" w:rsidR="00176697" w:rsidRPr="0012597A" w:rsidRDefault="00176697" w:rsidP="00176697">
      <w:pPr>
        <w:spacing w:after="0" w:line="240" w:lineRule="auto"/>
        <w:jc w:val="both"/>
        <w:rPr>
          <w:rFonts w:ascii="Times New Roman" w:eastAsia="Times New Roman" w:hAnsi="Times New Roman" w:cs="Times New Roman"/>
          <w:b/>
          <w:sz w:val="24"/>
          <w:szCs w:val="24"/>
          <w:lang w:eastAsia="es-ES_tradnl"/>
        </w:rPr>
      </w:pPr>
      <w:r w:rsidRPr="0012597A">
        <w:rPr>
          <w:rFonts w:ascii="Times New Roman" w:eastAsia="Times New Roman" w:hAnsi="Times New Roman" w:cs="Times New Roman"/>
          <w:b/>
          <w:sz w:val="24"/>
          <w:szCs w:val="24"/>
          <w:lang w:eastAsia="es-ES_tradnl"/>
        </w:rPr>
        <w:t xml:space="preserve">DECRETA: </w:t>
      </w:r>
    </w:p>
    <w:p w14:paraId="012DBA5A" w14:textId="77777777" w:rsidR="00176697" w:rsidRPr="0012597A" w:rsidRDefault="00176697" w:rsidP="00176697">
      <w:pPr>
        <w:spacing w:after="0" w:line="240" w:lineRule="auto"/>
        <w:jc w:val="both"/>
        <w:rPr>
          <w:rFonts w:ascii="Times New Roman" w:hAnsi="Times New Roman" w:cs="Times New Roman"/>
          <w:sz w:val="24"/>
          <w:szCs w:val="24"/>
        </w:rPr>
      </w:pPr>
    </w:p>
    <w:p w14:paraId="5252B2F6" w14:textId="77777777" w:rsidR="00176697" w:rsidRPr="0012597A" w:rsidRDefault="00176697" w:rsidP="00176697">
      <w:pPr>
        <w:pStyle w:val="NormalWeb"/>
        <w:spacing w:before="0" w:beforeAutospacing="0" w:after="0" w:afterAutospacing="0"/>
        <w:jc w:val="both"/>
      </w:pPr>
      <w:r w:rsidRPr="0012597A">
        <w:rPr>
          <w:b/>
        </w:rPr>
        <w:t>ARTÍCULO ÚNICO</w:t>
      </w:r>
      <w:r w:rsidRPr="0012597A">
        <w:t>. Se adicionan el segundo y tercero párrafos del artículo 5; las fracciones IX y X del artículo 9; se reforma el 2do. párrafo del artículo 13; así como se adiciona la fracción V al artículo 23 de la Ley para Prevenir, Combatir y Eliminar Actos de Discriminación en el Estado de México, para quedar como sigue:</w:t>
      </w:r>
    </w:p>
    <w:p w14:paraId="49A85DE9" w14:textId="77777777" w:rsidR="00176697" w:rsidRPr="0012597A" w:rsidRDefault="00176697" w:rsidP="00176697">
      <w:pPr>
        <w:pStyle w:val="NormalWeb"/>
        <w:spacing w:before="0" w:beforeAutospacing="0" w:after="0" w:afterAutospacing="0"/>
        <w:jc w:val="both"/>
        <w:rPr>
          <w:b/>
        </w:rPr>
      </w:pPr>
    </w:p>
    <w:p w14:paraId="5B279114" w14:textId="77777777" w:rsidR="00176697" w:rsidRPr="0012597A" w:rsidRDefault="00176697" w:rsidP="00176697">
      <w:pPr>
        <w:pStyle w:val="NormalWeb"/>
        <w:spacing w:before="0" w:beforeAutospacing="0" w:after="0" w:afterAutospacing="0"/>
        <w:jc w:val="both"/>
        <w:rPr>
          <w:b/>
        </w:rPr>
      </w:pPr>
      <w:r w:rsidRPr="0012597A">
        <w:rPr>
          <w:b/>
        </w:rPr>
        <w:t>Artículo 5. Se adiciona un segundo y tercer párrafo a este artículo, para quedar como sigue:</w:t>
      </w:r>
    </w:p>
    <w:p w14:paraId="17F59984" w14:textId="77777777" w:rsidR="00176697" w:rsidRPr="0012597A" w:rsidRDefault="00176697" w:rsidP="00176697">
      <w:pPr>
        <w:pStyle w:val="NormalWeb"/>
        <w:spacing w:before="0" w:beforeAutospacing="0" w:after="0" w:afterAutospacing="0"/>
        <w:jc w:val="both"/>
      </w:pPr>
    </w:p>
    <w:p w14:paraId="440F09FC" w14:textId="77777777" w:rsidR="00176697" w:rsidRPr="0012597A" w:rsidRDefault="00176697" w:rsidP="00176697">
      <w:pPr>
        <w:pStyle w:val="NormalWeb"/>
        <w:spacing w:before="0" w:beforeAutospacing="0" w:after="0" w:afterAutospacing="0"/>
        <w:jc w:val="both"/>
      </w:pPr>
      <w:r w:rsidRPr="0012597A">
        <w:t>Se entenderá también por discriminación la exclusión o restricción en el acceso a tecnologías de la información y la comunicación, servicios digitales, conectividad a internet, así como la limitación en la adquisición de competencias digitales esenciales para la participación social, económica y educativa.</w:t>
      </w:r>
    </w:p>
    <w:p w14:paraId="0FFEE8C2" w14:textId="77777777" w:rsidR="00176697" w:rsidRPr="0012597A" w:rsidRDefault="00176697" w:rsidP="00176697">
      <w:pPr>
        <w:pStyle w:val="NormalWeb"/>
        <w:spacing w:before="0" w:beforeAutospacing="0" w:after="0" w:afterAutospacing="0"/>
        <w:jc w:val="both"/>
      </w:pPr>
    </w:p>
    <w:p w14:paraId="413416A5" w14:textId="77777777" w:rsidR="00176697" w:rsidRPr="0012597A" w:rsidRDefault="00176697" w:rsidP="00176697">
      <w:pPr>
        <w:pStyle w:val="NormalWeb"/>
        <w:spacing w:before="0" w:beforeAutospacing="0" w:after="0" w:afterAutospacing="0"/>
        <w:jc w:val="both"/>
      </w:pPr>
      <w:r w:rsidRPr="0012597A">
        <w:t>Asimismo, se considerarán actos de discriminación las distinciones, exclusiones o restricciones basadas en condiciones neurodivergentes, tales como trastorno del espectro autista, TDAH, dislexia, entre otras.</w:t>
      </w:r>
    </w:p>
    <w:p w14:paraId="06558C51" w14:textId="77777777" w:rsidR="00176697" w:rsidRPr="0012597A" w:rsidRDefault="00176697" w:rsidP="00176697">
      <w:pPr>
        <w:pStyle w:val="NormalWeb"/>
        <w:spacing w:before="0" w:beforeAutospacing="0" w:after="0" w:afterAutospacing="0"/>
        <w:jc w:val="both"/>
      </w:pPr>
    </w:p>
    <w:tbl>
      <w:tblPr>
        <w:tblStyle w:val="Tablaconcuadrcula"/>
        <w:tblW w:w="0" w:type="auto"/>
        <w:jc w:val="center"/>
        <w:tblLook w:val="04A0" w:firstRow="1" w:lastRow="0" w:firstColumn="1" w:lastColumn="0" w:noHBand="0" w:noVBand="1"/>
      </w:tblPr>
      <w:tblGrid>
        <w:gridCol w:w="4414"/>
        <w:gridCol w:w="4414"/>
      </w:tblGrid>
      <w:tr w:rsidR="00176697" w:rsidRPr="0012597A" w14:paraId="66D275B4" w14:textId="77777777" w:rsidTr="007F283E">
        <w:trPr>
          <w:jc w:val="center"/>
        </w:trPr>
        <w:tc>
          <w:tcPr>
            <w:tcW w:w="4414" w:type="dxa"/>
          </w:tcPr>
          <w:p w14:paraId="1AF4A0C5" w14:textId="77777777" w:rsidR="00176697" w:rsidRPr="0012597A" w:rsidRDefault="00176697" w:rsidP="007F283E">
            <w:pPr>
              <w:pStyle w:val="NormalWeb"/>
              <w:spacing w:before="0" w:beforeAutospacing="0" w:after="0" w:afterAutospacing="0"/>
              <w:jc w:val="center"/>
              <w:rPr>
                <w:b/>
              </w:rPr>
            </w:pPr>
            <w:r w:rsidRPr="0012597A">
              <w:rPr>
                <w:b/>
              </w:rPr>
              <w:t>TEXTO VIGENTE</w:t>
            </w:r>
          </w:p>
        </w:tc>
        <w:tc>
          <w:tcPr>
            <w:tcW w:w="4414" w:type="dxa"/>
          </w:tcPr>
          <w:p w14:paraId="35C878E3" w14:textId="77777777" w:rsidR="00176697" w:rsidRPr="0012597A" w:rsidRDefault="00176697" w:rsidP="007F283E">
            <w:pPr>
              <w:pStyle w:val="NormalWeb"/>
              <w:spacing w:before="0" w:beforeAutospacing="0" w:after="0" w:afterAutospacing="0"/>
              <w:jc w:val="center"/>
              <w:rPr>
                <w:b/>
              </w:rPr>
            </w:pPr>
            <w:r w:rsidRPr="0012597A">
              <w:rPr>
                <w:b/>
              </w:rPr>
              <w:t>TEXTO MODIFICADO</w:t>
            </w:r>
          </w:p>
        </w:tc>
      </w:tr>
      <w:tr w:rsidR="00176697" w:rsidRPr="0012597A" w14:paraId="10E6ABF8" w14:textId="77777777" w:rsidTr="007F283E">
        <w:trPr>
          <w:jc w:val="center"/>
        </w:trPr>
        <w:tc>
          <w:tcPr>
            <w:tcW w:w="4414" w:type="dxa"/>
          </w:tcPr>
          <w:p w14:paraId="32FA610B" w14:textId="77777777" w:rsidR="00176697" w:rsidRPr="0012597A" w:rsidRDefault="00176697" w:rsidP="007F283E">
            <w:pPr>
              <w:pStyle w:val="NormalWeb"/>
              <w:spacing w:before="0" w:beforeAutospacing="0" w:after="0" w:afterAutospacing="0"/>
              <w:jc w:val="both"/>
              <w:rPr>
                <w:b/>
              </w:rPr>
            </w:pPr>
            <w:r w:rsidRPr="0012597A">
              <w:rPr>
                <w:b/>
              </w:rPr>
              <w:t>Artículo 5.-</w:t>
            </w:r>
            <w:r w:rsidRPr="0012597A">
              <w:t xml:space="preserve"> 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También se entenderá como discriminación toda forma de xenofobias y por discriminación múltiple, a la situación específica en la que se encuentran las personas que al ser discriminados por tener simultáneamente diversas condiciones, ven anulados o menoscabados sus derechos.</w:t>
            </w:r>
          </w:p>
        </w:tc>
        <w:tc>
          <w:tcPr>
            <w:tcW w:w="4414" w:type="dxa"/>
          </w:tcPr>
          <w:p w14:paraId="4A69B6FE" w14:textId="77777777" w:rsidR="00176697" w:rsidRPr="0012597A" w:rsidRDefault="00176697" w:rsidP="007F283E">
            <w:pPr>
              <w:pStyle w:val="NormalWeb"/>
              <w:spacing w:before="0" w:beforeAutospacing="0" w:after="0" w:afterAutospacing="0"/>
              <w:jc w:val="both"/>
              <w:rPr>
                <w:b/>
              </w:rPr>
            </w:pPr>
            <w:r w:rsidRPr="0012597A">
              <w:rPr>
                <w:b/>
              </w:rPr>
              <w:t>Artículo 5.-</w:t>
            </w:r>
            <w:r w:rsidRPr="0012597A">
              <w:t xml:space="preserve"> 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También se entenderá como discriminación toda forma de xenofobias y por discriminación múltiple, a la situación específica en la que se encuentran las personas que, al ser discriminados por tener simultáneamente diversas condiciones, ven anulados o menoscabados sus derechos.</w:t>
            </w:r>
            <w:r w:rsidRPr="0012597A">
              <w:rPr>
                <w:b/>
              </w:rPr>
              <w:t xml:space="preserve"> </w:t>
            </w:r>
          </w:p>
          <w:p w14:paraId="549DF980" w14:textId="77777777" w:rsidR="00176697" w:rsidRPr="0012597A" w:rsidRDefault="00176697" w:rsidP="007F283E">
            <w:pPr>
              <w:pStyle w:val="NormalWeb"/>
              <w:spacing w:before="0" w:beforeAutospacing="0" w:after="0" w:afterAutospacing="0"/>
              <w:jc w:val="both"/>
              <w:rPr>
                <w:b/>
              </w:rPr>
            </w:pPr>
            <w:r w:rsidRPr="0012597A">
              <w:rPr>
                <w:b/>
              </w:rPr>
              <w:t>Se entenderá también por discriminación la exclusión o restricción en el acceso a tecnologías de la información y la comunicación, servicios digitales, conectividad a internet, así como la limitación en la adquisición de competencias digitales esenciales para la participación social, económica y educativa.</w:t>
            </w:r>
          </w:p>
          <w:p w14:paraId="4B798B6D" w14:textId="77777777" w:rsidR="00176697" w:rsidRPr="0012597A" w:rsidRDefault="00176697" w:rsidP="007F283E">
            <w:pPr>
              <w:pStyle w:val="NormalWeb"/>
              <w:spacing w:before="0" w:beforeAutospacing="0" w:after="0" w:afterAutospacing="0"/>
              <w:jc w:val="both"/>
              <w:rPr>
                <w:b/>
              </w:rPr>
            </w:pPr>
            <w:r w:rsidRPr="0012597A">
              <w:rPr>
                <w:b/>
              </w:rPr>
              <w:t>Asimismo, se considerarán actos de discriminación las distinciones, exclusiones o restricciones basadas en condiciones neurodivergentes, tales como trastorno del espectro autista, TDAH, dislexia, entre otras.</w:t>
            </w:r>
          </w:p>
        </w:tc>
      </w:tr>
    </w:tbl>
    <w:p w14:paraId="7C5FF4A0" w14:textId="77777777" w:rsidR="00176697" w:rsidRPr="0012597A" w:rsidRDefault="00176697" w:rsidP="00176697">
      <w:pPr>
        <w:pStyle w:val="NormalWeb"/>
        <w:spacing w:before="0" w:beforeAutospacing="0" w:after="0" w:afterAutospacing="0"/>
        <w:jc w:val="both"/>
      </w:pPr>
    </w:p>
    <w:p w14:paraId="08388C6C" w14:textId="77777777" w:rsidR="00176697" w:rsidRPr="0012597A" w:rsidRDefault="00176697" w:rsidP="00176697">
      <w:pPr>
        <w:pStyle w:val="NormalWeb"/>
        <w:spacing w:before="0" w:beforeAutospacing="0" w:after="0" w:afterAutospacing="0"/>
        <w:jc w:val="both"/>
        <w:rPr>
          <w:b/>
        </w:rPr>
      </w:pPr>
      <w:r w:rsidRPr="0012597A">
        <w:rPr>
          <w:b/>
        </w:rPr>
        <w:t>Artículo 9. Se adicionan las fracciones IX y X:</w:t>
      </w:r>
    </w:p>
    <w:p w14:paraId="7C6FCD18" w14:textId="77777777" w:rsidR="00176697" w:rsidRPr="0012597A" w:rsidRDefault="00176697" w:rsidP="00176697">
      <w:pPr>
        <w:pStyle w:val="NormalWeb"/>
        <w:spacing w:before="0" w:beforeAutospacing="0" w:after="0" w:afterAutospacing="0"/>
        <w:jc w:val="both"/>
        <w:rPr>
          <w:b/>
        </w:rPr>
      </w:pPr>
    </w:p>
    <w:p w14:paraId="681C04F5" w14:textId="77777777" w:rsidR="00176697" w:rsidRPr="0012597A" w:rsidRDefault="00176697" w:rsidP="00176697">
      <w:pPr>
        <w:pStyle w:val="NormalWeb"/>
        <w:spacing w:before="0" w:beforeAutospacing="0" w:after="0" w:afterAutospacing="0"/>
        <w:jc w:val="both"/>
      </w:pPr>
      <w:r w:rsidRPr="0012597A">
        <w:rPr>
          <w:b/>
        </w:rPr>
        <w:t>IX.</w:t>
      </w:r>
      <w:r w:rsidRPr="0012597A">
        <w:t xml:space="preserve"> Para garantizar la inclusión digital: </w:t>
      </w:r>
    </w:p>
    <w:p w14:paraId="15F712EF" w14:textId="77777777" w:rsidR="00176697" w:rsidRPr="0012597A" w:rsidRDefault="00176697" w:rsidP="00176697">
      <w:pPr>
        <w:pStyle w:val="NormalWeb"/>
        <w:spacing w:before="0" w:beforeAutospacing="0" w:after="0" w:afterAutospacing="0"/>
        <w:jc w:val="both"/>
      </w:pPr>
    </w:p>
    <w:p w14:paraId="429E0BD4" w14:textId="77777777" w:rsidR="00176697" w:rsidRPr="0012597A" w:rsidRDefault="00176697" w:rsidP="00176697">
      <w:pPr>
        <w:pStyle w:val="NormalWeb"/>
        <w:spacing w:before="0" w:beforeAutospacing="0" w:after="0" w:afterAutospacing="0"/>
        <w:jc w:val="both"/>
      </w:pPr>
      <w:r w:rsidRPr="0012597A">
        <w:lastRenderedPageBreak/>
        <w:t xml:space="preserve">a) Establecer políticas de conectividad gratuita o a bajo costo en comunidades marginadas. </w:t>
      </w:r>
    </w:p>
    <w:p w14:paraId="443895EA" w14:textId="77777777" w:rsidR="00176697" w:rsidRPr="0012597A" w:rsidRDefault="00176697" w:rsidP="00176697">
      <w:pPr>
        <w:pStyle w:val="NormalWeb"/>
        <w:spacing w:before="0" w:beforeAutospacing="0" w:after="0" w:afterAutospacing="0"/>
        <w:jc w:val="both"/>
      </w:pPr>
      <w:r w:rsidRPr="0012597A">
        <w:t xml:space="preserve">b) Promover programas de alfabetización digital, especialmente en adultos mayores, personas con discapacidad y poblaciones indígenas. </w:t>
      </w:r>
    </w:p>
    <w:p w14:paraId="49DBF9F0" w14:textId="77777777" w:rsidR="00176697" w:rsidRPr="0012597A" w:rsidRDefault="00176697" w:rsidP="00176697">
      <w:pPr>
        <w:pStyle w:val="NormalWeb"/>
        <w:spacing w:before="0" w:beforeAutospacing="0" w:after="0" w:afterAutospacing="0"/>
        <w:jc w:val="both"/>
      </w:pPr>
      <w:r w:rsidRPr="0012597A">
        <w:t>c) Garantizar la accesibilidad de los sitios web y aplicaciones de gobierno a personas con discapacidad.</w:t>
      </w:r>
    </w:p>
    <w:p w14:paraId="1710546A" w14:textId="77777777" w:rsidR="00176697" w:rsidRPr="0012597A" w:rsidRDefault="00176697" w:rsidP="00176697">
      <w:pPr>
        <w:pStyle w:val="NormalWeb"/>
        <w:spacing w:before="0" w:beforeAutospacing="0" w:after="0" w:afterAutospacing="0"/>
        <w:jc w:val="both"/>
      </w:pPr>
      <w:r w:rsidRPr="0012597A">
        <w:t>d) Diseñar y promover estrategias de inclusión laboral, educativa y social para personas neurodivergentes, incluyendo campañas de sensibilización en centros educativos y de trabajo.</w:t>
      </w:r>
    </w:p>
    <w:p w14:paraId="68833362" w14:textId="77777777" w:rsidR="00176697" w:rsidRPr="0012597A" w:rsidRDefault="00176697" w:rsidP="00176697">
      <w:pPr>
        <w:pStyle w:val="NormalWeb"/>
        <w:spacing w:before="0" w:beforeAutospacing="0" w:after="0" w:afterAutospacing="0"/>
        <w:jc w:val="both"/>
        <w:rPr>
          <w:b/>
        </w:rPr>
      </w:pPr>
    </w:p>
    <w:p w14:paraId="0C571E61" w14:textId="77777777" w:rsidR="00176697" w:rsidRPr="0012597A" w:rsidRDefault="00176697" w:rsidP="00176697">
      <w:pPr>
        <w:pStyle w:val="NormalWeb"/>
        <w:spacing w:before="0" w:beforeAutospacing="0" w:after="0" w:afterAutospacing="0"/>
        <w:jc w:val="both"/>
      </w:pPr>
      <w:r w:rsidRPr="0012597A">
        <w:rPr>
          <w:b/>
        </w:rPr>
        <w:t>X.</w:t>
      </w:r>
      <w:r w:rsidRPr="0012597A">
        <w:t xml:space="preserve"> Para garantizar la igualdad de oportunidades para personas de la diversidad sexual y de género: </w:t>
      </w:r>
    </w:p>
    <w:p w14:paraId="053538AC" w14:textId="77777777" w:rsidR="00176697" w:rsidRPr="0012597A" w:rsidRDefault="00176697" w:rsidP="00176697">
      <w:pPr>
        <w:pStyle w:val="NormalWeb"/>
        <w:spacing w:before="0" w:beforeAutospacing="0" w:after="0" w:afterAutospacing="0"/>
        <w:jc w:val="both"/>
      </w:pPr>
      <w:r w:rsidRPr="0012597A">
        <w:t xml:space="preserve">a) Desarrollar campañas contra la discriminación por identidad de género y orientación sexual. </w:t>
      </w:r>
    </w:p>
    <w:p w14:paraId="65CBD242" w14:textId="77777777" w:rsidR="00176697" w:rsidRPr="0012597A" w:rsidRDefault="00176697" w:rsidP="00176697">
      <w:pPr>
        <w:pStyle w:val="NormalWeb"/>
        <w:spacing w:before="0" w:beforeAutospacing="0" w:after="0" w:afterAutospacing="0"/>
        <w:jc w:val="both"/>
      </w:pPr>
      <w:r w:rsidRPr="0012597A">
        <w:t xml:space="preserve">b) Promover mecanismos de inclusión laboral y educativa para personas trans y no binarias. </w:t>
      </w:r>
    </w:p>
    <w:p w14:paraId="574E1B85" w14:textId="77777777" w:rsidR="00176697" w:rsidRPr="0012597A" w:rsidRDefault="00176697" w:rsidP="00176697">
      <w:pPr>
        <w:pStyle w:val="NormalWeb"/>
        <w:spacing w:before="0" w:beforeAutospacing="0" w:after="0" w:afterAutospacing="0"/>
        <w:jc w:val="both"/>
      </w:pPr>
      <w:r w:rsidRPr="0012597A">
        <w:t>c) Establecer acciones afirmativas para reconocimiento y respeto del nombre y género autopercibido en documentos oficiales estatales.</w:t>
      </w:r>
    </w:p>
    <w:p w14:paraId="6A82AC95" w14:textId="77777777" w:rsidR="00176697" w:rsidRPr="0012597A" w:rsidRDefault="00176697" w:rsidP="00176697">
      <w:pPr>
        <w:pStyle w:val="NormalWeb"/>
        <w:spacing w:before="0" w:beforeAutospacing="0" w:after="0" w:afterAutospacing="0"/>
        <w:jc w:val="both"/>
      </w:pPr>
    </w:p>
    <w:tbl>
      <w:tblPr>
        <w:tblStyle w:val="Tablaconcuadrcula"/>
        <w:tblpPr w:leftFromText="141" w:rightFromText="141" w:vertAnchor="text" w:horzAnchor="margin" w:tblpXSpec="center" w:tblpY="70"/>
        <w:tblW w:w="0" w:type="auto"/>
        <w:tblLook w:val="04A0" w:firstRow="1" w:lastRow="0" w:firstColumn="1" w:lastColumn="0" w:noHBand="0" w:noVBand="1"/>
      </w:tblPr>
      <w:tblGrid>
        <w:gridCol w:w="4414"/>
        <w:gridCol w:w="4414"/>
      </w:tblGrid>
      <w:tr w:rsidR="00176697" w:rsidRPr="0012597A" w14:paraId="160B0960" w14:textId="77777777" w:rsidTr="007F283E">
        <w:tc>
          <w:tcPr>
            <w:tcW w:w="4414" w:type="dxa"/>
          </w:tcPr>
          <w:p w14:paraId="3223C638" w14:textId="77777777" w:rsidR="00176697" w:rsidRPr="0012597A" w:rsidRDefault="00176697" w:rsidP="007F283E">
            <w:pPr>
              <w:pStyle w:val="NormalWeb"/>
              <w:spacing w:before="0" w:beforeAutospacing="0" w:after="0" w:afterAutospacing="0"/>
              <w:jc w:val="center"/>
              <w:rPr>
                <w:b/>
              </w:rPr>
            </w:pPr>
            <w:r w:rsidRPr="0012597A">
              <w:rPr>
                <w:b/>
              </w:rPr>
              <w:t>TEXTO VIGENTE</w:t>
            </w:r>
          </w:p>
        </w:tc>
        <w:tc>
          <w:tcPr>
            <w:tcW w:w="4414" w:type="dxa"/>
          </w:tcPr>
          <w:p w14:paraId="21781003" w14:textId="77777777" w:rsidR="00176697" w:rsidRPr="0012597A" w:rsidRDefault="00176697" w:rsidP="007F283E">
            <w:pPr>
              <w:pStyle w:val="NormalWeb"/>
              <w:spacing w:before="0" w:beforeAutospacing="0" w:after="0" w:afterAutospacing="0"/>
              <w:jc w:val="center"/>
              <w:rPr>
                <w:b/>
              </w:rPr>
            </w:pPr>
            <w:r w:rsidRPr="0012597A">
              <w:rPr>
                <w:b/>
              </w:rPr>
              <w:t>TEXTO MODIFICADO</w:t>
            </w:r>
          </w:p>
        </w:tc>
      </w:tr>
      <w:tr w:rsidR="00176697" w:rsidRPr="0012597A" w14:paraId="32893D88" w14:textId="77777777" w:rsidTr="007F283E">
        <w:tc>
          <w:tcPr>
            <w:tcW w:w="4414" w:type="dxa"/>
          </w:tcPr>
          <w:p w14:paraId="407369E3" w14:textId="77777777" w:rsidR="00176697" w:rsidRPr="0012597A" w:rsidRDefault="00176697" w:rsidP="007F283E">
            <w:pPr>
              <w:pStyle w:val="NormalWeb"/>
              <w:spacing w:before="0" w:beforeAutospacing="0" w:after="0" w:afterAutospacing="0"/>
            </w:pPr>
            <w:r w:rsidRPr="0012597A">
              <w:t>i) Procurar acciones para erradicar la limitación, restricción o prohibición del acto de amamantar en espacios públicos.</w:t>
            </w:r>
          </w:p>
          <w:p w14:paraId="26B20448" w14:textId="77777777" w:rsidR="00176697" w:rsidRPr="0012597A" w:rsidRDefault="00176697" w:rsidP="007F283E">
            <w:pPr>
              <w:pStyle w:val="NormalWeb"/>
              <w:spacing w:before="0" w:beforeAutospacing="0" w:after="0" w:afterAutospacing="0"/>
            </w:pPr>
            <w:r w:rsidRPr="0012597A">
              <w:rPr>
                <w:b/>
              </w:rPr>
              <w:t>II</w:t>
            </w:r>
            <w:r w:rsidRPr="0012597A">
              <w:t>…</w:t>
            </w:r>
          </w:p>
          <w:p w14:paraId="165AF754" w14:textId="77777777" w:rsidR="00176697" w:rsidRPr="0012597A" w:rsidRDefault="00176697" w:rsidP="007F283E">
            <w:pPr>
              <w:pStyle w:val="NormalWeb"/>
              <w:spacing w:before="0" w:beforeAutospacing="0" w:after="0" w:afterAutospacing="0"/>
            </w:pPr>
            <w:r w:rsidRPr="0012597A">
              <w:rPr>
                <w:b/>
              </w:rPr>
              <w:t>III</w:t>
            </w:r>
            <w:r w:rsidRPr="0012597A">
              <w:t>…</w:t>
            </w:r>
          </w:p>
          <w:p w14:paraId="3ACF1BB2" w14:textId="77777777" w:rsidR="00176697" w:rsidRPr="0012597A" w:rsidRDefault="00176697" w:rsidP="007F283E">
            <w:pPr>
              <w:pStyle w:val="NormalWeb"/>
              <w:spacing w:before="0" w:beforeAutospacing="0" w:after="0" w:afterAutospacing="0"/>
            </w:pPr>
            <w:r w:rsidRPr="0012597A">
              <w:rPr>
                <w:b/>
              </w:rPr>
              <w:t>IV</w:t>
            </w:r>
            <w:r w:rsidRPr="0012597A">
              <w:t>…</w:t>
            </w:r>
          </w:p>
          <w:p w14:paraId="36664EC3" w14:textId="77777777" w:rsidR="00176697" w:rsidRPr="0012597A" w:rsidRDefault="00176697" w:rsidP="007F283E">
            <w:pPr>
              <w:pStyle w:val="NormalWeb"/>
              <w:spacing w:before="0" w:beforeAutospacing="0" w:after="0" w:afterAutospacing="0"/>
            </w:pPr>
            <w:r w:rsidRPr="0012597A">
              <w:rPr>
                <w:b/>
              </w:rPr>
              <w:t>V</w:t>
            </w:r>
            <w:r w:rsidRPr="0012597A">
              <w:t>…</w:t>
            </w:r>
          </w:p>
          <w:p w14:paraId="0DE8532E" w14:textId="77777777" w:rsidR="00176697" w:rsidRPr="0012597A" w:rsidRDefault="00176697" w:rsidP="007F283E">
            <w:pPr>
              <w:pStyle w:val="NormalWeb"/>
              <w:spacing w:before="0" w:beforeAutospacing="0" w:after="0" w:afterAutospacing="0"/>
            </w:pPr>
            <w:r w:rsidRPr="0012597A">
              <w:rPr>
                <w:b/>
              </w:rPr>
              <w:t>VI</w:t>
            </w:r>
            <w:r w:rsidRPr="0012597A">
              <w:t>…</w:t>
            </w:r>
          </w:p>
          <w:p w14:paraId="24CBB200" w14:textId="77777777" w:rsidR="00176697" w:rsidRPr="0012597A" w:rsidRDefault="00176697" w:rsidP="007F283E">
            <w:pPr>
              <w:pStyle w:val="NormalWeb"/>
              <w:spacing w:before="0" w:beforeAutospacing="0" w:after="0" w:afterAutospacing="0"/>
            </w:pPr>
            <w:r w:rsidRPr="0012597A">
              <w:rPr>
                <w:b/>
              </w:rPr>
              <w:t>VII</w:t>
            </w:r>
            <w:r w:rsidRPr="0012597A">
              <w:t>…</w:t>
            </w:r>
          </w:p>
          <w:p w14:paraId="35787CDF" w14:textId="77777777" w:rsidR="00176697" w:rsidRPr="0012597A" w:rsidRDefault="00176697" w:rsidP="007F283E">
            <w:pPr>
              <w:pStyle w:val="NormalWeb"/>
              <w:spacing w:before="0" w:beforeAutospacing="0" w:after="0" w:afterAutospacing="0"/>
            </w:pPr>
            <w:r w:rsidRPr="0012597A">
              <w:rPr>
                <w:b/>
              </w:rPr>
              <w:t>VIII</w:t>
            </w:r>
            <w:r w:rsidRPr="0012597A">
              <w:t>…</w:t>
            </w:r>
          </w:p>
        </w:tc>
        <w:tc>
          <w:tcPr>
            <w:tcW w:w="4414" w:type="dxa"/>
          </w:tcPr>
          <w:p w14:paraId="6A5B4CCD" w14:textId="77777777" w:rsidR="00176697" w:rsidRPr="0012597A" w:rsidRDefault="00176697" w:rsidP="007F283E">
            <w:pPr>
              <w:pStyle w:val="NormalWeb"/>
              <w:spacing w:before="0" w:beforeAutospacing="0" w:after="0" w:afterAutospacing="0"/>
            </w:pPr>
            <w:r w:rsidRPr="0012597A">
              <w:t>i) Procurar acciones para erradicar la limitación, restricción o prohibición del acto de amamantar en espacios públicos.</w:t>
            </w:r>
          </w:p>
          <w:p w14:paraId="4B9E53DA" w14:textId="77777777" w:rsidR="00176697" w:rsidRPr="0012597A" w:rsidRDefault="00176697" w:rsidP="007F283E">
            <w:pPr>
              <w:pStyle w:val="NormalWeb"/>
              <w:spacing w:before="0" w:beforeAutospacing="0" w:after="0" w:afterAutospacing="0"/>
            </w:pPr>
            <w:r w:rsidRPr="0012597A">
              <w:rPr>
                <w:b/>
              </w:rPr>
              <w:t>II</w:t>
            </w:r>
            <w:r w:rsidRPr="0012597A">
              <w:t>…</w:t>
            </w:r>
          </w:p>
          <w:p w14:paraId="1403A3F2" w14:textId="77777777" w:rsidR="00176697" w:rsidRPr="0012597A" w:rsidRDefault="00176697" w:rsidP="007F283E">
            <w:pPr>
              <w:pStyle w:val="NormalWeb"/>
              <w:spacing w:before="0" w:beforeAutospacing="0" w:after="0" w:afterAutospacing="0"/>
            </w:pPr>
            <w:r w:rsidRPr="0012597A">
              <w:rPr>
                <w:b/>
              </w:rPr>
              <w:t>III</w:t>
            </w:r>
            <w:r w:rsidRPr="0012597A">
              <w:t>…</w:t>
            </w:r>
          </w:p>
          <w:p w14:paraId="6AB534E8" w14:textId="77777777" w:rsidR="00176697" w:rsidRPr="0012597A" w:rsidRDefault="00176697" w:rsidP="007F283E">
            <w:pPr>
              <w:pStyle w:val="NormalWeb"/>
              <w:spacing w:before="0" w:beforeAutospacing="0" w:after="0" w:afterAutospacing="0"/>
            </w:pPr>
            <w:r w:rsidRPr="0012597A">
              <w:rPr>
                <w:b/>
              </w:rPr>
              <w:t>IV</w:t>
            </w:r>
            <w:r w:rsidRPr="0012597A">
              <w:t>…</w:t>
            </w:r>
          </w:p>
          <w:p w14:paraId="44BB98C0" w14:textId="77777777" w:rsidR="00176697" w:rsidRPr="0012597A" w:rsidRDefault="00176697" w:rsidP="007F283E">
            <w:pPr>
              <w:pStyle w:val="NormalWeb"/>
              <w:spacing w:before="0" w:beforeAutospacing="0" w:after="0" w:afterAutospacing="0"/>
            </w:pPr>
            <w:r w:rsidRPr="0012597A">
              <w:rPr>
                <w:b/>
              </w:rPr>
              <w:t>V</w:t>
            </w:r>
            <w:r w:rsidRPr="0012597A">
              <w:t>…</w:t>
            </w:r>
          </w:p>
          <w:p w14:paraId="6BDFC9E0" w14:textId="77777777" w:rsidR="00176697" w:rsidRPr="0012597A" w:rsidRDefault="00176697" w:rsidP="007F283E">
            <w:pPr>
              <w:pStyle w:val="NormalWeb"/>
              <w:spacing w:before="0" w:beforeAutospacing="0" w:after="0" w:afterAutospacing="0"/>
            </w:pPr>
            <w:r w:rsidRPr="0012597A">
              <w:rPr>
                <w:b/>
              </w:rPr>
              <w:t>VI</w:t>
            </w:r>
            <w:r w:rsidRPr="0012597A">
              <w:t>…</w:t>
            </w:r>
          </w:p>
          <w:p w14:paraId="03508533" w14:textId="77777777" w:rsidR="00176697" w:rsidRPr="0012597A" w:rsidRDefault="00176697" w:rsidP="007F283E">
            <w:pPr>
              <w:pStyle w:val="NormalWeb"/>
              <w:spacing w:before="0" w:beforeAutospacing="0" w:after="0" w:afterAutospacing="0"/>
            </w:pPr>
            <w:r w:rsidRPr="0012597A">
              <w:rPr>
                <w:b/>
              </w:rPr>
              <w:t>VII</w:t>
            </w:r>
            <w:r w:rsidRPr="0012597A">
              <w:t>…</w:t>
            </w:r>
          </w:p>
          <w:p w14:paraId="43129B84" w14:textId="77777777" w:rsidR="00176697" w:rsidRPr="0012597A" w:rsidRDefault="00176697" w:rsidP="007F283E">
            <w:pPr>
              <w:pStyle w:val="NormalWeb"/>
              <w:spacing w:before="0" w:beforeAutospacing="0" w:after="0" w:afterAutospacing="0"/>
            </w:pPr>
            <w:r w:rsidRPr="0012597A">
              <w:rPr>
                <w:b/>
              </w:rPr>
              <w:t>VIII</w:t>
            </w:r>
            <w:r w:rsidRPr="0012597A">
              <w:t>…</w:t>
            </w:r>
          </w:p>
          <w:p w14:paraId="3BE4F451" w14:textId="77777777" w:rsidR="00176697" w:rsidRPr="0012597A" w:rsidRDefault="00176697" w:rsidP="007F283E">
            <w:pPr>
              <w:pStyle w:val="NormalWeb"/>
              <w:spacing w:before="0" w:beforeAutospacing="0" w:after="0" w:afterAutospacing="0"/>
              <w:jc w:val="both"/>
              <w:rPr>
                <w:b/>
              </w:rPr>
            </w:pPr>
            <w:r w:rsidRPr="0012597A">
              <w:rPr>
                <w:b/>
              </w:rPr>
              <w:t>IX. Para garantizar la inclusión digital: a) Establecer políticas de conectividad gratuita o a bajo costo en comunidades marginadas. b) Promover programas de alfabetización digital, especialmente en adultos mayores, personas con discapacidad y población indígena. c) Garantizar la accesibilidad de los sitios web y aplicaciones de gobierno a personas con discapacidad.</w:t>
            </w:r>
          </w:p>
          <w:p w14:paraId="597D9E57" w14:textId="77777777" w:rsidR="00176697" w:rsidRPr="0012597A" w:rsidRDefault="00176697" w:rsidP="007F283E">
            <w:pPr>
              <w:pStyle w:val="NormalWeb"/>
              <w:spacing w:before="0" w:beforeAutospacing="0" w:after="0" w:afterAutospacing="0"/>
              <w:jc w:val="both"/>
              <w:rPr>
                <w:b/>
              </w:rPr>
            </w:pPr>
            <w:r w:rsidRPr="0012597A">
              <w:rPr>
                <w:b/>
              </w:rPr>
              <w:t>a) Diseñar y promover estrategias de inclusión laboral, educativa y social para personas neurodivergentes, incluyendo campañas de sensibilización en centros educativos y de trabajo.</w:t>
            </w:r>
          </w:p>
          <w:p w14:paraId="4330646B" w14:textId="77777777" w:rsidR="00176697" w:rsidRPr="0012597A" w:rsidRDefault="00176697" w:rsidP="007F283E">
            <w:pPr>
              <w:pStyle w:val="NormalWeb"/>
              <w:spacing w:before="0" w:beforeAutospacing="0" w:after="0" w:afterAutospacing="0"/>
              <w:jc w:val="both"/>
              <w:rPr>
                <w:b/>
              </w:rPr>
            </w:pPr>
            <w:r w:rsidRPr="0012597A">
              <w:rPr>
                <w:b/>
              </w:rPr>
              <w:t xml:space="preserve">X. Para garantizar la igualdad de oportunidades para personas de la diversidad sexual y de género: a) Desarrollar campañas contra la discriminación por identidad de género y orientación sexual. b) Promover mecanismos de inclusión laboral y educativa para personas trans y no </w:t>
            </w:r>
            <w:r w:rsidRPr="0012597A">
              <w:rPr>
                <w:b/>
              </w:rPr>
              <w:lastRenderedPageBreak/>
              <w:t>binarias. c) Establecer acciones afirmativas para reconocimiento y respeto del nombre y género autopercibido en documentos oficiales estatales.</w:t>
            </w:r>
          </w:p>
        </w:tc>
      </w:tr>
    </w:tbl>
    <w:p w14:paraId="560A4A05" w14:textId="77777777" w:rsidR="00176697" w:rsidRPr="0012597A" w:rsidRDefault="00176697" w:rsidP="00176697">
      <w:pPr>
        <w:pStyle w:val="NormalWeb"/>
        <w:spacing w:before="0" w:beforeAutospacing="0" w:after="0" w:afterAutospacing="0"/>
        <w:jc w:val="both"/>
      </w:pPr>
    </w:p>
    <w:p w14:paraId="63C683D2" w14:textId="77777777" w:rsidR="00176697" w:rsidRPr="0012597A" w:rsidRDefault="00176697" w:rsidP="00176697">
      <w:pPr>
        <w:pStyle w:val="NormalWeb"/>
        <w:spacing w:before="0" w:beforeAutospacing="0" w:after="0" w:afterAutospacing="0"/>
        <w:jc w:val="both"/>
        <w:rPr>
          <w:b/>
        </w:rPr>
      </w:pPr>
      <w:r w:rsidRPr="0012597A">
        <w:rPr>
          <w:b/>
        </w:rPr>
        <w:t>Artículo 13. Se reforma el segundo párrafo:</w:t>
      </w:r>
    </w:p>
    <w:p w14:paraId="51BBFF9B" w14:textId="77777777" w:rsidR="00176697" w:rsidRPr="0012597A" w:rsidRDefault="00176697" w:rsidP="00176697">
      <w:pPr>
        <w:pStyle w:val="NormalWeb"/>
        <w:spacing w:before="0" w:beforeAutospacing="0" w:after="0" w:afterAutospacing="0"/>
        <w:jc w:val="both"/>
        <w:rPr>
          <w:b/>
        </w:rPr>
      </w:pPr>
    </w:p>
    <w:p w14:paraId="3449C1DD" w14:textId="77777777" w:rsidR="00176697" w:rsidRPr="0012597A" w:rsidRDefault="00176697" w:rsidP="00176697">
      <w:pPr>
        <w:pStyle w:val="NormalWeb"/>
        <w:spacing w:before="0" w:beforeAutospacing="0" w:after="0" w:afterAutospacing="0"/>
        <w:jc w:val="both"/>
      </w:pPr>
      <w:r w:rsidRPr="0012597A">
        <w:t>El Consejo sesionará por lo menos una vez al mes y podrá integrar observatorios ciudadanos por sector (mujeres, jóvenes, discapacidad, diversidad sexual, comunidades indígenas, entre otros) para atender problemáticas específicas.</w:t>
      </w:r>
    </w:p>
    <w:p w14:paraId="0C9F0BFD" w14:textId="77777777" w:rsidR="00176697" w:rsidRPr="0012597A" w:rsidRDefault="00176697" w:rsidP="00176697">
      <w:pPr>
        <w:pStyle w:val="NormalWeb"/>
        <w:spacing w:before="0" w:beforeAutospacing="0" w:after="0" w:afterAutospacing="0"/>
        <w:jc w:val="both"/>
      </w:pPr>
    </w:p>
    <w:tbl>
      <w:tblPr>
        <w:tblStyle w:val="Tablaconcuadrcula"/>
        <w:tblW w:w="0" w:type="auto"/>
        <w:jc w:val="center"/>
        <w:tblLook w:val="04A0" w:firstRow="1" w:lastRow="0" w:firstColumn="1" w:lastColumn="0" w:noHBand="0" w:noVBand="1"/>
      </w:tblPr>
      <w:tblGrid>
        <w:gridCol w:w="4414"/>
        <w:gridCol w:w="4414"/>
      </w:tblGrid>
      <w:tr w:rsidR="00176697" w:rsidRPr="0012597A" w14:paraId="34CB6C7D" w14:textId="77777777" w:rsidTr="007F283E">
        <w:trPr>
          <w:jc w:val="center"/>
        </w:trPr>
        <w:tc>
          <w:tcPr>
            <w:tcW w:w="4414" w:type="dxa"/>
          </w:tcPr>
          <w:p w14:paraId="4C9B8E13" w14:textId="77777777" w:rsidR="00176697" w:rsidRPr="0012597A" w:rsidRDefault="00176697" w:rsidP="007F283E">
            <w:pPr>
              <w:pStyle w:val="NormalWeb"/>
              <w:spacing w:before="0" w:beforeAutospacing="0" w:after="0" w:afterAutospacing="0"/>
              <w:jc w:val="center"/>
              <w:rPr>
                <w:b/>
              </w:rPr>
            </w:pPr>
            <w:r w:rsidRPr="0012597A">
              <w:rPr>
                <w:b/>
              </w:rPr>
              <w:t>TEXTO VIGENTE</w:t>
            </w:r>
          </w:p>
        </w:tc>
        <w:tc>
          <w:tcPr>
            <w:tcW w:w="4414" w:type="dxa"/>
          </w:tcPr>
          <w:p w14:paraId="06A64C57" w14:textId="77777777" w:rsidR="00176697" w:rsidRPr="0012597A" w:rsidRDefault="00176697" w:rsidP="007F283E">
            <w:pPr>
              <w:pStyle w:val="NormalWeb"/>
              <w:spacing w:before="0" w:beforeAutospacing="0" w:after="0" w:afterAutospacing="0"/>
              <w:jc w:val="center"/>
              <w:rPr>
                <w:b/>
              </w:rPr>
            </w:pPr>
            <w:r w:rsidRPr="0012597A">
              <w:rPr>
                <w:b/>
              </w:rPr>
              <w:t>TEXTO MODIFICADO</w:t>
            </w:r>
          </w:p>
        </w:tc>
      </w:tr>
      <w:tr w:rsidR="00176697" w:rsidRPr="0012597A" w14:paraId="7A428586" w14:textId="77777777" w:rsidTr="007F283E">
        <w:trPr>
          <w:jc w:val="center"/>
        </w:trPr>
        <w:tc>
          <w:tcPr>
            <w:tcW w:w="4414" w:type="dxa"/>
          </w:tcPr>
          <w:p w14:paraId="7B0DCACD" w14:textId="77777777" w:rsidR="00176697" w:rsidRPr="0012597A" w:rsidRDefault="00176697" w:rsidP="007F283E">
            <w:pPr>
              <w:pStyle w:val="NormalWeb"/>
              <w:spacing w:before="0" w:beforeAutospacing="0" w:after="0" w:afterAutospacing="0"/>
              <w:jc w:val="both"/>
              <w:rPr>
                <w:b/>
              </w:rPr>
            </w:pPr>
            <w:r w:rsidRPr="0012597A">
              <w:rPr>
                <w:b/>
              </w:rPr>
              <w:t>Artículo 13.-</w:t>
            </w:r>
            <w:r w:rsidRPr="0012597A">
              <w:t xml:space="preserve"> El Consejo, cuyo funcionamiento y trabajos serán supervisados por la propia Comisión de Derechos Humanos del Estado de México, estará integrado por un número no menor de diez, ni mayor de quince ciudadanos, representantes de los sectores privado, social y de la comunidad académica, uno de ellos, por lo menos, deberá ser de extracción indígena y que por su experiencia en prevención y eliminación de la discriminación puedan contribuir al logro de los objetivos de la Comisión, así como por un integrante designado por la Comisión Legislativa de Derechos Humanos. Los miembros de este Consejo serán propuestos por los representantes de los sectores y las instituciones académicas reconocidas y serán designados por decisión de la Comisión de Derechos Humanos del Estado de México. El Consejo sesionará por lo menos una vez cada dos meses</w:t>
            </w:r>
          </w:p>
        </w:tc>
        <w:tc>
          <w:tcPr>
            <w:tcW w:w="4414" w:type="dxa"/>
          </w:tcPr>
          <w:p w14:paraId="5B2A210B" w14:textId="77777777" w:rsidR="00176697" w:rsidRPr="0012597A" w:rsidRDefault="00176697" w:rsidP="007F283E">
            <w:pPr>
              <w:pStyle w:val="NormalWeb"/>
              <w:spacing w:before="0" w:beforeAutospacing="0" w:after="0" w:afterAutospacing="0"/>
              <w:jc w:val="both"/>
              <w:rPr>
                <w:b/>
              </w:rPr>
            </w:pPr>
            <w:r w:rsidRPr="0012597A">
              <w:rPr>
                <w:b/>
              </w:rPr>
              <w:t>Artículo 13.-</w:t>
            </w:r>
            <w:r w:rsidRPr="0012597A">
              <w:t xml:space="preserve"> El Consejo, cuyo funcionamiento y trabajos serán supervisados por la propia Comisión de Derechos Humanos del Estado de México, estará integrado por un número no menor de diez, ni mayor de quince ciudadanos, representantes </w:t>
            </w:r>
            <w:r w:rsidRPr="0012597A">
              <w:rPr>
                <w:b/>
              </w:rPr>
              <w:t>el Consejo sesionará por lo menos una vez al mes y podrá integrar observatorios ciudadanos por sector (mujeres, jóvenes, discapacidad, diversidad sexual, comunidades indígenas, entre otros)</w:t>
            </w:r>
            <w:r w:rsidRPr="0012597A">
              <w:t xml:space="preserve"> </w:t>
            </w:r>
            <w:r w:rsidRPr="0012597A">
              <w:rPr>
                <w:b/>
              </w:rPr>
              <w:t>para atender problemáticas específicas</w:t>
            </w:r>
            <w:r w:rsidRPr="0012597A">
              <w:t xml:space="preserve"> que por su experiencia en prevención y eliminación de la discriminación puedan contribuir al logro de los objetivos de la Comisión, así como por un integrante designado por la Comisión Legislativa de Derechos Humanos. Los miembros de este Consejo serán propuestos por los representantes de los sectores y las instituciones académicas reconocidas y serán designados por decisión de la Comisión de Derechos Humanos del Estado de México. </w:t>
            </w:r>
          </w:p>
        </w:tc>
      </w:tr>
    </w:tbl>
    <w:p w14:paraId="65096069" w14:textId="77777777" w:rsidR="00176697" w:rsidRPr="0012597A" w:rsidRDefault="00176697" w:rsidP="00176697">
      <w:pPr>
        <w:pStyle w:val="NormalWeb"/>
        <w:spacing w:before="0" w:beforeAutospacing="0" w:after="0" w:afterAutospacing="0"/>
        <w:jc w:val="both"/>
      </w:pPr>
    </w:p>
    <w:p w14:paraId="33C48A5D" w14:textId="77777777" w:rsidR="00176697" w:rsidRPr="0012597A" w:rsidRDefault="00176697" w:rsidP="00176697">
      <w:pPr>
        <w:pStyle w:val="NormalWeb"/>
        <w:spacing w:before="0" w:beforeAutospacing="0" w:after="0" w:afterAutospacing="0"/>
        <w:jc w:val="both"/>
      </w:pPr>
      <w:r w:rsidRPr="0012597A">
        <w:rPr>
          <w:b/>
        </w:rPr>
        <w:t>Artículo 23. Se adiciona una fracción V</w:t>
      </w:r>
      <w:r w:rsidRPr="0012597A">
        <w:t>:</w:t>
      </w:r>
    </w:p>
    <w:p w14:paraId="15FCF30C" w14:textId="77777777" w:rsidR="00176697" w:rsidRPr="0012597A" w:rsidRDefault="00176697" w:rsidP="00176697">
      <w:pPr>
        <w:pStyle w:val="NormalWeb"/>
        <w:spacing w:before="0" w:beforeAutospacing="0" w:after="0" w:afterAutospacing="0"/>
        <w:jc w:val="both"/>
      </w:pPr>
    </w:p>
    <w:p w14:paraId="2404BDFF" w14:textId="77777777" w:rsidR="00176697" w:rsidRPr="0012597A" w:rsidRDefault="00176697" w:rsidP="00176697">
      <w:pPr>
        <w:pStyle w:val="NormalWeb"/>
        <w:spacing w:before="0" w:beforeAutospacing="0" w:after="0" w:afterAutospacing="0"/>
        <w:jc w:val="both"/>
      </w:pPr>
      <w:r w:rsidRPr="0012597A">
        <w:t>V. Bloqueo temporal de plataformas digitales, sitios web o cuentas institucionales que promuevan actos discriminatorios desde medios electrónicos, previo procedimiento correspondiente.</w:t>
      </w:r>
    </w:p>
    <w:p w14:paraId="64F9A0AC" w14:textId="77777777" w:rsidR="00176697" w:rsidRPr="0012597A" w:rsidRDefault="00176697" w:rsidP="00176697">
      <w:pPr>
        <w:pStyle w:val="NormalWeb"/>
        <w:spacing w:before="0" w:beforeAutospacing="0" w:after="0" w:afterAutospacing="0"/>
        <w:jc w:val="both"/>
      </w:pPr>
    </w:p>
    <w:tbl>
      <w:tblPr>
        <w:tblStyle w:val="Tablaconcuadrcula"/>
        <w:tblW w:w="0" w:type="auto"/>
        <w:jc w:val="center"/>
        <w:tblLook w:val="04A0" w:firstRow="1" w:lastRow="0" w:firstColumn="1" w:lastColumn="0" w:noHBand="0" w:noVBand="1"/>
      </w:tblPr>
      <w:tblGrid>
        <w:gridCol w:w="4414"/>
        <w:gridCol w:w="4414"/>
      </w:tblGrid>
      <w:tr w:rsidR="00176697" w:rsidRPr="0012597A" w14:paraId="3BD777DE" w14:textId="77777777" w:rsidTr="007F283E">
        <w:trPr>
          <w:jc w:val="center"/>
        </w:trPr>
        <w:tc>
          <w:tcPr>
            <w:tcW w:w="4414" w:type="dxa"/>
          </w:tcPr>
          <w:p w14:paraId="5795D9CC" w14:textId="77777777" w:rsidR="00176697" w:rsidRPr="0012597A" w:rsidRDefault="00176697" w:rsidP="007F283E">
            <w:pPr>
              <w:pStyle w:val="NormalWeb"/>
              <w:spacing w:before="0" w:beforeAutospacing="0" w:after="0" w:afterAutospacing="0"/>
              <w:jc w:val="center"/>
              <w:rPr>
                <w:b/>
              </w:rPr>
            </w:pPr>
            <w:r w:rsidRPr="0012597A">
              <w:rPr>
                <w:b/>
              </w:rPr>
              <w:t>TEXTO VIGENTE</w:t>
            </w:r>
          </w:p>
        </w:tc>
        <w:tc>
          <w:tcPr>
            <w:tcW w:w="4414" w:type="dxa"/>
          </w:tcPr>
          <w:p w14:paraId="2AD155DB" w14:textId="77777777" w:rsidR="00176697" w:rsidRPr="0012597A" w:rsidRDefault="00176697" w:rsidP="007F283E">
            <w:pPr>
              <w:pStyle w:val="NormalWeb"/>
              <w:spacing w:before="0" w:beforeAutospacing="0" w:after="0" w:afterAutospacing="0"/>
              <w:jc w:val="center"/>
              <w:rPr>
                <w:b/>
              </w:rPr>
            </w:pPr>
            <w:r w:rsidRPr="0012597A">
              <w:rPr>
                <w:b/>
              </w:rPr>
              <w:t>TEXTO MODIFICADO</w:t>
            </w:r>
          </w:p>
        </w:tc>
      </w:tr>
      <w:tr w:rsidR="00176697" w:rsidRPr="0012597A" w14:paraId="6D5D5F6E" w14:textId="77777777" w:rsidTr="007F283E">
        <w:trPr>
          <w:jc w:val="center"/>
        </w:trPr>
        <w:tc>
          <w:tcPr>
            <w:tcW w:w="4414" w:type="dxa"/>
          </w:tcPr>
          <w:p w14:paraId="541E5A29" w14:textId="77777777" w:rsidR="00176697" w:rsidRPr="0012597A" w:rsidRDefault="00176697" w:rsidP="007F283E">
            <w:pPr>
              <w:pStyle w:val="NormalWeb"/>
              <w:spacing w:before="0" w:beforeAutospacing="0" w:after="0" w:afterAutospacing="0"/>
              <w:jc w:val="both"/>
            </w:pPr>
            <w:r w:rsidRPr="0012597A">
              <w:rPr>
                <w:b/>
              </w:rPr>
              <w:t>Artículo 23</w:t>
            </w:r>
            <w:r w:rsidRPr="0012597A">
              <w:t>.- Los particulares que incurran en conductas de discriminación serán sancionados con una o más de las sanciones siguientes:</w:t>
            </w:r>
          </w:p>
          <w:p w14:paraId="2B75C0EB" w14:textId="77777777" w:rsidR="00176697" w:rsidRPr="0012597A" w:rsidRDefault="00176697" w:rsidP="007F283E">
            <w:pPr>
              <w:pStyle w:val="NormalWeb"/>
              <w:spacing w:before="0" w:beforeAutospacing="0" w:after="0" w:afterAutospacing="0"/>
              <w:jc w:val="both"/>
            </w:pPr>
          </w:p>
          <w:p w14:paraId="5F76D208" w14:textId="77777777" w:rsidR="00176697" w:rsidRPr="0012597A" w:rsidRDefault="00176697" w:rsidP="007F283E">
            <w:pPr>
              <w:pStyle w:val="NormalWeb"/>
              <w:spacing w:before="0" w:beforeAutospacing="0" w:after="0" w:afterAutospacing="0"/>
              <w:jc w:val="both"/>
            </w:pPr>
            <w:r w:rsidRPr="0012597A">
              <w:rPr>
                <w:b/>
              </w:rPr>
              <w:t>I</w:t>
            </w:r>
            <w:r w:rsidRPr="0012597A">
              <w:t xml:space="preserve">… </w:t>
            </w:r>
          </w:p>
          <w:p w14:paraId="6C6474DD" w14:textId="77777777" w:rsidR="00176697" w:rsidRPr="0012597A" w:rsidRDefault="00176697" w:rsidP="007F283E">
            <w:pPr>
              <w:pStyle w:val="NormalWeb"/>
              <w:spacing w:before="0" w:beforeAutospacing="0" w:after="0" w:afterAutospacing="0"/>
              <w:jc w:val="both"/>
            </w:pPr>
            <w:r w:rsidRPr="0012597A">
              <w:rPr>
                <w:b/>
              </w:rPr>
              <w:t>II…</w:t>
            </w:r>
            <w:r w:rsidRPr="0012597A">
              <w:t xml:space="preserve"> </w:t>
            </w:r>
          </w:p>
          <w:p w14:paraId="64E43B11" w14:textId="77777777" w:rsidR="00176697" w:rsidRPr="0012597A" w:rsidRDefault="00176697" w:rsidP="007F283E">
            <w:pPr>
              <w:pStyle w:val="NormalWeb"/>
              <w:spacing w:before="0" w:beforeAutospacing="0" w:after="0" w:afterAutospacing="0"/>
              <w:jc w:val="both"/>
            </w:pPr>
            <w:r w:rsidRPr="0012597A">
              <w:rPr>
                <w:b/>
              </w:rPr>
              <w:t>III..</w:t>
            </w:r>
            <w:r w:rsidRPr="0012597A">
              <w:t xml:space="preserve">.. </w:t>
            </w:r>
          </w:p>
          <w:p w14:paraId="22BAF3E3" w14:textId="77777777" w:rsidR="00176697" w:rsidRPr="0012597A" w:rsidRDefault="00176697" w:rsidP="007F283E">
            <w:pPr>
              <w:pStyle w:val="NormalWeb"/>
              <w:spacing w:before="0" w:beforeAutospacing="0" w:after="0" w:afterAutospacing="0"/>
              <w:jc w:val="both"/>
            </w:pPr>
            <w:r w:rsidRPr="0012597A">
              <w:rPr>
                <w:b/>
              </w:rPr>
              <w:t>IV.</w:t>
            </w:r>
            <w:r w:rsidRPr="0012597A">
              <w:t xml:space="preserve"> Revocación de permisos, licencias, autorizaciones o concesiones otorgadas por autoridades municipales o estatales.</w:t>
            </w:r>
          </w:p>
          <w:p w14:paraId="792B16D7" w14:textId="77777777" w:rsidR="00176697" w:rsidRPr="0012597A" w:rsidRDefault="00176697" w:rsidP="007F283E">
            <w:pPr>
              <w:pStyle w:val="NormalWeb"/>
              <w:spacing w:before="0" w:beforeAutospacing="0" w:after="0" w:afterAutospacing="0"/>
              <w:rPr>
                <w:b/>
              </w:rPr>
            </w:pPr>
          </w:p>
        </w:tc>
        <w:tc>
          <w:tcPr>
            <w:tcW w:w="4414" w:type="dxa"/>
          </w:tcPr>
          <w:p w14:paraId="05182BF9" w14:textId="77777777" w:rsidR="00176697" w:rsidRPr="0012597A" w:rsidRDefault="00176697" w:rsidP="007F283E">
            <w:pPr>
              <w:pStyle w:val="NormalWeb"/>
              <w:spacing w:before="0" w:beforeAutospacing="0" w:after="0" w:afterAutospacing="0"/>
              <w:jc w:val="both"/>
            </w:pPr>
            <w:r w:rsidRPr="0012597A">
              <w:rPr>
                <w:b/>
              </w:rPr>
              <w:lastRenderedPageBreak/>
              <w:t>Artículo 23</w:t>
            </w:r>
            <w:r w:rsidRPr="0012597A">
              <w:t>.- Los particulares que incurran en conductas de discriminación serán sancionados con una o más de las sanciones siguientes:</w:t>
            </w:r>
          </w:p>
          <w:p w14:paraId="0B5B984C" w14:textId="77777777" w:rsidR="00176697" w:rsidRPr="0012597A" w:rsidRDefault="00176697" w:rsidP="007F283E">
            <w:pPr>
              <w:pStyle w:val="NormalWeb"/>
              <w:spacing w:before="0" w:beforeAutospacing="0" w:after="0" w:afterAutospacing="0"/>
              <w:jc w:val="both"/>
            </w:pPr>
          </w:p>
          <w:p w14:paraId="53EE4EDC" w14:textId="77777777" w:rsidR="00176697" w:rsidRPr="0012597A" w:rsidRDefault="00176697" w:rsidP="007F283E">
            <w:pPr>
              <w:pStyle w:val="NormalWeb"/>
              <w:spacing w:before="0" w:beforeAutospacing="0" w:after="0" w:afterAutospacing="0"/>
              <w:jc w:val="both"/>
            </w:pPr>
            <w:r w:rsidRPr="0012597A">
              <w:rPr>
                <w:b/>
              </w:rPr>
              <w:t>I</w:t>
            </w:r>
            <w:r w:rsidRPr="0012597A">
              <w:t xml:space="preserve">… </w:t>
            </w:r>
          </w:p>
          <w:p w14:paraId="7854310D" w14:textId="77777777" w:rsidR="00176697" w:rsidRPr="0012597A" w:rsidRDefault="00176697" w:rsidP="007F283E">
            <w:pPr>
              <w:pStyle w:val="NormalWeb"/>
              <w:spacing w:before="0" w:beforeAutospacing="0" w:after="0" w:afterAutospacing="0"/>
              <w:jc w:val="both"/>
            </w:pPr>
            <w:r w:rsidRPr="0012597A">
              <w:rPr>
                <w:b/>
              </w:rPr>
              <w:t>II…</w:t>
            </w:r>
            <w:r w:rsidRPr="0012597A">
              <w:t xml:space="preserve"> </w:t>
            </w:r>
          </w:p>
          <w:p w14:paraId="50EAA579" w14:textId="77777777" w:rsidR="00176697" w:rsidRPr="0012597A" w:rsidRDefault="00176697" w:rsidP="007F283E">
            <w:pPr>
              <w:pStyle w:val="NormalWeb"/>
              <w:spacing w:before="0" w:beforeAutospacing="0" w:after="0" w:afterAutospacing="0"/>
              <w:jc w:val="both"/>
            </w:pPr>
            <w:r w:rsidRPr="0012597A">
              <w:rPr>
                <w:b/>
              </w:rPr>
              <w:t>III..</w:t>
            </w:r>
            <w:r w:rsidRPr="0012597A">
              <w:t xml:space="preserve">.. </w:t>
            </w:r>
          </w:p>
          <w:p w14:paraId="54DB0692" w14:textId="77777777" w:rsidR="00176697" w:rsidRPr="0012597A" w:rsidRDefault="00176697" w:rsidP="007F283E">
            <w:pPr>
              <w:pStyle w:val="NormalWeb"/>
              <w:spacing w:before="0" w:beforeAutospacing="0" w:after="0" w:afterAutospacing="0"/>
              <w:jc w:val="both"/>
            </w:pPr>
            <w:r w:rsidRPr="0012597A">
              <w:rPr>
                <w:b/>
              </w:rPr>
              <w:t>IV.</w:t>
            </w:r>
            <w:r w:rsidRPr="0012597A">
              <w:t xml:space="preserve"> Revocación de permisos, licencias, autorizaciones o concesiones otorgadas por autoridades municipales o estatales.</w:t>
            </w:r>
          </w:p>
          <w:p w14:paraId="7197F34A" w14:textId="77777777" w:rsidR="00176697" w:rsidRPr="0012597A" w:rsidRDefault="00176697" w:rsidP="007F283E">
            <w:pPr>
              <w:pStyle w:val="NormalWeb"/>
              <w:spacing w:before="0" w:beforeAutospacing="0" w:after="0" w:afterAutospacing="0"/>
              <w:jc w:val="both"/>
              <w:rPr>
                <w:b/>
              </w:rPr>
            </w:pPr>
            <w:r w:rsidRPr="0012597A">
              <w:rPr>
                <w:b/>
              </w:rPr>
              <w:t>V. Bloqueo temporal de plataformas digitales, sitios web o cuentas institucionales que promuevan actos discriminatorios desde medios electrónicos, previo procedimiento correspondiente</w:t>
            </w:r>
          </w:p>
        </w:tc>
      </w:tr>
    </w:tbl>
    <w:p w14:paraId="3223016A" w14:textId="77777777" w:rsidR="00176697" w:rsidRPr="0012597A" w:rsidRDefault="00176697" w:rsidP="00176697">
      <w:pPr>
        <w:pStyle w:val="NormalWeb"/>
        <w:spacing w:before="0" w:beforeAutospacing="0" w:after="0" w:afterAutospacing="0"/>
        <w:jc w:val="both"/>
      </w:pPr>
    </w:p>
    <w:p w14:paraId="03F9FC21" w14:textId="77777777" w:rsidR="00176697" w:rsidRPr="0012597A" w:rsidRDefault="00176697" w:rsidP="00176697">
      <w:pPr>
        <w:pStyle w:val="NormalWeb"/>
        <w:spacing w:before="0" w:beforeAutospacing="0" w:after="0" w:afterAutospacing="0"/>
        <w:jc w:val="center"/>
        <w:rPr>
          <w:b/>
        </w:rPr>
      </w:pPr>
      <w:r w:rsidRPr="0012597A">
        <w:rPr>
          <w:b/>
        </w:rPr>
        <w:t>TRANSITORIOS</w:t>
      </w:r>
    </w:p>
    <w:p w14:paraId="284A2F71" w14:textId="77777777" w:rsidR="00176697" w:rsidRPr="0012597A" w:rsidRDefault="00176697" w:rsidP="00176697">
      <w:pPr>
        <w:pStyle w:val="NormalWeb"/>
        <w:spacing w:before="0" w:beforeAutospacing="0" w:after="0" w:afterAutospacing="0"/>
        <w:jc w:val="both"/>
        <w:rPr>
          <w:b/>
        </w:rPr>
      </w:pPr>
    </w:p>
    <w:p w14:paraId="410AD765" w14:textId="77777777" w:rsidR="00176697" w:rsidRPr="0012597A" w:rsidRDefault="00176697" w:rsidP="00176697">
      <w:pPr>
        <w:pStyle w:val="NormalWeb"/>
        <w:spacing w:before="0" w:beforeAutospacing="0" w:after="0" w:afterAutospacing="0"/>
        <w:jc w:val="both"/>
      </w:pPr>
      <w:r w:rsidRPr="0012597A">
        <w:rPr>
          <w:b/>
        </w:rPr>
        <w:t>PRIMERO.</w:t>
      </w:r>
      <w:r w:rsidRPr="0012597A">
        <w:t xml:space="preserve"> La presente reforma entrará en vigor al día siguiente de su publicación en el Periódico Oficial "Gaceta del Gobierno".</w:t>
      </w:r>
    </w:p>
    <w:p w14:paraId="57F61342" w14:textId="77777777" w:rsidR="00176697" w:rsidRPr="0012597A" w:rsidRDefault="00176697" w:rsidP="00176697">
      <w:pPr>
        <w:pStyle w:val="NormalWeb"/>
        <w:spacing w:before="0" w:beforeAutospacing="0" w:after="0" w:afterAutospacing="0"/>
        <w:jc w:val="both"/>
        <w:rPr>
          <w:b/>
        </w:rPr>
      </w:pPr>
    </w:p>
    <w:p w14:paraId="164DB574" w14:textId="77777777" w:rsidR="00176697" w:rsidRPr="0012597A" w:rsidRDefault="00176697" w:rsidP="00176697">
      <w:pPr>
        <w:pStyle w:val="NormalWeb"/>
        <w:spacing w:before="0" w:beforeAutospacing="0" w:after="0" w:afterAutospacing="0"/>
        <w:jc w:val="both"/>
      </w:pPr>
      <w:r w:rsidRPr="0012597A">
        <w:rPr>
          <w:b/>
        </w:rPr>
        <w:t>SEGUNDO.</w:t>
      </w:r>
      <w:r w:rsidRPr="0012597A">
        <w:t xml:space="preserve"> El Ejecutivo del Estado deberá emitir, en un plazo no mayor a 180 días, las disposiciones reglamentarias necesarias para la aplicación de la presente reforma.</w:t>
      </w:r>
    </w:p>
    <w:p w14:paraId="3E36DAE3" w14:textId="77777777" w:rsidR="00176697" w:rsidRPr="0012597A" w:rsidRDefault="00176697" w:rsidP="00176697">
      <w:pPr>
        <w:pStyle w:val="NormalWeb"/>
        <w:spacing w:before="0" w:beforeAutospacing="0" w:after="0" w:afterAutospacing="0"/>
        <w:jc w:val="both"/>
        <w:rPr>
          <w:b/>
        </w:rPr>
      </w:pPr>
    </w:p>
    <w:p w14:paraId="597815B3" w14:textId="77777777" w:rsidR="00176697" w:rsidRPr="0012597A" w:rsidRDefault="00176697" w:rsidP="00176697">
      <w:pPr>
        <w:pStyle w:val="NormalWeb"/>
        <w:spacing w:before="0" w:beforeAutospacing="0" w:after="0" w:afterAutospacing="0"/>
        <w:jc w:val="both"/>
      </w:pPr>
      <w:r w:rsidRPr="0012597A">
        <w:rPr>
          <w:b/>
        </w:rPr>
        <w:t>TERCERO.</w:t>
      </w:r>
      <w:r w:rsidRPr="0012597A">
        <w:t xml:space="preserve"> La Comisión de Derechos Humanos del Estado de México deberá actualizar, en un plazo no mayor a 120 días, los lineamientos y protocolos para la atención de las nuevas modalidades de discriminación incorporadas por este decreto.</w:t>
      </w:r>
    </w:p>
    <w:p w14:paraId="0008EC3F" w14:textId="77777777" w:rsidR="00176697" w:rsidRPr="0012597A" w:rsidRDefault="00176697" w:rsidP="007F283E">
      <w:pPr>
        <w:spacing w:after="0" w:line="240" w:lineRule="auto"/>
        <w:jc w:val="center"/>
        <w:rPr>
          <w:rFonts w:ascii="Times New Roman" w:hAnsi="Times New Roman"/>
          <w:sz w:val="24"/>
          <w:szCs w:val="24"/>
        </w:rPr>
      </w:pPr>
    </w:p>
    <w:p w14:paraId="715BDF76" w14:textId="77777777" w:rsidR="00176697" w:rsidRPr="0012597A" w:rsidRDefault="00176697"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6C98A302" w14:textId="77777777" w:rsidR="00176697" w:rsidRPr="0012597A" w:rsidRDefault="00176697" w:rsidP="007F283E">
      <w:pPr>
        <w:spacing w:after="0" w:line="240" w:lineRule="auto"/>
        <w:jc w:val="center"/>
        <w:rPr>
          <w:rFonts w:ascii="Times New Roman" w:hAnsi="Times New Roman"/>
          <w:sz w:val="24"/>
          <w:szCs w:val="24"/>
        </w:rPr>
      </w:pPr>
    </w:p>
    <w:p w14:paraId="0F059CE4" w14:textId="4558DDFC"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Araceli Casasola Salazar.</w:t>
      </w:r>
    </w:p>
    <w:p w14:paraId="65609398"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 registra la iniciativa y se remite a las Comisiones Legislativas Para la Atención de Grupos Vulnerables y de Salud, Asistencia y Bienestar Social, para su estudio y dictamen.</w:t>
      </w:r>
    </w:p>
    <w:p w14:paraId="450B13F9"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cuanto al punto número 22, el diputado Israel Espíndola López, presenta en nombre del Grupo Parlamentario del Partido morena, Punto de Acuerdo por el que la Honorable Legislatura del Estado de México, emite un reconocimiento y felicitación con motivo del aniversario del Día de la Periodista Mujer y Fotoperiodista del Estado de México.</w:t>
      </w:r>
    </w:p>
    <w:p w14:paraId="550A048F"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DIP. ISRAEL ESPÍNDOLA LÓPEZ. Muchas gracias compañera Presidenta.</w:t>
      </w:r>
    </w:p>
    <w:p w14:paraId="7C5DB843"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Compañeras, compañere y compañeros legisladores, este día no es sólo una fecha en el calendario, venimos a honrar una vocación que no se apaga, una mirada que no se rinde y una voz que aún en medio de la adversidad, nunca deja de decir la verdad.</w:t>
      </w:r>
    </w:p>
    <w:p w14:paraId="3272EC22"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 xml:space="preserve">El 18 de marzo no es un día cualquiera, es un recordatorio vivo de que la historia de nuestro Estado también se escribe con tinta valiente y se captura con miradas que no temen ver de frente la realidad, es el Día de las Mujeres Periodistas y Fotoperiodistas Mexiquenses, mujeres que han hecho de la palabra y de la imagen un acto de responsabilidad, pero también de dignidad, porque informar no es sólo contar lo que pasa, informar es iluminar lo que muchos quieren mantener en la sombra, es acercar la realidad a quienes la necesitan, es construir puentes entre la verdad y la sociedad y en este camino, las mujeres periodistas han demostrado que la valentía no hace ruido pero sí transforma, han narrado nuestras luchas, han documentado nuestras heridas, pero también han sido testigos de nuestras esperanzas, han estado ahí donde la historia duele, donde la injusticia </w:t>
      </w:r>
      <w:r w:rsidRPr="0012597A">
        <w:rPr>
          <w:rFonts w:ascii="Times New Roman" w:hAnsi="Times New Roman" w:cs="Times New Roman"/>
          <w:sz w:val="24"/>
          <w:szCs w:val="24"/>
        </w:rPr>
        <w:lastRenderedPageBreak/>
        <w:t>pesa, donde la voz de la gente necesita ser escuchado y lo han hecho muchas veces enfrentando no sólo los retos propios del oficio; sino también las barreras que durante años les quise imponer la desigualdad, pero no se detuvieron, abrieron camino, tomaron la palabra, sostuvieron la cámara y con ello, cambiaron la forma en la que hoy vemos a nuestro propio Estado de México.</w:t>
      </w:r>
    </w:p>
    <w:p w14:paraId="7DD9AFB0" w14:textId="77777777" w:rsidR="00791E2D" w:rsidRPr="0012597A" w:rsidRDefault="00791E2D"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Hoy gracias a ellas, tenemos una sociedad más informada, más crítica, más consciente y por ello, más libre, porque no hay democracia sin información y no hay información sin quienes se atreven a buscarla, a cuestionarla y a compartirla con responsabilidad.</w:t>
      </w:r>
    </w:p>
    <w:p w14:paraId="2335DCE3" w14:textId="77777777" w:rsidR="00791E2D" w:rsidRPr="0012597A" w:rsidRDefault="00791E2D"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Celebrarlas hoy, no es un gesto simbólico es un acto de justicia, es reconocer que su trabajo no solo informa si no que construye ciudadanía, no sólo documenta, deja memoria; no sólo comunica, transforma realidades.</w:t>
      </w:r>
    </w:p>
    <w:p w14:paraId="6467C44F" w14:textId="77777777" w:rsidR="00791E2D" w:rsidRPr="0012597A" w:rsidRDefault="00791E2D"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Hoy esta Legislatura levanta la voz para decirles, gracias por no callar, gracias por no rendirse, gracias por sostener todos los días el derecho de todas, </w:t>
      </w:r>
      <w:proofErr w:type="spellStart"/>
      <w:r w:rsidRPr="0012597A">
        <w:rPr>
          <w:rFonts w:ascii="Times New Roman" w:hAnsi="Times New Roman" w:cs="Times New Roman"/>
          <w:sz w:val="24"/>
          <w:szCs w:val="24"/>
        </w:rPr>
        <w:t>todes</w:t>
      </w:r>
      <w:proofErr w:type="spellEnd"/>
      <w:r w:rsidRPr="0012597A">
        <w:rPr>
          <w:rFonts w:ascii="Times New Roman" w:hAnsi="Times New Roman" w:cs="Times New Roman"/>
          <w:sz w:val="24"/>
          <w:szCs w:val="24"/>
        </w:rPr>
        <w:t xml:space="preserve"> y todos a saber, que este reconocimiento no sea un punto final; sino un compromiso permanente, el de seguir defendiendo la libertad de expresión, el derecho a la información y la dignidad de quienes ejercen el periodismo, porque cuando una mujer periodista alza la voz, no sólo habla por ella, habla por toda una sociedad y mientras existan mujeres con la valentía de contar la verdad, nuestro Estado seguirá teniendo esperanza.</w:t>
      </w:r>
    </w:p>
    <w:p w14:paraId="7BE2EE5A" w14:textId="77777777" w:rsidR="00791E2D" w:rsidRPr="0012597A" w:rsidRDefault="00791E2D" w:rsidP="00EF1C7F">
      <w:pPr>
        <w:spacing w:after="0" w:line="240" w:lineRule="auto"/>
        <w:ind w:firstLine="709"/>
        <w:jc w:val="both"/>
        <w:rPr>
          <w:rFonts w:ascii="Times New Roman" w:hAnsi="Times New Roman" w:cs="Times New Roman"/>
          <w:sz w:val="24"/>
          <w:szCs w:val="24"/>
        </w:rPr>
      </w:pPr>
      <w:r w:rsidRPr="0012597A">
        <w:rPr>
          <w:rFonts w:ascii="Times New Roman" w:hAnsi="Times New Roman" w:cs="Times New Roman"/>
          <w:sz w:val="24"/>
          <w:szCs w:val="24"/>
        </w:rPr>
        <w:t>Por ello esta legislatura considera oportuno expresar un reconocimiento público a las mujeres periodista y fotoperiodistas que, con su trabajo, contribuyen al fortalecimiento de la libertad de expresión, el derecho de la sociedad al estar informada y la consolidación de una vida democrática más abierta y participativa.</w:t>
      </w:r>
    </w:p>
    <w:p w14:paraId="4BDEE2DD"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Celebrar este aniversario es también reconocer que su trabajo forma parte esencial de la memoria contemporánea del Estado de México.</w:t>
      </w:r>
    </w:p>
    <w:p w14:paraId="40B20EFA"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Por lo anteriormente expuesto sometemos a la consideración de esta Honorable Asamblea, el siguiente punto de acuerdo para lo cual Presidenta pedimos la dispensa del dictamen.</w:t>
      </w:r>
    </w:p>
    <w:p w14:paraId="09F56CBB"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ÚNICO. La LXII Legislatura del Estado de México, expresa su reconocimiento y felicitación a las mujeres periodistas y fotoperiodistas del Estado de México, con motivo del aniversario del Día de la Mujer Periodista y Fotoperiodista del Estado de México, celebrado el 18 de marzo, destacando su labor, en favor de la libertad de expresión el derecho a la información y el fortalecimiento de la vida democrática de nuestra Entidad.</w:t>
      </w:r>
    </w:p>
    <w:p w14:paraId="27590898"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Es cuanto Presidenta.</w:t>
      </w:r>
    </w:p>
    <w:p w14:paraId="774A46A9" w14:textId="77777777" w:rsidR="004C5117" w:rsidRPr="0012597A" w:rsidRDefault="004C5117" w:rsidP="007F283E">
      <w:pPr>
        <w:pStyle w:val="Sinespaciado"/>
        <w:jc w:val="both"/>
        <w:rPr>
          <w:rFonts w:ascii="Times New Roman" w:hAnsi="Times New Roman" w:cs="Times New Roman"/>
          <w:sz w:val="24"/>
          <w:szCs w:val="24"/>
        </w:rPr>
      </w:pPr>
    </w:p>
    <w:p w14:paraId="7785BC33" w14:textId="77777777" w:rsidR="004C5117" w:rsidRPr="0012597A" w:rsidRDefault="004C5117"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6091E5A3" w14:textId="77777777" w:rsidR="004C5117" w:rsidRPr="0012597A" w:rsidRDefault="004C5117" w:rsidP="007F283E">
      <w:pPr>
        <w:spacing w:after="0" w:line="240" w:lineRule="auto"/>
        <w:jc w:val="center"/>
        <w:rPr>
          <w:rFonts w:ascii="Times New Roman" w:hAnsi="Times New Roman"/>
          <w:sz w:val="24"/>
          <w:szCs w:val="24"/>
        </w:rPr>
      </w:pPr>
    </w:p>
    <w:tbl>
      <w:tblPr>
        <w:tblStyle w:val="Tablaconcuadrcula2"/>
        <w:tblW w:w="0" w:type="auto"/>
        <w:tblLook w:val="04A0" w:firstRow="1" w:lastRow="0" w:firstColumn="1" w:lastColumn="0" w:noHBand="0" w:noVBand="1"/>
      </w:tblPr>
      <w:tblGrid>
        <w:gridCol w:w="4555"/>
        <w:gridCol w:w="4556"/>
      </w:tblGrid>
      <w:tr w:rsidR="00937D0F" w:rsidRPr="0012597A" w14:paraId="0A93E1D0" w14:textId="77777777" w:rsidTr="007F283E">
        <w:tc>
          <w:tcPr>
            <w:tcW w:w="4555" w:type="dxa"/>
          </w:tcPr>
          <w:p w14:paraId="597DAF8D" w14:textId="77777777" w:rsidR="00937D0F" w:rsidRPr="0012597A" w:rsidRDefault="00937D0F" w:rsidP="00937D0F">
            <w:pPr>
              <w:numPr>
                <w:ilvl w:val="0"/>
                <w:numId w:val="1"/>
              </w:numPr>
              <w:tabs>
                <w:tab w:val="clear" w:pos="720"/>
              </w:tabs>
              <w:autoSpaceDE w:val="0"/>
              <w:autoSpaceDN w:val="0"/>
              <w:adjustRightInd w:val="0"/>
              <w:spacing w:line="240" w:lineRule="auto"/>
              <w:ind w:firstLine="0"/>
              <w:jc w:val="both"/>
              <w:rPr>
                <w:rFonts w:ascii="Times New Roman" w:eastAsia="Cambria" w:hAnsi="Times New Roman" w:cs="Times New Roman"/>
                <w:sz w:val="24"/>
                <w:szCs w:val="24"/>
              </w:rPr>
            </w:pPr>
            <w:bookmarkStart w:id="27" w:name="_Hlk177980751"/>
            <w:bookmarkStart w:id="28" w:name="_Hlk185249550"/>
            <w:bookmarkStart w:id="29" w:name="_Hlk220755662"/>
            <w:r w:rsidRPr="0012597A">
              <w:rPr>
                <w:rFonts w:ascii="Times New Roman" w:eastAsia="Cambria" w:hAnsi="Times New Roman" w:cs="Times New Roman"/>
                <w:sz w:val="24"/>
                <w:szCs w:val="24"/>
              </w:rPr>
              <w:t>CONGRESO</w:t>
            </w:r>
          </w:p>
          <w:p w14:paraId="45C4A2E4" w14:textId="77777777" w:rsidR="00937D0F" w:rsidRPr="0012597A" w:rsidRDefault="00937D0F" w:rsidP="00937D0F">
            <w:pPr>
              <w:numPr>
                <w:ilvl w:val="0"/>
                <w:numId w:val="1"/>
              </w:numPr>
              <w:tabs>
                <w:tab w:val="clear" w:pos="720"/>
              </w:tabs>
              <w:autoSpaceDE w:val="0"/>
              <w:autoSpaceDN w:val="0"/>
              <w:adjustRightInd w:val="0"/>
              <w:spacing w:line="240" w:lineRule="auto"/>
              <w:ind w:firstLine="0"/>
              <w:jc w:val="both"/>
              <w:rPr>
                <w:rFonts w:ascii="Times New Roman" w:eastAsia="Cambria" w:hAnsi="Times New Roman" w:cs="Times New Roman"/>
                <w:sz w:val="24"/>
                <w:szCs w:val="24"/>
              </w:rPr>
            </w:pPr>
            <w:r w:rsidRPr="0012597A">
              <w:rPr>
                <w:rFonts w:ascii="Times New Roman" w:eastAsia="Cambria" w:hAnsi="Times New Roman" w:cs="Times New Roman"/>
                <w:sz w:val="24"/>
                <w:szCs w:val="24"/>
              </w:rPr>
              <w:t>ESTADO DE MÉXICO</w:t>
            </w:r>
          </w:p>
          <w:p w14:paraId="23A9E989" w14:textId="77777777" w:rsidR="00937D0F" w:rsidRPr="0012597A" w:rsidRDefault="00937D0F" w:rsidP="00937D0F">
            <w:pPr>
              <w:numPr>
                <w:ilvl w:val="0"/>
                <w:numId w:val="1"/>
              </w:numPr>
              <w:tabs>
                <w:tab w:val="clear" w:pos="720"/>
              </w:tabs>
              <w:spacing w:line="240" w:lineRule="auto"/>
              <w:ind w:left="0" w:firstLine="0"/>
              <w:jc w:val="both"/>
              <w:rPr>
                <w:rFonts w:ascii="Times New Roman" w:eastAsia="Cambria" w:hAnsi="Times New Roman" w:cs="Times New Roman"/>
                <w:sz w:val="24"/>
                <w:szCs w:val="24"/>
                <w:lang w:val="es-ES"/>
              </w:rPr>
            </w:pPr>
          </w:p>
        </w:tc>
        <w:tc>
          <w:tcPr>
            <w:tcW w:w="4556" w:type="dxa"/>
          </w:tcPr>
          <w:p w14:paraId="4870E50A" w14:textId="77777777" w:rsidR="00937D0F" w:rsidRPr="0012597A" w:rsidRDefault="00937D0F" w:rsidP="00937D0F">
            <w:pPr>
              <w:numPr>
                <w:ilvl w:val="0"/>
                <w:numId w:val="1"/>
              </w:numPr>
              <w:tabs>
                <w:tab w:val="clear" w:pos="720"/>
              </w:tabs>
              <w:spacing w:line="240" w:lineRule="auto"/>
              <w:ind w:left="0" w:firstLine="0"/>
              <w:jc w:val="right"/>
              <w:rPr>
                <w:rFonts w:ascii="Times New Roman" w:eastAsia="Cambria" w:hAnsi="Times New Roman" w:cs="Times New Roman"/>
                <w:sz w:val="24"/>
                <w:szCs w:val="24"/>
                <w:lang w:val="es-ES"/>
              </w:rPr>
            </w:pPr>
            <w:r w:rsidRPr="0012597A">
              <w:rPr>
                <w:rFonts w:ascii="Times New Roman" w:eastAsia="Cambria" w:hAnsi="Times New Roman" w:cs="Times New Roman"/>
                <w:sz w:val="24"/>
                <w:szCs w:val="24"/>
                <w:lang w:val="es-ES"/>
              </w:rPr>
              <w:t>Isra</w:t>
            </w:r>
          </w:p>
          <w:p w14:paraId="2E0F9A48" w14:textId="77777777" w:rsidR="00937D0F" w:rsidRPr="0012597A" w:rsidRDefault="00937D0F" w:rsidP="00937D0F">
            <w:pPr>
              <w:numPr>
                <w:ilvl w:val="0"/>
                <w:numId w:val="1"/>
              </w:numPr>
              <w:tabs>
                <w:tab w:val="clear" w:pos="720"/>
              </w:tabs>
              <w:spacing w:line="240" w:lineRule="auto"/>
              <w:ind w:left="0" w:firstLine="0"/>
              <w:jc w:val="right"/>
              <w:rPr>
                <w:rFonts w:ascii="Times New Roman" w:eastAsia="Cambria" w:hAnsi="Times New Roman" w:cs="Times New Roman"/>
                <w:sz w:val="24"/>
                <w:szCs w:val="24"/>
                <w:lang w:val="es-ES"/>
              </w:rPr>
            </w:pPr>
            <w:r w:rsidRPr="0012597A">
              <w:rPr>
                <w:rFonts w:ascii="Times New Roman" w:eastAsia="Cambria" w:hAnsi="Times New Roman" w:cs="Times New Roman"/>
                <w:sz w:val="24"/>
                <w:szCs w:val="24"/>
                <w:lang w:val="es-ES"/>
              </w:rPr>
              <w:t>Espíndola</w:t>
            </w:r>
          </w:p>
          <w:p w14:paraId="279E9A58" w14:textId="77777777" w:rsidR="00937D0F" w:rsidRPr="0012597A" w:rsidRDefault="00937D0F" w:rsidP="00937D0F">
            <w:pPr>
              <w:numPr>
                <w:ilvl w:val="0"/>
                <w:numId w:val="1"/>
              </w:numPr>
              <w:tabs>
                <w:tab w:val="clear" w:pos="720"/>
              </w:tabs>
              <w:spacing w:line="240" w:lineRule="auto"/>
              <w:ind w:left="0" w:firstLine="0"/>
              <w:jc w:val="right"/>
              <w:rPr>
                <w:rFonts w:ascii="Times New Roman" w:eastAsia="Cambria" w:hAnsi="Times New Roman" w:cs="Times New Roman"/>
                <w:sz w:val="24"/>
                <w:szCs w:val="24"/>
                <w:lang w:val="es-ES"/>
              </w:rPr>
            </w:pPr>
            <w:r w:rsidRPr="0012597A">
              <w:rPr>
                <w:rFonts w:ascii="Times New Roman" w:eastAsia="Cambria" w:hAnsi="Times New Roman" w:cs="Times New Roman"/>
                <w:sz w:val="24"/>
                <w:szCs w:val="24"/>
                <w:lang w:val="es-ES"/>
              </w:rPr>
              <w:t>TU DIPUTADO</w:t>
            </w:r>
          </w:p>
        </w:tc>
      </w:tr>
    </w:tbl>
    <w:p w14:paraId="664A92BF" w14:textId="77777777" w:rsidR="00937D0F" w:rsidRPr="0012597A" w:rsidRDefault="00937D0F" w:rsidP="00937D0F">
      <w:pPr>
        <w:autoSpaceDE w:val="0"/>
        <w:autoSpaceDN w:val="0"/>
        <w:adjustRightInd w:val="0"/>
        <w:spacing w:after="0" w:line="240" w:lineRule="auto"/>
        <w:jc w:val="both"/>
        <w:rPr>
          <w:rFonts w:ascii="Times New Roman" w:eastAsia="Cambria" w:hAnsi="Times New Roman" w:cs="Times New Roman"/>
          <w:b/>
          <w:bCs/>
          <w:sz w:val="24"/>
          <w:szCs w:val="24"/>
        </w:rPr>
      </w:pPr>
    </w:p>
    <w:p w14:paraId="55EC8D57" w14:textId="77777777" w:rsidR="00937D0F" w:rsidRPr="0012597A" w:rsidRDefault="00937D0F" w:rsidP="00937D0F">
      <w:pPr>
        <w:spacing w:after="0" w:line="240" w:lineRule="auto"/>
        <w:jc w:val="center"/>
        <w:rPr>
          <w:rFonts w:ascii="Times New Roman" w:eastAsia="Calibri" w:hAnsi="Times New Roman" w:cs="Times New Roman"/>
          <w:sz w:val="24"/>
          <w:szCs w:val="24"/>
          <w:lang w:eastAsia="es-MX"/>
        </w:rPr>
      </w:pPr>
      <w:r w:rsidRPr="0012597A">
        <w:rPr>
          <w:rFonts w:ascii="Times New Roman" w:eastAsia="Calibri" w:hAnsi="Times New Roman" w:cs="Times New Roman"/>
          <w:b/>
          <w:sz w:val="24"/>
          <w:szCs w:val="24"/>
          <w:lang w:eastAsia="es-MX"/>
        </w:rPr>
        <w:t>"2026. Año del Humanismo Mexicano en el Estado de México”</w:t>
      </w:r>
    </w:p>
    <w:p w14:paraId="6EF72848" w14:textId="77777777" w:rsidR="00937D0F" w:rsidRPr="0012597A" w:rsidRDefault="00937D0F" w:rsidP="00937D0F">
      <w:pPr>
        <w:spacing w:after="0" w:line="240" w:lineRule="auto"/>
        <w:jc w:val="right"/>
        <w:rPr>
          <w:rFonts w:ascii="Times New Roman" w:eastAsia="Cambria" w:hAnsi="Times New Roman" w:cs="Times New Roman"/>
          <w:b/>
          <w:sz w:val="24"/>
          <w:szCs w:val="24"/>
          <w:lang w:val="es-ES"/>
        </w:rPr>
      </w:pPr>
    </w:p>
    <w:p w14:paraId="1AD13EA8" w14:textId="77777777" w:rsidR="00937D0F" w:rsidRPr="0012597A" w:rsidRDefault="00937D0F" w:rsidP="00937D0F">
      <w:pPr>
        <w:spacing w:after="0" w:line="240" w:lineRule="auto"/>
        <w:jc w:val="right"/>
        <w:rPr>
          <w:rFonts w:ascii="Times New Roman" w:eastAsia="Cambria" w:hAnsi="Times New Roman" w:cs="Times New Roman"/>
          <w:b/>
          <w:sz w:val="24"/>
          <w:szCs w:val="24"/>
          <w:lang w:val="es-ES"/>
        </w:rPr>
      </w:pPr>
      <w:r w:rsidRPr="0012597A">
        <w:rPr>
          <w:rFonts w:ascii="Times New Roman" w:eastAsia="Cambria" w:hAnsi="Times New Roman" w:cs="Times New Roman"/>
          <w:b/>
          <w:sz w:val="24"/>
          <w:szCs w:val="24"/>
          <w:lang w:val="es-ES"/>
        </w:rPr>
        <w:t xml:space="preserve">Toluca de Lerdo, Capital del Estado de México, </w:t>
      </w:r>
    </w:p>
    <w:p w14:paraId="685D671B" w14:textId="77777777" w:rsidR="00937D0F" w:rsidRPr="0012597A" w:rsidRDefault="00937D0F" w:rsidP="00937D0F">
      <w:pPr>
        <w:spacing w:after="0" w:line="240" w:lineRule="auto"/>
        <w:jc w:val="right"/>
        <w:rPr>
          <w:rFonts w:ascii="Times New Roman" w:eastAsia="Cambria" w:hAnsi="Times New Roman" w:cs="Times New Roman"/>
          <w:b/>
          <w:sz w:val="24"/>
          <w:szCs w:val="24"/>
          <w:lang w:val="es-ES"/>
        </w:rPr>
      </w:pPr>
      <w:r w:rsidRPr="0012597A">
        <w:rPr>
          <w:rFonts w:ascii="Times New Roman" w:eastAsia="Cambria" w:hAnsi="Times New Roman" w:cs="Times New Roman"/>
          <w:b/>
          <w:sz w:val="24"/>
          <w:szCs w:val="24"/>
          <w:lang w:val="es-ES"/>
        </w:rPr>
        <w:t>Marzo del 2025.</w:t>
      </w:r>
    </w:p>
    <w:p w14:paraId="624959DD" w14:textId="77777777" w:rsidR="00937D0F" w:rsidRPr="0012597A" w:rsidRDefault="00937D0F" w:rsidP="00937D0F">
      <w:pPr>
        <w:spacing w:after="0" w:line="240" w:lineRule="auto"/>
        <w:jc w:val="both"/>
        <w:rPr>
          <w:rFonts w:ascii="Times New Roman" w:eastAsia="Calibri" w:hAnsi="Times New Roman" w:cs="Times New Roman"/>
          <w:b/>
          <w:sz w:val="24"/>
          <w:szCs w:val="24"/>
          <w:lang w:val="es-ES" w:eastAsia="es-MX"/>
        </w:rPr>
      </w:pPr>
    </w:p>
    <w:p w14:paraId="33095212" w14:textId="77777777" w:rsidR="00937D0F" w:rsidRPr="0012597A" w:rsidRDefault="00937D0F" w:rsidP="00937D0F">
      <w:pPr>
        <w:spacing w:after="0" w:line="240" w:lineRule="auto"/>
        <w:jc w:val="both"/>
        <w:rPr>
          <w:rFonts w:ascii="Times New Roman" w:eastAsia="Cambria" w:hAnsi="Times New Roman" w:cs="Times New Roman"/>
          <w:b/>
          <w:sz w:val="24"/>
          <w:szCs w:val="24"/>
        </w:rPr>
      </w:pPr>
      <w:r w:rsidRPr="0012597A">
        <w:rPr>
          <w:rFonts w:ascii="Times New Roman" w:eastAsia="Cambria" w:hAnsi="Times New Roman" w:cs="Times New Roman"/>
          <w:b/>
          <w:sz w:val="24"/>
          <w:szCs w:val="24"/>
        </w:rPr>
        <w:t>DIPUTADA MARTHA AZUCENA CAMACHO REYNOSO</w:t>
      </w:r>
    </w:p>
    <w:p w14:paraId="079E4DC4" w14:textId="77777777" w:rsidR="00937D0F" w:rsidRPr="0012597A" w:rsidRDefault="00937D0F" w:rsidP="00937D0F">
      <w:pPr>
        <w:spacing w:after="0" w:line="240" w:lineRule="auto"/>
        <w:jc w:val="both"/>
        <w:rPr>
          <w:rFonts w:ascii="Times New Roman" w:eastAsia="Cambria" w:hAnsi="Times New Roman" w:cs="Times New Roman"/>
          <w:b/>
          <w:sz w:val="24"/>
          <w:szCs w:val="24"/>
        </w:rPr>
      </w:pPr>
      <w:r w:rsidRPr="0012597A">
        <w:rPr>
          <w:rFonts w:ascii="Times New Roman" w:eastAsia="Cambria" w:hAnsi="Times New Roman" w:cs="Times New Roman"/>
          <w:b/>
          <w:sz w:val="24"/>
          <w:szCs w:val="24"/>
        </w:rPr>
        <w:t>PRESIDENTA DE LA MESA DIRECTIVA DE LA</w:t>
      </w:r>
    </w:p>
    <w:p w14:paraId="5F1A07C8" w14:textId="77777777" w:rsidR="00937D0F" w:rsidRPr="0012597A" w:rsidRDefault="00937D0F" w:rsidP="00937D0F">
      <w:pPr>
        <w:spacing w:after="0" w:line="240" w:lineRule="auto"/>
        <w:jc w:val="both"/>
        <w:rPr>
          <w:rFonts w:ascii="Times New Roman" w:eastAsia="Cambria" w:hAnsi="Times New Roman" w:cs="Times New Roman"/>
          <w:b/>
          <w:sz w:val="24"/>
          <w:szCs w:val="24"/>
        </w:rPr>
      </w:pPr>
      <w:r w:rsidRPr="0012597A">
        <w:rPr>
          <w:rFonts w:ascii="Times New Roman" w:eastAsia="Cambria" w:hAnsi="Times New Roman" w:cs="Times New Roman"/>
          <w:b/>
          <w:sz w:val="24"/>
          <w:szCs w:val="24"/>
        </w:rPr>
        <w:t>LXII LEGISLATURA DEL ESTADO LIBRE Y</w:t>
      </w:r>
    </w:p>
    <w:p w14:paraId="04A96A9D" w14:textId="77777777" w:rsidR="00937D0F" w:rsidRPr="0012597A" w:rsidRDefault="00937D0F" w:rsidP="00937D0F">
      <w:pPr>
        <w:spacing w:after="0" w:line="240" w:lineRule="auto"/>
        <w:jc w:val="both"/>
        <w:rPr>
          <w:rFonts w:ascii="Times New Roman" w:eastAsia="Cambria" w:hAnsi="Times New Roman" w:cs="Times New Roman"/>
          <w:b/>
          <w:sz w:val="24"/>
          <w:szCs w:val="24"/>
          <w:lang w:val="pt-BR"/>
        </w:rPr>
      </w:pPr>
      <w:r w:rsidRPr="0012597A">
        <w:rPr>
          <w:rFonts w:ascii="Times New Roman" w:eastAsia="Cambria" w:hAnsi="Times New Roman" w:cs="Times New Roman"/>
          <w:b/>
          <w:sz w:val="24"/>
          <w:szCs w:val="24"/>
          <w:lang w:val="pt-BR"/>
        </w:rPr>
        <w:t>SOBERANO DE MÉXICO</w:t>
      </w:r>
    </w:p>
    <w:p w14:paraId="726BAC2C" w14:textId="77777777" w:rsidR="00937D0F" w:rsidRPr="0012597A" w:rsidRDefault="00937D0F" w:rsidP="00937D0F">
      <w:pPr>
        <w:spacing w:after="0" w:line="240" w:lineRule="auto"/>
        <w:jc w:val="both"/>
        <w:rPr>
          <w:rFonts w:ascii="Times New Roman" w:eastAsia="Cambria" w:hAnsi="Times New Roman" w:cs="Times New Roman"/>
          <w:b/>
          <w:sz w:val="24"/>
          <w:szCs w:val="24"/>
          <w:lang w:val="pt-BR"/>
        </w:rPr>
      </w:pPr>
      <w:r w:rsidRPr="0012597A">
        <w:rPr>
          <w:rFonts w:ascii="Times New Roman" w:eastAsia="Cambria" w:hAnsi="Times New Roman" w:cs="Times New Roman"/>
          <w:b/>
          <w:sz w:val="24"/>
          <w:szCs w:val="24"/>
          <w:lang w:val="pt-BR"/>
        </w:rPr>
        <w:t>P R E S E N T E.</w:t>
      </w:r>
    </w:p>
    <w:p w14:paraId="27B91B75" w14:textId="77777777" w:rsidR="00937D0F" w:rsidRPr="0012597A" w:rsidRDefault="00937D0F" w:rsidP="00937D0F">
      <w:pPr>
        <w:spacing w:after="0" w:line="240" w:lineRule="auto"/>
        <w:jc w:val="both"/>
        <w:rPr>
          <w:rFonts w:ascii="Times New Roman" w:eastAsia="Times New Roman" w:hAnsi="Times New Roman" w:cs="Times New Roman"/>
          <w:color w:val="000000"/>
          <w:sz w:val="24"/>
          <w:szCs w:val="24"/>
          <w:shd w:val="clear" w:color="auto" w:fill="FFFFFF"/>
          <w:lang w:eastAsia="es-MX"/>
        </w:rPr>
      </w:pPr>
    </w:p>
    <w:p w14:paraId="035F1A92"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color w:val="000000"/>
          <w:sz w:val="24"/>
          <w:szCs w:val="24"/>
          <w:shd w:val="clear" w:color="auto" w:fill="FFFFFF"/>
          <w:lang w:eastAsia="es-MX"/>
        </w:rPr>
        <w:lastRenderedPageBreak/>
        <w:t xml:space="preserve">Quien suscribe, Diputado </w:t>
      </w:r>
      <w:r w:rsidRPr="0012597A">
        <w:rPr>
          <w:rFonts w:ascii="Times New Roman" w:eastAsia="Times New Roman" w:hAnsi="Times New Roman" w:cs="Times New Roman"/>
          <w:b/>
          <w:color w:val="000000"/>
          <w:sz w:val="24"/>
          <w:szCs w:val="24"/>
          <w:shd w:val="clear" w:color="auto" w:fill="FFFFFF"/>
          <w:lang w:eastAsia="es-MX"/>
        </w:rPr>
        <w:t>ISRAEL ESPÍNDOLA LÓPEZ</w:t>
      </w:r>
      <w:bookmarkEnd w:id="27"/>
      <w:r w:rsidRPr="0012597A">
        <w:rPr>
          <w:rFonts w:ascii="Times New Roman" w:eastAsia="Times New Roman" w:hAnsi="Times New Roman" w:cs="Times New Roman"/>
          <w:color w:val="000000"/>
          <w:sz w:val="24"/>
          <w:szCs w:val="24"/>
          <w:shd w:val="clear" w:color="auto" w:fill="FFFFFF"/>
          <w:lang w:eastAsia="es-MX"/>
        </w:rPr>
        <w:t xml:space="preserve">, a nombre del Grupo Parlamentario del Partido morena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bookmarkEnd w:id="28"/>
      <w:bookmarkEnd w:id="29"/>
      <w:r w:rsidRPr="0012597A">
        <w:rPr>
          <w:rFonts w:ascii="Times New Roman" w:eastAsia="Times New Roman" w:hAnsi="Times New Roman" w:cs="Times New Roman"/>
          <w:b/>
          <w:bCs/>
          <w:sz w:val="24"/>
          <w:szCs w:val="24"/>
          <w:lang w:eastAsia="es-MX"/>
        </w:rPr>
        <w:t>Proposición con Punto de Acuerdo por el que la H. LXII Legislatura del Estado de México emite un reconocimiento y felicitación con motivo del aniversario del Día de la Mujer Periodista y Fotoperiodista del Estado de México</w:t>
      </w:r>
      <w:r w:rsidRPr="0012597A">
        <w:rPr>
          <w:rFonts w:ascii="Times New Roman" w:eastAsia="Times New Roman" w:hAnsi="Times New Roman" w:cs="Times New Roman"/>
          <w:sz w:val="24"/>
          <w:szCs w:val="24"/>
          <w:lang w:eastAsia="es-MX"/>
        </w:rPr>
        <w:t>, al tenor de las siguientes:</w:t>
      </w:r>
    </w:p>
    <w:p w14:paraId="728AF5F4"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580A8434" w14:textId="77777777" w:rsidR="00937D0F" w:rsidRPr="0012597A" w:rsidRDefault="00937D0F" w:rsidP="00937D0F">
      <w:pPr>
        <w:keepNext/>
        <w:keepLines/>
        <w:spacing w:after="0" w:line="240" w:lineRule="auto"/>
        <w:jc w:val="both"/>
        <w:outlineLvl w:val="2"/>
        <w:rPr>
          <w:rFonts w:ascii="Times New Roman" w:eastAsia="Calibri" w:hAnsi="Times New Roman" w:cs="Times New Roman"/>
          <w:b/>
          <w:sz w:val="24"/>
          <w:szCs w:val="24"/>
          <w:lang w:eastAsia="es-MX"/>
        </w:rPr>
      </w:pPr>
      <w:r w:rsidRPr="0012597A">
        <w:rPr>
          <w:rFonts w:ascii="Times New Roman" w:eastAsia="Calibri" w:hAnsi="Times New Roman" w:cs="Times New Roman"/>
          <w:b/>
          <w:sz w:val="24"/>
          <w:szCs w:val="24"/>
          <w:lang w:eastAsia="es-MX"/>
        </w:rPr>
        <w:t>CONSIDERACIONES</w:t>
      </w:r>
    </w:p>
    <w:p w14:paraId="267EB4C1"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65E91F3C"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 xml:space="preserve">El 18 de marzo se conmemora el </w:t>
      </w:r>
      <w:r w:rsidRPr="0012597A">
        <w:rPr>
          <w:rFonts w:ascii="Times New Roman" w:eastAsia="Times New Roman" w:hAnsi="Times New Roman" w:cs="Times New Roman"/>
          <w:b/>
          <w:bCs/>
          <w:sz w:val="24"/>
          <w:szCs w:val="24"/>
          <w:lang w:eastAsia="es-MX"/>
        </w:rPr>
        <w:t>Día de la Mujer Periodista y Fotoperiodista del Estado de México</w:t>
      </w:r>
      <w:r w:rsidRPr="0012597A">
        <w:rPr>
          <w:rFonts w:ascii="Times New Roman" w:eastAsia="Times New Roman" w:hAnsi="Times New Roman" w:cs="Times New Roman"/>
          <w:sz w:val="24"/>
          <w:szCs w:val="24"/>
          <w:lang w:eastAsia="es-MX"/>
        </w:rPr>
        <w:t>, una fecha dedicada a reconocer la labor de quienes, desde el ejercicio del periodismo y la fotografía documental, contribuyen todos los días a informar a la sociedad y a fortalecer la vida democrática de nuestra entidad.</w:t>
      </w:r>
    </w:p>
    <w:p w14:paraId="3B6039CF"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75967B16"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Las mujeres periodistas y fotoperiodistas han desempeñado un papel fundamental en la construcción de una ciudadanía informada, crítica y participativa. A través de su trabajo cotidiano han documentado los acontecimientos que marcan el rumbo de nuestro Estado, dando voz a las comunidades, visibilizando problemáticas sociales y acompañando los procesos de cambio que vive nuestra sociedad.</w:t>
      </w:r>
    </w:p>
    <w:p w14:paraId="28FCE05F"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08386D37"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Su labor no solo consiste en narrar los hechos; también implica contextualizarlos, analizarlos y acercarlos a la ciudadanía con responsabilidad, profesionalismo y compromiso con la verdad.</w:t>
      </w:r>
    </w:p>
    <w:p w14:paraId="77C27C24"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En muchos casos, su ejercicio profesional ha implicado enfrentar retos adicionales derivados de las desigualdades históricas de género. Sin embargo, con talento, determinación y convicción, han abierto camino en el periodismo mexiquense, consolidando espacios que hoy enriquecen la pluralidad informativa de nuestra entidad.</w:t>
      </w:r>
    </w:p>
    <w:p w14:paraId="7B2174E0"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4D8DA2B2"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Por ello, esta Legislatura considera oportuno expresar un reconocimiento público a las mujeres periodistas y fotoperiodistas que, con su trabajo, contribuyen al fortalecimiento de la libertad de expresión, al derecho de la sociedad a estar informada y a la consolidación de una vida democrática más abierta y participativa.</w:t>
      </w:r>
    </w:p>
    <w:p w14:paraId="4DA7611A"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29450581"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Celebrar este aniversario es también reconocer que su trabajo forma parte esencial de la memoria contemporánea del Estado de México.</w:t>
      </w:r>
    </w:p>
    <w:p w14:paraId="57F0DE48"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4E8C67BE"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sz w:val="24"/>
          <w:szCs w:val="24"/>
          <w:lang w:eastAsia="es-MX"/>
        </w:rPr>
        <w:t>Por lo anteriormente expuesto, se somete a consideración de esta Honorable Asamblea el siguiente:</w:t>
      </w:r>
    </w:p>
    <w:p w14:paraId="7B74B9F6"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480F1FAF" w14:textId="77777777" w:rsidR="00937D0F" w:rsidRPr="0012597A" w:rsidRDefault="00937D0F" w:rsidP="00937D0F">
      <w:pPr>
        <w:keepNext/>
        <w:keepLines/>
        <w:spacing w:after="0" w:line="240" w:lineRule="auto"/>
        <w:jc w:val="center"/>
        <w:outlineLvl w:val="2"/>
        <w:rPr>
          <w:rFonts w:ascii="Times New Roman" w:eastAsia="Calibri" w:hAnsi="Times New Roman" w:cs="Times New Roman"/>
          <w:b/>
          <w:sz w:val="24"/>
          <w:szCs w:val="24"/>
          <w:lang w:eastAsia="es-MX"/>
        </w:rPr>
      </w:pPr>
      <w:r w:rsidRPr="0012597A">
        <w:rPr>
          <w:rFonts w:ascii="Times New Roman" w:eastAsia="Calibri" w:hAnsi="Times New Roman" w:cs="Times New Roman"/>
          <w:b/>
          <w:sz w:val="24"/>
          <w:szCs w:val="24"/>
          <w:lang w:eastAsia="es-MX"/>
        </w:rPr>
        <w:t>PUNTO DE ACUERDO</w:t>
      </w:r>
    </w:p>
    <w:p w14:paraId="073F463C" w14:textId="77777777" w:rsidR="00937D0F" w:rsidRPr="0012597A" w:rsidRDefault="00937D0F" w:rsidP="00937D0F">
      <w:pPr>
        <w:spacing w:after="0" w:line="240" w:lineRule="auto"/>
        <w:jc w:val="both"/>
        <w:rPr>
          <w:rFonts w:ascii="Times New Roman" w:eastAsia="Times New Roman" w:hAnsi="Times New Roman" w:cs="Times New Roman"/>
          <w:b/>
          <w:bCs/>
          <w:sz w:val="24"/>
          <w:szCs w:val="24"/>
          <w:lang w:eastAsia="es-MX"/>
        </w:rPr>
      </w:pPr>
    </w:p>
    <w:p w14:paraId="21760E1E"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b/>
          <w:bCs/>
          <w:sz w:val="24"/>
          <w:szCs w:val="24"/>
          <w:lang w:eastAsia="es-MX"/>
        </w:rPr>
        <w:t>ÚNICO.</w:t>
      </w:r>
      <w:r w:rsidRPr="0012597A">
        <w:rPr>
          <w:rFonts w:ascii="Times New Roman" w:eastAsia="Times New Roman" w:hAnsi="Times New Roman" w:cs="Times New Roman"/>
          <w:sz w:val="24"/>
          <w:szCs w:val="24"/>
          <w:lang w:eastAsia="es-MX"/>
        </w:rPr>
        <w:t xml:space="preserve"> La H. LXII Legislatura del Estado de México expresa su </w:t>
      </w:r>
      <w:r w:rsidRPr="0012597A">
        <w:rPr>
          <w:rFonts w:ascii="Times New Roman" w:eastAsia="Times New Roman" w:hAnsi="Times New Roman" w:cs="Times New Roman"/>
          <w:b/>
          <w:bCs/>
          <w:sz w:val="24"/>
          <w:szCs w:val="24"/>
          <w:lang w:eastAsia="es-MX"/>
        </w:rPr>
        <w:t>reconocimiento y felicitación a las mujeres periodistas y fotoperiodistas del Estado de México</w:t>
      </w:r>
      <w:r w:rsidRPr="0012597A">
        <w:rPr>
          <w:rFonts w:ascii="Times New Roman" w:eastAsia="Times New Roman" w:hAnsi="Times New Roman" w:cs="Times New Roman"/>
          <w:sz w:val="24"/>
          <w:szCs w:val="24"/>
          <w:lang w:eastAsia="es-MX"/>
        </w:rPr>
        <w:t xml:space="preserve">, con motivo del aniversario del </w:t>
      </w:r>
      <w:r w:rsidRPr="0012597A">
        <w:rPr>
          <w:rFonts w:ascii="Times New Roman" w:eastAsia="Times New Roman" w:hAnsi="Times New Roman" w:cs="Times New Roman"/>
          <w:b/>
          <w:bCs/>
          <w:sz w:val="24"/>
          <w:szCs w:val="24"/>
          <w:lang w:eastAsia="es-MX"/>
        </w:rPr>
        <w:t>Día de la Mujer Periodista y Fotoperiodista del Estado de México</w:t>
      </w:r>
      <w:r w:rsidRPr="0012597A">
        <w:rPr>
          <w:rFonts w:ascii="Times New Roman" w:eastAsia="Times New Roman" w:hAnsi="Times New Roman" w:cs="Times New Roman"/>
          <w:sz w:val="24"/>
          <w:szCs w:val="24"/>
          <w:lang w:eastAsia="es-MX"/>
        </w:rPr>
        <w:t>, celebrado el 18 de marzo, destacando su labor en favor de la libertad de expresión, el derecho a la información y el fortalecimiento de la vida democrática de nuestra entidad.</w:t>
      </w:r>
    </w:p>
    <w:p w14:paraId="49084FB8"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5EE70FDF" w14:textId="77777777" w:rsidR="00937D0F" w:rsidRPr="0012597A" w:rsidRDefault="00937D0F" w:rsidP="00937D0F">
      <w:pPr>
        <w:keepNext/>
        <w:keepLines/>
        <w:spacing w:after="0" w:line="240" w:lineRule="auto"/>
        <w:jc w:val="center"/>
        <w:outlineLvl w:val="2"/>
        <w:rPr>
          <w:rFonts w:ascii="Times New Roman" w:eastAsia="Calibri" w:hAnsi="Times New Roman" w:cs="Times New Roman"/>
          <w:b/>
          <w:sz w:val="24"/>
          <w:szCs w:val="24"/>
          <w:lang w:eastAsia="es-MX"/>
        </w:rPr>
      </w:pPr>
      <w:r w:rsidRPr="0012597A">
        <w:rPr>
          <w:rFonts w:ascii="Times New Roman" w:eastAsia="Calibri" w:hAnsi="Times New Roman" w:cs="Times New Roman"/>
          <w:b/>
          <w:sz w:val="24"/>
          <w:szCs w:val="24"/>
          <w:lang w:eastAsia="es-MX"/>
        </w:rPr>
        <w:lastRenderedPageBreak/>
        <w:t>TRANSITORIO</w:t>
      </w:r>
    </w:p>
    <w:p w14:paraId="6158C988" w14:textId="77777777" w:rsidR="00937D0F" w:rsidRPr="0012597A" w:rsidRDefault="00937D0F" w:rsidP="00937D0F">
      <w:pPr>
        <w:spacing w:after="0" w:line="240" w:lineRule="auto"/>
        <w:jc w:val="both"/>
        <w:rPr>
          <w:rFonts w:ascii="Times New Roman" w:eastAsia="Times New Roman" w:hAnsi="Times New Roman" w:cs="Times New Roman"/>
          <w:b/>
          <w:bCs/>
          <w:sz w:val="24"/>
          <w:szCs w:val="24"/>
          <w:lang w:eastAsia="es-MX"/>
        </w:rPr>
      </w:pPr>
    </w:p>
    <w:p w14:paraId="26385959"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r w:rsidRPr="0012597A">
        <w:rPr>
          <w:rFonts w:ascii="Times New Roman" w:eastAsia="Times New Roman" w:hAnsi="Times New Roman" w:cs="Times New Roman"/>
          <w:b/>
          <w:bCs/>
          <w:sz w:val="24"/>
          <w:szCs w:val="24"/>
          <w:lang w:eastAsia="es-MX"/>
        </w:rPr>
        <w:t>ÚNICO.</w:t>
      </w:r>
      <w:r w:rsidRPr="0012597A">
        <w:rPr>
          <w:rFonts w:ascii="Times New Roman" w:eastAsia="Times New Roman" w:hAnsi="Times New Roman" w:cs="Times New Roman"/>
          <w:sz w:val="24"/>
          <w:szCs w:val="24"/>
          <w:lang w:eastAsia="es-MX"/>
        </w:rPr>
        <w:t xml:space="preserve"> Comuníquese el presente Acuerdo a los medios de comunicación y publíquese en los canales institucionales del Poder Legislativo del Estado de México.</w:t>
      </w:r>
    </w:p>
    <w:p w14:paraId="5AC8773C" w14:textId="77777777" w:rsidR="00937D0F" w:rsidRPr="0012597A" w:rsidRDefault="00937D0F" w:rsidP="00937D0F">
      <w:pPr>
        <w:spacing w:after="0" w:line="240" w:lineRule="auto"/>
        <w:jc w:val="both"/>
        <w:rPr>
          <w:rFonts w:ascii="Times New Roman" w:eastAsia="Times New Roman" w:hAnsi="Times New Roman" w:cs="Times New Roman"/>
          <w:sz w:val="24"/>
          <w:szCs w:val="24"/>
          <w:lang w:eastAsia="es-MX"/>
        </w:rPr>
      </w:pPr>
    </w:p>
    <w:p w14:paraId="579312B6" w14:textId="77777777" w:rsidR="00937D0F" w:rsidRPr="0012597A" w:rsidRDefault="00937D0F" w:rsidP="00937D0F">
      <w:pPr>
        <w:spacing w:after="0" w:line="240" w:lineRule="auto"/>
        <w:ind w:left="-5"/>
        <w:jc w:val="both"/>
        <w:rPr>
          <w:rFonts w:ascii="Times New Roman" w:eastAsia="Calibri" w:hAnsi="Times New Roman" w:cs="Times New Roman"/>
          <w:sz w:val="24"/>
          <w:szCs w:val="24"/>
          <w:lang w:eastAsia="es-MX"/>
        </w:rPr>
      </w:pPr>
      <w:r w:rsidRPr="0012597A">
        <w:rPr>
          <w:rFonts w:ascii="Times New Roman" w:eastAsia="Calibri" w:hAnsi="Times New Roman" w:cs="Times New Roman"/>
          <w:sz w:val="24"/>
          <w:szCs w:val="24"/>
          <w:lang w:eastAsia="es-MX"/>
        </w:rPr>
        <w:t xml:space="preserve">Dado en el Palacio del Poder Legislativo, en la ciudad de Toluca de Lerdo, Capital del Estado de México, a los doce días del mes de marzo del dos mil veintiséis. </w:t>
      </w:r>
    </w:p>
    <w:p w14:paraId="58239AD2" w14:textId="77777777" w:rsidR="004C5117" w:rsidRPr="0012597A" w:rsidRDefault="004C5117" w:rsidP="007F283E">
      <w:pPr>
        <w:spacing w:after="0" w:line="240" w:lineRule="auto"/>
        <w:jc w:val="center"/>
        <w:rPr>
          <w:rFonts w:ascii="Times New Roman" w:hAnsi="Times New Roman"/>
          <w:sz w:val="24"/>
          <w:szCs w:val="24"/>
        </w:rPr>
      </w:pPr>
    </w:p>
    <w:p w14:paraId="68F746C0" w14:textId="77777777" w:rsidR="004C5117" w:rsidRPr="0012597A" w:rsidRDefault="004C5117"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71621322" w14:textId="77777777" w:rsidR="004C5117" w:rsidRPr="0012597A" w:rsidRDefault="004C5117" w:rsidP="007F283E">
      <w:pPr>
        <w:spacing w:after="0" w:line="240" w:lineRule="auto"/>
        <w:jc w:val="center"/>
        <w:rPr>
          <w:rFonts w:ascii="Times New Roman" w:hAnsi="Times New Roman"/>
          <w:sz w:val="24"/>
          <w:szCs w:val="24"/>
        </w:rPr>
      </w:pPr>
    </w:p>
    <w:p w14:paraId="1DAB6DB6" w14:textId="5FB10266"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diputado Israel Espíndola López.</w:t>
      </w:r>
    </w:p>
    <w:p w14:paraId="549CA553"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En atención al artículo 55 de la Constitución Política del Estado Libre y Soberano de México, someto a la aprobación de la Legislatura la propuesta y dispensa del trámite y dictamen del punto de acuerdo y consulto ¿Si alguien desea hacer uso de la palabra?</w:t>
      </w:r>
    </w:p>
    <w:p w14:paraId="187F4290"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Adelante diputada Vicepresidenta Sara Alicia Ramírez de la O.</w:t>
      </w:r>
    </w:p>
    <w:p w14:paraId="652946E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SARA ALICIA RAMÍREZ DE LA O. Esta es una de esas ocasiones muy gozosas en las que podemos apreciar que las mujeres siempre han estado presentes en la vida política, social del país y que el aporte que las mujeres han hecho en el periodismo desde las compañeras del siglo XIX, las compañeras del siglo XX, y ahora estas compañeras que tenemos la suerte de tener aquí, compañeras del siglo XXI; pero compañeras que son de todos los tiempos y de todas las edades y de todas las condiciones, yo, Leona Vicario fue la Primera, correcto, muchas gracias.</w:t>
      </w:r>
    </w:p>
    <w:p w14:paraId="7B912B4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Desde entonces y ustedes han continuado con esa, han tomado esa estafeta y yo por ello las quiero felicitar, agradecerles por el gran aporte que le han dado a este País, en materia de fotoperiodismo.</w:t>
      </w:r>
    </w:p>
    <w:p w14:paraId="0B35770B"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Enhorabuena y muchas gracias por los servicios prestados a la Patria, gracias.</w:t>
      </w:r>
    </w:p>
    <w:p w14:paraId="1D24A269"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Muchas gracias.</w:t>
      </w:r>
    </w:p>
    <w:p w14:paraId="21775F94"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Pido a quienes estén por la dispensa del trámite de dictamen, se sirvan levantar la mano ¿En contra? ¿En abstención?</w:t>
      </w:r>
    </w:p>
    <w:p w14:paraId="7B9A648A"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SECRETARIA DIP. KRISHNA ROMERO VELÁZQUEZ. La propuesta ha sido aprobada por unanimidad de votos.</w:t>
      </w:r>
    </w:p>
    <w:p w14:paraId="6D0FEFAD"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Mujeres y hombres periodistas sean todos ustedes bienvenidos a esta la “Casa del Pueblo Mexiquense”, su trabajo, su lucha, se ha visto siempre en honor de este gran Estado y haciendo patria como bien lo comenta la diputada Sarita Ramírez de la O.</w:t>
      </w:r>
    </w:p>
    <w:p w14:paraId="176AAF45"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Abro la discusión en lo general y pregunto ¿Si alguien desea hacer uso de la palabra?</w:t>
      </w:r>
    </w:p>
    <w:p w14:paraId="72D2A170"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Para la votación en lo general pido a la Secretaría, abra el sistema de votación hasta por 2 minutos, si alguien desea separar algún artículo, sírvase comentarlo.</w:t>
      </w:r>
    </w:p>
    <w:p w14:paraId="1588287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SECRETARIA DIP. KRISHNA ROMERO VELÁZQUEZ. Ábrase el sistema de votación hasta por 2 minutos.</w:t>
      </w:r>
    </w:p>
    <w:p w14:paraId="2384607A" w14:textId="77777777" w:rsidR="00791E2D" w:rsidRPr="0012597A" w:rsidRDefault="00791E2D" w:rsidP="00EF1C7F">
      <w:pPr>
        <w:pStyle w:val="Sinespaciado"/>
        <w:jc w:val="center"/>
        <w:rPr>
          <w:rFonts w:ascii="Times New Roman" w:hAnsi="Times New Roman" w:cs="Times New Roman"/>
          <w:i/>
          <w:sz w:val="24"/>
          <w:szCs w:val="24"/>
        </w:rPr>
      </w:pPr>
      <w:r w:rsidRPr="0012597A">
        <w:rPr>
          <w:rFonts w:ascii="Times New Roman" w:hAnsi="Times New Roman" w:cs="Times New Roman"/>
          <w:i/>
          <w:sz w:val="24"/>
          <w:szCs w:val="24"/>
        </w:rPr>
        <w:t>(Votación nominal)</w:t>
      </w:r>
    </w:p>
    <w:p w14:paraId="2875F19A"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SECRETARIA DIP. KRISHNA ROMERO VELÁZQUEZ. ¿Alguien falta de emitir su voto?</w:t>
      </w:r>
    </w:p>
    <w:p w14:paraId="4FC26D26"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Presidenta le informo que el punto de acuerdo ha sido aprobado en lo general por unanimidad de votos. </w:t>
      </w:r>
    </w:p>
    <w:p w14:paraId="70E21A3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Secretaria.</w:t>
      </w:r>
    </w:p>
    <w:p w14:paraId="2D151197"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Se tiene por aprobado en lo general el punto de acuerdo, se acuerda también su aprobación en lo particular. </w:t>
      </w:r>
    </w:p>
    <w:p w14:paraId="1C50A4B3"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Muchas, muchas felicidades a nuestros queridos amigos y amigas periodistas, este es su día. ¡Felicidades!</w:t>
      </w:r>
    </w:p>
    <w:p w14:paraId="5CCB2E82"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lastRenderedPageBreak/>
        <w:t>En acatamiento al número 23, la diputada Gloria Vanessa Linares Zetina, presenta en nombre del Grupo Parlamentario del Partido Verde Ecologista de México, Punto de Acuerdo por el que se exhorta respetuosamente a la Secretaría del Agua del Estado de México; así como a la Comisión del Agua del Estado de México, para que en el ámbito de sus respectivas atribuciones, implementen de manera coordinada acciones inmediatas de diagnóstico, saneamiento y restauración del Río Grande Acatitlán; también conocido como Río Temascaltepec, con el objetivo de preservar su equilibrio ecológico y proteger la salud de la población.</w:t>
      </w:r>
    </w:p>
    <w:p w14:paraId="79C41600"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GLORIA VANESSA LINARES ZETINA. Gracias Presidenta, con su venia.</w:t>
      </w:r>
    </w:p>
    <w:p w14:paraId="728D09F7"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Saludo con gusto a quienes integran la Mesa Directiva, diputadas, diputade y diputados, a quienes nos acompañan en este Recinto Legislativo, a los medios de comunicación y a la ciudadanía que nos sigue a través de las diversas plataformas digitales.</w:t>
      </w:r>
    </w:p>
    <w:p w14:paraId="27C42E43"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El día de hoy, estoy aquí para hablar de un tema que aqueja a cientos de familias del Sur de nuestro Estado y también a un recurso fundamental para nuestras comunidades.</w:t>
      </w:r>
    </w:p>
    <w:p w14:paraId="2C2F789D"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Hace unos días estuve en el Sur de nuestro Estado recorriendo las comunidades de mi distrito, durante este recorrido, varias personas se acercaron para plantearme una preocupación concreta, la situación del Río Grande de Acatitlán, que concentra también conocido como el Río de Temascaltepec, el Río Grande de Acatitlán. refleja los estragos de una problemática que ha acumulado durante años y que hoy ya no podemos ignorar, no se trata de un tema aislado ni de percepciones, es una problemática que se está expresando de manera clara en nuestro territorio del Sur; son más de 28 comunidades del núcleo agrario de Bienes Comunales de San Juan Acatitlán, las que han señalado posibles afectaciones por la contaminación severa que este río tiene.</w:t>
      </w:r>
    </w:p>
    <w:p w14:paraId="3432E252"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Hoy, incluso se reportan cambios en el color del agua con tonalidades inusuales, lo que evidencia un deterioro relevante en su calidad. Durante años habitantes de la región han advertido sobre descargas provenientes de distintas actividades, particularmente en zonas donde existe presencia de actividad minera, lo que ha generado preocupación por el impacto de este río; pero no se trata únicamente de la contaminación de un cuerpo de agua, un río contaminado no es solo agua en malas condiciones, es un problema que impacta en la salud, en la economía y en la vida cotidiana de quienes dependen de él, porque no hablamos de un río menor, hablamos de uno de los más destacados de nuestro Sur del Estado de México, que forma parte de la cuenca del Río Balsas y que atraviesa Municipios como Livianos, como Zacazonapan y Temascaltepec; pero que también abastece agua a los diferentes municipios que rodean y colindan éstos que acabo de mencionar y además abastecen agua en el Estado de Guerrero y en el Estado de Michoacán.</w:t>
      </w:r>
    </w:p>
    <w:p w14:paraId="1F2141FA"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Es un recurso que sostiene actividades agrícolas, ganaderas y domésticas; por eso cuando el agua deja de ser confiable, las consecuencias son inmediatas, las familias enfrentan incertidumbre y se ven obligadas a buscar alternativas, a asumir mayores costos, a cuestionar si el agua que utilizan es segura para sus cultivos, para el ganado y para su propio consumo.</w:t>
      </w:r>
    </w:p>
    <w:p w14:paraId="59ECD3A8"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Este señalamiento resume la problemática de la incertidumbre de la calidad de Río del Agua de Acatitlán y la preocupación por los efectos que está causando en este territorio.</w:t>
      </w:r>
    </w:p>
    <w:p w14:paraId="6D80CAF1"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Además, no podemos perder de vista el contexto nacional, de acuerdo con la Comisión Nacional del Agua, donde el más del 59% de las aguas superficiales en México presentan algún grado de contaminación y cerca de la mitad se encuentran en condiciones bastante críticas. En la región centro del país, esta situación es aún más relevante, particularmente en cuencas como la del río Balsas, de la cual forma este río. </w:t>
      </w:r>
    </w:p>
    <w:p w14:paraId="00F6638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Por ello, esto no es un solo tema ambiental, es un tema de desarrollo regional, de productividad y de bienestar social. </w:t>
      </w:r>
    </w:p>
    <w:p w14:paraId="075431B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Desde esta tribuna, el planteamiento es claro, se requiere una atención técnica específica, institucional y coordinada entre los diferentes Órdenes de Gobierno.</w:t>
      </w:r>
    </w:p>
    <w:p w14:paraId="4403275F"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Este exhorto no busca señalar responsabilidades de manera anticipada; sino, promover acciones concretas en el ámbito de competencia con cada una de las autoridades. </w:t>
      </w:r>
    </w:p>
    <w:p w14:paraId="480A4536"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 xml:space="preserve">Desde esta tribuna, hago el llamado para realizar un diagnóstico técnico integral, identificar fuentes de contaminación y evaluar riesgos ambientales y sanitarios e implementar acciones de saneamiento y restauración ecológica, porque sin información técnica, no hay soluciones eficaces y además certeras para nuestra querida gente del sur del Estado. </w:t>
      </w:r>
    </w:p>
    <w:p w14:paraId="4D0DF4BE"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Como representante de este territorio, lo digo con claridad, existe una demanda real de atención por parte de las comunidades, particularmente de quienes viven del campo y de uso directo del agua. </w:t>
      </w:r>
    </w:p>
    <w:p w14:paraId="2B730BD8"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Desde el Grupo Parlamentario del Partido Verde Ecologista de México hacemos un llamado a la Secretaría del Agua, a la Comisión del Agua del Estado de México y a los municipios afectados para que, en el ámbito de sus atribuciones, implementen de manera coordinada acciones inmediatas de diagnóstico, saneamiento y restauración del río Grande de Atitlán o Río de Temascaltepec.</w:t>
      </w:r>
    </w:p>
    <w:p w14:paraId="779A29BE"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El objetivo es claro preservar su equilibrio ecológico y proteger la salud y el bienestar de nuestra población, porque lo que hagamos por nuestros ríos se refleja directamente en la certeza del acceso al agua para las familias mexiquenses. </w:t>
      </w:r>
    </w:p>
    <w:p w14:paraId="70405AC7"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Por ello, es momento de atenderlo con responsabilidad, con información técnica y con coordinación institucional por nuestros ríos y por el bienestar de nuestra gente. </w:t>
      </w:r>
    </w:p>
    <w:p w14:paraId="6FE76EC3"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Es cuanto Presidenta. </w:t>
      </w:r>
    </w:p>
    <w:p w14:paraId="4D8FE496" w14:textId="77777777" w:rsidR="007F283E" w:rsidRPr="0012597A" w:rsidRDefault="007F283E" w:rsidP="007F283E">
      <w:pPr>
        <w:pStyle w:val="Sinespaciado"/>
        <w:jc w:val="both"/>
        <w:rPr>
          <w:rFonts w:ascii="Times New Roman" w:hAnsi="Times New Roman" w:cs="Times New Roman"/>
          <w:sz w:val="24"/>
          <w:szCs w:val="24"/>
        </w:rPr>
      </w:pPr>
    </w:p>
    <w:p w14:paraId="24411ED1" w14:textId="77777777" w:rsidR="007F283E" w:rsidRPr="0012597A" w:rsidRDefault="007F283E"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714806F9" w14:textId="77777777" w:rsidR="007F283E" w:rsidRPr="0012597A" w:rsidRDefault="007F283E" w:rsidP="007F283E">
      <w:pPr>
        <w:spacing w:after="0" w:line="240" w:lineRule="auto"/>
        <w:jc w:val="center"/>
        <w:rPr>
          <w:rFonts w:ascii="Times New Roman" w:hAnsi="Times New Roman"/>
          <w:sz w:val="24"/>
          <w:szCs w:val="24"/>
        </w:rPr>
      </w:pPr>
    </w:p>
    <w:p w14:paraId="2895C34D"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GRUPO PARLAMENTARIO DEL PARTIDO VERDE ECOLOGISTA DE MEXICO</w:t>
      </w:r>
    </w:p>
    <w:p w14:paraId="14723C17"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7D77ED08"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“2026. Año del Humanismo Mexicano en el Estado de México”.</w:t>
      </w:r>
    </w:p>
    <w:p w14:paraId="7CCD5253"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6BDC3542" w14:textId="77777777" w:rsidR="007F283E" w:rsidRPr="0012597A" w:rsidRDefault="007F283E" w:rsidP="007F283E">
      <w:pPr>
        <w:widowControl w:val="0"/>
        <w:autoSpaceDE w:val="0"/>
        <w:autoSpaceDN w:val="0"/>
        <w:spacing w:after="0" w:line="240" w:lineRule="auto"/>
        <w:jc w:val="right"/>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Toluca de Lerdo, Estado de México, a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 xml:space="preserve"> de 2026.</w:t>
      </w:r>
    </w:p>
    <w:p w14:paraId="79F40F99"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23074CB5"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MARTHA AZUCENA CAMACHO REYNOSO</w:t>
      </w:r>
    </w:p>
    <w:p w14:paraId="6A16736C"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MESA DIRECTIVA</w:t>
      </w:r>
    </w:p>
    <w:p w14:paraId="7A56F4DC"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LXII LEGISLATURA DEL H. PODER LEGISLATIVO</w:t>
      </w:r>
    </w:p>
    <w:p w14:paraId="74FC9B13"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ESTADO LIBRE Y SOBERANO DE MÉXICO</w:t>
      </w:r>
    </w:p>
    <w:p w14:paraId="19D60B2F"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p>
    <w:p w14:paraId="4377D77A"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 R E S E N T E</w:t>
      </w:r>
    </w:p>
    <w:p w14:paraId="67922F25" w14:textId="77777777" w:rsidR="007F283E" w:rsidRPr="0012597A" w:rsidRDefault="007F283E" w:rsidP="007F283E">
      <w:pPr>
        <w:widowControl w:val="0"/>
        <w:autoSpaceDE w:val="0"/>
        <w:autoSpaceDN w:val="0"/>
        <w:spacing w:after="0" w:line="240" w:lineRule="auto"/>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Honorable Asamblea:</w:t>
      </w:r>
    </w:p>
    <w:p w14:paraId="6E2797BF"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p>
    <w:p w14:paraId="7FF57D82"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Quienes suscriben </w:t>
      </w:r>
      <w:r w:rsidRPr="0012597A">
        <w:rPr>
          <w:rFonts w:ascii="Times New Roman" w:eastAsia="Arial MT" w:hAnsi="Times New Roman" w:cs="Times New Roman"/>
          <w:b/>
          <w:sz w:val="24"/>
          <w:szCs w:val="24"/>
        </w:rPr>
        <w:t>JOSÉ ALBERTO COUTTOLENC BUENTELLO</w:t>
      </w:r>
      <w:r w:rsidRPr="0012597A">
        <w:rPr>
          <w:rFonts w:ascii="Times New Roman" w:eastAsia="Arial MT" w:hAnsi="Times New Roman" w:cs="Times New Roman"/>
          <w:sz w:val="24"/>
          <w:szCs w:val="24"/>
        </w:rPr>
        <w:t xml:space="preserve">, </w:t>
      </w:r>
      <w:r w:rsidRPr="0012597A">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12597A">
        <w:rPr>
          <w:rFonts w:ascii="Times New Roman" w:eastAsia="Arial MT" w:hAnsi="Times New Roman" w:cs="Times New Roman"/>
          <w:sz w:val="24"/>
          <w:szCs w:val="24"/>
        </w:rPr>
        <w:t xml:space="preserve">diputadas y diputados integrantes del </w:t>
      </w:r>
      <w:r w:rsidRPr="0012597A">
        <w:rPr>
          <w:rFonts w:ascii="Times New Roman" w:eastAsia="Arial MT" w:hAnsi="Times New Roman" w:cs="Times New Roman"/>
          <w:b/>
          <w:sz w:val="24"/>
          <w:szCs w:val="24"/>
        </w:rPr>
        <w:t xml:space="preserve">GRUPO PARLAMENTARIO DEL PARTIDO VERDE ECOLOGISTA DE MÉXICO </w:t>
      </w:r>
      <w:r w:rsidRPr="0012597A">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12597A">
        <w:rPr>
          <w:rFonts w:ascii="Times New Roman" w:eastAsia="Arial MT" w:hAnsi="Times New Roman" w:cs="Times New Roman"/>
          <w:b/>
          <w:sz w:val="24"/>
          <w:szCs w:val="24"/>
        </w:rPr>
        <w:t xml:space="preserve">PROPOSICIÓN CON PUNTO DE ACUERDO POR EL QUE SE EXHORTA RESPETUOSAMENTE A LA SECRETARÍA DEL AGUA DEL ESTADO DE MÉXICO, ASÍ COMO A LA COMISIÓN DEL AGUA DEL ESTADO DE MÉXICO, PARA QUE, EN EL ÁMBITO DE SUS RESPECTIVAS ATRIBUCIONES, IMPLEMENTEN DE MANERA COORDINADA ACCIONES INMEDIATAS DE DIAGNÓSTICO, </w:t>
      </w:r>
      <w:r w:rsidRPr="0012597A">
        <w:rPr>
          <w:rFonts w:ascii="Times New Roman" w:eastAsia="Arial MT" w:hAnsi="Times New Roman" w:cs="Times New Roman"/>
          <w:b/>
          <w:sz w:val="24"/>
          <w:szCs w:val="24"/>
        </w:rPr>
        <w:lastRenderedPageBreak/>
        <w:t>SANEAMIENTO Y RESTAURACIÓN DEL RÍO GRANDE ACATITLÁN, TAMBIÉN CONOCIDO COMO RÍO DE TEMASCALTEPEC, CON EL OBJETIVO DE PRESERVAR SU EQUILIBRIO ECOLÓGICO Y PROTEGER LA SALUD DE LA POBLACIÓN,</w:t>
      </w:r>
      <w:r w:rsidRPr="0012597A">
        <w:rPr>
          <w:rFonts w:ascii="Times New Roman" w:eastAsia="Arial MT" w:hAnsi="Times New Roman" w:cs="Times New Roman"/>
          <w:sz w:val="24"/>
          <w:szCs w:val="24"/>
        </w:rPr>
        <w:t xml:space="preserve"> con sustento en la</w:t>
      </w:r>
      <w:r w:rsidRPr="0012597A">
        <w:rPr>
          <w:rFonts w:ascii="Times New Roman" w:eastAsia="Arial MT" w:hAnsi="Times New Roman" w:cs="Times New Roman"/>
          <w:b/>
        </w:rPr>
        <w:t xml:space="preserve"> </w:t>
      </w:r>
      <w:r w:rsidRPr="0012597A">
        <w:rPr>
          <w:rFonts w:ascii="Times New Roman" w:eastAsia="Arial MT" w:hAnsi="Times New Roman" w:cs="Times New Roman"/>
          <w:sz w:val="24"/>
          <w:szCs w:val="24"/>
        </w:rPr>
        <w:t>siguiente:</w:t>
      </w:r>
    </w:p>
    <w:p w14:paraId="07DCDFA3"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b/>
          <w:sz w:val="24"/>
          <w:szCs w:val="24"/>
        </w:rPr>
      </w:pPr>
    </w:p>
    <w:p w14:paraId="3F7C29FC"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EXPOSICIÓN DE MOTIVOS</w:t>
      </w:r>
    </w:p>
    <w:p w14:paraId="1963841D"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p>
    <w:p w14:paraId="19CFFEAA"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agua constituye un recurso estratégico para el desarrollo sostenible, la estabilidad social y la preservación del equilibrio ecológico, por lo que su protección se encuentra estrechamente vinculada con la garantía de derechos fundamentales. En términos del artículo 4. ° de la Constitución Política de los Estados Unidos Mexicanos, toda persona tiene derecho a un medio ambiente sano para su desarrollo y bienestar, imponiendo al Estado la obligación de prevenir, controlar y, en su caso, revertir los procesos de deterioro ambiental.</w:t>
      </w:r>
    </w:p>
    <w:p w14:paraId="5B698717"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7A705432"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Bajo este marco, el Río Grande de Acatitlán, también denominado Río de Temascaltepec, representa un elemento hidrológico de alta relevancia para el sur del Estado de México. Este cuerpo de agua tiene su origen en las faldas del Nevado de Toluca y forma parte de la cuenca del Río Balsas, considerada una de las regiones hidrológicas prioritarias del país. A lo largo de su trayecto, atraviesa los municipios de Temascaltepec, Zacazonapan y Luvianos, donde cumple funciones esenciales como fuente de abastecimiento hídrico, soporte de actividades agropecuarias y elemento regulador de los ecosistemas locales.</w:t>
      </w:r>
      <w:r w:rsidRPr="0012597A">
        <w:rPr>
          <w:rFonts w:ascii="Times New Roman" w:eastAsia="Arial MT" w:hAnsi="Times New Roman" w:cs="Times New Roman"/>
          <w:color w:val="FF0000"/>
          <w:sz w:val="24"/>
          <w:szCs w:val="24"/>
          <w:vertAlign w:val="superscript"/>
        </w:rPr>
        <w:t>1</w:t>
      </w:r>
    </w:p>
    <w:p w14:paraId="425AF002"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35B661A8"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No obstante, en los últimos años se ha observado un proceso de deterioro progresivo en la calidad del agua del río, evidenciado a partir de reportes comunitarios, denuncias sociales y cobertura mediática regional. Más de 15 comunidades se han manifestado contra la contaminación del Río Grande de Acatitlán, y al menos 27 comunidades se han reunido para consensuar las acciones a emprender para frenar esta situación.</w:t>
      </w:r>
      <w:r w:rsidRPr="0012597A">
        <w:rPr>
          <w:rFonts w:ascii="Times New Roman" w:eastAsia="Arial MT" w:hAnsi="Times New Roman" w:cs="Times New Roman"/>
          <w:color w:val="FF0000"/>
          <w:sz w:val="24"/>
          <w:szCs w:val="24"/>
          <w:vertAlign w:val="superscript"/>
        </w:rPr>
        <w:t>2</w:t>
      </w:r>
    </w:p>
    <w:p w14:paraId="30CD3735"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4BCBC98A"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Entre los factores potencialmente asociados a esta problemática se encuentra la actividad minera en la región, particularmente en el municipio de Temascaltepec, donde opera la mina “La Guitarra”, dedicada a la extracción de minerales metálicos como oro y plata.</w:t>
      </w:r>
      <w:r w:rsidRPr="0012597A">
        <w:rPr>
          <w:rFonts w:ascii="Times New Roman" w:eastAsia="Arial MT" w:hAnsi="Times New Roman" w:cs="Times New Roman"/>
          <w:color w:val="FF0000"/>
          <w:sz w:val="24"/>
          <w:szCs w:val="24"/>
          <w:vertAlign w:val="superscript"/>
        </w:rPr>
        <w:t>3</w:t>
      </w:r>
      <w:r w:rsidRPr="0012597A">
        <w:rPr>
          <w:rFonts w:ascii="Times New Roman" w:eastAsia="Arial MT" w:hAnsi="Times New Roman" w:cs="Times New Roman"/>
          <w:sz w:val="24"/>
          <w:szCs w:val="24"/>
        </w:rPr>
        <w:t xml:space="preserve"> Este tipo de actividad incluye procesos industriales que pueden generar residuos llamados jales mineros. Estos residuos tienen metales pesados y sustancias químicas peligrosas, como arsénico, plomo, cadmio y cianuro. Estos materiales pueden ser riesgosos para el agua si no se manejan correctamente.</w:t>
      </w:r>
    </w:p>
    <w:p w14:paraId="63FF9271"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5EA1D4B0"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1</w:t>
      </w:r>
      <w:r w:rsidRPr="0012597A">
        <w:rPr>
          <w:rFonts w:ascii="Times New Roman" w:eastAsia="Arial MT" w:hAnsi="Times New Roman" w:cs="Times New Roman"/>
          <w:sz w:val="20"/>
          <w:szCs w:val="24"/>
        </w:rPr>
        <w:t xml:space="preserve"> Miranda, R. 10 de marzo de 2026. </w:t>
      </w:r>
      <w:r w:rsidRPr="0012597A">
        <w:rPr>
          <w:rFonts w:ascii="Times New Roman" w:eastAsia="Arial MT" w:hAnsi="Times New Roman" w:cs="Times New Roman"/>
          <w:i/>
          <w:sz w:val="20"/>
          <w:szCs w:val="24"/>
        </w:rPr>
        <w:t xml:space="preserve">Contaminación del río Acatitlán preocupa a comunidades del Sur del Edomex. </w:t>
      </w:r>
      <w:r w:rsidRPr="0012597A">
        <w:rPr>
          <w:rFonts w:ascii="Times New Roman" w:eastAsia="Arial MT" w:hAnsi="Times New Roman" w:cs="Times New Roman"/>
          <w:sz w:val="20"/>
          <w:szCs w:val="24"/>
        </w:rPr>
        <w:t xml:space="preserve">El Sol de Toluca. Véase en: </w:t>
      </w:r>
      <w:r w:rsidRPr="0012597A">
        <w:rPr>
          <w:rFonts w:ascii="Times New Roman" w:eastAsia="Arial MT" w:hAnsi="Times New Roman" w:cs="Times New Roman"/>
          <w:sz w:val="20"/>
          <w:szCs w:val="24"/>
          <w:u w:val="single" w:color="0000FF"/>
        </w:rPr>
        <w:t>https://oem.com.mx/elsoldetoluca/local/contaminacion-del-rio-acatitlan-preocupa-a-comunidades-del-sur-del-estado-de-</w:t>
      </w:r>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mexico-28887846</w:t>
      </w:r>
    </w:p>
    <w:p w14:paraId="01694366"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2</w:t>
      </w:r>
      <w:r w:rsidRPr="0012597A">
        <w:rPr>
          <w:rFonts w:ascii="Times New Roman" w:eastAsia="Arial MT" w:hAnsi="Times New Roman" w:cs="Times New Roman"/>
          <w:sz w:val="20"/>
          <w:szCs w:val="24"/>
        </w:rPr>
        <w:t xml:space="preserve"> DigitalMex. 28 de </w:t>
      </w:r>
      <w:proofErr w:type="spellStart"/>
      <w:r w:rsidRPr="0012597A">
        <w:rPr>
          <w:rFonts w:ascii="Times New Roman" w:eastAsia="Arial MT" w:hAnsi="Times New Roman" w:cs="Times New Roman"/>
          <w:sz w:val="20"/>
          <w:szCs w:val="24"/>
        </w:rPr>
        <w:t>mazo</w:t>
      </w:r>
      <w:proofErr w:type="spellEnd"/>
      <w:r w:rsidRPr="0012597A">
        <w:rPr>
          <w:rFonts w:ascii="Times New Roman" w:eastAsia="Arial MT" w:hAnsi="Times New Roman" w:cs="Times New Roman"/>
          <w:sz w:val="20"/>
          <w:szCs w:val="24"/>
        </w:rPr>
        <w:t xml:space="preserve"> de 2025</w:t>
      </w:r>
      <w:r w:rsidRPr="0012597A">
        <w:rPr>
          <w:rFonts w:ascii="Times New Roman" w:eastAsia="Arial MT" w:hAnsi="Times New Roman" w:cs="Times New Roman"/>
          <w:i/>
          <w:sz w:val="20"/>
          <w:szCs w:val="24"/>
        </w:rPr>
        <w:t xml:space="preserve">. #Video: Habitantes de 15 comunidades se manifiestan contra contaminación de Río Grande de Acatitlán. </w:t>
      </w:r>
      <w:r w:rsidRPr="0012597A">
        <w:rPr>
          <w:rFonts w:ascii="Times New Roman" w:eastAsia="Arial MT" w:hAnsi="Times New Roman" w:cs="Times New Roman"/>
          <w:sz w:val="20"/>
          <w:szCs w:val="24"/>
        </w:rPr>
        <w:t xml:space="preserve">DigitalMex. Véase en: </w:t>
      </w:r>
      <w:r w:rsidRPr="0012597A">
        <w:rPr>
          <w:rFonts w:ascii="Times New Roman" w:eastAsia="Arial MT" w:hAnsi="Times New Roman" w:cs="Times New Roman"/>
          <w:sz w:val="20"/>
          <w:szCs w:val="24"/>
          <w:u w:val="single" w:color="0000FF"/>
        </w:rPr>
        <w:t>https://</w:t>
      </w:r>
      <w:hyperlink r:id="rId89">
        <w:r w:rsidRPr="0012597A">
          <w:rPr>
            <w:rFonts w:ascii="Times New Roman" w:eastAsia="Arial MT" w:hAnsi="Times New Roman" w:cs="Times New Roman"/>
            <w:sz w:val="20"/>
            <w:szCs w:val="24"/>
            <w:u w:val="single" w:color="0000FF"/>
          </w:rPr>
          <w:t>www.digitalmex.mx/municipios/story/57357/video-habitantes-15-comunidades-manifiestan-</w:t>
        </w:r>
      </w:hyperlink>
      <w:r w:rsidRPr="0012597A">
        <w:rPr>
          <w:rFonts w:ascii="Times New Roman" w:eastAsia="Arial MT" w:hAnsi="Times New Roman" w:cs="Times New Roman"/>
          <w:sz w:val="20"/>
          <w:szCs w:val="24"/>
        </w:rPr>
        <w:t xml:space="preserve"> </w:t>
      </w:r>
      <w:r w:rsidRPr="0012597A">
        <w:rPr>
          <w:rFonts w:ascii="Times New Roman" w:eastAsia="Arial MT" w:hAnsi="Times New Roman" w:cs="Times New Roman"/>
          <w:sz w:val="20"/>
          <w:szCs w:val="24"/>
          <w:u w:val="single" w:color="0000FF"/>
        </w:rPr>
        <w:t>contra-contaminacion-rio-grande-acatitlan?utm_source=chatgpt.com</w:t>
      </w:r>
    </w:p>
    <w:p w14:paraId="3E4B6344"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6D2BFEEB"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Los impactos ambientales reportados incluyen la mortandad masiva de especies acuáticas —con estimaciones de hasta 300 toneladas de peces—, la pérdida de biodiversidad y la alteración del equilibrio ecológico del río.</w:t>
      </w:r>
      <w:r w:rsidRPr="0012597A">
        <w:rPr>
          <w:rFonts w:ascii="Times New Roman" w:eastAsia="Arial MT" w:hAnsi="Times New Roman" w:cs="Times New Roman"/>
          <w:color w:val="FF0000"/>
          <w:sz w:val="24"/>
          <w:szCs w:val="24"/>
          <w:vertAlign w:val="superscript"/>
        </w:rPr>
        <w:t>4</w:t>
      </w:r>
      <w:r w:rsidRPr="0012597A">
        <w:rPr>
          <w:rFonts w:ascii="Times New Roman" w:eastAsia="Arial MT" w:hAnsi="Times New Roman" w:cs="Times New Roman"/>
          <w:sz w:val="24"/>
          <w:szCs w:val="24"/>
        </w:rPr>
        <w:t xml:space="preserve"> Asimismo, debido a la dinámica hidrológica, los contaminantes pueden transportarse aguas abajo, ampliando el área de afectación a otras regiones e incluso a otras entidades federativas.</w:t>
      </w:r>
    </w:p>
    <w:p w14:paraId="4BDF7328"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5651B40D"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Adicionalmente, se han identificado afectaciones directas en el ámbito productivo. La contaminación del agua ha impactado negativamente en actividades agrícolas y ganaderas, </w:t>
      </w:r>
      <w:r w:rsidRPr="0012597A">
        <w:rPr>
          <w:rFonts w:ascii="Times New Roman" w:eastAsia="Arial MT" w:hAnsi="Times New Roman" w:cs="Times New Roman"/>
          <w:sz w:val="24"/>
          <w:szCs w:val="24"/>
        </w:rPr>
        <w:lastRenderedPageBreak/>
        <w:t>generando pérdida de fertilidad de los suelos, disminución en el rendimiento de cultivos, mortandad de ganado y aumento en los costos de producción. Estas condiciones inciden de manera directa en la economía rural y en los niveles de bienestar de las comunidades, particularmente en zonas con alta marginación.</w:t>
      </w:r>
    </w:p>
    <w:p w14:paraId="17752D7E"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055EFB4A"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Desde una perspectiva social, la problemática ha derivado en un incremento de la conflictividad comunitaria, asociado a la percepción de omisión o insuficiencia en la respuesta institucional. Este escenario representa un riesgo de escalamiento hacia conflictos sociales de mayor intensidad, lo que hace necesaria una intervención oportuna y técnicamente sustentada.</w:t>
      </w:r>
    </w:p>
    <w:p w14:paraId="27DB086C"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18DED61A"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nivel nacional, la situación del recurso hídrico refleja una problemática estructural. De acuerdo con datos de la Comisión Nacional del Agua (CONAGUA), el 59.1% de las aguas superficiales del país presentan algún grado de contaminación, mientras que el 48.6% se encuentran en condiciones críticas.</w:t>
      </w:r>
      <w:r w:rsidRPr="0012597A">
        <w:rPr>
          <w:rFonts w:ascii="Times New Roman" w:eastAsia="Arial MT" w:hAnsi="Times New Roman" w:cs="Times New Roman"/>
          <w:color w:val="FF0000"/>
          <w:sz w:val="24"/>
          <w:szCs w:val="24"/>
          <w:vertAlign w:val="superscript"/>
        </w:rPr>
        <w:t>5</w:t>
      </w:r>
      <w:r w:rsidRPr="0012597A">
        <w:rPr>
          <w:rFonts w:ascii="Times New Roman" w:eastAsia="Arial MT" w:hAnsi="Times New Roman" w:cs="Times New Roman"/>
          <w:sz w:val="24"/>
          <w:szCs w:val="24"/>
        </w:rPr>
        <w:t xml:space="preserve"> Asimismo, se estima que al menos 21 millones de personas habitan en zonas con disponibilidad limitada de agua de calidad.</w:t>
      </w:r>
      <w:r w:rsidRPr="0012597A">
        <w:rPr>
          <w:rFonts w:ascii="Times New Roman" w:eastAsia="Arial MT" w:hAnsi="Times New Roman" w:cs="Times New Roman"/>
          <w:color w:val="FF0000"/>
          <w:sz w:val="24"/>
          <w:szCs w:val="24"/>
          <w:vertAlign w:val="superscript"/>
        </w:rPr>
        <w:t>6</w:t>
      </w:r>
    </w:p>
    <w:p w14:paraId="37C86622"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1E02F328"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3</w:t>
      </w:r>
      <w:r w:rsidRPr="0012597A">
        <w:rPr>
          <w:rFonts w:ascii="Times New Roman" w:eastAsia="Arial MT" w:hAnsi="Times New Roman" w:cs="Times New Roman"/>
          <w:sz w:val="20"/>
          <w:szCs w:val="24"/>
        </w:rPr>
        <w:t xml:space="preserve"> Sucesos del Sur. 2 de marzo de 2026. </w:t>
      </w:r>
      <w:r w:rsidRPr="0012597A">
        <w:rPr>
          <w:rFonts w:ascii="Times New Roman" w:eastAsia="Arial MT" w:hAnsi="Times New Roman" w:cs="Times New Roman"/>
          <w:i/>
          <w:sz w:val="20"/>
          <w:szCs w:val="24"/>
        </w:rPr>
        <w:t xml:space="preserve">El Río de Acatitlán Amaneció Nuevamente Contaminado. </w:t>
      </w:r>
      <w:r w:rsidRPr="0012597A">
        <w:rPr>
          <w:rFonts w:ascii="Times New Roman" w:eastAsia="Arial MT" w:hAnsi="Times New Roman" w:cs="Times New Roman"/>
          <w:sz w:val="20"/>
          <w:szCs w:val="24"/>
        </w:rPr>
        <w:t xml:space="preserve">Sucesos del Sur. Fedatario del Periodismo. Veas en: </w:t>
      </w:r>
      <w:r w:rsidRPr="0012597A">
        <w:rPr>
          <w:rFonts w:ascii="Times New Roman" w:eastAsia="Arial MT" w:hAnsi="Times New Roman" w:cs="Times New Roman"/>
          <w:sz w:val="20"/>
          <w:szCs w:val="24"/>
          <w:u w:val="single" w:color="0000FF"/>
        </w:rPr>
        <w:t>https://sucesosdelsur.com/index.php/el-rio-de-acatitlan-amanecio-nuevamente-contaminado/</w:t>
      </w:r>
    </w:p>
    <w:p w14:paraId="7236FFF9"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4</w:t>
      </w:r>
      <w:r w:rsidRPr="0012597A">
        <w:rPr>
          <w:rFonts w:ascii="Times New Roman" w:eastAsia="Arial MT" w:hAnsi="Times New Roman" w:cs="Times New Roman"/>
          <w:sz w:val="20"/>
          <w:szCs w:val="24"/>
        </w:rPr>
        <w:t xml:space="preserve"> Carmona, G. 16 de abril de 2025. </w:t>
      </w:r>
      <w:r w:rsidRPr="0012597A">
        <w:rPr>
          <w:rFonts w:ascii="Times New Roman" w:eastAsia="Arial MT" w:hAnsi="Times New Roman" w:cs="Times New Roman"/>
          <w:i/>
          <w:sz w:val="20"/>
          <w:szCs w:val="24"/>
        </w:rPr>
        <w:t>Mueren 300 toneladas de peces por contaminación del Río Grande Acatitlán</w:t>
      </w:r>
      <w:r w:rsidRPr="0012597A">
        <w:rPr>
          <w:rFonts w:ascii="Times New Roman" w:eastAsia="Arial MT" w:hAnsi="Times New Roman" w:cs="Times New Roman"/>
          <w:sz w:val="20"/>
          <w:szCs w:val="24"/>
        </w:rPr>
        <w:t xml:space="preserve">. La Jornada. Véase en: </w:t>
      </w:r>
      <w:r w:rsidRPr="0012597A">
        <w:rPr>
          <w:rFonts w:ascii="Times New Roman" w:eastAsia="Arial MT" w:hAnsi="Times New Roman" w:cs="Times New Roman"/>
          <w:sz w:val="20"/>
          <w:szCs w:val="24"/>
          <w:u w:val="single" w:color="0000FF"/>
        </w:rPr>
        <w:t>https://lajornadaestadodemexico.com/mueren-300-toneladas-de-peces-por-contaminacion-del-rio-grande-acatitlan/</w:t>
      </w:r>
    </w:p>
    <w:p w14:paraId="4306E75F"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7AE70159"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la región centro del país, el deterioro de los cuerpos de agua es particularmente grave. Estudios de la Secretaría de Medio Ambiente y Recursos Naturales (SEMARNAT) han identificado a las cuencas del Río Lerma, Alto Balsas y Pánuco como altamente contaminadas, derivado de descargas industriales, agrícolas y urbanas, así como de la presencia de metales pesados y residuos químicos.</w:t>
      </w:r>
      <w:r w:rsidRPr="0012597A">
        <w:rPr>
          <w:rFonts w:ascii="Times New Roman" w:eastAsia="Arial MT" w:hAnsi="Times New Roman" w:cs="Times New Roman"/>
          <w:sz w:val="24"/>
          <w:szCs w:val="24"/>
          <w:vertAlign w:val="superscript"/>
        </w:rPr>
        <w:t>7</w:t>
      </w:r>
      <w:r w:rsidRPr="0012597A">
        <w:rPr>
          <w:rFonts w:ascii="Times New Roman" w:eastAsia="Arial MT" w:hAnsi="Times New Roman" w:cs="Times New Roman"/>
          <w:sz w:val="24"/>
          <w:szCs w:val="24"/>
        </w:rPr>
        <w:t xml:space="preserve"> En este contexto, el Río Grande de Acatitlán se inserta en la cuenca del Río Balsas, históricamente sujeta a presiones ambientales relevantes.</w:t>
      </w:r>
    </w:p>
    <w:p w14:paraId="0B2BAB5F"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255A0EB1"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caso del Estado de México, la problemática se intensifica debido a su alta densidad poblacional —superior a los 17 millones de habitantes—, así como por la limitada cobertura en infraestructura de tratamiento de aguas residuales. Se estima que más del 70% de los cuerpos de agua superficiales presentan algún grado de contaminación.</w:t>
      </w:r>
      <w:r w:rsidRPr="0012597A">
        <w:rPr>
          <w:rFonts w:ascii="Times New Roman" w:eastAsia="Arial MT" w:hAnsi="Times New Roman" w:cs="Times New Roman"/>
          <w:color w:val="FF0000"/>
          <w:sz w:val="24"/>
          <w:szCs w:val="24"/>
          <w:vertAlign w:val="superscript"/>
        </w:rPr>
        <w:t>8</w:t>
      </w:r>
      <w:r w:rsidRPr="0012597A">
        <w:rPr>
          <w:rFonts w:ascii="Times New Roman" w:eastAsia="Arial MT" w:hAnsi="Times New Roman" w:cs="Times New Roman"/>
          <w:sz w:val="24"/>
          <w:szCs w:val="24"/>
        </w:rPr>
        <w:t xml:space="preserve"> A nivel nacional, se ha documentado que menos del 10% de las aguas residuales reciben tratamiento adecuado, lo que contribuye significativamente al deterioro de ríos y arroyos.</w:t>
      </w:r>
      <w:r w:rsidRPr="0012597A">
        <w:rPr>
          <w:rFonts w:ascii="Times New Roman" w:eastAsia="Arial MT" w:hAnsi="Times New Roman" w:cs="Times New Roman"/>
          <w:color w:val="FF0000"/>
          <w:sz w:val="24"/>
          <w:szCs w:val="24"/>
          <w:vertAlign w:val="superscript"/>
        </w:rPr>
        <w:t>9</w:t>
      </w:r>
    </w:p>
    <w:p w14:paraId="0AF2521A"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0D4472F6"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Desde el punto de vista normativo, el marco jurídico aplicable establece un esquema de competencias concurrentes. La Ley General del Equilibrio Ecológico y la Protección al Ambiente dispone la obligación de prevenir y controlar la contaminación y restaurar los ecosistemas. La Ley de Aguas Nacionales atribuye a la Comisión Nacional del Agua la administración, monitoreo y preservación de las aguas nacionales, así como la realización de estudios técnicos. Mientras que la Ley de Protección al Ambiente del Estado de México establece la responsabilidad de las autoridades estatales en materia de política ambiental, restauración ecológica y monitoreo. Por su parte, el artículo 115 constitucional reconoce la competencia de los municipios en la prestación de servicios públicos, incluyendo el manejo de residuos y el saneamiento, lo que implica su participación directa en la prevención de la contaminación de cuerpos de agua.</w:t>
      </w:r>
    </w:p>
    <w:p w14:paraId="15FAEDBC"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p>
    <w:p w14:paraId="567EF8C6"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color w:val="FF0000"/>
          <w:sz w:val="20"/>
          <w:szCs w:val="24"/>
          <w:vertAlign w:val="superscript"/>
        </w:rPr>
        <w:t>5</w:t>
      </w:r>
      <w:r w:rsidRPr="0012597A">
        <w:rPr>
          <w:rFonts w:ascii="Times New Roman" w:eastAsia="Arial MT" w:hAnsi="Times New Roman" w:cs="Times New Roman"/>
          <w:sz w:val="20"/>
          <w:szCs w:val="24"/>
        </w:rPr>
        <w:t xml:space="preserve"> Rodríguez, I., 1 de agosto de 2022. </w:t>
      </w:r>
      <w:r w:rsidRPr="0012597A">
        <w:rPr>
          <w:rFonts w:ascii="Times New Roman" w:eastAsia="Arial MT" w:hAnsi="Times New Roman" w:cs="Times New Roman"/>
          <w:i/>
          <w:sz w:val="20"/>
          <w:szCs w:val="24"/>
        </w:rPr>
        <w:t xml:space="preserve">Contaminada, 59.1% del agua superficial de México. </w:t>
      </w:r>
      <w:r w:rsidRPr="0012597A">
        <w:rPr>
          <w:rFonts w:ascii="Times New Roman" w:eastAsia="Arial MT" w:hAnsi="Times New Roman" w:cs="Times New Roman"/>
          <w:sz w:val="20"/>
          <w:szCs w:val="24"/>
        </w:rPr>
        <w:t xml:space="preserve">EL ECONOMISTA. Véase en: </w:t>
      </w:r>
      <w:r w:rsidRPr="0012597A">
        <w:rPr>
          <w:rFonts w:ascii="Times New Roman" w:eastAsia="Arial MT" w:hAnsi="Times New Roman" w:cs="Times New Roman"/>
          <w:sz w:val="20"/>
          <w:szCs w:val="24"/>
          <w:u w:val="single" w:color="0000FF"/>
        </w:rPr>
        <w:t>https://</w:t>
      </w:r>
      <w:hyperlink r:id="rId90">
        <w:r w:rsidRPr="0012597A">
          <w:rPr>
            <w:rFonts w:ascii="Times New Roman" w:eastAsia="Arial MT" w:hAnsi="Times New Roman" w:cs="Times New Roman"/>
            <w:sz w:val="20"/>
            <w:szCs w:val="24"/>
            <w:u w:val="single" w:color="0000FF"/>
          </w:rPr>
          <w:t>www.eleconomista.com.mx/politica/Contaminada-59.1-del-agua-superficial-de-Mexico-20220801-</w:t>
        </w:r>
        <w:r w:rsidRPr="0012597A">
          <w:rPr>
            <w:rFonts w:ascii="Times New Roman" w:eastAsia="Arial MT" w:hAnsi="Times New Roman" w:cs="Times New Roman"/>
            <w:sz w:val="20"/>
            <w:szCs w:val="24"/>
            <w:u w:val="single" w:color="0000FF"/>
          </w:rPr>
          <w:lastRenderedPageBreak/>
          <w:t>0005.htm</w:t>
        </w:r>
        <w:r w:rsidRPr="0012597A">
          <w:rPr>
            <w:rFonts w:ascii="Times New Roman" w:eastAsia="Arial MT" w:hAnsi="Times New Roman" w:cs="Times New Roman"/>
            <w:sz w:val="20"/>
            <w:szCs w:val="24"/>
          </w:rPr>
          <w:t>l</w:t>
        </w:r>
      </w:hyperlink>
    </w:p>
    <w:p w14:paraId="601A959A"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6</w:t>
      </w:r>
      <w:r w:rsidRPr="0012597A">
        <w:rPr>
          <w:rFonts w:ascii="Times New Roman" w:eastAsia="Arial MT" w:hAnsi="Times New Roman" w:cs="Times New Roman"/>
          <w:sz w:val="20"/>
          <w:szCs w:val="24"/>
        </w:rPr>
        <w:t xml:space="preserve"> Campos, I., 14 de junio de 2023. </w:t>
      </w:r>
      <w:r w:rsidRPr="0012597A">
        <w:rPr>
          <w:rFonts w:ascii="Times New Roman" w:eastAsia="Arial MT" w:hAnsi="Times New Roman" w:cs="Times New Roman"/>
          <w:i/>
          <w:sz w:val="20"/>
          <w:szCs w:val="24"/>
        </w:rPr>
        <w:t>ONG estima 21 millones de personas sin acceso a agua potable</w:t>
      </w:r>
      <w:r w:rsidRPr="0012597A">
        <w:rPr>
          <w:rFonts w:ascii="Times New Roman" w:eastAsia="Arial MT" w:hAnsi="Times New Roman" w:cs="Times New Roman"/>
          <w:sz w:val="20"/>
          <w:szCs w:val="24"/>
        </w:rPr>
        <w:t xml:space="preserve">. Diario de México. Véase en: </w:t>
      </w:r>
      <w:r w:rsidRPr="0012597A">
        <w:rPr>
          <w:rFonts w:ascii="Times New Roman" w:eastAsia="Arial MT" w:hAnsi="Times New Roman" w:cs="Times New Roman"/>
          <w:sz w:val="20"/>
          <w:szCs w:val="24"/>
          <w:u w:val="single" w:color="0000FF"/>
        </w:rPr>
        <w:t>https://</w:t>
      </w:r>
      <w:hyperlink r:id="rId91">
        <w:r w:rsidRPr="0012597A">
          <w:rPr>
            <w:rFonts w:ascii="Times New Roman" w:eastAsia="Arial MT" w:hAnsi="Times New Roman" w:cs="Times New Roman"/>
            <w:sz w:val="20"/>
            <w:szCs w:val="24"/>
            <w:u w:val="single" w:color="0000FF"/>
          </w:rPr>
          <w:t>www.diariodemexico.com/mi-nacion/ong-estima-21-millones-de-personas-sin-acceso-agua-potable-en-mexico</w:t>
        </w:r>
      </w:hyperlink>
    </w:p>
    <w:p w14:paraId="76EA0E55"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7</w:t>
      </w:r>
      <w:r w:rsidRPr="0012597A">
        <w:rPr>
          <w:rFonts w:ascii="Times New Roman" w:eastAsia="Arial MT" w:hAnsi="Times New Roman" w:cs="Times New Roman"/>
          <w:sz w:val="20"/>
          <w:szCs w:val="24"/>
        </w:rPr>
        <w:t xml:space="preserve"> Ibidem.</w:t>
      </w:r>
    </w:p>
    <w:p w14:paraId="0C34C779"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8</w:t>
      </w:r>
      <w:r w:rsidRPr="0012597A">
        <w:rPr>
          <w:rFonts w:ascii="Times New Roman" w:eastAsia="Arial MT" w:hAnsi="Times New Roman" w:cs="Times New Roman"/>
          <w:sz w:val="20"/>
          <w:szCs w:val="24"/>
        </w:rPr>
        <w:t xml:space="preserve"> Dirección de Agua Potable, Alcantarillado y Saneamiento de Ciudad Valles, San Luis Potosí. 100 datos y cifras de agua en México. Véase en: </w:t>
      </w:r>
      <w:r w:rsidRPr="0012597A">
        <w:rPr>
          <w:rFonts w:ascii="Times New Roman" w:eastAsia="Arial MT" w:hAnsi="Times New Roman" w:cs="Times New Roman"/>
          <w:sz w:val="20"/>
          <w:szCs w:val="24"/>
          <w:u w:val="single" w:color="0000FF"/>
        </w:rPr>
        <w:t>https://</w:t>
      </w:r>
      <w:hyperlink r:id="rId92">
        <w:r w:rsidRPr="0012597A">
          <w:rPr>
            <w:rFonts w:ascii="Times New Roman" w:eastAsia="Arial MT" w:hAnsi="Times New Roman" w:cs="Times New Roman"/>
            <w:sz w:val="20"/>
            <w:szCs w:val="24"/>
            <w:u w:val="single" w:color="0000FF"/>
          </w:rPr>
          <w:t>www.dapa.gob.mx/100-datos-y-cifras-del-agua-en-mexico</w:t>
        </w:r>
      </w:hyperlink>
    </w:p>
    <w:p w14:paraId="5FD51258"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0"/>
          <w:szCs w:val="24"/>
        </w:rPr>
      </w:pPr>
      <w:r w:rsidRPr="0012597A">
        <w:rPr>
          <w:rFonts w:ascii="Times New Roman" w:eastAsia="Arial MT" w:hAnsi="Times New Roman" w:cs="Times New Roman"/>
          <w:color w:val="FF0000"/>
          <w:sz w:val="20"/>
          <w:szCs w:val="24"/>
          <w:vertAlign w:val="superscript"/>
        </w:rPr>
        <w:t>9</w:t>
      </w:r>
      <w:r w:rsidRPr="0012597A">
        <w:rPr>
          <w:rFonts w:ascii="Times New Roman" w:eastAsia="Arial MT" w:hAnsi="Times New Roman" w:cs="Times New Roman"/>
          <w:sz w:val="20"/>
          <w:szCs w:val="24"/>
        </w:rPr>
        <w:t xml:space="preserve"> Ibidem.</w:t>
      </w:r>
    </w:p>
    <w:p w14:paraId="0C2DAC50"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4F383395"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ámbito estatal, el marco jurídico del Estado de México establece disposiciones específicas para la protección de los recursos hídricos y el equilibrio ecológico. La Constitución Política del Estado Libre y Soberano de México reconoce la obligación de las autoridades de garantizar el derecho a un medio ambiente adecuado y propiciar el desarrollo sustentable.</w:t>
      </w:r>
    </w:p>
    <w:p w14:paraId="3A1FAFA6"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6CA248F2"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Asimismo, el Código para la Biodiversidad del Estado de México establece que corresponde a las autoridades estatales prevenir, controlar y, en su caso, revertir los procesos de deterioro ambiental, así como promover la restauración de los ecosistemas y la protección de los recursos naturales. Dicha ley también faculta a la Secretaría del Medio Ambiente a implementar programas de monitoreo ambiental, evaluación de impactos y acciones de saneamiento.</w:t>
      </w:r>
    </w:p>
    <w:p w14:paraId="28D55D5B"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1C6B4633"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su parte, la Ley del Agua para el Estado de México y Municipios regula la gestión integral del recurso hídrico en la entidad, estableciendo la participación de las autoridades estatales y municipales en la planeación, administración, uso sostenible y saneamiento del agua. Esta legislación prevé la coordinación entre instancias para garantizar la calidad del agua, prevenir su contaminación y promover su uso eficiente.</w:t>
      </w:r>
    </w:p>
    <w:p w14:paraId="5A70D9B5"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365CE406"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De igual manera, la Secretaría del Agua del Estado de México y la Comisión del Agua del Estado de México (CAEM), como organismos públicos encargados de la gestión hídrica en la entidad, tienen atribuciones para participar en la planeación, construcción, operación y mantenimiento de infraestructura hidráulica, así como en acciones de saneamiento y monitoreo de la calidad del agua en coordinación con los distintos órdenes de gobierno.</w:t>
      </w:r>
    </w:p>
    <w:p w14:paraId="24A489E8"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574B46F2"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Este conjunto normativo configura un esquema de competencias concurrentes que obliga a las autoridades estatales y municipales a actuar de manera coordinada en la prevención de la contaminación, el saneamiento de cuerpos de agua y la restauración ambiental, particularmente en casos como el del Río Grande de Acatitlán o Río de Temascaltepec, donde se requiere una intervención integral y técnicamente sustentada.</w:t>
      </w:r>
    </w:p>
    <w:p w14:paraId="7DED9E8E"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1FE8BC54"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No obstante, la eficacia de este marco normativo depende de su implementación. La falta de coordinación intergubernamental, la limitada capacidad de inspección y vigilancia, así como la ausencia de información técnica actualizada, han dificultado la atención integral de la problemática.</w:t>
      </w:r>
    </w:p>
    <w:p w14:paraId="3E8D970A"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58E84122"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este sentido, resulta indispensable la realización de un diagnóstico técnico integral. Este diagnóstico debe permitir determinar la calidad del agua, identificar fuentes de contaminación, cuantificar la presencia de contaminantes (incluyendo metales pesados y compuestos químicos), evaluar riesgos ambientales y sanitarios, y establecer líneas de acción para el saneamiento y la restauración ecológica.</w:t>
      </w:r>
    </w:p>
    <w:p w14:paraId="6117A1C5"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62A5FC66"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Desde el Grupo Parlamentario del Partido Verde Ecologista de México, se considera que la protección de los recursos hídricos debe ser atendida como una prioridad de política pública, bajo </w:t>
      </w:r>
      <w:r w:rsidRPr="0012597A">
        <w:rPr>
          <w:rFonts w:ascii="Times New Roman" w:eastAsia="Arial MT" w:hAnsi="Times New Roman" w:cs="Times New Roman"/>
          <w:sz w:val="24"/>
          <w:szCs w:val="24"/>
        </w:rPr>
        <w:lastRenderedPageBreak/>
        <w:t>un enfoque de sostenibilidad, prevención y responsabilidad interinstitucional. El acceso al agua de calidad constituye un derecho fundamental que debe garantizarse mediante acciones coordinadas, basadas en evidencia técnica y orientadas a resultados. En consecuencia, el presente exhorto tiene como finalidad promover la intervención de las autoridades competentes para generar información técnica confiable y establecer acciones concretas que permitan la recuperación del Río Grande de Acatitlán, en beneficio del medio ambiente, de la salud pública y del desarrollo regional.</w:t>
      </w:r>
    </w:p>
    <w:p w14:paraId="14D0BC3C"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26D201D8"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sz w:val="24"/>
          <w:szCs w:val="24"/>
        </w:rPr>
        <w:t xml:space="preserve">Por lo anteriormente expuesto, fundamentado y motivado, se somete a consideración de este H. Congreso para su análisis, discusión y, en su caso, aprobación, la presente: </w:t>
      </w:r>
      <w:r w:rsidRPr="0012597A">
        <w:rPr>
          <w:rFonts w:ascii="Times New Roman" w:eastAsia="Arial MT" w:hAnsi="Times New Roman" w:cs="Times New Roman"/>
          <w:b/>
          <w:sz w:val="24"/>
          <w:szCs w:val="24"/>
        </w:rPr>
        <w:t>PROPOSICIÓN CON PUNTO DE ACUERDO POR EL QUE SE EXHORTA RESPETUOSAMENTE A LA SECRETARÍA DEL AGUA DEL ESTADO DE MÉXICO, ASÍ COMO A LA COMISIÓN DEL AGUA DEL ESTADO DE MÉXICO, PARA QUE, EN EL ÁMBITO DE SUS RESPECTIVAS ATRIBUCIONES, IMPLEMENTEN DE MANERA COORDINADA ACCIONES INMEDIATAS DE DIAGNÓSTICO, SANEAMIENTO Y RESTAURACIÓN DEL RÍO GRANDE ACATITLÁN, TAMBIÉN CONOCIDO COMO RÍO DE TEMASCALTEPEC, CON EL OBJETIVO DE PRESERVAR SU EQUILIBRIO ECOLÓGICO Y PROTEGER LA SALUD DE LA POBLACIÓN.</w:t>
      </w:r>
    </w:p>
    <w:p w14:paraId="619D9036"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p>
    <w:p w14:paraId="74B2522A"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p w14:paraId="7806FA55"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JOSÉ ALBERTO COUTTOLENC BUENTELLO</w:t>
      </w:r>
    </w:p>
    <w:p w14:paraId="3EBE906E"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COORDINADOR DEL GRUPO PARLAMENTARIO DEL</w:t>
      </w:r>
    </w:p>
    <w:p w14:paraId="2FB7A80D"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PARTIDO VERDE ECOLOGISTA DE MÉXICO</w:t>
      </w:r>
    </w:p>
    <w:p w14:paraId="33B6B744"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03A17C8E"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653406AF"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14:paraId="17F16322"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p>
    <w:p w14:paraId="2274D6FC"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ACUERDO</w:t>
      </w:r>
    </w:p>
    <w:p w14:paraId="77684DE5"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p>
    <w:p w14:paraId="77814DEA"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La H. "LXII" Legislatura del Congreso del Estado Libre y Soberano de México exhorta respetuosamente a la Secretaría del Agua para que, en coordinación con el gobierno federal y los municipios de la región, diseñe e implemente un programa integral de saneamiento y restauración ambiental del río, que contemple acciones a corto, mediano y largo plazo, así como mecanismos de seguimiento y evaluación.</w:t>
      </w:r>
    </w:p>
    <w:p w14:paraId="3696F070"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5792B7DA"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La H. "LXII" Legislatura del Congreso del Estado Libre y Soberano de México exhorta respetuosamente a la Comisión del Agua del Estado de México (CAEM) para que, en el ámbito de sus atribuciones, realice un diagnóstico técnico integral y actualizado sobre la calidad del agua, condiciones hidráulicas y principales fuentes de contaminación del Río Grande de Acatitlán, también conocido como Río de Temascaltepec.</w:t>
      </w:r>
    </w:p>
    <w:p w14:paraId="32A404C2"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595742CB"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La H. "LXII" Legislatura del Congreso del Estado Libre y Soberano de México exhorta respetuosamente a los ayuntamientos de Temascaltepec, Zacazonapan y Luvianos para que, en el ámbito de sus competencias, implementen acciones inmediatas para prevenir la contaminación del río</w:t>
      </w:r>
      <w:r w:rsidRPr="0012597A">
        <w:rPr>
          <w:rFonts w:ascii="Times New Roman" w:eastAsia="Arial MT" w:hAnsi="Times New Roman" w:cs="Times New Roman"/>
          <w:b/>
          <w:sz w:val="24"/>
          <w:szCs w:val="24"/>
        </w:rPr>
        <w:t xml:space="preserve">, </w:t>
      </w:r>
      <w:r w:rsidRPr="0012597A">
        <w:rPr>
          <w:rFonts w:ascii="Times New Roman" w:eastAsia="Arial MT" w:hAnsi="Times New Roman" w:cs="Times New Roman"/>
          <w:sz w:val="24"/>
          <w:szCs w:val="24"/>
        </w:rPr>
        <w:t xml:space="preserve">incluyendo la correcta gestión de residuos sólidos, el tratamiento de aguas </w:t>
      </w:r>
      <w:r w:rsidRPr="0012597A">
        <w:rPr>
          <w:rFonts w:ascii="Times New Roman" w:eastAsia="Arial MT" w:hAnsi="Times New Roman" w:cs="Times New Roman"/>
          <w:sz w:val="24"/>
          <w:szCs w:val="24"/>
        </w:rPr>
        <w:lastRenderedPageBreak/>
        <w:t>residuales y la vigilancia de descargas irregulares.</w:t>
      </w:r>
    </w:p>
    <w:p w14:paraId="03AA480E"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369B008D" w14:textId="77777777" w:rsidR="007F283E" w:rsidRPr="0012597A" w:rsidRDefault="007F283E" w:rsidP="007F283E">
      <w:pPr>
        <w:widowControl w:val="0"/>
        <w:autoSpaceDE w:val="0"/>
        <w:autoSpaceDN w:val="0"/>
        <w:spacing w:after="0" w:line="240" w:lineRule="auto"/>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TRANSITORIOS</w:t>
      </w:r>
    </w:p>
    <w:p w14:paraId="7370F54A"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b/>
          <w:sz w:val="24"/>
          <w:szCs w:val="24"/>
        </w:rPr>
      </w:pPr>
    </w:p>
    <w:p w14:paraId="4F7F1071"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PRIMERO. </w:t>
      </w:r>
      <w:r w:rsidRPr="0012597A">
        <w:rPr>
          <w:rFonts w:ascii="Times New Roman" w:eastAsia="Arial MT" w:hAnsi="Times New Roman" w:cs="Times New Roman"/>
          <w:sz w:val="24"/>
          <w:szCs w:val="24"/>
        </w:rPr>
        <w:t>Publíquese el presente Decreto en el Periódico Oficial “Gaceta de Gobierno”.</w:t>
      </w:r>
    </w:p>
    <w:p w14:paraId="58A6A2EE"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0BC5632C"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SEGUNDO. </w:t>
      </w:r>
      <w:r w:rsidRPr="0012597A">
        <w:rPr>
          <w:rFonts w:ascii="Times New Roman" w:eastAsia="Arial MT" w:hAnsi="Times New Roman" w:cs="Times New Roman"/>
          <w:sz w:val="24"/>
          <w:szCs w:val="24"/>
        </w:rPr>
        <w:t>El presente decreto entrará en vigor el día siguiente al de su publicación en el Periódico Oficial “Gaceta de Gobierno”, Gobierno del Estado Libre y Soberano de México”.</w:t>
      </w:r>
    </w:p>
    <w:p w14:paraId="2E7A593D"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26BE533A"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persona titular del Poder Ejecutivo lo tendrá por entendido, haciendo que se publique y se cumpla.</w:t>
      </w:r>
    </w:p>
    <w:p w14:paraId="6E8B9848" w14:textId="77777777" w:rsidR="007F283E" w:rsidRPr="0012597A" w:rsidRDefault="007F283E" w:rsidP="007F283E">
      <w:pPr>
        <w:widowControl w:val="0"/>
        <w:autoSpaceDE w:val="0"/>
        <w:autoSpaceDN w:val="0"/>
        <w:spacing w:after="0" w:line="240" w:lineRule="auto"/>
        <w:rPr>
          <w:rFonts w:ascii="Times New Roman" w:eastAsia="Arial MT" w:hAnsi="Times New Roman" w:cs="Times New Roman"/>
          <w:sz w:val="24"/>
          <w:szCs w:val="24"/>
        </w:rPr>
      </w:pPr>
    </w:p>
    <w:p w14:paraId="7C5DF58B" w14:textId="77777777" w:rsidR="007F283E" w:rsidRPr="0012597A" w:rsidRDefault="007F283E" w:rsidP="007F283E">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Dado en el Palacio del Poder Legislativo, en la Ciudad de Toluca, Capital del Estado de México, a los días del mes del año dos mil veintiséis.</w:t>
      </w:r>
    </w:p>
    <w:p w14:paraId="7340707F" w14:textId="77777777" w:rsidR="007F283E" w:rsidRPr="0012597A" w:rsidRDefault="007F283E" w:rsidP="007F283E">
      <w:pPr>
        <w:spacing w:after="0" w:line="240" w:lineRule="auto"/>
        <w:jc w:val="center"/>
        <w:rPr>
          <w:rFonts w:ascii="Times New Roman" w:hAnsi="Times New Roman"/>
          <w:sz w:val="24"/>
          <w:szCs w:val="24"/>
        </w:rPr>
      </w:pPr>
    </w:p>
    <w:p w14:paraId="0A28A3AA" w14:textId="77777777" w:rsidR="007F283E" w:rsidRPr="0012597A" w:rsidRDefault="007F283E" w:rsidP="007F283E">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541B570C" w14:textId="77777777" w:rsidR="007F283E" w:rsidRPr="0012597A" w:rsidRDefault="007F283E" w:rsidP="007F283E">
      <w:pPr>
        <w:spacing w:after="0" w:line="240" w:lineRule="auto"/>
        <w:jc w:val="center"/>
        <w:rPr>
          <w:rFonts w:ascii="Times New Roman" w:hAnsi="Times New Roman"/>
          <w:sz w:val="24"/>
          <w:szCs w:val="24"/>
        </w:rPr>
      </w:pPr>
    </w:p>
    <w:p w14:paraId="1C913364" w14:textId="1D1C17BF"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Gracias Diputada Gloria Vanessa Linares Zetina. </w:t>
      </w:r>
    </w:p>
    <w:p w14:paraId="096D433F"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Se registra la iniciativa y se remite a la Comisión Legislativa de Recursos Hidráulicos para su estudio y dictamen.</w:t>
      </w:r>
    </w:p>
    <w:p w14:paraId="3FB9790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Para tratar el punto 24, el diputado Isaac Josué Hernández Méndez presenta en nombre del Grupo Parlamentario del Partido del Trabajo, punto de acuerdo, por el que se formula respetuosamente, exhorto a los 125 Ayuntamientos del Estado de México, para que en el ámbito de sus atribuciones y con pleno respeto a su autonomía municipal prevista en el artículo 115 de la Constitución Política de los Estados Unidos Mexicanos, analicen la viabilidad de crear áreas o unidades administrativas en materia de asuntos internacionales. </w:t>
      </w:r>
    </w:p>
    <w:p w14:paraId="49655477"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DIP. ISAAC JOSUÉ HERNÁNDEZ MÉNDEZ. Muchas gracias Presidenta. </w:t>
      </w:r>
    </w:p>
    <w:p w14:paraId="4F663F48"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Compañeros del presídium, compañeros diputados, a quienes nos ven en las redes sociales.</w:t>
      </w:r>
    </w:p>
    <w:p w14:paraId="20969622"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El día de hoy me subo a esta tribuna para poder poner a su consideración de este Honorable Congreso este punto de acuerdo para poder exhortar a los 125 Ayuntamientos del Estado de México, para que en el ámbito de sus atribuciones y con pleno respeto a la autonomía que tienen prevista en el artículo 115 de la Constitución Política de los Estados Unidos Mexicanos, analicen la viabilidad de crear áreas en materia de asuntos internacionales y explico por qué.</w:t>
      </w:r>
    </w:p>
    <w:p w14:paraId="4C0A5C2F"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Hoy, en el contexto de la creciente independencia global, los gobiernos locales han adquirido un papel cada vez más relevante en la promoción de desarrollo económico, social, cultural y ambiental de sus comunidades. </w:t>
      </w:r>
    </w:p>
    <w:p w14:paraId="447F5C01"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La cooperación internacional descentralizada, así como la participación de los municipios en redes de ciudades, programas de cooperación técnica, intercambios académicos y culturales y mecanismos de financiamiento internacional se han convertido en herramientas estratégicas para fortalecer las capacidades institucionales y atender problemáticas locales desde una perspectiva global.</w:t>
      </w:r>
    </w:p>
    <w:p w14:paraId="64F95F8A" w14:textId="77777777" w:rsidR="00791E2D" w:rsidRPr="0012597A" w:rsidRDefault="00791E2D" w:rsidP="00EF1C7F">
      <w:pPr>
        <w:pStyle w:val="Sinespaciado"/>
        <w:ind w:firstLine="709"/>
        <w:jc w:val="both"/>
        <w:rPr>
          <w:rFonts w:ascii="Times New Roman" w:hAnsi="Times New Roman" w:cs="Times New Roman"/>
          <w:sz w:val="24"/>
          <w:szCs w:val="24"/>
        </w:rPr>
      </w:pPr>
      <w:r w:rsidRPr="0012597A">
        <w:rPr>
          <w:rFonts w:ascii="Times New Roman" w:hAnsi="Times New Roman" w:cs="Times New Roman"/>
          <w:sz w:val="24"/>
          <w:szCs w:val="24"/>
        </w:rPr>
        <w:t xml:space="preserve">A través de este exhorto buscamos impulsar la vinculación internacional de los municipios en el marco de la diplomacia subnacional, mediante el cual los gobiernos locales establezcan vínculos de colaboración con actores internacionales, ciudades hermanas, organismos multilaterales, instituciones académicas y organizaciones de la sociedad civil, estas dinámicas permitirán a los municipios acceder a nuevas oportunidades de cooperación, intercambio de conocimientos y atracción de inversión que inciden directamente en el desarrollo local y regional. </w:t>
      </w:r>
    </w:p>
    <w:p w14:paraId="4DD30E6B"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 xml:space="preserve">En México, los municipios constituyen el orden de gobierno más cercano a la ciudadanía, cuentan con personalidad jurídica y facultades para organizar libremente su administración pública. </w:t>
      </w:r>
    </w:p>
    <w:p w14:paraId="34DCFE2E"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En este sentido, los ayuntamientos tienen la posibilidad de establecer las unidades administrativas que consideren necesarias para el adecuado cumplimiento de sus funciones y para impulsar políticas públicas que contribuyan al desarrollo de sus comunidades en el ámbito internacional diversos municipios del país han desarrollado mecanismos institucionales orientados a fortalecer sus vínculos con organismos internacionales, agencias de cooperación, gobiernos locales de otras naciones y redes internacionales de ciudades. </w:t>
      </w:r>
    </w:p>
    <w:p w14:paraId="1D10065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En el caso del Estado de México, algunos municipios han desarrollado experiencias de vinculación internacional a través de acuerdos de hermanamiento y mecanismos de cooperación con Ciudades de América, Europa y Asia para impulsar intercambios culturales y educativos, económicos y tecnológicos. La participación de los gobiernos locales en este tipo de esquemas también contribuye al cumplimiento de los compromisos internacionales asumidos por el Estado mexicano, particularmente en el marco de la Agenda 2030 para el Desarrollo Sostenible, la cual reconoce el papel fundamental de los Gobiernos Locales en la implementación de los objetivos de Desarrollo Sostenible. </w:t>
      </w:r>
    </w:p>
    <w:p w14:paraId="0AD063CB"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El Estado de México, por su relevancia económica, demográfica y estratégica dentro del país, cuenta con municipios que tienen un amplio potencial para consolidar vínculos internacionales que contribuyan al desarrollo regional. Municipios como San Felipe del Progreso, Ixtlahuaca, Jiquipilco, Teotihuacán y muchos más, cuentan con un importante potencial para desarrollar vínculos de cooperación internacional. </w:t>
      </w:r>
    </w:p>
    <w:p w14:paraId="779125F4"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Estas demarcaciones destacan por su riqueza cultural, particularmente por la presencia y tradición. Es importante señalar que estas acciones deben desarrollarse siempre en el pleno respeto al marco constitucional que rige la política exterior del Estado Mexicano, cuya conducción corresponde al Gobierno Federal, el fortalecimiento de la cooperación internacional a nivel local puede contribuir de manera significativa al cumplimiento de los objetivos de desarrollo sostenible al intercambio de experiencias exitosas entre ciudades y al aprovechamiento de oportunidades de desarrollo económico y cultural.</w:t>
      </w:r>
    </w:p>
    <w:p w14:paraId="1669FF39"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 A través de estas acciones se busca facilitar que los municipios mexiquenses puedan identificar, gestionar y desarrollar proyectos susceptibles de acceder a financiamiento o asistencia técnica internacional, contribuyendo con ello al fortalecimiento de sus capacidades institucionales y el cumplimiento de los objetivos establecidos en sus respectivos planes de desarrollo municipal. </w:t>
      </w:r>
    </w:p>
    <w:p w14:paraId="7B70F1A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En un mundo cada vez más interconectado, los municipios no pueden permanecer ajenos a las oportunidades que ofrece la cooperación internacional, fortalecer su capacidad de vinculación global, no solo ampliar horizontes de desarrollo; sino que también permite acercar soluciones innovadoras a los retos locales que enfrentan nuestras comunidades hoy los desafíos locales requieren soluciones globales y los municipios mexiquenses, tienen todo para convertirse en protagonistas de una nueva etapa de desarrollo con visión internacional. </w:t>
      </w:r>
    </w:p>
    <w:p w14:paraId="36F3FD4C"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Por eso, en el marco de esta motivación, en este antecedente, se exhorta de manera respetuosa a los 125 ayuntamientos del Estado de México; a qué con sustento en el artículo 115, fracción II de la Constitución Política de los Estados Unidos Mexicanos, los artículos 112 y 113 de la Constitución Política del Estado Libre y Soberano de México y la Ley Orgánica Municipal del Estado de México en sus artículo 31, 48 y 86, en el ámbito de sus atribuciones y conforme a sus capacidades administrativas y presupuestales, analicen la viabilidad de crear o fortalecer dentro de sus estructuras administrativas, áreas, direcciones o unidades o mecanismos institucionales de asuntos internacionales, con el propósito de impulsar la cooperación internacional descentralizada, fortalecer la vinculación con organismos internacionales y promover oportunidades de desarrollo económico, cultural y sostenible para sus municipios.</w:t>
      </w:r>
    </w:p>
    <w:p w14:paraId="49490DDF"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lastRenderedPageBreak/>
        <w:t xml:space="preserve">Quiero comentar, compañeras y compañeros, que este exhorto no solamente va acompañado de la creación de estas áreas de asuntos internacionales, porque hay muchos municipios que han tenido experiencias exitosas en este asunto al crear su área de asuntos internacionales. </w:t>
      </w:r>
    </w:p>
    <w:p w14:paraId="12A605DF"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Desde el Congreso, hemos platicado con el Presidente de la JUCOPO y varios compañeros, vamos a empezar aquí capacitaciones para los 125 Municipios, donde van a estar las embajadas, van a estar muchas agencias internacionales para poder capacitar a los 125 Ayuntamientos y puedan crear sus proyectos regionales, sus proyectos para poder acceder a financiamiento que tienen las agencias internacionales, porque descubrimos, no lo sabíamos en muchos casos que existe una gran cantidad de recursos económicos que pueden fortalecer a los ayuntamientos en muchas materias, sólo que los ayuntamientos desconocen de estos programas, de estas agencias internacionales y a través de estas áreas que creemos que son importantes, vamos a poder acercar a estas agencias internacionales a partir de la segunda semana de abril, aquí estarán algunos ayuntamientos para poder capacitarlos, así que exhortamos a estos ayuntamientos. </w:t>
      </w:r>
    </w:p>
    <w:p w14:paraId="063BF808"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Muchísimas gracias compañeras y compañeros por el espacio. Gracias Presidenta.</w:t>
      </w:r>
    </w:p>
    <w:p w14:paraId="62D6E5E6" w14:textId="77777777" w:rsidR="00B7165D" w:rsidRPr="0012597A" w:rsidRDefault="00B7165D" w:rsidP="00E42132">
      <w:pPr>
        <w:pStyle w:val="Sinespaciado"/>
        <w:jc w:val="both"/>
        <w:rPr>
          <w:rFonts w:ascii="Times New Roman" w:hAnsi="Times New Roman" w:cs="Times New Roman"/>
          <w:sz w:val="24"/>
          <w:szCs w:val="24"/>
        </w:rPr>
      </w:pPr>
    </w:p>
    <w:p w14:paraId="693E9DF7" w14:textId="77777777" w:rsidR="00B7165D" w:rsidRPr="0012597A" w:rsidRDefault="00B7165D" w:rsidP="00E42132">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223EFEC6" w14:textId="77777777" w:rsidR="00B7165D" w:rsidRPr="0012597A" w:rsidRDefault="00B7165D" w:rsidP="00E42132">
      <w:pPr>
        <w:spacing w:after="0" w:line="240" w:lineRule="auto"/>
        <w:jc w:val="center"/>
        <w:rPr>
          <w:rFonts w:ascii="Times New Roman" w:hAnsi="Times New Roman"/>
          <w:sz w:val="24"/>
          <w:szCs w:val="24"/>
        </w:rPr>
      </w:pPr>
    </w:p>
    <w:p w14:paraId="7D080868" w14:textId="77777777" w:rsidR="00B7165D" w:rsidRPr="0012597A" w:rsidRDefault="00B7165D" w:rsidP="00B7165D">
      <w:pPr>
        <w:widowControl w:val="0"/>
        <w:autoSpaceDE w:val="0"/>
        <w:autoSpaceDN w:val="0"/>
        <w:spacing w:before="14" w:after="0" w:line="240" w:lineRule="auto"/>
        <w:ind w:left="20"/>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“2026.</w:t>
      </w:r>
      <w:r w:rsidRPr="0012597A">
        <w:rPr>
          <w:rFonts w:ascii="Times New Roman" w:eastAsia="Arial MT" w:hAnsi="Times New Roman" w:cs="Times New Roman"/>
          <w:b/>
          <w:spacing w:val="-3"/>
          <w:sz w:val="24"/>
          <w:szCs w:val="24"/>
        </w:rPr>
        <w:t xml:space="preserve"> </w:t>
      </w:r>
      <w:r w:rsidRPr="0012597A">
        <w:rPr>
          <w:rFonts w:ascii="Times New Roman" w:eastAsia="Arial MT" w:hAnsi="Times New Roman" w:cs="Times New Roman"/>
          <w:b/>
          <w:sz w:val="24"/>
          <w:szCs w:val="24"/>
        </w:rPr>
        <w:t>Año</w:t>
      </w:r>
      <w:r w:rsidRPr="0012597A">
        <w:rPr>
          <w:rFonts w:ascii="Times New Roman" w:eastAsia="Arial MT" w:hAnsi="Times New Roman" w:cs="Times New Roman"/>
          <w:b/>
          <w:spacing w:val="-4"/>
          <w:sz w:val="24"/>
          <w:szCs w:val="24"/>
        </w:rPr>
        <w:t xml:space="preserve"> </w:t>
      </w:r>
      <w:r w:rsidRPr="0012597A">
        <w:rPr>
          <w:rFonts w:ascii="Times New Roman" w:eastAsia="Arial MT" w:hAnsi="Times New Roman" w:cs="Times New Roman"/>
          <w:b/>
          <w:sz w:val="24"/>
          <w:szCs w:val="24"/>
        </w:rPr>
        <w:t>del</w:t>
      </w:r>
      <w:r w:rsidRPr="0012597A">
        <w:rPr>
          <w:rFonts w:ascii="Times New Roman" w:eastAsia="Arial MT" w:hAnsi="Times New Roman" w:cs="Times New Roman"/>
          <w:b/>
          <w:spacing w:val="-2"/>
          <w:sz w:val="24"/>
          <w:szCs w:val="24"/>
        </w:rPr>
        <w:t xml:space="preserve"> </w:t>
      </w:r>
      <w:r w:rsidRPr="0012597A">
        <w:rPr>
          <w:rFonts w:ascii="Times New Roman" w:eastAsia="Arial MT" w:hAnsi="Times New Roman" w:cs="Times New Roman"/>
          <w:b/>
          <w:sz w:val="24"/>
          <w:szCs w:val="24"/>
        </w:rPr>
        <w:t>Humanismo</w:t>
      </w:r>
      <w:r w:rsidRPr="0012597A">
        <w:rPr>
          <w:rFonts w:ascii="Times New Roman" w:eastAsia="Arial MT" w:hAnsi="Times New Roman" w:cs="Times New Roman"/>
          <w:b/>
          <w:spacing w:val="-2"/>
          <w:sz w:val="24"/>
          <w:szCs w:val="24"/>
        </w:rPr>
        <w:t xml:space="preserve"> </w:t>
      </w:r>
      <w:r w:rsidRPr="0012597A">
        <w:rPr>
          <w:rFonts w:ascii="Times New Roman" w:eastAsia="Arial MT" w:hAnsi="Times New Roman" w:cs="Times New Roman"/>
          <w:b/>
          <w:sz w:val="24"/>
          <w:szCs w:val="24"/>
        </w:rPr>
        <w:t>Mexicano</w:t>
      </w:r>
      <w:r w:rsidRPr="0012597A">
        <w:rPr>
          <w:rFonts w:ascii="Times New Roman" w:eastAsia="Arial MT" w:hAnsi="Times New Roman" w:cs="Times New Roman"/>
          <w:b/>
          <w:spacing w:val="-2"/>
          <w:sz w:val="24"/>
          <w:szCs w:val="24"/>
        </w:rPr>
        <w:t xml:space="preserve"> </w:t>
      </w:r>
      <w:r w:rsidRPr="0012597A">
        <w:rPr>
          <w:rFonts w:ascii="Times New Roman" w:eastAsia="Arial MT" w:hAnsi="Times New Roman" w:cs="Times New Roman"/>
          <w:b/>
          <w:sz w:val="24"/>
          <w:szCs w:val="24"/>
        </w:rPr>
        <w:t>en</w:t>
      </w:r>
      <w:r w:rsidRPr="0012597A">
        <w:rPr>
          <w:rFonts w:ascii="Times New Roman" w:eastAsia="Arial MT" w:hAnsi="Times New Roman" w:cs="Times New Roman"/>
          <w:b/>
          <w:spacing w:val="-4"/>
          <w:sz w:val="24"/>
          <w:szCs w:val="24"/>
        </w:rPr>
        <w:t xml:space="preserve"> </w:t>
      </w:r>
      <w:r w:rsidRPr="0012597A">
        <w:rPr>
          <w:rFonts w:ascii="Times New Roman" w:eastAsia="Arial MT" w:hAnsi="Times New Roman" w:cs="Times New Roman"/>
          <w:b/>
          <w:sz w:val="24"/>
          <w:szCs w:val="24"/>
        </w:rPr>
        <w:t>el</w:t>
      </w:r>
      <w:r w:rsidRPr="0012597A">
        <w:rPr>
          <w:rFonts w:ascii="Times New Roman" w:eastAsia="Arial MT" w:hAnsi="Times New Roman" w:cs="Times New Roman"/>
          <w:b/>
          <w:spacing w:val="-2"/>
          <w:sz w:val="24"/>
          <w:szCs w:val="24"/>
        </w:rPr>
        <w:t xml:space="preserve"> </w:t>
      </w:r>
      <w:r w:rsidRPr="0012597A">
        <w:rPr>
          <w:rFonts w:ascii="Times New Roman" w:eastAsia="Arial MT" w:hAnsi="Times New Roman" w:cs="Times New Roman"/>
          <w:b/>
          <w:sz w:val="24"/>
          <w:szCs w:val="24"/>
        </w:rPr>
        <w:t>Estado</w:t>
      </w:r>
      <w:r w:rsidRPr="0012597A">
        <w:rPr>
          <w:rFonts w:ascii="Times New Roman" w:eastAsia="Arial MT" w:hAnsi="Times New Roman" w:cs="Times New Roman"/>
          <w:b/>
          <w:spacing w:val="-4"/>
          <w:sz w:val="24"/>
          <w:szCs w:val="24"/>
        </w:rPr>
        <w:t xml:space="preserve"> </w:t>
      </w:r>
      <w:r w:rsidRPr="0012597A">
        <w:rPr>
          <w:rFonts w:ascii="Times New Roman" w:eastAsia="Arial MT" w:hAnsi="Times New Roman" w:cs="Times New Roman"/>
          <w:b/>
          <w:sz w:val="24"/>
          <w:szCs w:val="24"/>
        </w:rPr>
        <w:t>de</w:t>
      </w:r>
      <w:r w:rsidRPr="0012597A">
        <w:rPr>
          <w:rFonts w:ascii="Times New Roman" w:eastAsia="Arial MT" w:hAnsi="Times New Roman" w:cs="Times New Roman"/>
          <w:b/>
          <w:spacing w:val="-2"/>
          <w:sz w:val="24"/>
          <w:szCs w:val="24"/>
        </w:rPr>
        <w:t xml:space="preserve"> México”.</w:t>
      </w:r>
    </w:p>
    <w:p w14:paraId="3837676F"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4087D0AF" w14:textId="77777777" w:rsidR="00B7165D" w:rsidRPr="0012597A" w:rsidRDefault="00B7165D" w:rsidP="00B7165D">
      <w:pPr>
        <w:widowControl w:val="0"/>
        <w:autoSpaceDE w:val="0"/>
        <w:autoSpaceDN w:val="0"/>
        <w:spacing w:before="11" w:after="0" w:line="240" w:lineRule="auto"/>
        <w:ind w:left="20"/>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w:t>
      </w:r>
      <w:r w:rsidRPr="0012597A">
        <w:rPr>
          <w:rFonts w:ascii="Times New Roman" w:eastAsia="Arial MT" w:hAnsi="Times New Roman" w:cs="Times New Roman"/>
          <w:b/>
          <w:spacing w:val="-7"/>
          <w:sz w:val="24"/>
          <w:szCs w:val="24"/>
        </w:rPr>
        <w:t xml:space="preserve"> </w:t>
      </w:r>
      <w:r w:rsidRPr="0012597A">
        <w:rPr>
          <w:rFonts w:ascii="Times New Roman" w:eastAsia="Arial MT" w:hAnsi="Times New Roman" w:cs="Times New Roman"/>
          <w:b/>
          <w:sz w:val="24"/>
          <w:szCs w:val="24"/>
        </w:rPr>
        <w:t>Isaac</w:t>
      </w:r>
      <w:r w:rsidRPr="0012597A">
        <w:rPr>
          <w:rFonts w:ascii="Times New Roman" w:eastAsia="Arial MT" w:hAnsi="Times New Roman" w:cs="Times New Roman"/>
          <w:b/>
          <w:spacing w:val="-8"/>
          <w:sz w:val="24"/>
          <w:szCs w:val="24"/>
        </w:rPr>
        <w:t xml:space="preserve"> </w:t>
      </w:r>
      <w:r w:rsidRPr="0012597A">
        <w:rPr>
          <w:rFonts w:ascii="Times New Roman" w:eastAsia="Arial MT" w:hAnsi="Times New Roman" w:cs="Times New Roman"/>
          <w:b/>
          <w:sz w:val="24"/>
          <w:szCs w:val="24"/>
        </w:rPr>
        <w:t>Josué</w:t>
      </w:r>
      <w:r w:rsidRPr="0012597A">
        <w:rPr>
          <w:rFonts w:ascii="Times New Roman" w:eastAsia="Arial MT" w:hAnsi="Times New Roman" w:cs="Times New Roman"/>
          <w:b/>
          <w:spacing w:val="-7"/>
          <w:sz w:val="24"/>
          <w:szCs w:val="24"/>
        </w:rPr>
        <w:t xml:space="preserve"> </w:t>
      </w:r>
      <w:r w:rsidRPr="0012597A">
        <w:rPr>
          <w:rFonts w:ascii="Times New Roman" w:eastAsia="Arial MT" w:hAnsi="Times New Roman" w:cs="Times New Roman"/>
          <w:b/>
          <w:sz w:val="24"/>
          <w:szCs w:val="24"/>
        </w:rPr>
        <w:t>Hernández</w:t>
      </w:r>
      <w:r w:rsidRPr="0012597A">
        <w:rPr>
          <w:rFonts w:ascii="Times New Roman" w:eastAsia="Arial MT" w:hAnsi="Times New Roman" w:cs="Times New Roman"/>
          <w:b/>
          <w:spacing w:val="-7"/>
          <w:sz w:val="24"/>
          <w:szCs w:val="24"/>
        </w:rPr>
        <w:t xml:space="preserve"> </w:t>
      </w:r>
      <w:r w:rsidRPr="0012597A">
        <w:rPr>
          <w:rFonts w:ascii="Times New Roman" w:eastAsia="Arial MT" w:hAnsi="Times New Roman" w:cs="Times New Roman"/>
          <w:b/>
          <w:spacing w:val="-2"/>
          <w:sz w:val="24"/>
          <w:szCs w:val="24"/>
        </w:rPr>
        <w:t>Méndez</w:t>
      </w:r>
    </w:p>
    <w:p w14:paraId="355DAEBA" w14:textId="77777777" w:rsidR="00B7165D" w:rsidRPr="0012597A" w:rsidRDefault="00B7165D" w:rsidP="00B7165D">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b/>
          <w:sz w:val="24"/>
          <w:szCs w:val="24"/>
        </w:rPr>
        <w:t>DTTO.</w:t>
      </w:r>
      <w:r w:rsidRPr="0012597A">
        <w:rPr>
          <w:rFonts w:ascii="Times New Roman" w:eastAsia="Arial MT" w:hAnsi="Times New Roman" w:cs="Times New Roman"/>
          <w:b/>
          <w:spacing w:val="-6"/>
          <w:sz w:val="24"/>
          <w:szCs w:val="24"/>
        </w:rPr>
        <w:t xml:space="preserve"> </w:t>
      </w:r>
      <w:r w:rsidRPr="0012597A">
        <w:rPr>
          <w:rFonts w:ascii="Times New Roman" w:eastAsia="Arial MT" w:hAnsi="Times New Roman" w:cs="Times New Roman"/>
          <w:b/>
          <w:sz w:val="24"/>
          <w:szCs w:val="24"/>
        </w:rPr>
        <w:t>XV</w:t>
      </w:r>
      <w:r w:rsidRPr="0012597A">
        <w:rPr>
          <w:rFonts w:ascii="Times New Roman" w:eastAsia="Arial MT" w:hAnsi="Times New Roman" w:cs="Times New Roman"/>
          <w:b/>
          <w:spacing w:val="-4"/>
          <w:sz w:val="24"/>
          <w:szCs w:val="24"/>
        </w:rPr>
        <w:t xml:space="preserve"> </w:t>
      </w:r>
      <w:r w:rsidRPr="0012597A">
        <w:rPr>
          <w:rFonts w:ascii="Times New Roman" w:eastAsia="Arial MT" w:hAnsi="Times New Roman" w:cs="Times New Roman"/>
          <w:b/>
          <w:sz w:val="24"/>
          <w:szCs w:val="24"/>
        </w:rPr>
        <w:t>IXTLAHUACA</w:t>
      </w:r>
      <w:r w:rsidRPr="0012597A">
        <w:rPr>
          <w:rFonts w:ascii="Times New Roman" w:eastAsia="Arial MT" w:hAnsi="Times New Roman" w:cs="Times New Roman"/>
          <w:b/>
          <w:spacing w:val="-3"/>
          <w:sz w:val="24"/>
          <w:szCs w:val="24"/>
        </w:rPr>
        <w:t xml:space="preserve"> </w:t>
      </w:r>
      <w:r w:rsidRPr="0012597A">
        <w:rPr>
          <w:rFonts w:ascii="Times New Roman" w:eastAsia="Arial MT" w:hAnsi="Times New Roman" w:cs="Times New Roman"/>
          <w:b/>
          <w:sz w:val="24"/>
          <w:szCs w:val="24"/>
        </w:rPr>
        <w:t>DE</w:t>
      </w:r>
      <w:r w:rsidRPr="0012597A">
        <w:rPr>
          <w:rFonts w:ascii="Times New Roman" w:eastAsia="Arial MT" w:hAnsi="Times New Roman" w:cs="Times New Roman"/>
          <w:b/>
          <w:spacing w:val="-7"/>
          <w:sz w:val="24"/>
          <w:szCs w:val="24"/>
        </w:rPr>
        <w:t xml:space="preserve"> </w:t>
      </w:r>
      <w:r w:rsidRPr="0012597A">
        <w:rPr>
          <w:rFonts w:ascii="Times New Roman" w:eastAsia="Arial MT" w:hAnsi="Times New Roman" w:cs="Times New Roman"/>
          <w:b/>
          <w:spacing w:val="-4"/>
          <w:sz w:val="24"/>
          <w:szCs w:val="24"/>
        </w:rPr>
        <w:t>RAYÓN</w:t>
      </w:r>
    </w:p>
    <w:p w14:paraId="6604F7A6"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679D9297" w14:textId="77777777" w:rsidR="00B7165D" w:rsidRPr="0012597A" w:rsidRDefault="00B7165D" w:rsidP="00B7165D">
      <w:pPr>
        <w:widowControl w:val="0"/>
        <w:autoSpaceDE w:val="0"/>
        <w:autoSpaceDN w:val="0"/>
        <w:spacing w:after="0" w:line="240" w:lineRule="auto"/>
        <w:jc w:val="right"/>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Toluca de Lerdo, México; a 10 de Marzo de 2026.</w:t>
      </w:r>
    </w:p>
    <w:p w14:paraId="230D8B4A"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p>
    <w:p w14:paraId="59A566F4"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DIPUTADA MARTHA AZUCENA CAMACHO REYNOSO</w:t>
      </w:r>
    </w:p>
    <w:p w14:paraId="396B8D03"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LXII LEGISLATURA</w:t>
      </w:r>
    </w:p>
    <w:p w14:paraId="6E0D74EB"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H. PODER LEGISLATIVO DEL ESTADO</w:t>
      </w:r>
    </w:p>
    <w:p w14:paraId="154B4A7E"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LIBRE Y SOBERANO DE MÉXICO.</w:t>
      </w:r>
    </w:p>
    <w:p w14:paraId="047585A4"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 R E S E N T E</w:t>
      </w:r>
    </w:p>
    <w:p w14:paraId="2B948B18"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p>
    <w:p w14:paraId="7CA8D921"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Quien suscribe LIC. ISAAC JOSÚE HERNÁNDEZ MÉNDEZ diputado integrante del GRUPO PARLAMENTARIO DEL PARTIDO DEL TRABAJO en la LXII Legislatura del Estado de México; con fundamento en lo dispuesto por los artículos 57 y 61 fracción I de la Constitución Política del Estado Libre y Soberano de México; 38 fracción IV de la Ley Orgánica del Poder Legislativo del Estado Libre y Soberano de México; y 72 del Reglamento del Poder Legislativo del Estado de México, someto a consideración de esta honorable asamblea el presente Punto de Acuerdo por el que se formula un respetuoso exhorto a los 125 Ayuntamientos del Estado de México, para que en el ámbito de sus atribuciones y con pleno respeto a su autonomía municipal prevista en el artículo 115 de la Constitución Política de los Estados Unidos Mexicanos, analicen la viabilidad de crear áreas o unidades administrativas en materia de asuntos internacionales.</w:t>
      </w:r>
    </w:p>
    <w:p w14:paraId="749EB6C7"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07D6F0CC" w14:textId="77777777" w:rsidR="00B7165D" w:rsidRPr="0012597A" w:rsidRDefault="00B7165D" w:rsidP="00B7165D">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EXPOSICIÓN DE MOTIVOS</w:t>
      </w:r>
    </w:p>
    <w:p w14:paraId="5BE0895D"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p>
    <w:p w14:paraId="5002AB05"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En el contexto de la creciente interdependencia global, los gobiernos locales han adquirido un papel cada vez más relevante en la promoción del desarrollo económico, social, cultural y ambiental de sus comunidades. La cooperación internacional descentralizada, así como la participación de los municipios en redes de ciudades, programas de cooperación técnica, intercambios académicos y culturales, y mecanismos de financiamiento internacional, se han convertido en herramientas </w:t>
      </w:r>
      <w:r w:rsidRPr="0012597A">
        <w:rPr>
          <w:rFonts w:ascii="Times New Roman" w:eastAsia="Arial MT" w:hAnsi="Times New Roman" w:cs="Times New Roman"/>
          <w:sz w:val="24"/>
          <w:szCs w:val="24"/>
        </w:rPr>
        <w:lastRenderedPageBreak/>
        <w:t>estratégicas para fortalecer las capacidades institucionales y atender problemáticas locales desde una perspectiva global.</w:t>
      </w:r>
    </w:p>
    <w:p w14:paraId="1167D0C9"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56C16D0F"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través de este exhorto buscamos impulsar la vinculación internacional de los municipios, en el marco de la diplomacia subnacional, mediante la cual los gobiernos locales establezcan vínculos de colaboración con actores internacionales, ciudades hermanas, organismos multilaterales, instituciones académicas y organizaciones de la sociedad civil. Estas dinámicas permitirían a los municipios acceder a nuevas oportunidades de cooperación, intercambio de conocimiento y atracción de inversión que inciden directamente en el desarrollo local y regional.</w:t>
      </w:r>
    </w:p>
    <w:p w14:paraId="5581C193"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6DEBF82B"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México, los municipios constituyen el orden de gobierno más cercano a la ciudadanía y, en términos del artículo 115 de la Constitución Política de los Estados Unidos Mexicanos, cuentan con personalidad jurídica y facultades para organizar libremente su administración pública. En este sentido, los ayuntamientos tienen la posibilidad de establecer las unidades administrativas que consideren necesarias para el adecuado cumplimiento de sus funciones y para impulsar políticas públicas que contribuyan al desarrollo de sus comunidades.</w:t>
      </w:r>
    </w:p>
    <w:p w14:paraId="109C8CAD"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60CD707C"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ámbito internacional, diversos municipios del país han desarrollado mecanismos institucionales orientados a fortalecer sus vínculos con organismos internacionales, agencias de cooperación, gobiernos locales de otras naciones y redes internacionales de ciudades. En el caso del Estado de México, algunos municipios han desarrollado experiencias de vinculación internacional a través de acuerdos de hermanamiento y mecanismos de cooperación con ciudades de otros países. Municipios como Toluca, Atizapán de Zaragoza y Huixquilucan han establecido vínculos institucionales con ciudades de América, Europa y Asia para impulsar intercambios culturales, educativos, económicos y tecnológicos, mientras que otros municipios han promovido acuerdos orientados al fortalecimiento del turismo y la promoción cultural. Estas experiencias demuestran que la cooperación internacional a nivel municipal puede convertirse en una herramienta valiosa para fortalecer el desarrollo local y ampliar las oportunidades de colaboración para las comunidades.</w:t>
      </w:r>
    </w:p>
    <w:p w14:paraId="44612242"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5D6C1651"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participación de los gobiernos locales en este tipo de esquemas también contribuye al cumplimiento de compromisos internacionales asumidos por el Estado mexicano, particularmente en el marco de la </w:t>
      </w:r>
      <w:r w:rsidRPr="0012597A">
        <w:rPr>
          <w:rFonts w:ascii="Times New Roman" w:eastAsia="Arial MT" w:hAnsi="Times New Roman" w:cs="Times New Roman"/>
          <w:b/>
          <w:sz w:val="24"/>
          <w:szCs w:val="24"/>
        </w:rPr>
        <w:t>Agenda 2030 para el Desarrollo Sostenible</w:t>
      </w:r>
      <w:r w:rsidRPr="0012597A">
        <w:rPr>
          <w:rFonts w:ascii="Times New Roman" w:eastAsia="Arial MT" w:hAnsi="Times New Roman" w:cs="Times New Roman"/>
          <w:sz w:val="24"/>
          <w:szCs w:val="24"/>
        </w:rPr>
        <w:t xml:space="preserve">, la cual reconoce el papel fundamental de los gobiernos locales en la implementación de los </w:t>
      </w:r>
      <w:r w:rsidRPr="0012597A">
        <w:rPr>
          <w:rFonts w:ascii="Times New Roman" w:eastAsia="Arial MT" w:hAnsi="Times New Roman" w:cs="Times New Roman"/>
          <w:b/>
          <w:sz w:val="24"/>
          <w:szCs w:val="24"/>
        </w:rPr>
        <w:t>Objetivos de Desarrollo Sostenible (ODS)</w:t>
      </w:r>
      <w:r w:rsidRPr="0012597A">
        <w:rPr>
          <w:rFonts w:ascii="Times New Roman" w:eastAsia="Arial MT" w:hAnsi="Times New Roman" w:cs="Times New Roman"/>
          <w:sz w:val="24"/>
          <w:szCs w:val="24"/>
        </w:rPr>
        <w:t>.</w:t>
      </w:r>
    </w:p>
    <w:p w14:paraId="16A10130"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39B74729"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El Estado de México, por su relevancia económica, demográfica y estratégica dentro del país, cuenta con municipios que tienen un amplio potencial para consolidar vínculos internacionales que contribuyan al desarrollo regional. En el caso del norte del Estado de México, municipios como </w:t>
      </w:r>
      <w:r w:rsidRPr="0012597A">
        <w:rPr>
          <w:rFonts w:ascii="Times New Roman" w:eastAsia="Arial MT" w:hAnsi="Times New Roman" w:cs="Times New Roman"/>
          <w:b/>
          <w:sz w:val="24"/>
          <w:szCs w:val="24"/>
        </w:rPr>
        <w:t xml:space="preserve">San Felipe del Progreso, Ixtlahuaca y Jiquipilco </w:t>
      </w:r>
      <w:r w:rsidRPr="0012597A">
        <w:rPr>
          <w:rFonts w:ascii="Times New Roman" w:eastAsia="Arial MT" w:hAnsi="Times New Roman" w:cs="Times New Roman"/>
          <w:sz w:val="24"/>
          <w:szCs w:val="24"/>
        </w:rPr>
        <w:t>cuentan con un importante potencial para desarrollar vínculos de cooperación internacional. Estas demarcaciones destacan por su riqueza cultural, particularmente por la presencia y tradición del pueblo mazahua, así como por su vocación agrícola, artesanal y turística, elementos que pueden convertirse en plataformas para el intercambio cultural, la promoción económica y el desarrollo de proyectos de cooperación internacional.</w:t>
      </w:r>
    </w:p>
    <w:p w14:paraId="4731B6A0"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593803F2"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La existencia de comunidades migrantes en el extranjero, la presencia de sectores industriales y comerciales dinámicos, así como el interés creciente de organismos internacionales en colaborar con gobiernos subnacionales, representan oportunidades que pueden aprovecharse de manera más eficaz mediante el fortalecimiento de capacidades institucionales a nivel municipal.</w:t>
      </w:r>
    </w:p>
    <w:p w14:paraId="54FC435D"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6CB12890"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 importante señalar que estas acciones deben desarrollarse siempre en pleno respeto al marco constitucional que rige la política exterior del Estado mexicano, cuya conducción corresponde al Gobierno Federal, así como a la autonomía municipal reconocida por la Constitución. En este sentido, el presente exhorto no pretende imponer obligaciones a los ayuntamientos, sino invitar respetuosamente a que, en el ámbito de sus atribuciones, analicen la viabilidad de incorporar dentro de su estructura administrativa áreas o mecanismos institucionales que permitan fortalecer su vinculación con actores internacionales.</w:t>
      </w:r>
    </w:p>
    <w:p w14:paraId="636E1E16"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128522EA"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fortalecimiento de la cooperación internacional a nivel local puede contribuir de manera significativa al cumplimiento de los objetivos de desarrollo sostenible, al intercambio de experiencias exitosas entre ciudades y al aprovechamiento de oportunidades de desarrollo económico, cultural y social en beneficio de la población mexiquense.</w:t>
      </w:r>
    </w:p>
    <w:p w14:paraId="18991439"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43A97E70"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Asimismo, quiero decir que, en mi carácter de presidente de la Comisión de Asuntos Internacionales de esta Soberanía, considero fundamental impulsar mecanismos de acompañamiento y fortalecimiento institucional para los gobiernos municipales del Estado de México. Resulta prioritario para nosotros promover acciones de capacitación, cursos especializados y espacios de formación dirigidos a los ayuntamientos, orientados al aprovechamiento de oportunidades de cooperación internacional y al acceso a recursos provenientes de organismos y programas internacionales destinados al desarrollo local.</w:t>
      </w:r>
    </w:p>
    <w:p w14:paraId="58645D36"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1D58C83F"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 través de estas acciones se busca facilitar que los municipios mexiquenses puedan identificar, gestionar y desarrollar proyectos susceptibles de acceder a financiamiento o asistencia técnica internacional, contribuyendo con ello al fortalecimiento de sus capacidades institucionales y al cumplimiento de los objetivos establecidos en sus respectivos planes de desarrollo municipal. De igual forma, desde la Comisión de Asuntos Internacionales se refrenda la disposición de acompañar y realizar gestiones que permitan fortalecer la vinculación internacional de los municipios y generar oportunidades que incidan positivamente en el desarrollo económico, social y sostenible de las comunidades del Estado de México.</w:t>
      </w:r>
    </w:p>
    <w:p w14:paraId="7206D461"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0B0E6F9F"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un mundo cada vez más interconectado, los municipios no pueden permanecer ajenos a las oportunidades que ofrece la cooperación internacional. Fortalecer su capacidad de vinculación global no sólo amplía horizontes de desarrollo, sino que también permite acercar soluciones innovadoras a los retos locales que enfrentan nuestras comunidades.</w:t>
      </w:r>
    </w:p>
    <w:p w14:paraId="43DCED45"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0D8746FD"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El Estado de México cuenta con municipios con talento, capacidad y vocación de desarrollo. Lo que hoy proponemos es abrir nuevas puertas para que ese potencial pueda proyectarse más allá de nuestras fronteras, mediante la cooperación, el intercambio de conocimiento y el aprovechamiento de oportunidades internacionales.</w:t>
      </w:r>
    </w:p>
    <w:p w14:paraId="19BB0000" w14:textId="77777777" w:rsidR="00B7165D" w:rsidRPr="0012597A" w:rsidRDefault="00B7165D" w:rsidP="00B7165D">
      <w:pPr>
        <w:widowControl w:val="0"/>
        <w:autoSpaceDE w:val="0"/>
        <w:autoSpaceDN w:val="0"/>
        <w:spacing w:after="0" w:line="240" w:lineRule="auto"/>
        <w:jc w:val="both"/>
        <w:outlineLvl w:val="0"/>
        <w:rPr>
          <w:rFonts w:ascii="Times New Roman" w:eastAsia="Arial" w:hAnsi="Times New Roman" w:cs="Times New Roman"/>
          <w:b/>
          <w:bCs/>
          <w:sz w:val="24"/>
          <w:szCs w:val="24"/>
        </w:rPr>
      </w:pPr>
    </w:p>
    <w:p w14:paraId="35FBBA4C" w14:textId="77777777" w:rsidR="00B7165D" w:rsidRPr="0012597A" w:rsidRDefault="00B7165D" w:rsidP="00B7165D">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Hoy los desafíos locales requieren soluciones globales; y los municipios mexiquenses tienen todo para convertirse en protagonistas de una nueva etapa de desarrollo con visión internacional.</w:t>
      </w:r>
    </w:p>
    <w:p w14:paraId="1526B53A"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p>
    <w:p w14:paraId="09032DB8"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LA H. “LXII” LEGISLATURA DEL ESTADO LIBRE Y SOBERANO DE MÉXICO, con fundamento en los artículos 57 y 61 fracción I de la Constitución Política del Estado Libre y Soberano de México; 38 fracción IV de la Ley Orgánica del Poder Legislativo del Estado Libre y Soberano de México; y 72 del Reglamento del Poder Legislativo del Estado de México, ha tenido </w:t>
      </w:r>
      <w:r w:rsidRPr="0012597A">
        <w:rPr>
          <w:rFonts w:ascii="Times New Roman" w:eastAsia="Arial MT" w:hAnsi="Times New Roman" w:cs="Times New Roman"/>
          <w:sz w:val="24"/>
          <w:szCs w:val="24"/>
        </w:rPr>
        <w:lastRenderedPageBreak/>
        <w:t>a bien emitir el siguiente:</w:t>
      </w:r>
    </w:p>
    <w:p w14:paraId="62747D6F"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29FCFD4B" w14:textId="77777777" w:rsidR="00B7165D" w:rsidRPr="0012597A" w:rsidRDefault="00B7165D" w:rsidP="00B7165D">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12597A">
        <w:rPr>
          <w:rFonts w:ascii="Times New Roman" w:eastAsia="Arial" w:hAnsi="Times New Roman" w:cs="Times New Roman"/>
          <w:b/>
          <w:bCs/>
          <w:sz w:val="24"/>
          <w:szCs w:val="24"/>
        </w:rPr>
        <w:t>ACUERDO</w:t>
      </w:r>
    </w:p>
    <w:p w14:paraId="698DE449"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b/>
          <w:sz w:val="24"/>
          <w:szCs w:val="24"/>
        </w:rPr>
      </w:pPr>
    </w:p>
    <w:p w14:paraId="037BADA6" w14:textId="77777777" w:rsidR="00B7165D" w:rsidRPr="0012597A" w:rsidRDefault="00B7165D" w:rsidP="00B7165D">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SE EXHORTA DE MANERA RESPETUOSA A LOS 125 AYUNTAMIENTOS DEL ESTADO DE MÉXICO A QUE, CON SUSTENTO EN EL ARTÍCULO 115, FRACCIÓN II, DE LA CONSTITUCIÓN POLÍTICA DE LOS ESTADOS UNIDOS MEXICANOS; LOS ARTÍCULOS 112 Y 113 DE LA CONSTITUCIÓN POLÍTICA DEL ESTADO LIBRE Y SOBERANO DE MÉXICO Y LA LEY ORGÁNICA MUNICIPAL DEL ESTADO DE MÉXICO, EN SUS ARTÍCULOS 31, 48 Y 86, EN EL ÁMBITO DE SUS ATRIBUCIONES Y CONFORME A SUS CAPACIDADES ADMINISTRATIVAS Y PRESUPUESTALES, ANALICEN LA VIABILIDAD DE </w:t>
      </w:r>
      <w:r w:rsidRPr="0012597A">
        <w:rPr>
          <w:rFonts w:ascii="Times New Roman" w:eastAsia="Arial MT" w:hAnsi="Times New Roman" w:cs="Times New Roman"/>
          <w:b/>
          <w:sz w:val="24"/>
          <w:szCs w:val="24"/>
        </w:rPr>
        <w:t>CREAR O FORTALECER DENTRO DE SUS ESTRUCTURAS ADMINISTRATIVAS ÁREAS, DIRECCIONES, UNIDADES O MECANISMOS INSTITUCIONALES DE ASUNTOS INTERNACIONALES</w:t>
      </w:r>
      <w:r w:rsidRPr="0012597A">
        <w:rPr>
          <w:rFonts w:ascii="Times New Roman" w:eastAsia="Arial MT" w:hAnsi="Times New Roman" w:cs="Times New Roman"/>
          <w:sz w:val="24"/>
          <w:szCs w:val="24"/>
        </w:rPr>
        <w:t>, CON EL PROPÓSITO DE IMPULSAR LA COOPERACIÓN INTERNACIONAL DESCENTRALIZADA, FORTALECER LA VINCULACIÓN CON ORGANISMOS INTERNACIONALES Y PROMOVER OPORTUNIDADES DE DESARROLLO ECONÓMICO, SOCIAL, CULTURAL Y SOSTENIBLE PARA SUS MUNICIPIOS.</w:t>
      </w:r>
    </w:p>
    <w:p w14:paraId="3AC166B6" w14:textId="77777777" w:rsidR="00B7165D" w:rsidRPr="0012597A" w:rsidRDefault="00B7165D" w:rsidP="00B7165D">
      <w:pPr>
        <w:widowControl w:val="0"/>
        <w:autoSpaceDE w:val="0"/>
        <w:autoSpaceDN w:val="0"/>
        <w:spacing w:after="0" w:line="240" w:lineRule="auto"/>
        <w:rPr>
          <w:rFonts w:ascii="Times New Roman" w:eastAsia="Arial MT" w:hAnsi="Times New Roman" w:cs="Times New Roman"/>
          <w:sz w:val="24"/>
          <w:szCs w:val="24"/>
        </w:rPr>
      </w:pPr>
    </w:p>
    <w:p w14:paraId="16A33B16" w14:textId="77777777" w:rsidR="00B7165D" w:rsidRPr="0012597A" w:rsidRDefault="00B7165D" w:rsidP="00B7165D">
      <w:pPr>
        <w:widowControl w:val="0"/>
        <w:autoSpaceDE w:val="0"/>
        <w:autoSpaceDN w:val="0"/>
        <w:spacing w:after="0" w:line="240" w:lineRule="auto"/>
        <w:jc w:val="center"/>
        <w:rPr>
          <w:rFonts w:ascii="Times New Roman" w:eastAsia="Arial MT" w:hAnsi="Times New Roman" w:cs="Times New Roman"/>
          <w:sz w:val="24"/>
          <w:szCs w:val="24"/>
        </w:rPr>
      </w:pPr>
      <w:r w:rsidRPr="0012597A">
        <w:rPr>
          <w:rFonts w:ascii="Times New Roman" w:eastAsia="Arial MT" w:hAnsi="Times New Roman" w:cs="Times New Roman"/>
          <w:sz w:val="24"/>
          <w:szCs w:val="24"/>
        </w:rPr>
        <w:t>TRANSITORIO</w:t>
      </w:r>
    </w:p>
    <w:p w14:paraId="0F1E712B" w14:textId="77777777" w:rsidR="00B7165D" w:rsidRPr="0012597A" w:rsidRDefault="00B7165D" w:rsidP="00457A7C">
      <w:pPr>
        <w:widowControl w:val="0"/>
        <w:autoSpaceDE w:val="0"/>
        <w:autoSpaceDN w:val="0"/>
        <w:spacing w:after="0" w:line="240" w:lineRule="auto"/>
        <w:jc w:val="both"/>
        <w:rPr>
          <w:rFonts w:ascii="Times New Roman" w:eastAsia="Arial MT" w:hAnsi="Times New Roman" w:cs="Times New Roman"/>
          <w:sz w:val="24"/>
          <w:szCs w:val="24"/>
        </w:rPr>
      </w:pPr>
    </w:p>
    <w:p w14:paraId="1DE83E9D" w14:textId="77777777" w:rsidR="00B7165D" w:rsidRPr="0012597A" w:rsidRDefault="00B7165D" w:rsidP="00457A7C">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Publíquese el presente Acuerdo en el Periódico Oficial “Gaceta del gobierno del Estado Libre y Soberano de México”.</w:t>
      </w:r>
    </w:p>
    <w:p w14:paraId="71B6C527" w14:textId="77777777" w:rsidR="00B7165D" w:rsidRPr="0012597A" w:rsidRDefault="00B7165D" w:rsidP="00457A7C">
      <w:pPr>
        <w:widowControl w:val="0"/>
        <w:autoSpaceDE w:val="0"/>
        <w:autoSpaceDN w:val="0"/>
        <w:spacing w:after="0" w:line="240" w:lineRule="auto"/>
        <w:jc w:val="both"/>
        <w:rPr>
          <w:rFonts w:ascii="Times New Roman" w:eastAsia="Arial MT" w:hAnsi="Times New Roman" w:cs="Times New Roman"/>
          <w:b/>
          <w:sz w:val="24"/>
          <w:szCs w:val="24"/>
        </w:rPr>
      </w:pPr>
    </w:p>
    <w:p w14:paraId="0BB66B3F" w14:textId="77777777" w:rsidR="00B7165D" w:rsidRPr="0012597A" w:rsidRDefault="00B7165D" w:rsidP="00457A7C">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Comuníquese a los 125 Ayuntamientos del Estado de México.</w:t>
      </w:r>
    </w:p>
    <w:p w14:paraId="703D0FF3" w14:textId="77777777" w:rsidR="00B7165D" w:rsidRPr="0012597A" w:rsidRDefault="00B7165D" w:rsidP="00457A7C">
      <w:pPr>
        <w:widowControl w:val="0"/>
        <w:autoSpaceDE w:val="0"/>
        <w:autoSpaceDN w:val="0"/>
        <w:spacing w:after="0" w:line="240" w:lineRule="auto"/>
        <w:jc w:val="both"/>
        <w:rPr>
          <w:rFonts w:ascii="Times New Roman" w:eastAsia="Arial MT" w:hAnsi="Times New Roman" w:cs="Times New Roman"/>
          <w:sz w:val="24"/>
          <w:szCs w:val="24"/>
        </w:rPr>
      </w:pPr>
    </w:p>
    <w:p w14:paraId="7199C2BA" w14:textId="77777777" w:rsidR="00B7165D" w:rsidRPr="0012597A" w:rsidRDefault="00B7165D" w:rsidP="00457A7C">
      <w:pPr>
        <w:widowControl w:val="0"/>
        <w:autoSpaceDE w:val="0"/>
        <w:autoSpaceDN w:val="0"/>
        <w:spacing w:after="0" w:line="240" w:lineRule="auto"/>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Dado en el palacio el poder legislativo, en la ciudad de Toluca de Lerdo, Capital del Estado de México, a los once días del mes de Marzo de dos mil veintiséis.</w:t>
      </w:r>
    </w:p>
    <w:p w14:paraId="65C0B6F0" w14:textId="77777777" w:rsidR="00B7165D" w:rsidRPr="0012597A" w:rsidRDefault="00B7165D" w:rsidP="00457A7C">
      <w:pPr>
        <w:spacing w:after="0" w:line="240" w:lineRule="auto"/>
        <w:jc w:val="both"/>
        <w:rPr>
          <w:rFonts w:ascii="Times New Roman" w:hAnsi="Times New Roman"/>
          <w:sz w:val="24"/>
          <w:szCs w:val="24"/>
        </w:rPr>
      </w:pPr>
    </w:p>
    <w:p w14:paraId="2D36FA31" w14:textId="77777777" w:rsidR="00B7165D" w:rsidRPr="0012597A" w:rsidRDefault="00B7165D" w:rsidP="00E42132">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3128FDF2" w14:textId="77777777" w:rsidR="00B7165D" w:rsidRPr="0012597A" w:rsidRDefault="00B7165D" w:rsidP="00E42132">
      <w:pPr>
        <w:spacing w:after="0" w:line="240" w:lineRule="auto"/>
        <w:jc w:val="center"/>
        <w:rPr>
          <w:rFonts w:ascii="Times New Roman" w:hAnsi="Times New Roman"/>
          <w:sz w:val="24"/>
          <w:szCs w:val="24"/>
        </w:rPr>
      </w:pPr>
    </w:p>
    <w:p w14:paraId="45A71157" w14:textId="18BAFA93"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Gracias diputado Isaac Josué Reyes Hernández. </w:t>
      </w:r>
    </w:p>
    <w:p w14:paraId="3551068E"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Se registra y se remite a las Comisiones Legislativas de Legislación y Administración Municipal y de Asuntos Internacionales para su estudio y dictamen. </w:t>
      </w:r>
    </w:p>
    <w:p w14:paraId="00754829"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En cuanto al siguiente punto y a petición de la diputada Emma Laura Alvarez Villavicencio, se omite la lectura de la Iniciativa del Punto de Acuerdo, mediante el cual se exhorta respetuosamente al Gobierno del Estado de México, para que a través de la Comisión de Búsqueda de Personas del Estado de México, fortalezca los mecanismos de coordinación institucional para que la búsqueda inmediata de las personas desaparecidas a la Fiscalía General de Justicia del Estado de México, para fortalecer la coordinación con las autoridades municipales en la activación inmediata de protocolos de búsqueda a la Secretaría de Seguridad del Estado de México, para fortalecer la coordinación con las policías municipales en acciones de búsqueda inmediata, a los 125 Municipios del Estado de México, para fortalecer o en su caso, conformar células municipales de búsqueda que permitan participar de manera inmediata en las acciones de localización de personas desaparecidas a las autoridades estatales y municipales, para analizar la implementación de un Sistema Estatal de Búsqueda Inmediata Municipal que permita la activación inmediata de acciones de búsqueda ante cualquier reporte de desaparición, presentado por la diputada Emma </w:t>
      </w:r>
      <w:r w:rsidRPr="0012597A">
        <w:rPr>
          <w:rFonts w:ascii="Times New Roman" w:hAnsi="Times New Roman" w:cs="Times New Roman"/>
          <w:sz w:val="24"/>
          <w:szCs w:val="24"/>
        </w:rPr>
        <w:lastRenderedPageBreak/>
        <w:t xml:space="preserve">Laura Alvarez Villavicencio y el diputado Pablo Fernández de Cevallos González, en nombre del Grupo Parlamentario del Partido Acción Nacional. </w:t>
      </w:r>
    </w:p>
    <w:p w14:paraId="17E3ACD2" w14:textId="77777777" w:rsidR="00AA0AAC" w:rsidRPr="0012597A" w:rsidRDefault="00AA0AAC" w:rsidP="00E42132">
      <w:pPr>
        <w:pStyle w:val="Sinespaciado"/>
        <w:jc w:val="both"/>
        <w:rPr>
          <w:rFonts w:ascii="Times New Roman" w:hAnsi="Times New Roman" w:cs="Times New Roman"/>
          <w:sz w:val="24"/>
          <w:szCs w:val="24"/>
        </w:rPr>
      </w:pPr>
    </w:p>
    <w:p w14:paraId="1469BCAC" w14:textId="77777777" w:rsidR="00AA0AAC" w:rsidRPr="0012597A" w:rsidRDefault="00AA0AAC" w:rsidP="00E42132">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3777D7CB" w14:textId="77777777" w:rsidR="00AA0AAC" w:rsidRPr="0012597A" w:rsidRDefault="00AA0AAC" w:rsidP="00E42132">
      <w:pPr>
        <w:spacing w:after="0" w:line="240" w:lineRule="auto"/>
        <w:jc w:val="center"/>
        <w:rPr>
          <w:rFonts w:ascii="Times New Roman" w:hAnsi="Times New Roman"/>
          <w:sz w:val="24"/>
          <w:szCs w:val="24"/>
        </w:rPr>
      </w:pPr>
    </w:p>
    <w:p w14:paraId="75D85EAF" w14:textId="77777777" w:rsidR="005D544D" w:rsidRPr="0012597A" w:rsidRDefault="005D544D" w:rsidP="005D544D">
      <w:pPr>
        <w:widowControl w:val="0"/>
        <w:autoSpaceDE w:val="0"/>
        <w:autoSpaceDN w:val="0"/>
        <w:spacing w:before="11" w:after="0"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w:t>
      </w:r>
      <w:r w:rsidRPr="0012597A">
        <w:rPr>
          <w:rFonts w:ascii="Times New Roman" w:eastAsia="Arial MT" w:hAnsi="Times New Roman" w:cs="Times New Roman"/>
          <w:b/>
          <w:spacing w:val="-4"/>
          <w:sz w:val="24"/>
          <w:szCs w:val="24"/>
        </w:rPr>
        <w:t xml:space="preserve"> </w:t>
      </w:r>
      <w:r w:rsidRPr="0012597A">
        <w:rPr>
          <w:rFonts w:ascii="Times New Roman" w:eastAsia="Arial MT" w:hAnsi="Times New Roman" w:cs="Times New Roman"/>
          <w:b/>
          <w:sz w:val="24"/>
          <w:szCs w:val="24"/>
        </w:rPr>
        <w:t>Emma</w:t>
      </w:r>
      <w:r w:rsidRPr="0012597A">
        <w:rPr>
          <w:rFonts w:ascii="Times New Roman" w:eastAsia="Arial MT" w:hAnsi="Times New Roman" w:cs="Times New Roman"/>
          <w:b/>
          <w:spacing w:val="-6"/>
          <w:sz w:val="24"/>
          <w:szCs w:val="24"/>
        </w:rPr>
        <w:t xml:space="preserve"> </w:t>
      </w:r>
      <w:r w:rsidRPr="0012597A">
        <w:rPr>
          <w:rFonts w:ascii="Times New Roman" w:eastAsia="Arial MT" w:hAnsi="Times New Roman" w:cs="Times New Roman"/>
          <w:b/>
          <w:sz w:val="24"/>
          <w:szCs w:val="24"/>
        </w:rPr>
        <w:t>Laura</w:t>
      </w:r>
      <w:r w:rsidRPr="0012597A">
        <w:rPr>
          <w:rFonts w:ascii="Times New Roman" w:eastAsia="Arial MT" w:hAnsi="Times New Roman" w:cs="Times New Roman"/>
          <w:b/>
          <w:spacing w:val="-6"/>
          <w:sz w:val="24"/>
          <w:szCs w:val="24"/>
        </w:rPr>
        <w:t xml:space="preserve"> </w:t>
      </w:r>
      <w:r w:rsidRPr="0012597A">
        <w:rPr>
          <w:rFonts w:ascii="Times New Roman" w:eastAsia="Arial MT" w:hAnsi="Times New Roman" w:cs="Times New Roman"/>
          <w:b/>
          <w:sz w:val="24"/>
          <w:szCs w:val="24"/>
        </w:rPr>
        <w:t>Alvarez</w:t>
      </w:r>
      <w:r w:rsidRPr="0012597A">
        <w:rPr>
          <w:rFonts w:ascii="Times New Roman" w:eastAsia="Arial MT" w:hAnsi="Times New Roman" w:cs="Times New Roman"/>
          <w:b/>
          <w:spacing w:val="-3"/>
          <w:sz w:val="24"/>
          <w:szCs w:val="24"/>
        </w:rPr>
        <w:t xml:space="preserve"> </w:t>
      </w:r>
      <w:r w:rsidRPr="0012597A">
        <w:rPr>
          <w:rFonts w:ascii="Times New Roman" w:eastAsia="Arial MT" w:hAnsi="Times New Roman" w:cs="Times New Roman"/>
          <w:b/>
          <w:spacing w:val="-2"/>
          <w:sz w:val="24"/>
          <w:szCs w:val="24"/>
        </w:rPr>
        <w:t>Villavicencio</w:t>
      </w:r>
    </w:p>
    <w:p w14:paraId="08B55B36" w14:textId="77777777" w:rsidR="005D544D" w:rsidRPr="0012597A" w:rsidRDefault="005D544D" w:rsidP="005D544D">
      <w:pPr>
        <w:widowControl w:val="0"/>
        <w:autoSpaceDE w:val="0"/>
        <w:autoSpaceDN w:val="0"/>
        <w:spacing w:before="2" w:after="0" w:line="299" w:lineRule="exact"/>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Diputada</w:t>
      </w:r>
      <w:r w:rsidRPr="0012597A">
        <w:rPr>
          <w:rFonts w:ascii="Times New Roman" w:eastAsia="Arial MT" w:hAnsi="Times New Roman" w:cs="Times New Roman"/>
          <w:b/>
          <w:spacing w:val="-17"/>
          <w:sz w:val="24"/>
          <w:szCs w:val="24"/>
        </w:rPr>
        <w:t xml:space="preserve"> </w:t>
      </w:r>
      <w:r w:rsidRPr="0012597A">
        <w:rPr>
          <w:rFonts w:ascii="Times New Roman" w:eastAsia="Arial MT" w:hAnsi="Times New Roman" w:cs="Times New Roman"/>
          <w:b/>
          <w:spacing w:val="-2"/>
          <w:sz w:val="24"/>
          <w:szCs w:val="24"/>
        </w:rPr>
        <w:t>Local</w:t>
      </w:r>
    </w:p>
    <w:p w14:paraId="3078CF01"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Grupo</w:t>
      </w:r>
      <w:r w:rsidRPr="0012597A">
        <w:rPr>
          <w:rFonts w:ascii="Times New Roman" w:eastAsia="Arial MT" w:hAnsi="Times New Roman" w:cs="Times New Roman"/>
          <w:b/>
          <w:spacing w:val="-15"/>
          <w:sz w:val="24"/>
          <w:szCs w:val="24"/>
        </w:rPr>
        <w:t xml:space="preserve"> </w:t>
      </w:r>
      <w:r w:rsidRPr="0012597A">
        <w:rPr>
          <w:rFonts w:ascii="Times New Roman" w:eastAsia="Arial MT" w:hAnsi="Times New Roman" w:cs="Times New Roman"/>
          <w:b/>
          <w:sz w:val="24"/>
          <w:szCs w:val="24"/>
        </w:rPr>
        <w:t>Parlamentario</w:t>
      </w:r>
      <w:r w:rsidRPr="0012597A">
        <w:rPr>
          <w:rFonts w:ascii="Times New Roman" w:eastAsia="Arial MT" w:hAnsi="Times New Roman" w:cs="Times New Roman"/>
          <w:b/>
          <w:spacing w:val="-13"/>
          <w:sz w:val="24"/>
          <w:szCs w:val="24"/>
        </w:rPr>
        <w:t xml:space="preserve"> </w:t>
      </w:r>
      <w:r w:rsidRPr="0012597A">
        <w:rPr>
          <w:rFonts w:ascii="Times New Roman" w:eastAsia="Arial MT" w:hAnsi="Times New Roman" w:cs="Times New Roman"/>
          <w:b/>
          <w:spacing w:val="-5"/>
          <w:sz w:val="24"/>
          <w:szCs w:val="24"/>
        </w:rPr>
        <w:t>PAN</w:t>
      </w:r>
    </w:p>
    <w:p w14:paraId="25AA2F88"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sz w:val="24"/>
          <w:szCs w:val="24"/>
          <w:u w:val="thick" w:color="890000"/>
        </w:rPr>
      </w:pPr>
    </w:p>
    <w:p w14:paraId="0CEE49E7"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“2026. Año del Humanismo Mexicano en el Estado de México”</w:t>
      </w:r>
    </w:p>
    <w:p w14:paraId="2C95E010"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b/>
          <w:sz w:val="24"/>
          <w:szCs w:val="24"/>
        </w:rPr>
      </w:pPr>
    </w:p>
    <w:p w14:paraId="0CC181AF" w14:textId="77777777" w:rsidR="005D544D" w:rsidRPr="0012597A" w:rsidRDefault="005D544D" w:rsidP="005D544D">
      <w:pPr>
        <w:widowControl w:val="0"/>
        <w:autoSpaceDE w:val="0"/>
        <w:autoSpaceDN w:val="0"/>
        <w:spacing w:after="0" w:line="240" w:lineRule="auto"/>
        <w:ind w:right="18"/>
        <w:jc w:val="right"/>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Toluca de Lerdo México;</w:t>
      </w:r>
      <w:r w:rsidRPr="0012597A">
        <w:rPr>
          <w:rFonts w:ascii="Times New Roman" w:eastAsia="Arial MT" w:hAnsi="Times New Roman" w:cs="Times New Roman"/>
          <w:b/>
          <w:sz w:val="24"/>
          <w:szCs w:val="24"/>
        </w:rPr>
        <w:tab/>
        <w:t>de marzo de 2026</w:t>
      </w:r>
    </w:p>
    <w:p w14:paraId="7698CF11"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p>
    <w:p w14:paraId="5F4CBDBA"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MARTHA AZUCENA CAMACHO REYNOSO</w:t>
      </w:r>
    </w:p>
    <w:p w14:paraId="1E1780D5"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PRESIDENTA DE LA DIRECTIVA DE LA H. LXII LEGISLATURA</w:t>
      </w:r>
    </w:p>
    <w:p w14:paraId="06B63350"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DEL ESTADO LIBRE Y SOBERANO DE MÉXICO</w:t>
      </w:r>
    </w:p>
    <w:p w14:paraId="16DB45ED"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PRESENTE</w:t>
      </w:r>
    </w:p>
    <w:p w14:paraId="751661F9"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p>
    <w:p w14:paraId="76B9753B"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Los que suscriben la </w:t>
      </w:r>
      <w:r w:rsidRPr="0012597A">
        <w:rPr>
          <w:rFonts w:ascii="Times New Roman" w:eastAsia="Arial MT" w:hAnsi="Times New Roman" w:cs="Times New Roman"/>
          <w:b/>
          <w:sz w:val="24"/>
          <w:szCs w:val="24"/>
        </w:rPr>
        <w:t>Diputada Emma Laura Alvarez Villavicencio y el Diputado Pablo Fernández De Cevallos González</w:t>
      </w:r>
      <w:r w:rsidRPr="0012597A">
        <w:rPr>
          <w:rFonts w:ascii="Times New Roman" w:eastAsia="Arial MT" w:hAnsi="Times New Roman" w:cs="Times New Roman"/>
          <w:sz w:val="24"/>
          <w:szCs w:val="24"/>
        </w:rPr>
        <w:t>, a nombre del Grupo Parlamentario del Partido Acción Nacional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así como 72 y 74 de su Reglamento, someto a la consideración de esta Honorable Legislatura el siguiente punto de acuerdo, mediante el que; Se exhorta respetuosamente al Gobierno del Estado de México para que, a través de la Comisión de Búsqueda de Personas del Estado de México, fortalezca los mecanismos de coordinación institucional para la búsqueda inmediata de personas desaparecidas; a la Fiscalía General de Justicia del Estado de México para fortalecer la coordinación con las autoridades municipales en la activación inmediata de protocolos de búsqueda; a la Secretaría de Seguridad del Estado de México para fortalecer la coordinación con las policías municipales en acciones de búsqueda inmediata; a los 125 Ayuntamientos del Estado de México para fortalecer o, en su caso, conformar Células Municipales de Búsqueda que permitan participar de manera inmediata en las acciones de localización de personas desaparecidas; a las autoridades estatales y municipales para analizar la implementación de un Sistema Estatal de Búsqueda Inmediata Municipal que permita la activación inmediata de acciones de búsqueda ante cualquier reporte de desaparición, conforme a los siguientes:</w:t>
      </w:r>
    </w:p>
    <w:p w14:paraId="43D3484D"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b/>
          <w:sz w:val="24"/>
          <w:szCs w:val="24"/>
        </w:rPr>
      </w:pPr>
    </w:p>
    <w:p w14:paraId="1B899328"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CONSIDERANDOS</w:t>
      </w:r>
    </w:p>
    <w:p w14:paraId="07DF2F90"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p>
    <w:p w14:paraId="18306C79"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Primero: </w:t>
      </w:r>
      <w:r w:rsidRPr="0012597A">
        <w:rPr>
          <w:rFonts w:ascii="Times New Roman" w:eastAsia="Arial MT" w:hAnsi="Times New Roman" w:cs="Times New Roman"/>
          <w:sz w:val="24"/>
          <w:szCs w:val="24"/>
        </w:rPr>
        <w:t>La desaparición de personas constituye una de las violaciones más graves a los derechos humanos, pues implica la posible vulneración simultánea de diversos derechos fundamentales reconocidos en el orden jurídico nacional e internacional, entre ellos el derecho a la vida, a la libertad personal, a la integridad física, a la seguridad jurídica y al acceso a la justicia.</w:t>
      </w:r>
    </w:p>
    <w:p w14:paraId="14BE2A89"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5E7295AC"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Además del daño directo que sufre la persona desaparecida, este fenómeno genera profundas afectaciones en las familias que permanecen en incertidumbre respecto del paradero de sus seres queridos. La ausencia de información sobre la situación de una persona desaparecida provoca angustia, incertidumbre y afectaciones sociales y económicas para sus familiares.</w:t>
      </w:r>
    </w:p>
    <w:p w14:paraId="6CE4C165"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1EDC3EB2"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Por estas razones, la desaparición de personas ha sido reconocida por organismos internacionales como una de las violaciones más graves a los derechos humanos, lo cual obliga a los Estados a adoptar medidas eficaces para prevenirla, investigarla y sancionarla.</w:t>
      </w:r>
    </w:p>
    <w:p w14:paraId="025E0803"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6C660A4B"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Segundo: </w:t>
      </w:r>
      <w:r w:rsidRPr="0012597A">
        <w:rPr>
          <w:rFonts w:ascii="Times New Roman" w:eastAsia="Arial MT" w:hAnsi="Times New Roman" w:cs="Times New Roman"/>
          <w:sz w:val="24"/>
          <w:szCs w:val="24"/>
        </w:rPr>
        <w:t>El Estado mexicano ha desarrollado un marco jurídico orientado a fortalecer las acciones de búsqueda de personas desaparecidas, En el ámbito federal destaca la Ley General en Materia de Desaparición Forzada de Personas y Desaparición cometida por particulares, publicada en el Diario Oficial de la Federación el 17 de noviembre de 2017, esta legislación establece la obligación de todas las autoridades del Estado mexicano de colaborar en la búsqueda inmediata de personas desaparecidas, así como de coordinar esfuerzos institucionales para su localización, asimismo, esta ley creó el Sistema Nacional de Búsqueda de Personas, cuyo objetivo es coordinar las acciones de las autoridades federales, estatales y municipales para garantizar la búsqueda efectiva de personas desaparecidas.</w:t>
      </w:r>
    </w:p>
    <w:p w14:paraId="21A5C9B9"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p>
    <w:p w14:paraId="70388CF4"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En el ámbito estatal, el Estado de México cuenta con la Ley en Materia de Desaparición de Personas del Estado de México, que establece las bases para la coordinación entre las autoridades estatales y municipales en la búsqueda de personas desaparecidas.</w:t>
      </w:r>
    </w:p>
    <w:p w14:paraId="4484692C"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26C392A1"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Tercero: </w:t>
      </w:r>
      <w:r w:rsidRPr="0012597A">
        <w:rPr>
          <w:rFonts w:ascii="Times New Roman" w:eastAsia="Arial MT" w:hAnsi="Times New Roman" w:cs="Times New Roman"/>
          <w:sz w:val="24"/>
          <w:szCs w:val="24"/>
        </w:rPr>
        <w:t>De acuerdo con el Registro Nacional de Personas Desaparecidas y No Localizadas (RNPDNO), administrado por la Secretaría de Gobernación, México enfrenta una grave problemática en materia de desapariciones, de acuerdo a este registro oficial, más de 115 mil personas se encuentran desaparecidas o no localizadas en el país.</w:t>
      </w:r>
    </w:p>
    <w:p w14:paraId="37DCF591"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32C595AA"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Asimismo, diversos análisis han señalado que más del noventa por ciento de las desapariciones registradas han ocurrido a partir del año 2006, lo que evidencia el crecimiento sostenido de este fenómeno en las últimas décadas, este panorama ha llevado a diversos organismos nacionales e internacionales a señalar que México enfrenta una crisis humanitaria en materia de desapariciones.</w:t>
      </w:r>
    </w:p>
    <w:p w14:paraId="610B7A5D"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1062394D"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Cuarto: </w:t>
      </w:r>
      <w:r w:rsidRPr="0012597A">
        <w:rPr>
          <w:rFonts w:ascii="Times New Roman" w:eastAsia="Arial MT" w:hAnsi="Times New Roman" w:cs="Times New Roman"/>
          <w:sz w:val="24"/>
          <w:szCs w:val="24"/>
        </w:rPr>
        <w:t>El Estado de México es una de las entidades federativas con mayor número de reportes de desaparición en el país, de acuerdo con datos del Registro Nacional de Personas Desaparecidas y No Localizadas, en el Estado de México se registran más de trece mil personas desaparecidas o no localizadas desde que se tiene registro oficial, asimismo, la entidad se encuentra entre los estados con mayor número de reportes de desaparición junto con Jalisco, Tamaulipas, Nuevo León y la Ciudad de México, por lo que un aspecto particularmente preocupante es que una proporción significativa de las personas desaparecidas corresponde a mujeres, adolescentes y menores de edad.</w:t>
      </w:r>
    </w:p>
    <w:p w14:paraId="233CE796"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728D2A33"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Quinto: </w:t>
      </w:r>
      <w:r w:rsidRPr="0012597A">
        <w:rPr>
          <w:rFonts w:ascii="Times New Roman" w:eastAsia="Arial MT" w:hAnsi="Times New Roman" w:cs="Times New Roman"/>
          <w:sz w:val="24"/>
          <w:szCs w:val="24"/>
        </w:rPr>
        <w:t>Dentro del Estado de México, diversos municipios concentran una parte significativa de los reportes de desaparición, entre los municipios con mayor número de casos registrados destacan: Ecatepec de Morelos, Toluca, Naucalpan de Juárez, Nezahualcóyotl, Chimalhuacán, Cuautitlán Izcalli, Tlalnepantla de Baz, Tecámac, Chalco y Valle de Chalco Solidaridad, estos municipios presentan dinámicas urbanas complejas, caracterizadas por una alta densidad poblacional, movilidad metropolitana y desafíos en materia de seguridad pública, esta concentración territorial demuestra que el fenómeno de desapariciones requiere respuestas institucionales coordinadas entre el Gobierno del Estado y los ayuntamientos.</w:t>
      </w:r>
    </w:p>
    <w:p w14:paraId="2C98D606"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7E576271"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Sexto: </w:t>
      </w:r>
      <w:r w:rsidRPr="0012597A">
        <w:rPr>
          <w:rFonts w:ascii="Times New Roman" w:eastAsia="Arial MT" w:hAnsi="Times New Roman" w:cs="Times New Roman"/>
          <w:sz w:val="24"/>
          <w:szCs w:val="24"/>
        </w:rPr>
        <w:t xml:space="preserve">Diversos estudios han señalado que las primeras horas posteriores a una desaparición son determinantes para aumentar las probabilidades de localizar con vida a una persona, la rapidez en la reacción institucional puede marcar la diferencia entre la vida y la muerte; por esta razón, la </w:t>
      </w:r>
      <w:r w:rsidRPr="0012597A">
        <w:rPr>
          <w:rFonts w:ascii="Times New Roman" w:eastAsia="Arial MT" w:hAnsi="Times New Roman" w:cs="Times New Roman"/>
          <w:sz w:val="24"/>
          <w:szCs w:val="24"/>
        </w:rPr>
        <w:lastRenderedPageBreak/>
        <w:t>legislación mexicana establece el principio de búsqueda inmediata, el cual implica que las autoridades deben iniciar acciones de localización desde el momento en que se recibe el reporte de desaparición.</w:t>
      </w:r>
    </w:p>
    <w:p w14:paraId="79688714"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3A12F830"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Sin embargo, en muchos casos la reacción institucional se ve afectada por factores como la falta de coordinación interinstitucional, retrasos administrativos, ausencia de protocolos claros de reacción inmediata y limitada participación de autoridades municipales.</w:t>
      </w:r>
    </w:p>
    <w:p w14:paraId="04C80EE6"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09F04FA5"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Séptimo: </w:t>
      </w:r>
      <w:r w:rsidRPr="0012597A">
        <w:rPr>
          <w:rFonts w:ascii="Times New Roman" w:eastAsia="Arial MT" w:hAnsi="Times New Roman" w:cs="Times New Roman"/>
          <w:sz w:val="24"/>
          <w:szCs w:val="24"/>
        </w:rPr>
        <w:t>Los municipios constituyen el nivel de gobierno más cercano a la ciudadanía y desempeñan un papel fundamental en la búsqueda de personas desaparecidas, las autoridades municipales cuentan con herramientas institucionales que pueden contribuir significativamente a la localización de personas desaparecidas, tales como policías municipales, sistemas de videovigilancia, unidades de protección civil y conocimiento territorial de colonias y comunidades, por ello, la coordinación entre el Gobierno del Estado y los 125 ayuntamientos de la entidad resulta indispensable para fortalecer las acciones de búsqueda inmediata.</w:t>
      </w:r>
    </w:p>
    <w:p w14:paraId="632C285C"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30152CD6"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Octavo: </w:t>
      </w:r>
      <w:r w:rsidRPr="0012597A">
        <w:rPr>
          <w:rFonts w:ascii="Times New Roman" w:eastAsia="Arial MT" w:hAnsi="Times New Roman" w:cs="Times New Roman"/>
          <w:sz w:val="24"/>
          <w:szCs w:val="24"/>
        </w:rPr>
        <w:t>Ante la magnitud del fenómeno de desapariciones, resulta necesario fortalecer los mecanismos institucionales de coordinación para la búsqueda de personas desaparecidas, en ese sentido, resulta pertinente analizar la implementación de un Sistema Estatal de Búsqueda Inmediata Municipal, que permita articular la actuación de la Comisión de Búsqueda del Estado de México, la Fiscalía General de Justicia del Estado de México, la Secretaría de Seguridad del Estado de México y las autoridades municipales.</w:t>
      </w:r>
    </w:p>
    <w:p w14:paraId="3765D84C"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5927AB2F"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Este sistema permitiría mejorar la capacidad de reacción institucional mediante la activación inmediata de protocolos de búsqueda, el uso de tecnologías de videovigilancia y el intercambio de información entre instituciones.</w:t>
      </w:r>
    </w:p>
    <w:p w14:paraId="61DF002A"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43164025"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Noveno: </w:t>
      </w:r>
      <w:r w:rsidRPr="0012597A">
        <w:rPr>
          <w:rFonts w:ascii="Times New Roman" w:eastAsia="Arial MT" w:hAnsi="Times New Roman" w:cs="Times New Roman"/>
          <w:sz w:val="24"/>
          <w:szCs w:val="24"/>
        </w:rPr>
        <w:t>La búsqueda de personas desaparecidas constituye una obligación fundamental del Estado, el interés público exige que las autoridades actúen con rapidez, eficacia y coordinación para localizar a las personas desaparecidas y brindar respuestas a sus familias, fortalecer los mecanismos de búsqueda inmediata representa una acción necesaria para proteger los derechos humanos, fortalecer la seguridad pública y recuperar la confianza de la ciudadanía en las instituciones.</w:t>
      </w:r>
    </w:p>
    <w:p w14:paraId="47A7B311"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078D7509"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sz w:val="24"/>
          <w:szCs w:val="24"/>
        </w:rPr>
        <w:t>Basados en los razonamientos y propuestas anteriores, y con el objetivo de lograr un mejor Estado de México, ponemos a consideración de está Soberanía el siguiente Punto de Acuerdo:</w:t>
      </w:r>
    </w:p>
    <w:p w14:paraId="58CF9649"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2EC55B51"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 T E N T A M E N T E</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91"/>
      </w:tblGrid>
      <w:tr w:rsidR="005D544D" w:rsidRPr="0012597A" w14:paraId="22BE8161" w14:textId="77777777" w:rsidTr="00E42132">
        <w:tc>
          <w:tcPr>
            <w:tcW w:w="4704" w:type="dxa"/>
          </w:tcPr>
          <w:p w14:paraId="7960EF71" w14:textId="77777777" w:rsidR="005D544D" w:rsidRPr="0012597A" w:rsidRDefault="005D544D" w:rsidP="005D544D">
            <w:pPr>
              <w:spacing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EMMA LAURA ALVAREZ VILLAVICENCIO</w:t>
            </w:r>
          </w:p>
        </w:tc>
        <w:tc>
          <w:tcPr>
            <w:tcW w:w="4691" w:type="dxa"/>
          </w:tcPr>
          <w:p w14:paraId="15F63E3E" w14:textId="7FB81A58" w:rsidR="005D544D" w:rsidRPr="0012597A" w:rsidRDefault="005D544D" w:rsidP="00EC554C">
            <w:pPr>
              <w:spacing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DIP. PABLO FERNÁNDEZ DE CEVALLOS GONZÁLEZ</w:t>
            </w:r>
          </w:p>
        </w:tc>
      </w:tr>
      <w:tr w:rsidR="005D544D" w:rsidRPr="0012597A" w14:paraId="3396D881" w14:textId="77777777" w:rsidTr="00E42132">
        <w:tc>
          <w:tcPr>
            <w:tcW w:w="9395" w:type="dxa"/>
            <w:gridSpan w:val="2"/>
          </w:tcPr>
          <w:p w14:paraId="2D3DB6B4" w14:textId="54D7B115" w:rsidR="005D544D" w:rsidRPr="0012597A" w:rsidRDefault="005D544D" w:rsidP="00EC554C">
            <w:pPr>
              <w:spacing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GRUPO PARLAMENTARIO DEL PARTIDO ACCIÓN NACIONAL</w:t>
            </w:r>
          </w:p>
        </w:tc>
      </w:tr>
    </w:tbl>
    <w:p w14:paraId="446A3F6E"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3B102518"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756BE427" w14:textId="77777777" w:rsidR="005D544D" w:rsidRPr="0012597A" w:rsidRDefault="005D544D" w:rsidP="005D544D">
      <w:pPr>
        <w:widowControl w:val="0"/>
        <w:autoSpaceDE w:val="0"/>
        <w:autoSpaceDN w:val="0"/>
        <w:spacing w:after="0"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PUNTO DE ACUERDO</w:t>
      </w:r>
    </w:p>
    <w:p w14:paraId="471CB596"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p>
    <w:p w14:paraId="336F1A6D"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 xml:space="preserve">LA H. “LXII” LEGISLATURA EN EJERCICIO DE LAS FACULTADES QUE LE CONFIEREN LOS ARTÍCULOS 51, 57, 61, FRACCIÓN I DE LA CONSTITUCIÓN POLÍTICA DEL ESTADO LIBRE Y SOBERANO DE MÉXICO; 38 FRACCIÓN IV DE LA LEY ORGÁNICA DEL PODER LEGISLATIVO DEL ESTADO LIBRE Y SOBERANO </w:t>
      </w:r>
      <w:r w:rsidRPr="0012597A">
        <w:rPr>
          <w:rFonts w:ascii="Times New Roman" w:eastAsia="Arial MT" w:hAnsi="Times New Roman" w:cs="Times New Roman"/>
          <w:b/>
          <w:sz w:val="24"/>
          <w:szCs w:val="24"/>
        </w:rPr>
        <w:lastRenderedPageBreak/>
        <w:t>DE MÉXICO Y 72 DEL REGLAMENTO DEL PODER LEGISLATIVO DEL ESTADO DE MÉXICO, HA TENIDO A BIEN EL SIGUIENTE:</w:t>
      </w:r>
    </w:p>
    <w:p w14:paraId="4855A6C2"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p>
    <w:p w14:paraId="11575C0D" w14:textId="77777777" w:rsidR="005D544D" w:rsidRPr="0012597A" w:rsidRDefault="005D544D" w:rsidP="00EC554C">
      <w:pPr>
        <w:widowControl w:val="0"/>
        <w:autoSpaceDE w:val="0"/>
        <w:autoSpaceDN w:val="0"/>
        <w:spacing w:after="0" w:line="240" w:lineRule="auto"/>
        <w:ind w:right="18"/>
        <w:jc w:val="center"/>
        <w:rPr>
          <w:rFonts w:ascii="Times New Roman" w:eastAsia="Arial MT" w:hAnsi="Times New Roman" w:cs="Times New Roman"/>
          <w:b/>
          <w:sz w:val="24"/>
          <w:szCs w:val="24"/>
        </w:rPr>
      </w:pPr>
      <w:r w:rsidRPr="0012597A">
        <w:rPr>
          <w:rFonts w:ascii="Times New Roman" w:eastAsia="Arial MT" w:hAnsi="Times New Roman" w:cs="Times New Roman"/>
          <w:b/>
          <w:sz w:val="24"/>
          <w:szCs w:val="24"/>
        </w:rPr>
        <w:t>ACUERDO</w:t>
      </w:r>
    </w:p>
    <w:p w14:paraId="5F73212F"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p>
    <w:p w14:paraId="5ECCE655"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Único. </w:t>
      </w:r>
      <w:r w:rsidRPr="0012597A">
        <w:rPr>
          <w:rFonts w:ascii="Times New Roman" w:eastAsia="Arial MT" w:hAnsi="Times New Roman" w:cs="Times New Roman"/>
          <w:sz w:val="24"/>
          <w:szCs w:val="24"/>
        </w:rPr>
        <w:t>La LXII Legislatura del Estado Libre y Soberano de México exhorta respetuosamente al Gobierno del Estado de México para que, a través de la Comisión de Búsqueda de Personas del Estado de México, fortalezca los mecanismos de coordinación institucional para la búsqueda inmediata de personas desaparecidas; a la Fiscalía General de Justicia del Estado de México para fortalecer la coordinación con las autoridades municipales en la activación inmediata de protocolos de búsqueda; a la Secretaría de Seguridad del Estado de México para fortalecer la coordinación con las policías municipales en acciones de búsqueda inmediata; a los 125 Ayuntamientos del Estado de México para fortalecer o, en su caso, conformar Células Municipales de Búsqueda que permitan participar de manera inmediata en las acciones de localización de personas desaparecidas; a las autoridades estatales y municipales para analizar la implementación de un Sistema Estatal de Búsqueda Inmediata Municipal que permita la activación inmediata de acciones de búsqueda ante cualquier reporte de desaparición.</w:t>
      </w:r>
    </w:p>
    <w:p w14:paraId="75AD380C"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114C1727" w14:textId="77777777" w:rsidR="005D544D" w:rsidRPr="0012597A" w:rsidRDefault="005D544D" w:rsidP="005D544D">
      <w:pPr>
        <w:widowControl w:val="0"/>
        <w:autoSpaceDE w:val="0"/>
        <w:autoSpaceDN w:val="0"/>
        <w:spacing w:after="0" w:line="240" w:lineRule="auto"/>
        <w:ind w:right="18"/>
        <w:jc w:val="both"/>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PRIMERO. - </w:t>
      </w:r>
      <w:r w:rsidRPr="0012597A">
        <w:rPr>
          <w:rFonts w:ascii="Times New Roman" w:eastAsia="Arial MT" w:hAnsi="Times New Roman" w:cs="Times New Roman"/>
          <w:sz w:val="24"/>
          <w:szCs w:val="24"/>
        </w:rPr>
        <w:t>Publíquese este Acuerdo en el Periódico Oficial “Gaceta del Gobierno” del Estado de México.</w:t>
      </w:r>
    </w:p>
    <w:p w14:paraId="2F20F123"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4"/>
          <w:szCs w:val="24"/>
        </w:rPr>
      </w:pPr>
    </w:p>
    <w:p w14:paraId="1DCF8783"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r w:rsidRPr="0012597A">
        <w:rPr>
          <w:rFonts w:ascii="Times New Roman" w:eastAsia="Arial MT" w:hAnsi="Times New Roman" w:cs="Times New Roman"/>
          <w:b/>
          <w:sz w:val="24"/>
          <w:szCs w:val="24"/>
        </w:rPr>
        <w:t xml:space="preserve">ARTÍCULO SEGUNDO. - </w:t>
      </w:r>
      <w:r w:rsidRPr="0012597A">
        <w:rPr>
          <w:rFonts w:ascii="Times New Roman" w:eastAsia="Arial MT" w:hAnsi="Times New Roman" w:cs="Times New Roman"/>
          <w:sz w:val="24"/>
          <w:szCs w:val="24"/>
        </w:rPr>
        <w:t>Comuníquese el presente Acuerdo a las autoridades competentes, para los efectos correspondientes.</w:t>
      </w:r>
    </w:p>
    <w:p w14:paraId="3D8E5E1E"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19BD8136"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r w:rsidRPr="0012597A">
        <w:rPr>
          <w:rFonts w:ascii="Times New Roman" w:eastAsia="Arial MT" w:hAnsi="Times New Roman" w:cs="Times New Roman"/>
          <w:sz w:val="24"/>
          <w:szCs w:val="24"/>
        </w:rPr>
        <w:t xml:space="preserve">Dado en el Palacio del Poder Legislativo, en la ciudad de Toluca de Lerdo, capital del Estado de México, a los </w:t>
      </w:r>
      <w:r w:rsidRPr="0012597A">
        <w:rPr>
          <w:rFonts w:ascii="Times New Roman" w:eastAsia="Arial MT" w:hAnsi="Times New Roman" w:cs="Times New Roman"/>
          <w:sz w:val="24"/>
          <w:szCs w:val="24"/>
          <w:u w:val="single"/>
        </w:rPr>
        <w:tab/>
      </w:r>
      <w:r w:rsidRPr="0012597A">
        <w:rPr>
          <w:rFonts w:ascii="Times New Roman" w:eastAsia="Arial MT" w:hAnsi="Times New Roman" w:cs="Times New Roman"/>
          <w:sz w:val="24"/>
          <w:szCs w:val="24"/>
        </w:rPr>
        <w:t>días del mes de marzo del año dos mil veintiséis.</w:t>
      </w:r>
    </w:p>
    <w:p w14:paraId="69453EA8"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2081B3FC"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sz w:val="24"/>
          <w:szCs w:val="24"/>
        </w:rPr>
      </w:pPr>
    </w:p>
    <w:p w14:paraId="2AE2952D"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0"/>
          <w:szCs w:val="20"/>
        </w:rPr>
      </w:pPr>
      <w:r w:rsidRPr="0012597A">
        <w:rPr>
          <w:rFonts w:ascii="Times New Roman" w:eastAsia="Arial MT" w:hAnsi="Times New Roman" w:cs="Times New Roman"/>
          <w:b/>
          <w:sz w:val="20"/>
          <w:szCs w:val="20"/>
        </w:rPr>
        <w:t>BIBLIOGRAFÍA CONSULTADA:</w:t>
      </w:r>
    </w:p>
    <w:p w14:paraId="5181B5E4" w14:textId="77777777" w:rsidR="005D544D" w:rsidRPr="0012597A" w:rsidRDefault="005D544D" w:rsidP="005D544D">
      <w:pPr>
        <w:widowControl w:val="0"/>
        <w:autoSpaceDE w:val="0"/>
        <w:autoSpaceDN w:val="0"/>
        <w:spacing w:after="0" w:line="240" w:lineRule="auto"/>
        <w:ind w:right="18"/>
        <w:rPr>
          <w:rFonts w:ascii="Times New Roman" w:eastAsia="Arial MT" w:hAnsi="Times New Roman" w:cs="Times New Roman"/>
          <w:b/>
          <w:sz w:val="20"/>
          <w:szCs w:val="20"/>
        </w:rPr>
      </w:pPr>
    </w:p>
    <w:p w14:paraId="782BBDCC"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Constitución Política del Estado Libre y Soberano de México.</w:t>
      </w:r>
    </w:p>
    <w:p w14:paraId="411D305F"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Ley Orgánica del Poder Legislativo del Estado de México.</w:t>
      </w:r>
    </w:p>
    <w:p w14:paraId="17D590B2"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Reglamento del Poder Legislativo del Estado de México.</w:t>
      </w:r>
    </w:p>
    <w:p w14:paraId="771CAA84"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Ley General en Materia de Desaparición Forzada de Personas y Desaparición cometida por particulares, Diario Oficial de la Federación, 17 de noviembre de 2017.</w:t>
      </w:r>
    </w:p>
    <w:p w14:paraId="21C69074"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Ley en Materia de Desaparición de Personas del Estado de México, Gaceta del Gobierno del Estado de México.</w:t>
      </w:r>
    </w:p>
    <w:p w14:paraId="59A0676A"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Registro Nacional de Personas Desaparecidas y No Localizadas (RNPDNO), Secretaría de Gobernación, Gobierno de México.</w:t>
      </w:r>
    </w:p>
    <w:p w14:paraId="79AC2CF7"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Comisión Nacional de Búsqueda de Personas, Informe sobre desapariciones en México.</w:t>
      </w:r>
    </w:p>
    <w:p w14:paraId="5D45E94E"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Registro Nacional de Personas Desaparecidas y No Localizadas, datos por entidad federativa, Secretaría de Gobernación.</w:t>
      </w:r>
    </w:p>
    <w:p w14:paraId="5E142CA0"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Comisión Nacional de Búsqueda, estadísticas de personas desaparecidas por sexo.</w:t>
      </w:r>
    </w:p>
    <w:p w14:paraId="4700E76B"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Registro Nacional de Personas Desaparecidas y No Localizadas, estadísticas municipales, Secretaría de Gobernación.</w:t>
      </w:r>
    </w:p>
    <w:p w14:paraId="08BABFED" w14:textId="77777777" w:rsidR="005D544D" w:rsidRPr="0012597A" w:rsidRDefault="005D544D" w:rsidP="0012453E">
      <w:pPr>
        <w:widowControl w:val="0"/>
        <w:numPr>
          <w:ilvl w:val="0"/>
          <w:numId w:val="44"/>
        </w:numPr>
        <w:autoSpaceDE w:val="0"/>
        <w:autoSpaceDN w:val="0"/>
        <w:spacing w:after="0" w:line="240" w:lineRule="auto"/>
        <w:ind w:left="0" w:right="18" w:firstLine="0"/>
        <w:rPr>
          <w:rFonts w:ascii="Times New Roman" w:eastAsia="Arial MT" w:hAnsi="Times New Roman" w:cs="Times New Roman"/>
          <w:sz w:val="20"/>
          <w:szCs w:val="20"/>
        </w:rPr>
      </w:pPr>
      <w:r w:rsidRPr="0012597A">
        <w:rPr>
          <w:rFonts w:ascii="Times New Roman" w:eastAsia="Arial MT" w:hAnsi="Times New Roman" w:cs="Times New Roman"/>
          <w:sz w:val="20"/>
          <w:szCs w:val="20"/>
        </w:rPr>
        <w:t>Comisión Nacional de Búsqueda de Personas, Protocolo Homologado de Búsqueda.</w:t>
      </w:r>
    </w:p>
    <w:p w14:paraId="0B9E6143" w14:textId="77777777" w:rsidR="00AA0AAC" w:rsidRPr="0012597A" w:rsidRDefault="00AA0AAC" w:rsidP="00E42132">
      <w:pPr>
        <w:spacing w:after="0" w:line="240" w:lineRule="auto"/>
        <w:jc w:val="center"/>
        <w:rPr>
          <w:rFonts w:ascii="Times New Roman" w:hAnsi="Times New Roman"/>
          <w:sz w:val="24"/>
          <w:szCs w:val="24"/>
        </w:rPr>
      </w:pPr>
    </w:p>
    <w:p w14:paraId="56060B00" w14:textId="77777777" w:rsidR="00AA0AAC" w:rsidRPr="0012597A" w:rsidRDefault="00AA0AAC" w:rsidP="00E42132">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40E0D9AA" w14:textId="77777777" w:rsidR="00AA0AAC" w:rsidRPr="0012597A" w:rsidRDefault="00AA0AAC" w:rsidP="00E42132">
      <w:pPr>
        <w:spacing w:after="0" w:line="240" w:lineRule="auto"/>
        <w:jc w:val="center"/>
        <w:rPr>
          <w:rFonts w:ascii="Times New Roman" w:hAnsi="Times New Roman"/>
          <w:sz w:val="24"/>
          <w:szCs w:val="24"/>
        </w:rPr>
      </w:pPr>
    </w:p>
    <w:p w14:paraId="2E5E06D1" w14:textId="0A23C20D" w:rsidR="00791E2D" w:rsidRPr="0012597A" w:rsidRDefault="00AA0AAC" w:rsidP="00AA0AAC">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DIP. MARTHA AZUCENA CAMACHO REYNOSO. </w:t>
      </w:r>
      <w:r w:rsidR="00791E2D" w:rsidRPr="0012597A">
        <w:rPr>
          <w:rFonts w:ascii="Times New Roman" w:hAnsi="Times New Roman" w:cs="Times New Roman"/>
          <w:sz w:val="24"/>
          <w:szCs w:val="24"/>
        </w:rPr>
        <w:t xml:space="preserve">Se registra y se remite a las Comisiones Legislativas de Procuración y Administración de Justicia para las declaratorias de </w:t>
      </w:r>
      <w:r w:rsidR="00791E2D" w:rsidRPr="0012597A">
        <w:rPr>
          <w:rFonts w:ascii="Times New Roman" w:hAnsi="Times New Roman" w:cs="Times New Roman"/>
          <w:sz w:val="24"/>
          <w:szCs w:val="24"/>
        </w:rPr>
        <w:lastRenderedPageBreak/>
        <w:t>Alerta de Violencia de Género Contra las Mujeres por Feminicidio y Desaparición, para su estudio y dictamen.</w:t>
      </w:r>
    </w:p>
    <w:p w14:paraId="6838431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En el punto número 26, la diputada Selina Trujillo Arizmendi, presenta en nombre del Grupo Parlamentario del Partido morena, posicionamiento por el que se expresa la solidaridad con el pueblo de Cuba ante la crisis energética y rechaza toda amenaza de intervención extranjera.</w:t>
      </w:r>
    </w:p>
    <w:p w14:paraId="51719890"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SELINA TRUJILLO ARIZMENDI. Gracias.</w:t>
      </w:r>
    </w:p>
    <w:p w14:paraId="0DF6A315"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Con su permiso Presidenta, con su permiso de la Mesa Directiva. </w:t>
      </w:r>
    </w:p>
    <w:p w14:paraId="49DB1D24"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Compañeras, compañeros, compañere, el silencio no es una opción, el silencio sería complicidad. </w:t>
      </w:r>
    </w:p>
    <w:p w14:paraId="75F9D6FA"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Desde la máxima tribuna que representa la voz de nuestro Estado de México, acudo a esta Honorable Asamblea, no sólo en el ejercicio de una facultad legislativa; sino en el cumplimiento de una responsabilidad histórica, ética y política.</w:t>
      </w:r>
    </w:p>
    <w:p w14:paraId="0CB91A0D"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Alzar la voz frente a los acontecimientos que afectan a nuestros pueblos hermanos. Hoy dirigimos nuestra mirada hacía la República de Cuba, nación que enfrenta una grave crisis energética y que se ha impactado profundamente la vida cotidiana de millones de personas; pero más allá de la crisis interna lo que verdaderamente preocupa es el contexto internacional que lo rodea.</w:t>
      </w:r>
    </w:p>
    <w:p w14:paraId="3429277C"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Declaraciones recientes del Presidente de Estados Unidos, Donald Trump en la que se refirió a la posibilidad de tomar Cuba, no puede ni debe pasar desapercibida, no son sólo palabras, representa una visión intervencionista que ha marcado por décadas la historia de América Latina y esa historia la conocemos bien, nuestra región ha sido escenario de invasiones, bloqueos, presiones políticas y económicas que han vulnerado la Soberanía de los pueblos.</w:t>
      </w:r>
    </w:p>
    <w:p w14:paraId="29DC93D2"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Desde 1898 hasta nuestros días, América Latina ha resistido, ha luchado por algo fundamental, su derecho a decidir sobre su propio destino.</w:t>
      </w:r>
    </w:p>
    <w:p w14:paraId="0E1F959E"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Hoy, desde esta tribuna, lo decimos con claridad, el Estado de México y particularmente esta tribuna, en respaldo y apego a una tradición de principios de política exterior mexicana que nos definen ante el mundo, defendemos la autodeterminación de los pueblos, la no intervención, la solución pacífica de las controversias, la cooperación internacional, principios enunciativos más no limitativos, que no son retórica, son mandatos constitucionales y compromisos históricos.</w:t>
      </w:r>
    </w:p>
    <w:p w14:paraId="6CBB75F5"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Por ello, este posicionamiento no es un acto aislado, es una declaración firme, México no respalda, ni respaldará ninguna forma de intervención extranjera, México cree en el diálogo no a la imposición, México apuesta por la solidaridad, no por la dominación.</w:t>
      </w:r>
    </w:p>
    <w:p w14:paraId="6EA9349B"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Hoy expresamos nuestra solidaridad con el pueblo cubano, no desde la injerencia; sino desde el respeto, reconocemos que los problemas de cada nación deben resolverse por sus propios pueblos sin presiones extranjeras ni amenazas y al mismo tiempo hacemos un llamado a la comunidad internacional a actuar con responsabilidad, privilegiando la cooperación humanitaria y el entendimiento entre naciones.</w:t>
      </w:r>
    </w:p>
    <w:p w14:paraId="6C542135"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Compañeras y compañeros, América Latina no es un territorio de conquista, es una región de pueblos dignos, libres y soberanos, y el futuro de nuestra región debe construirse sobre la base de la igualdad entre naciones, de la integración regional y el respeto absoluto a la Soberanía.</w:t>
      </w:r>
    </w:p>
    <w:p w14:paraId="728AD4AE"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Desde el Congreso del Estado de México reafirmamos nuestro compromiso con estos valores, porque defender a Cuba hoy, no es sólo un acto de solidaridad, es defender los principios que protegen a todos los pueblos, la suerte de América Latina es nuestra.</w:t>
      </w:r>
    </w:p>
    <w:p w14:paraId="530DFCBD"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¡Que viva Cuba y que viva libre!</w:t>
      </w:r>
    </w:p>
    <w:p w14:paraId="5AA5BD4B"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Es cuanto compañeras y compañeros.</w:t>
      </w:r>
    </w:p>
    <w:p w14:paraId="235BCFE6"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Selina Trujillo Arizmendi.</w:t>
      </w:r>
    </w:p>
    <w:p w14:paraId="14436261"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Se registra lo expresado por la diputada Selina Trujillo Arizmendi.</w:t>
      </w:r>
    </w:p>
    <w:p w14:paraId="7821E313"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lastRenderedPageBreak/>
        <w:tab/>
        <w:t>En cuanto al punto número 20, la diputada Ruth Salinas Reyes, leerá la Iniciativa con Proyecto de Decreto por el que se reforman y adicionan diversas disposiciones de la Ley de Movilidad y Seguridad Vial del Estado de México y del Código Administrativo del Estado de México en materia de garantías de seguridad para los operadores y usuarios de los servicios electrónicos de transporte privado de personas, presentada por las y los integrantes del Grupo Parlamentario del Partido Movimiento Ciudadano.</w:t>
      </w:r>
    </w:p>
    <w:p w14:paraId="471146D0"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DIP. RUTH SALINAS REYES. Con su permiso Presidenta, de mis compañeras, compañeros, compañere.</w:t>
      </w:r>
    </w:p>
    <w:p w14:paraId="7CD67D97" w14:textId="77777777" w:rsidR="00791E2D" w:rsidRPr="0012597A" w:rsidRDefault="00791E2D" w:rsidP="00EF1C7F">
      <w:pPr>
        <w:spacing w:after="0" w:line="240" w:lineRule="aut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Hoy presentamos una iniciativa sumamente sentida, sabemos perfectamente que la tecnología en las últimas décadas ha propiciado la creación de nuevas formas de hacer negocio y prestar servicios en general. </w:t>
      </w:r>
    </w:p>
    <w:p w14:paraId="4B9CF68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Este es el caso de plataformas digitales que ofrecen el servicio de transporte privado de personas, hablamos de taxis, de motos y todas y todos, hemos usado alguna vez este servicio; ya es parte de nuestra cotidianidad y del complejo sistema de movilidad en nuestro Estado. Debemos de reconocer que en mucho ayuda y mucho sirven.</w:t>
      </w:r>
    </w:p>
    <w:p w14:paraId="5FA97506"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De acuerdo con datos del IMSS, en México hay más de 1 millón de personas que trabajan prestando estos servicios y aunque no se cuenta con datos precisos sobre el número de usuarios y de viajes realizados al año, sabemos que esta modalidad de transporte es indispensable para muchas personas. </w:t>
      </w:r>
    </w:p>
    <w:p w14:paraId="02FB4FEF"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Sin embargo, no es sorpresa que millones de mexiquenses, sientan temor para trabajar o para abordar alguno de estos servicios, comencé diciendo que es una iniciativa muy sentida, porque parte de una historia que hace semanas nos enteramos la tragedia de una joven que salió a una fiesta por la noche, que solicitó una moto de aplicación y que lamentablemente se perdió el transcurso de su viaje, que después de que sus padres la buscaran, lo único que encontraron fue un cuerpo ya sin vida y que aunque fue detenido, quien conducía esta moto, no da ninguna solución, nadie va a devolver la vida de esta joven. </w:t>
      </w:r>
    </w:p>
    <w:p w14:paraId="7E3634C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Por eso, es que aquí nos tenemos que plantear como uno de los 3 poderes de nuestro Estado, cómo vamos a contribuir para detener estas tragedias y que tanto conductores como usuarios realicen sus viajes con seguridad y tranquilidad. Por lo cual se propone que las plataformas que prestan estos servicios cuenten con sistemas de enlace en tiempo real con las instituciones de seguridad pública para la protección y salvaguarda de los conductores y de las y los usuarios. </w:t>
      </w:r>
    </w:p>
    <w:p w14:paraId="00929B0C"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Además, se propone que los vehículos cuenten con un sistema encargado de recopilar información relacionada con la ubicación, con la velocidad y con imágenes de vídeo del entorno e interior del vehículo que ayuden a la investigación y esclarecimiento de diferentes incidentes que pudieran ocasionar.</w:t>
      </w:r>
    </w:p>
    <w:p w14:paraId="1352D821"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De acuerdo a la información que tenemos del caso de esta joven, sí, quien conducía estaba dado de alta en la plataforma que ofreció este servicio; pero que esa noche no iba a dar este servicio, que además llegó sin casco, que llegó con efectos de ciertas sustancias, información que lamentablemente, la joven no pudo tener a tiempo para no haber abordado esta moto.</w:t>
      </w:r>
    </w:p>
    <w:p w14:paraId="6C3A296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Las unidades de transporte público concesionado, ya tienen la obligación de contar con cámaras de videograbación; sin embargo, es necesario ampliar esta obligación a aquellas plataformas y sus socios que prestan el servicio de transporte privado de personas para garantizar la seguridad de las y los usuarios. </w:t>
      </w:r>
    </w:p>
    <w:p w14:paraId="0E5246D8"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En México, algunas plataformas que ofertan estos servicios ya cuentan con estas funciones de grabación, mismas que quedan encriptadas hasta por 7 días y no requieren más que el propio celular con el que funciona la plataforma para que, sigan siendo casos de indagación.</w:t>
      </w:r>
    </w:p>
    <w:p w14:paraId="05748B30"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La excepción, hay que decirlo, se llega a dar en todo momento, por eso es obligatorio que cada viaje sea grabado y monitoreado en tiempo real, porque también es un hecho, muchas de estas </w:t>
      </w:r>
      <w:r w:rsidRPr="0012597A">
        <w:rPr>
          <w:rFonts w:ascii="Times New Roman" w:hAnsi="Times New Roman" w:cs="Times New Roman"/>
          <w:sz w:val="24"/>
          <w:szCs w:val="24"/>
        </w:rPr>
        <w:lastRenderedPageBreak/>
        <w:t>empresas de plataforma, simplemente dan una disculpa, si se te queda una bolsa, si se te pierde una maleta; pero no habrá disculpa que reviva a una mujer que ha perdido la vida.</w:t>
      </w:r>
    </w:p>
    <w:p w14:paraId="630C652F"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Por eso es necesario que actualicemos las políticas de uso de la aplicación, para que quien es usuario, autorice de manera expresa su consentimiento a ser grabado en cada viaje con motivo de su seguridad; así como fortalecer los mecanismos de transparencia que aún están pendientes en la Entidad para evitar un mal manejo de estas grabaciones e información.</w:t>
      </w:r>
    </w:p>
    <w:p w14:paraId="6D92B77B"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Porque lo más importante es tener una respuesta pronta y eficiente para atender de manera oportuna a posibles víctimas de algún hecho ilícito o de un percance.</w:t>
      </w:r>
    </w:p>
    <w:p w14:paraId="3095C9BE"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Por ello, Movimiento Ciudadano, propone que se tenga una movilidad digna y segura, adicionando los numerales 4 y 5 y recorriendo los subsecuentes de los artículos 93 y las fracciones X, XI y XII de la Ley de Movilidad y Seguridad Vial del Estado de México y sus Municipios.</w:t>
      </w:r>
    </w:p>
    <w:p w14:paraId="7D6952C4"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Adicionando también la fracción VI y VII del artículo 7.57 Bis del Código Administrativo del Estado de México, en materia de garantías de seguridad para los operadores y usuarios de los servicios electrónicos de transporte privado de personas, no podemos detener la movilización, lo que sí podemos hacer, es asegurar que la mujer u hombre que tome este servicio, llegue sano y salvo a su hogar.</w:t>
      </w:r>
    </w:p>
    <w:p w14:paraId="4C9913C0"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Por ello, Presidenta, solicito se inserte el texto íntegro de la presente iniciativa al Diario de los Debates y la Gaceta Parlamentaria.</w:t>
      </w:r>
    </w:p>
    <w:p w14:paraId="279791FB"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Es cuanto, muchas gracias.</w:t>
      </w:r>
    </w:p>
    <w:p w14:paraId="02D04312" w14:textId="77777777" w:rsidR="00020F9D" w:rsidRPr="0012597A" w:rsidRDefault="00020F9D" w:rsidP="00E42132">
      <w:pPr>
        <w:pStyle w:val="Sinespaciado"/>
        <w:jc w:val="both"/>
        <w:rPr>
          <w:rFonts w:ascii="Times New Roman" w:hAnsi="Times New Roman" w:cs="Times New Roman"/>
          <w:sz w:val="24"/>
          <w:szCs w:val="24"/>
        </w:rPr>
      </w:pPr>
    </w:p>
    <w:p w14:paraId="0AA9C6FC" w14:textId="77777777" w:rsidR="00020F9D" w:rsidRPr="0012597A" w:rsidRDefault="00020F9D" w:rsidP="00E42132">
      <w:pPr>
        <w:spacing w:after="0" w:line="240" w:lineRule="auto"/>
        <w:jc w:val="center"/>
        <w:rPr>
          <w:rFonts w:ascii="Times New Roman" w:hAnsi="Times New Roman"/>
          <w:i/>
          <w:sz w:val="24"/>
          <w:szCs w:val="24"/>
        </w:rPr>
      </w:pPr>
      <w:r w:rsidRPr="0012597A">
        <w:rPr>
          <w:rFonts w:ascii="Times New Roman" w:hAnsi="Times New Roman"/>
          <w:i/>
          <w:sz w:val="24"/>
          <w:szCs w:val="24"/>
        </w:rPr>
        <w:t>(Se inserta documento)</w:t>
      </w:r>
    </w:p>
    <w:p w14:paraId="2E4362EE" w14:textId="77777777" w:rsidR="00020F9D" w:rsidRPr="0012597A" w:rsidRDefault="00020F9D" w:rsidP="00E42132">
      <w:pPr>
        <w:spacing w:after="0" w:line="240" w:lineRule="auto"/>
        <w:jc w:val="center"/>
        <w:rPr>
          <w:rFonts w:ascii="Times New Roman" w:hAnsi="Times New Roman"/>
          <w:sz w:val="24"/>
          <w:szCs w:val="24"/>
        </w:rPr>
      </w:pPr>
    </w:p>
    <w:p w14:paraId="2D337589" w14:textId="77777777" w:rsidR="00733911" w:rsidRPr="0012597A" w:rsidRDefault="00733911" w:rsidP="00F1023A">
      <w:pPr>
        <w:widowControl w:val="0"/>
        <w:autoSpaceDE w:val="0"/>
        <w:autoSpaceDN w:val="0"/>
        <w:spacing w:after="0" w:line="240" w:lineRule="auto"/>
        <w:jc w:val="right"/>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Bancada Naranja</w:t>
      </w:r>
    </w:p>
    <w:p w14:paraId="2A30C3D1"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2BD4E180" w14:textId="77777777" w:rsidR="00733911" w:rsidRPr="0012597A" w:rsidRDefault="00733911" w:rsidP="00733911">
      <w:pPr>
        <w:widowControl w:val="0"/>
        <w:autoSpaceDE w:val="0"/>
        <w:autoSpaceDN w:val="0"/>
        <w:spacing w:after="0" w:line="240" w:lineRule="auto"/>
        <w:jc w:val="right"/>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Toluca de Lerdo, Estado de México, 18 de marzo, 2026.</w:t>
      </w:r>
    </w:p>
    <w:p w14:paraId="20DBA44C"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253AC550"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DIPUTADA</w:t>
      </w:r>
    </w:p>
    <w:p w14:paraId="5AB04F66"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MARTHA AZUCENA CAMACHO REYNOSO</w:t>
      </w:r>
    </w:p>
    <w:p w14:paraId="38E2E4E1"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PRESIDENTA DE LA LXII LEGISLATURA</w:t>
      </w:r>
    </w:p>
    <w:p w14:paraId="737369FF"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DEL ESTADO DE MÉXICO</w:t>
      </w:r>
    </w:p>
    <w:p w14:paraId="2DB648CF"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4513F9B3"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P R E S E N T E</w:t>
      </w:r>
    </w:p>
    <w:p w14:paraId="2A5F3354"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2140D531" w14:textId="4676F715"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12597A">
        <w:rPr>
          <w:rFonts w:ascii="Times New Roman" w:eastAsia="Trebuchet MS" w:hAnsi="Times New Roman" w:cs="Times New Roman"/>
          <w:b/>
          <w:sz w:val="24"/>
          <w:szCs w:val="24"/>
        </w:rPr>
        <w:t xml:space="preserve">Iniciativa con Proyecto de Decreto que adiciona los numerales 4 y 5 recorriendo los subsecuentes del artículo 93 y las fracciones X, XI y XII recorriendo la subsecuente del artículo </w:t>
      </w:r>
      <w:r w:rsidR="00F1023A" w:rsidRPr="0012597A">
        <w:rPr>
          <w:rFonts w:ascii="Times New Roman" w:eastAsia="Trebuchet MS" w:hAnsi="Times New Roman" w:cs="Times New Roman"/>
          <w:b/>
          <w:sz w:val="24"/>
          <w:szCs w:val="24"/>
        </w:rPr>
        <w:t>9</w:t>
      </w:r>
      <w:r w:rsidRPr="0012597A">
        <w:rPr>
          <w:rFonts w:ascii="Times New Roman" w:eastAsia="Trebuchet MS" w:hAnsi="Times New Roman" w:cs="Times New Roman"/>
          <w:b/>
          <w:sz w:val="24"/>
          <w:szCs w:val="24"/>
        </w:rPr>
        <w:t>7 de la Ley de Movilidad y Seguridad Vial del Estado de México y Municipios y se adicionan las fracciones VI y VII del artículo 7.57 Bis del Código Administrativo del Estado de México, en Materia de Garantías de Seguridad para los Operadores y Usuarios de los Servicios Electrónicos de Transporte Privado de Personas, de conformidad con la siguiente:</w:t>
      </w:r>
    </w:p>
    <w:p w14:paraId="4F3F6AB4"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4EED542E" w14:textId="77777777" w:rsidR="00733911" w:rsidRPr="0012597A" w:rsidRDefault="00733911" w:rsidP="00733911">
      <w:pPr>
        <w:widowControl w:val="0"/>
        <w:autoSpaceDE w:val="0"/>
        <w:autoSpaceDN w:val="0"/>
        <w:spacing w:after="0"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u w:val="single"/>
        </w:rPr>
        <w:t>EXPOSICIÓN DE MOTIVOS</w:t>
      </w:r>
    </w:p>
    <w:p w14:paraId="01C34BEC"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3C443CBB"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 xml:space="preserve">El avance tecnológico ha incentivado la creación de nuevas formas de negocio en la prestación de </w:t>
      </w:r>
      <w:r w:rsidRPr="0012597A">
        <w:rPr>
          <w:rFonts w:ascii="Times New Roman" w:eastAsia="Trebuchet MS" w:hAnsi="Times New Roman" w:cs="Times New Roman"/>
          <w:sz w:val="24"/>
          <w:szCs w:val="24"/>
        </w:rPr>
        <w:lastRenderedPageBreak/>
        <w:t>servicios, entre ellas, la prestación del servicio de transporte privado de pasajeros por aplicación.</w:t>
      </w:r>
    </w:p>
    <w:p w14:paraId="20DA9AEB"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p>
    <w:p w14:paraId="7D75F0B3"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Se estima que en México hay más de un millón de personas que prestan estos servicios y que ya se encuentran registradas ante el Instituto Mexicano del Seguro Social.</w:t>
      </w:r>
      <w:hyperlink w:anchor="_bookmark0" w:history="1">
        <w:r w:rsidRPr="0012597A">
          <w:rPr>
            <w:rFonts w:ascii="Times New Roman" w:eastAsia="Trebuchet MS" w:hAnsi="Times New Roman" w:cs="Times New Roman"/>
            <w:color w:val="FF0000"/>
            <w:sz w:val="24"/>
            <w:szCs w:val="24"/>
            <w:vertAlign w:val="superscript"/>
          </w:rPr>
          <w:t>1</w:t>
        </w:r>
      </w:hyperlink>
    </w:p>
    <w:p w14:paraId="30A0003C"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0535C55B"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La movilidad mediante plataformas digitales de transporte privado se ha consolidado como un componente básico y cotidiano del complejo sistema de movilidad en el Estado de México.</w:t>
      </w:r>
    </w:p>
    <w:p w14:paraId="7AE0F970"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23CE4589"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No obstante, el aumento en la demanda de estos servicios también ha dejado en evidencia los vacíos regulatorios en materia de seguridad, en específico ante incidentes delictivos, percances viales y situaciones de violencia que ocurren durante la prestación del servicio.</w:t>
      </w:r>
    </w:p>
    <w:p w14:paraId="3B4E5862"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47A1899C"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A pesar de que estas plataformas son una alternativa más organizada frente a otros esquemas de transporte, no están exentas de riesgos para las personas usuarias y conductoras.</w:t>
      </w:r>
    </w:p>
    <w:p w14:paraId="1B28EFA1"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0C7DB1AF"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A pesar de que el índice de robo de vehículo ha disminuido, actividades que implican estar en continuo movimiento, a diferentes horas del día y en áreas conurbadas conllevan un riesgo extra para los prestadores de estos servicios.</w:t>
      </w:r>
    </w:p>
    <w:p w14:paraId="4D1630E9"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675F262C"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En este contexto, el Estado tiene la obligación constitucional de garantizar la seguridad pública y la integridad personal, así como de adoptar medidas que incorporen herramientas tecnológicas para la prevención, investigación y persecución de los delitos, respetando en todo momento los derechos humanos y la protección de datos personales.</w:t>
      </w:r>
    </w:p>
    <w:p w14:paraId="4848436B"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174F4D1F"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0"/>
          <w:szCs w:val="24"/>
        </w:rPr>
      </w:pPr>
      <w:r w:rsidRPr="0012597A">
        <w:rPr>
          <w:rFonts w:ascii="Times New Roman" w:eastAsia="Trebuchet MS" w:hAnsi="Times New Roman" w:cs="Times New Roman"/>
          <w:color w:val="FF0000"/>
          <w:sz w:val="20"/>
          <w:szCs w:val="24"/>
        </w:rPr>
        <w:t>1</w:t>
      </w:r>
      <w:r w:rsidRPr="0012597A">
        <w:rPr>
          <w:rFonts w:ascii="Times New Roman" w:eastAsia="Trebuchet MS" w:hAnsi="Times New Roman" w:cs="Times New Roman"/>
          <w:sz w:val="20"/>
          <w:szCs w:val="24"/>
        </w:rPr>
        <w:t xml:space="preserve"> Puestos de trabajo afiliados al Instituto Mexicano del Seguro Social </w:t>
      </w:r>
      <w:hyperlink r:id="rId93">
        <w:r w:rsidRPr="0012597A">
          <w:rPr>
            <w:rFonts w:ascii="Times New Roman" w:eastAsia="Trebuchet MS" w:hAnsi="Times New Roman" w:cs="Times New Roman"/>
            <w:color w:val="467885"/>
            <w:sz w:val="20"/>
            <w:szCs w:val="24"/>
            <w:u w:val="single" w:color="467885"/>
          </w:rPr>
          <w:t>https://www.imss.gob.mx/prensa/archivo/202508/393</w:t>
        </w:r>
      </w:hyperlink>
    </w:p>
    <w:p w14:paraId="584E4B4B"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p>
    <w:p w14:paraId="4EAB5C74"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En el propio Estado de México, la Ley de Movilidad y Seguridad Vial ya contempla la obligación de instalar sistemas de videograbación en el transporte público concesionado, conectados al Centro de Control, Comando, Comunicación, Cómputo y Calidad (C5), como una estrategia para fortalecer la seguridad. Sin embargo, dicha medida no se extiende de manera expresa a los vehículos de plataformas digitales, lo que genera una asimetría regulatoria que debe ser subsanada.</w:t>
      </w:r>
    </w:p>
    <w:p w14:paraId="1F06B0AC"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5EB48ADA"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Estudios nacionales e internacionales señalan que hasta 6 de cada 10 mujeres han experimentado algún tipo de violencia o acoso durante el uso del transporte, lo que convierte a la movilidad en un factor de vulnerabilidad estructural.</w:t>
      </w:r>
    </w:p>
    <w:p w14:paraId="4F3FBB44"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5AFFF306"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De acuerdo con datos de la ENVIPE (2025) el 85% de las mujeres se sienten inseguras en el transporte público y aunque no se cuenta con datos estadísticos precisos sobre la percepción y prevalencia de la violencia en contra de las mujeres en el transporte a través de plataformas digitales, se estima que estos hechos son recurrentes.</w:t>
      </w:r>
      <w:hyperlink w:anchor="_bookmark1" w:history="1">
        <w:r w:rsidRPr="0012597A">
          <w:rPr>
            <w:rFonts w:ascii="Times New Roman" w:eastAsia="Trebuchet MS" w:hAnsi="Times New Roman" w:cs="Times New Roman"/>
            <w:color w:val="FF0000"/>
            <w:sz w:val="24"/>
            <w:szCs w:val="24"/>
            <w:vertAlign w:val="superscript"/>
          </w:rPr>
          <w:t>2</w:t>
        </w:r>
      </w:hyperlink>
    </w:p>
    <w:p w14:paraId="281B066C"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2FD21D86"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Por ello es necesaria la interconexión tecnológica con los sistemas de seguridad pública, para que estos cumplan con lo dispuesto en la Ley General del Sistema Nacional de Seguridad Pública, que faculta a las autoridades para emplear tecnologías de la información con fines de prevención y persecución del delito</w:t>
      </w:r>
      <w:hyperlink w:anchor="_bookmark2" w:history="1">
        <w:r w:rsidRPr="0012597A">
          <w:rPr>
            <w:rFonts w:ascii="Times New Roman" w:eastAsia="Trebuchet MS" w:hAnsi="Times New Roman" w:cs="Times New Roman"/>
            <w:sz w:val="24"/>
            <w:szCs w:val="24"/>
          </w:rPr>
          <w:t>.</w:t>
        </w:r>
        <w:r w:rsidRPr="0012597A">
          <w:rPr>
            <w:rFonts w:ascii="Times New Roman" w:eastAsia="Trebuchet MS" w:hAnsi="Times New Roman" w:cs="Times New Roman"/>
            <w:color w:val="FF0000"/>
            <w:sz w:val="24"/>
            <w:szCs w:val="24"/>
            <w:vertAlign w:val="superscript"/>
          </w:rPr>
          <w:t>3</w:t>
        </w:r>
      </w:hyperlink>
      <w:r w:rsidRPr="0012597A">
        <w:rPr>
          <w:rFonts w:ascii="Times New Roman" w:eastAsia="Trebuchet MS" w:hAnsi="Times New Roman" w:cs="Times New Roman"/>
          <w:sz w:val="24"/>
          <w:szCs w:val="24"/>
        </w:rPr>
        <w:t xml:space="preserve"> Fomentando la colaboración y potencializando la tecnología ya disponible por los prestadores de servicios para garantizar la seguridad de personas usuarias y conductoras.</w:t>
      </w:r>
    </w:p>
    <w:p w14:paraId="2AC371AD"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26ECC514"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 xml:space="preserve">La presente iniciativa no pretende inhibir la innovación ni afectar la operación de dichas </w:t>
      </w:r>
      <w:r w:rsidRPr="0012597A">
        <w:rPr>
          <w:rFonts w:ascii="Times New Roman" w:eastAsia="Trebuchet MS" w:hAnsi="Times New Roman" w:cs="Times New Roman"/>
          <w:sz w:val="24"/>
          <w:szCs w:val="24"/>
        </w:rPr>
        <w:lastRenderedPageBreak/>
        <w:t>plataformas, sino equilibrar su funcionamiento con el interés público, garantizando condiciones de seguridad, legalidad y respeto a los derechos humanos.</w:t>
      </w:r>
    </w:p>
    <w:p w14:paraId="645151D3"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1EBD0962"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color w:val="467885"/>
          <w:sz w:val="20"/>
          <w:szCs w:val="20"/>
        </w:rPr>
      </w:pPr>
      <w:r w:rsidRPr="0012597A">
        <w:rPr>
          <w:rFonts w:ascii="Times New Roman" w:eastAsia="Trebuchet MS" w:hAnsi="Times New Roman" w:cs="Times New Roman"/>
          <w:color w:val="FF0000"/>
          <w:sz w:val="20"/>
          <w:szCs w:val="20"/>
          <w:vertAlign w:val="superscript"/>
        </w:rPr>
        <w:t>2</w:t>
      </w:r>
      <w:r w:rsidRPr="0012597A">
        <w:rPr>
          <w:rFonts w:ascii="Times New Roman" w:eastAsia="Trebuchet MS" w:hAnsi="Times New Roman" w:cs="Times New Roman"/>
          <w:sz w:val="20"/>
          <w:szCs w:val="20"/>
        </w:rPr>
        <w:t xml:space="preserve"> Encuesta Nacional de Victimización y Percepción Sobre Seguridad Pública, 2025 </w:t>
      </w:r>
      <w:hyperlink r:id="rId94">
        <w:r w:rsidRPr="0012597A">
          <w:rPr>
            <w:rFonts w:ascii="Times New Roman" w:eastAsia="Trebuchet MS" w:hAnsi="Times New Roman" w:cs="Times New Roman"/>
            <w:color w:val="467885"/>
            <w:sz w:val="20"/>
            <w:szCs w:val="20"/>
            <w:u w:val="single" w:color="467885"/>
          </w:rPr>
          <w:t>https://www.inegi.org.mx/contenidos/programas/envipe/2025/doc/envipe2025_mex.pdf</w:t>
        </w:r>
      </w:hyperlink>
    </w:p>
    <w:p w14:paraId="551DC67F"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0"/>
          <w:szCs w:val="20"/>
        </w:rPr>
      </w:pPr>
      <w:r w:rsidRPr="0012597A">
        <w:rPr>
          <w:rFonts w:ascii="Times New Roman" w:eastAsia="Trebuchet MS" w:hAnsi="Times New Roman" w:cs="Times New Roman"/>
          <w:color w:val="FF0000"/>
          <w:sz w:val="20"/>
          <w:szCs w:val="20"/>
        </w:rPr>
        <w:t>3</w:t>
      </w:r>
      <w:r w:rsidRPr="0012597A">
        <w:rPr>
          <w:rFonts w:ascii="Times New Roman" w:eastAsia="Trebuchet MS" w:hAnsi="Times New Roman" w:cs="Times New Roman"/>
          <w:sz w:val="20"/>
          <w:szCs w:val="20"/>
        </w:rPr>
        <w:t xml:space="preserve"> Ley General del Sistema Nacional de Seguridad Pública</w:t>
      </w:r>
    </w:p>
    <w:p w14:paraId="7254E46E" w14:textId="77777777" w:rsidR="00733911" w:rsidRPr="0012597A" w:rsidRDefault="00E42132" w:rsidP="00733911">
      <w:pPr>
        <w:widowControl w:val="0"/>
        <w:autoSpaceDE w:val="0"/>
        <w:autoSpaceDN w:val="0"/>
        <w:spacing w:after="0" w:line="240" w:lineRule="auto"/>
        <w:rPr>
          <w:rFonts w:ascii="Times New Roman" w:eastAsia="Trebuchet MS" w:hAnsi="Times New Roman" w:cs="Times New Roman"/>
          <w:sz w:val="20"/>
          <w:szCs w:val="20"/>
        </w:rPr>
      </w:pPr>
      <w:hyperlink r:id="rId95">
        <w:r w:rsidR="00733911" w:rsidRPr="0012597A">
          <w:rPr>
            <w:rFonts w:ascii="Times New Roman" w:eastAsia="Trebuchet MS" w:hAnsi="Times New Roman" w:cs="Times New Roman"/>
            <w:color w:val="467885"/>
            <w:sz w:val="20"/>
            <w:szCs w:val="20"/>
            <w:u w:val="single" w:color="467885"/>
          </w:rPr>
          <w:t>https://www.diputados.gob.mx/LeyesBiblio/pdf/LGSNSP.pdf</w:t>
        </w:r>
      </w:hyperlink>
    </w:p>
    <w:p w14:paraId="3DCC3830"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p>
    <w:p w14:paraId="5E945663"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Con ello, se avanza hacia un modelo de movilidad más seguro, incluyente y con perspectiva de género, en beneficio de todas y todos los mexiquenses.</w:t>
      </w:r>
    </w:p>
    <w:p w14:paraId="7BC302B5"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034BC56E"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Por tal motivo se propone adicionar los numerales 4 y 5 recorriendo los subsecuentes del artículo 93 y las fracciones X, XI y XII recorriendo la subsecuente del artículo 67 de la Ley de Movilidad y Seguridad Vial del Estado de México y Municipios para la creación de un módulo de enlace en tiempo real entre las plataformas digitales y las instituciones de seguridad pública del Estado de México.</w:t>
      </w:r>
    </w:p>
    <w:p w14:paraId="0CE1C130"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4BBD1911"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Este mecanismo permitirá la atención inmediata de emergencias, la geolocalización de las unidades y la activación oportuna de protocolos de auxilio en situaciones de riesgo.</w:t>
      </w:r>
    </w:p>
    <w:p w14:paraId="30778EB6"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75AABC19"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En complemento, se propone que las y los conductores de plataformas digitales acrediten de manera obligatoria un curso en materia de violencia de género, como requisito para la prestación del servicio. Esta medida busca prevenir conductas violentas, promover el trato digno y fortalecer una cultura de respeto e igualdad, en congruencia con la legislación estatal y nacional en materia de acceso de las mujeres a una vida libre de violencia.</w:t>
      </w:r>
    </w:p>
    <w:p w14:paraId="31FEFF12"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1E8C3646"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Por último, se propone que sea obligación de los socios conductores que presten el servicio exclusivamente en el o los vehículos registrados en la aplicación, sin que las características del mismo o número de placas de estos pueda variar, con la finalidad de garantizar la seguridad de los usuarios y evitar la comisión de hechos delictivos.</w:t>
      </w:r>
    </w:p>
    <w:p w14:paraId="040AE204"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308D6AFA"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Conforme a lo anteriormente expuesto, sometemos a la consideración de esta honorable Asamblea el siguiente proyecto de:</w:t>
      </w:r>
    </w:p>
    <w:p w14:paraId="3C4DC326"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p>
    <w:p w14:paraId="0E4469D7"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Decreto que adiciona los numerales 4 y 5 recorriendo los subsecuentes del artículo 93 y las fracciones X, XI y XII recorriendo la subsecuente del artículo 97 de la Ley de Movilidad y Seguridad Vial del Estado de México y Municipios y se adicionan las fracciones VI y VII del artículo 7.57 Bis del Código Administrativo del Estado de México, en Materia de Garantías de Seguridad para los Operadores y Usuarios de los Servicios Electrónicos de Transporte Privado de Personas.</w:t>
      </w:r>
    </w:p>
    <w:p w14:paraId="719D1932"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32DC86EE" w14:textId="77777777" w:rsidR="00733911" w:rsidRPr="0012597A" w:rsidRDefault="00733911" w:rsidP="00733911">
      <w:pPr>
        <w:widowControl w:val="0"/>
        <w:autoSpaceDE w:val="0"/>
        <w:autoSpaceDN w:val="0"/>
        <w:spacing w:after="0"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A T E N T A M E N T 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33911" w:rsidRPr="0012597A" w14:paraId="50E1F4AB" w14:textId="77777777" w:rsidTr="00433653">
        <w:trPr>
          <w:jc w:val="center"/>
        </w:trPr>
        <w:tc>
          <w:tcPr>
            <w:tcW w:w="4697" w:type="dxa"/>
          </w:tcPr>
          <w:p w14:paraId="5131245D" w14:textId="77777777" w:rsidR="00733911" w:rsidRPr="0012597A" w:rsidRDefault="00733911" w:rsidP="00733911">
            <w:pPr>
              <w:spacing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Dip. Ruth Salinas Reyes</w:t>
            </w:r>
          </w:p>
        </w:tc>
        <w:tc>
          <w:tcPr>
            <w:tcW w:w="4698" w:type="dxa"/>
          </w:tcPr>
          <w:p w14:paraId="654CDDB2" w14:textId="77777777" w:rsidR="00733911" w:rsidRPr="0012597A" w:rsidRDefault="00733911" w:rsidP="00733911">
            <w:pPr>
              <w:spacing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Dip. Maricela Beltrán Sánchez</w:t>
            </w:r>
          </w:p>
        </w:tc>
      </w:tr>
      <w:tr w:rsidR="00733911" w:rsidRPr="0012597A" w14:paraId="4BE175B1" w14:textId="77777777" w:rsidTr="00433653">
        <w:trPr>
          <w:jc w:val="center"/>
        </w:trPr>
        <w:tc>
          <w:tcPr>
            <w:tcW w:w="4697" w:type="dxa"/>
          </w:tcPr>
          <w:p w14:paraId="07741965" w14:textId="77777777" w:rsidR="00733911" w:rsidRPr="0012597A" w:rsidRDefault="00733911" w:rsidP="00733911">
            <w:pPr>
              <w:spacing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Dip. Juan Manuel Zepeda Hernández</w:t>
            </w:r>
          </w:p>
        </w:tc>
        <w:tc>
          <w:tcPr>
            <w:tcW w:w="4698" w:type="dxa"/>
          </w:tcPr>
          <w:p w14:paraId="0BFEDFEE" w14:textId="77777777" w:rsidR="00733911" w:rsidRPr="0012597A" w:rsidRDefault="00733911" w:rsidP="00733911">
            <w:pPr>
              <w:spacing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Dip. Martín Zepeda Hernández</w:t>
            </w:r>
          </w:p>
        </w:tc>
      </w:tr>
    </w:tbl>
    <w:p w14:paraId="236CE50A" w14:textId="77777777" w:rsidR="00733911" w:rsidRPr="0012597A" w:rsidRDefault="00733911" w:rsidP="00733911">
      <w:pPr>
        <w:widowControl w:val="0"/>
        <w:autoSpaceDE w:val="0"/>
        <w:autoSpaceDN w:val="0"/>
        <w:spacing w:after="0"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Integrantes del Grupo Parlamentario de Movimiento Ciudadano</w:t>
      </w:r>
    </w:p>
    <w:p w14:paraId="239B6D07" w14:textId="77777777" w:rsidR="00733911" w:rsidRPr="0012597A" w:rsidRDefault="00733911" w:rsidP="00733911">
      <w:pPr>
        <w:widowControl w:val="0"/>
        <w:autoSpaceDE w:val="0"/>
        <w:autoSpaceDN w:val="0"/>
        <w:spacing w:after="0"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de la LXII Legislatura del Estado de México</w:t>
      </w:r>
    </w:p>
    <w:p w14:paraId="1CB26875"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035E0BDA"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49F95847"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PROYECTO DE DECRETO</w:t>
      </w:r>
    </w:p>
    <w:p w14:paraId="7DBC6A77"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lastRenderedPageBreak/>
        <w:t>La H. LXII Legislatura del Estado de México</w:t>
      </w:r>
    </w:p>
    <w:p w14:paraId="404D4CCB"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Decreta:</w:t>
      </w:r>
    </w:p>
    <w:p w14:paraId="7087E16F"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27E0496D"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b/>
          <w:sz w:val="24"/>
          <w:szCs w:val="24"/>
        </w:rPr>
        <w:t>ARTÍCULO PRIMERO</w:t>
      </w:r>
      <w:r w:rsidRPr="0012597A">
        <w:rPr>
          <w:rFonts w:ascii="Times New Roman" w:eastAsia="Trebuchet MS" w:hAnsi="Times New Roman" w:cs="Times New Roman"/>
          <w:sz w:val="24"/>
          <w:szCs w:val="24"/>
        </w:rPr>
        <w:t>; Se adicionan los numerales 4 y 5 recorriendo los subsecuentes del artículo 93 y las fracciones X, XI y XII recorriendo la subsecuente del artículo 97 de la Ley de Movilidad y Seguridad Vial del Estado de México y Municipios, para quedar como sigue:</w:t>
      </w:r>
    </w:p>
    <w:p w14:paraId="626D95DD"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211B3320"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Artículo 93. …</w:t>
      </w:r>
    </w:p>
    <w:p w14:paraId="2B85256C"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p>
    <w:p w14:paraId="2DF96F0F"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1 a 3 . …</w:t>
      </w:r>
    </w:p>
    <w:p w14:paraId="55266F96"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3E939EDD" w14:textId="77777777" w:rsidR="00733911" w:rsidRPr="0012597A" w:rsidRDefault="00733911" w:rsidP="0012453E">
      <w:pPr>
        <w:widowControl w:val="0"/>
        <w:numPr>
          <w:ilvl w:val="0"/>
          <w:numId w:val="47"/>
        </w:numPr>
        <w:autoSpaceDE w:val="0"/>
        <w:autoSpaceDN w:val="0"/>
        <w:spacing w:after="0" w:line="240" w:lineRule="auto"/>
        <w:ind w:left="0" w:firstLine="0"/>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La aplicación tecnológica contará con un módulo de enlace en tiempo real con las instituciones de seguridad pública con el objeto de proporcionar ayuda y asistencia para la salvaguarda de los conductores y los usuarios.</w:t>
      </w:r>
    </w:p>
    <w:p w14:paraId="4042682A"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4EA2F1F7" w14:textId="77777777" w:rsidR="00733911" w:rsidRPr="0012597A" w:rsidRDefault="00733911" w:rsidP="0012453E">
      <w:pPr>
        <w:widowControl w:val="0"/>
        <w:numPr>
          <w:ilvl w:val="0"/>
          <w:numId w:val="47"/>
        </w:numPr>
        <w:autoSpaceDE w:val="0"/>
        <w:autoSpaceDN w:val="0"/>
        <w:spacing w:after="0" w:line="240" w:lineRule="auto"/>
        <w:ind w:left="0" w:firstLine="0"/>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Incorporar un sistema encargado de recopilar información relacionada con la ubicación, velocidad, imágenes de video del entorno e interior del vehículo que ayuden a la investigación y esclarecimiento de diferentes incidentes que se pudieran ocasionar.</w:t>
      </w:r>
    </w:p>
    <w:p w14:paraId="5C298159"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3F540D65"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w:t>
      </w:r>
    </w:p>
    <w:p w14:paraId="1692C245"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17339E18"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Artículo 97.</w:t>
      </w:r>
    </w:p>
    <w:p w14:paraId="3244CE12"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14A249BB"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I a IX</w:t>
      </w:r>
    </w:p>
    <w:p w14:paraId="30F33F76"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7ED65201"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X . Contar con cámara de videograbación al interior del vehículo.</w:t>
      </w:r>
    </w:p>
    <w:p w14:paraId="7F14DCC8"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5E66DE90" w14:textId="77777777" w:rsidR="00733911" w:rsidRPr="0012597A" w:rsidRDefault="00733911" w:rsidP="0012453E">
      <w:pPr>
        <w:widowControl w:val="0"/>
        <w:numPr>
          <w:ilvl w:val="0"/>
          <w:numId w:val="46"/>
        </w:numPr>
        <w:autoSpaceDE w:val="0"/>
        <w:autoSpaceDN w:val="0"/>
        <w:spacing w:after="0" w:line="240" w:lineRule="auto"/>
        <w:ind w:left="0" w:firstLine="0"/>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Acreditar el curso sobre prevención de la violencia de género que para tal efecto ponga a su disposición determine la persona jurídico colectiva titular de la aplicación tecnológica asociada.</w:t>
      </w:r>
    </w:p>
    <w:p w14:paraId="2B752889"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48A0CAAA" w14:textId="77777777" w:rsidR="00733911" w:rsidRPr="0012597A" w:rsidRDefault="00733911" w:rsidP="0012453E">
      <w:pPr>
        <w:widowControl w:val="0"/>
        <w:numPr>
          <w:ilvl w:val="0"/>
          <w:numId w:val="46"/>
        </w:numPr>
        <w:autoSpaceDE w:val="0"/>
        <w:autoSpaceDN w:val="0"/>
        <w:spacing w:after="0" w:line="240" w:lineRule="auto"/>
        <w:ind w:left="0" w:firstLine="0"/>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Prestar exclusivamente el servicio mediante el o los vehículos que se encuentren registrados a través de la aplicación tecnológica, cuyas características y número de placas no podrán ser distintas.</w:t>
      </w:r>
    </w:p>
    <w:p w14:paraId="5B8BACC1"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186F4F84" w14:textId="77777777" w:rsidR="00733911" w:rsidRPr="0012597A" w:rsidRDefault="00733911" w:rsidP="0012453E">
      <w:pPr>
        <w:widowControl w:val="0"/>
        <w:numPr>
          <w:ilvl w:val="0"/>
          <w:numId w:val="46"/>
        </w:numPr>
        <w:autoSpaceDE w:val="0"/>
        <w:autoSpaceDN w:val="0"/>
        <w:spacing w:after="0" w:line="240" w:lineRule="auto"/>
        <w:ind w:left="0" w:firstLine="0"/>
        <w:jc w:val="both"/>
        <w:rPr>
          <w:rFonts w:ascii="Times New Roman" w:eastAsia="Trebuchet MS" w:hAnsi="Times New Roman" w:cs="Times New Roman"/>
          <w:sz w:val="24"/>
          <w:szCs w:val="24"/>
        </w:rPr>
      </w:pPr>
    </w:p>
    <w:p w14:paraId="014A47E9" w14:textId="77777777" w:rsidR="00733911" w:rsidRPr="0012597A" w:rsidRDefault="00733911" w:rsidP="00433653">
      <w:pPr>
        <w:widowControl w:val="0"/>
        <w:autoSpaceDE w:val="0"/>
        <w:autoSpaceDN w:val="0"/>
        <w:spacing w:after="0" w:line="240" w:lineRule="auto"/>
        <w:jc w:val="both"/>
        <w:rPr>
          <w:rFonts w:ascii="Times New Roman" w:eastAsia="Trebuchet MS" w:hAnsi="Times New Roman" w:cs="Times New Roman"/>
          <w:b/>
          <w:sz w:val="24"/>
          <w:szCs w:val="24"/>
        </w:rPr>
      </w:pPr>
    </w:p>
    <w:p w14:paraId="19B557AA"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 xml:space="preserve">ARTÍCULO SEGUNDO; </w:t>
      </w:r>
      <w:r w:rsidRPr="0012597A">
        <w:rPr>
          <w:rFonts w:ascii="Times New Roman" w:eastAsia="Trebuchet MS" w:hAnsi="Times New Roman" w:cs="Times New Roman"/>
          <w:sz w:val="24"/>
          <w:szCs w:val="24"/>
        </w:rPr>
        <w:t>Se adicionan las fracciones VI y VII del Artículo 7.57 Bis del Código Administrativo del Estado de México, para quedar como sigue</w:t>
      </w:r>
      <w:r w:rsidRPr="0012597A">
        <w:rPr>
          <w:rFonts w:ascii="Times New Roman" w:eastAsia="Trebuchet MS" w:hAnsi="Times New Roman" w:cs="Times New Roman"/>
          <w:b/>
          <w:sz w:val="24"/>
          <w:szCs w:val="24"/>
        </w:rPr>
        <w:t>;</w:t>
      </w:r>
    </w:p>
    <w:p w14:paraId="5CF0DA11"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1EEAA431"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Artículo 7.57 Bis. …</w:t>
      </w:r>
    </w:p>
    <w:p w14:paraId="2AA9BE13"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sz w:val="24"/>
          <w:szCs w:val="24"/>
        </w:rPr>
      </w:pPr>
    </w:p>
    <w:p w14:paraId="4CEDA350" w14:textId="77777777" w:rsidR="00733911" w:rsidRPr="0012597A" w:rsidRDefault="00733911" w:rsidP="0012453E">
      <w:pPr>
        <w:widowControl w:val="0"/>
        <w:numPr>
          <w:ilvl w:val="0"/>
          <w:numId w:val="45"/>
        </w:numPr>
        <w:autoSpaceDE w:val="0"/>
        <w:autoSpaceDN w:val="0"/>
        <w:spacing w:after="0" w:line="240" w:lineRule="auto"/>
        <w:ind w:left="0" w:firstLine="0"/>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a V.</w:t>
      </w:r>
    </w:p>
    <w:p w14:paraId="539F07AE"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p>
    <w:p w14:paraId="16F69354"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VI. La aplicación tecnológica contará con un módulo de enlace en tiempo real con las instituciones de seguridad pública con el objeto de proporcionar ayuda y asistencia para la salvaguarda de los conductores y los usuarios.</w:t>
      </w:r>
    </w:p>
    <w:p w14:paraId="0C7EAD53"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p>
    <w:p w14:paraId="72CBF848"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 xml:space="preserve">VII. Incorporar un sistema encargado de recopilar información relacionada con la ubicación, </w:t>
      </w:r>
      <w:r w:rsidRPr="0012597A">
        <w:rPr>
          <w:rFonts w:ascii="Times New Roman" w:eastAsia="Trebuchet MS" w:hAnsi="Times New Roman" w:cs="Times New Roman"/>
          <w:b/>
          <w:sz w:val="24"/>
          <w:szCs w:val="24"/>
        </w:rPr>
        <w:lastRenderedPageBreak/>
        <w:t>velocidad, imágenes de video del entorno e interior del vehículo que ayuden a la investigación y esclarecimiento de diferentes incidentes que se pudieran ocasionar.</w:t>
      </w:r>
    </w:p>
    <w:p w14:paraId="1600C5AA"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p>
    <w:p w14:paraId="36ABC6A0"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w:t>
      </w:r>
    </w:p>
    <w:p w14:paraId="76EFC6FB"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67B189BC"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w:t>
      </w:r>
    </w:p>
    <w:p w14:paraId="20FDE98F"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47F5DAE1"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w:t>
      </w:r>
    </w:p>
    <w:p w14:paraId="3DDAD1F7" w14:textId="77777777" w:rsidR="00733911" w:rsidRPr="0012597A" w:rsidRDefault="00733911" w:rsidP="00733911">
      <w:pPr>
        <w:widowControl w:val="0"/>
        <w:autoSpaceDE w:val="0"/>
        <w:autoSpaceDN w:val="0"/>
        <w:spacing w:after="0" w:line="240" w:lineRule="auto"/>
        <w:rPr>
          <w:rFonts w:ascii="Times New Roman" w:eastAsia="Trebuchet MS" w:hAnsi="Times New Roman" w:cs="Times New Roman"/>
          <w:b/>
          <w:sz w:val="24"/>
          <w:szCs w:val="24"/>
        </w:rPr>
      </w:pPr>
    </w:p>
    <w:p w14:paraId="0EB5BD9C" w14:textId="77777777" w:rsidR="00733911" w:rsidRPr="0012597A" w:rsidRDefault="00733911" w:rsidP="00733911">
      <w:pPr>
        <w:widowControl w:val="0"/>
        <w:autoSpaceDE w:val="0"/>
        <w:autoSpaceDN w:val="0"/>
        <w:spacing w:after="0" w:line="240" w:lineRule="auto"/>
        <w:jc w:val="center"/>
        <w:rPr>
          <w:rFonts w:ascii="Times New Roman" w:eastAsia="Trebuchet MS" w:hAnsi="Times New Roman" w:cs="Times New Roman"/>
          <w:b/>
          <w:sz w:val="24"/>
          <w:szCs w:val="24"/>
        </w:rPr>
      </w:pPr>
      <w:r w:rsidRPr="0012597A">
        <w:rPr>
          <w:rFonts w:ascii="Times New Roman" w:eastAsia="Trebuchet MS" w:hAnsi="Times New Roman" w:cs="Times New Roman"/>
          <w:b/>
          <w:sz w:val="24"/>
          <w:szCs w:val="24"/>
        </w:rPr>
        <w:t>ARTÍCULOS TRANSITORIOS</w:t>
      </w:r>
    </w:p>
    <w:p w14:paraId="6D37CB15"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p>
    <w:p w14:paraId="1076D46D"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b/>
          <w:sz w:val="24"/>
          <w:szCs w:val="24"/>
        </w:rPr>
        <w:t xml:space="preserve">PRIMERO.- </w:t>
      </w:r>
      <w:r w:rsidRPr="0012597A">
        <w:rPr>
          <w:rFonts w:ascii="Times New Roman" w:eastAsia="Trebuchet MS" w:hAnsi="Times New Roman" w:cs="Times New Roman"/>
          <w:sz w:val="24"/>
          <w:szCs w:val="24"/>
        </w:rPr>
        <w:t>Publíquese el presente Decreto en el Periódico Oficial “Gaceta del Gobierno”.</w:t>
      </w:r>
    </w:p>
    <w:p w14:paraId="39C00D60"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b/>
          <w:sz w:val="24"/>
          <w:szCs w:val="24"/>
        </w:rPr>
      </w:pPr>
    </w:p>
    <w:p w14:paraId="17CDE30F"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b/>
          <w:sz w:val="24"/>
          <w:szCs w:val="24"/>
        </w:rPr>
        <w:t xml:space="preserve">SEGUNDO.- </w:t>
      </w:r>
      <w:r w:rsidRPr="0012597A">
        <w:rPr>
          <w:rFonts w:ascii="Times New Roman" w:eastAsia="Trebuchet MS" w:hAnsi="Times New Roman" w:cs="Times New Roman"/>
          <w:sz w:val="24"/>
          <w:szCs w:val="24"/>
        </w:rPr>
        <w:t>El presente Decreto entrará en vigor al día siguiente de su publicación en el Periódico Oficial “Gaceta del Gobierno”.</w:t>
      </w:r>
    </w:p>
    <w:p w14:paraId="508C7F5B"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p>
    <w:p w14:paraId="38FE95C8"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Lo tendrá entendido la Gobernadora del Estado, haciendo que se publique y se cumpla.</w:t>
      </w:r>
    </w:p>
    <w:p w14:paraId="19C4FDB0"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p>
    <w:p w14:paraId="35450F39" w14:textId="77777777" w:rsidR="00733911" w:rsidRPr="0012597A" w:rsidRDefault="00733911" w:rsidP="00733911">
      <w:pPr>
        <w:widowControl w:val="0"/>
        <w:autoSpaceDE w:val="0"/>
        <w:autoSpaceDN w:val="0"/>
        <w:spacing w:after="0" w:line="240" w:lineRule="auto"/>
        <w:jc w:val="both"/>
        <w:rPr>
          <w:rFonts w:ascii="Times New Roman" w:eastAsia="Trebuchet MS" w:hAnsi="Times New Roman" w:cs="Times New Roman"/>
          <w:sz w:val="24"/>
          <w:szCs w:val="24"/>
        </w:rPr>
      </w:pPr>
      <w:r w:rsidRPr="0012597A">
        <w:rPr>
          <w:rFonts w:ascii="Times New Roman" w:eastAsia="Trebuchet MS" w:hAnsi="Times New Roman" w:cs="Times New Roman"/>
          <w:sz w:val="24"/>
          <w:szCs w:val="24"/>
        </w:rPr>
        <w:t xml:space="preserve">Dado en el Palacio del Poder Legislativo, en la ciudad de Toluca de Lerdo, Capital del Estado de México, a los </w:t>
      </w:r>
      <w:r w:rsidRPr="0012597A">
        <w:rPr>
          <w:rFonts w:ascii="Times New Roman" w:eastAsia="Trebuchet MS" w:hAnsi="Times New Roman" w:cs="Times New Roman"/>
          <w:sz w:val="24"/>
          <w:szCs w:val="24"/>
          <w:u w:val="single"/>
        </w:rPr>
        <w:tab/>
      </w:r>
      <w:r w:rsidRPr="0012597A">
        <w:rPr>
          <w:rFonts w:ascii="Times New Roman" w:eastAsia="Trebuchet MS" w:hAnsi="Times New Roman" w:cs="Times New Roman"/>
          <w:sz w:val="24"/>
          <w:szCs w:val="24"/>
        </w:rPr>
        <w:t xml:space="preserve">días del mes de </w:t>
      </w:r>
      <w:r w:rsidRPr="0012597A">
        <w:rPr>
          <w:rFonts w:ascii="Times New Roman" w:eastAsia="Trebuchet MS" w:hAnsi="Times New Roman" w:cs="Times New Roman"/>
          <w:sz w:val="24"/>
          <w:szCs w:val="24"/>
          <w:u w:val="single"/>
        </w:rPr>
        <w:tab/>
      </w:r>
      <w:r w:rsidRPr="0012597A">
        <w:rPr>
          <w:rFonts w:ascii="Times New Roman" w:eastAsia="Trebuchet MS" w:hAnsi="Times New Roman" w:cs="Times New Roman"/>
          <w:sz w:val="24"/>
          <w:szCs w:val="24"/>
        </w:rPr>
        <w:t>del año dos mil veintiséis.</w:t>
      </w:r>
    </w:p>
    <w:p w14:paraId="6A370377" w14:textId="77777777" w:rsidR="00020F9D" w:rsidRPr="0012597A" w:rsidRDefault="00020F9D" w:rsidP="00E42132">
      <w:pPr>
        <w:spacing w:after="0" w:line="240" w:lineRule="auto"/>
        <w:jc w:val="center"/>
        <w:rPr>
          <w:rFonts w:ascii="Times New Roman" w:hAnsi="Times New Roman"/>
          <w:sz w:val="24"/>
          <w:szCs w:val="24"/>
        </w:rPr>
      </w:pPr>
    </w:p>
    <w:p w14:paraId="5B8CD3F8" w14:textId="77777777" w:rsidR="00020F9D" w:rsidRPr="0012597A" w:rsidRDefault="00020F9D" w:rsidP="00E42132">
      <w:pPr>
        <w:spacing w:after="0" w:line="240" w:lineRule="auto"/>
        <w:jc w:val="center"/>
        <w:rPr>
          <w:rFonts w:ascii="Times New Roman" w:hAnsi="Times New Roman"/>
          <w:i/>
          <w:sz w:val="24"/>
          <w:szCs w:val="24"/>
        </w:rPr>
      </w:pPr>
      <w:r w:rsidRPr="0012597A">
        <w:rPr>
          <w:rFonts w:ascii="Times New Roman" w:hAnsi="Times New Roman"/>
          <w:i/>
          <w:sz w:val="24"/>
          <w:szCs w:val="24"/>
        </w:rPr>
        <w:t>(Fin del documento)</w:t>
      </w:r>
    </w:p>
    <w:p w14:paraId="44ACAA42" w14:textId="77777777" w:rsidR="00020F9D" w:rsidRPr="0012597A" w:rsidRDefault="00020F9D" w:rsidP="00E42132">
      <w:pPr>
        <w:spacing w:after="0" w:line="240" w:lineRule="auto"/>
        <w:jc w:val="center"/>
        <w:rPr>
          <w:rFonts w:ascii="Times New Roman" w:hAnsi="Times New Roman"/>
          <w:sz w:val="24"/>
          <w:szCs w:val="24"/>
        </w:rPr>
      </w:pPr>
    </w:p>
    <w:p w14:paraId="7CC80CDE" w14:textId="2112522E"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Ruth Salinas Reyes.</w:t>
      </w:r>
    </w:p>
    <w:p w14:paraId="21A293D1"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Diputada Araceli Casasola Salazar. Sonido a la curul de la diputada Araceli.</w:t>
      </w:r>
    </w:p>
    <w:p w14:paraId="750D7371"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DIP. ARACELI CASASOLA SALAZAR (Desde su curul). Hola, quisiera hacer un comentario Presidenta respecto al tema que acaba de hablar la compañera de MC.</w:t>
      </w:r>
    </w:p>
    <w:p w14:paraId="2012B0EF"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Hace 15 días estuve yo en un evento de mujeres, ahí en Ciudad Nezahualcóyotl, estábamos en un evento y ahí coincidí con la Presidenta Municipal de San Antonio la Isla y precisamente donde fue el tema que también salió el tema de la moto y todo este rollo ¿Qué creen que me dijo la Presidenta Alejandra Castro? Porque le pregunté ¿Oye, muy delicado el tema de cómo se llevaron a esta chica y tu Presidenta qué hiciste? Y quiero comentarlo así a los medios y con esa responsabilidad, que ella tuvo que ir a buscar a la Fiscalía, la Presidenta, cuando un tema de estos compañeros, no importa el partido, no importa quién gobierne, tienen que ir corriendo, tienen que ir corriendo a apoyar a la Presidenta con todo lo necesario que se requiera; entonces sí lo digo y aquí abiertamente, porque así me lo dijo y con esa responsabilidad lo digo y yo incluso le comenté a la Presidenta ¿Lo puedo exponer? Porque si pasa esto en nuestros municipios, tenemos que tener una reacción inmediata, así que también es un llamado de atención para tanto nuestra Fiscalía, porque la Fiscalía tiene que reaccionar de manera inmediata y no irla a buscar la Presidenta; entonces es un llamado ahí a las autoridades del Gobierno Estatal para que tengan esa cercanía con la Presidenta para darle continuidad a este tipo de casos.</w:t>
      </w:r>
    </w:p>
    <w:p w14:paraId="081A9679"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Es cuanto Presidenta. Nada más era ese comentario.</w:t>
      </w:r>
    </w:p>
    <w:p w14:paraId="7F0B44AB"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Araceli Casasola Salazar.</w:t>
      </w:r>
    </w:p>
    <w:p w14:paraId="6E565479" w14:textId="1A619F7C"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 xml:space="preserve">Pido a la Vicepresidenta Sara Alicia Ramírez de la O dé cuenta </w:t>
      </w:r>
      <w:r w:rsidR="00DD75F8" w:rsidRPr="0012597A">
        <w:rPr>
          <w:rFonts w:ascii="Times New Roman" w:hAnsi="Times New Roman" w:cs="Times New Roman"/>
          <w:sz w:val="24"/>
          <w:szCs w:val="24"/>
        </w:rPr>
        <w:t xml:space="preserve">de </w:t>
      </w:r>
      <w:r w:rsidRPr="0012597A">
        <w:rPr>
          <w:rFonts w:ascii="Times New Roman" w:hAnsi="Times New Roman" w:cs="Times New Roman"/>
          <w:sz w:val="24"/>
          <w:szCs w:val="24"/>
        </w:rPr>
        <w:t>los comunicados.</w:t>
      </w:r>
    </w:p>
    <w:p w14:paraId="00F385A5" w14:textId="77777777" w:rsidR="00791E2D" w:rsidRPr="0012597A" w:rsidRDefault="00791E2D" w:rsidP="00EF1C7F">
      <w:pPr>
        <w:spacing w:after="0" w:line="240" w:lineRule="auto"/>
        <w:jc w:val="both"/>
        <w:rPr>
          <w:rFonts w:ascii="Times New Roman" w:hAnsi="Times New Roman" w:cs="Times New Roman"/>
          <w:sz w:val="24"/>
          <w:szCs w:val="24"/>
        </w:rPr>
      </w:pPr>
      <w:r w:rsidRPr="0012597A">
        <w:rPr>
          <w:rFonts w:ascii="Times New Roman" w:hAnsi="Times New Roman" w:cs="Times New Roman"/>
          <w:sz w:val="24"/>
          <w:szCs w:val="24"/>
        </w:rPr>
        <w:tab/>
        <w:t>En el punto número 27 la diputada Sara Alicia Ramírez de la O. leerá el comunicado sobre el turno de las comisiones.</w:t>
      </w:r>
    </w:p>
    <w:p w14:paraId="195ABCC5"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DIP. SARA ALICIA RAMÍREZ DE LA O. Toluca de Lerdo, México, a 18 de marzo de 2026.</w:t>
      </w:r>
    </w:p>
    <w:p w14:paraId="4908A364"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lastRenderedPageBreak/>
        <w:t>DIPUTADA MARTHA AZUCENA CAMACHO REYNOSO</w:t>
      </w:r>
    </w:p>
    <w:p w14:paraId="6B70FFC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 xml:space="preserve">PRESIDENTA DE LA HONORABLE LXII LEGISLATURA DEL </w:t>
      </w:r>
    </w:p>
    <w:p w14:paraId="6911E36A"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CONGRESO DEL ESTADO LIBRE Y SOBERANO DE MÉXICO</w:t>
      </w:r>
    </w:p>
    <w:p w14:paraId="6E4E3D3C"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PRESENTE.</w:t>
      </w:r>
    </w:p>
    <w:p w14:paraId="4A901DEF"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Quienes integramos la Junta de Coordinación Política para favorecer los trabajos de las Comisiones Legislativas, nos permitimos solicitar a usted que en uso de las atribuciones establecidas en el artículo 47 fracciones VIII, XX y XXII de la Ley Orgánica del Poder Legislativo del Estado Libre y Soberano de México, se sirva modificar el turno de estudio y dictamen de Comisiones Legislativas con apego al documento que se adjunta; asimismo, le pedimos si no tiene inconveniente, se realice la modificación en los supuestos que estime convenientes. </w:t>
      </w:r>
    </w:p>
    <w:p w14:paraId="15D92C79"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Sin otro particular le expresamos nuestra elevada consideración.</w:t>
      </w:r>
    </w:p>
    <w:p w14:paraId="478BDED8" w14:textId="77777777" w:rsidR="00791E2D" w:rsidRPr="0012597A" w:rsidRDefault="00791E2D" w:rsidP="00EF1C7F">
      <w:pPr>
        <w:pStyle w:val="Sinespaciado"/>
        <w:ind w:firstLine="708"/>
        <w:jc w:val="center"/>
        <w:rPr>
          <w:rFonts w:ascii="Times New Roman" w:hAnsi="Times New Roman" w:cs="Times New Roman"/>
          <w:sz w:val="24"/>
          <w:szCs w:val="24"/>
        </w:rPr>
      </w:pPr>
      <w:r w:rsidRPr="0012597A">
        <w:rPr>
          <w:rFonts w:ascii="Times New Roman" w:hAnsi="Times New Roman" w:cs="Times New Roman"/>
          <w:sz w:val="24"/>
          <w:szCs w:val="24"/>
        </w:rPr>
        <w:t>ATENTAMENTE</w:t>
      </w:r>
    </w:p>
    <w:p w14:paraId="5BF0E9D8" w14:textId="77777777" w:rsidR="00791E2D" w:rsidRPr="0012597A" w:rsidRDefault="00791E2D" w:rsidP="00EF1C7F">
      <w:pPr>
        <w:pStyle w:val="Sinespaciado"/>
        <w:ind w:firstLine="708"/>
        <w:jc w:val="center"/>
        <w:rPr>
          <w:rFonts w:ascii="Times New Roman" w:hAnsi="Times New Roman" w:cs="Times New Roman"/>
          <w:sz w:val="24"/>
          <w:szCs w:val="24"/>
        </w:rPr>
      </w:pPr>
      <w:r w:rsidRPr="0012597A">
        <w:rPr>
          <w:rFonts w:ascii="Times New Roman" w:hAnsi="Times New Roman" w:cs="Times New Roman"/>
          <w:sz w:val="24"/>
          <w:szCs w:val="24"/>
        </w:rPr>
        <w:t>JUNTA DE COORDINACIÓN POLÍTICA DE LA LXII LEGISLATURA</w:t>
      </w:r>
    </w:p>
    <w:p w14:paraId="4447FA74" w14:textId="77777777" w:rsidR="00791E2D" w:rsidRPr="0012597A" w:rsidRDefault="00791E2D" w:rsidP="00EF1C7F">
      <w:pPr>
        <w:pStyle w:val="Sinespaciado"/>
        <w:ind w:firstLine="708"/>
        <w:jc w:val="center"/>
        <w:rPr>
          <w:rFonts w:ascii="Times New Roman" w:hAnsi="Times New Roman" w:cs="Times New Roman"/>
          <w:sz w:val="24"/>
          <w:szCs w:val="24"/>
        </w:rPr>
      </w:pPr>
      <w:r w:rsidRPr="0012597A">
        <w:rPr>
          <w:rFonts w:ascii="Times New Roman" w:hAnsi="Times New Roman" w:cs="Times New Roman"/>
          <w:sz w:val="24"/>
          <w:szCs w:val="24"/>
        </w:rPr>
        <w:t>DEL CONGRESO DEL ESTADO LIBRE Y SOBERANO DE MÉXICO.</w:t>
      </w:r>
    </w:p>
    <w:p w14:paraId="18601F11"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Es todo. Ahí va el cambio.</w:t>
      </w:r>
    </w:p>
    <w:p w14:paraId="3A948A5F"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Vicepresidenta.</w:t>
      </w:r>
    </w:p>
    <w:p w14:paraId="6F8D2504"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VICEPRESIDENTA DIP. SARA ALICIA RAMÍREZ DE LA O. Cambio de turno.</w:t>
      </w:r>
    </w:p>
    <w:p w14:paraId="14D207BC"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Sesión Deliberante, 18 de marzo de 2026, Iniciativa con Proyecto de Decreto por el que se adiciona la fracción XLI al artículo 69 de la Ley Orgánica del Poder Legislativo del Estado Libre y Soberano de México.</w:t>
      </w:r>
    </w:p>
    <w:p w14:paraId="587F85BF"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Resumen. Con la finalidad de crear la Comisión Legislativa, en materia de amnistía, presentante diputada Ana Yurixi Leyva Piñón. Turno Original Gobernación y Puntos Constitucionales. Turno final Procuración y Administración de Justicia.</w:t>
      </w:r>
    </w:p>
    <w:p w14:paraId="2F3AD10C"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Es cuanto Presidenta.</w:t>
      </w:r>
    </w:p>
    <w:p w14:paraId="66F41DCB" w14:textId="77777777" w:rsidR="004E41E9" w:rsidRPr="0012597A" w:rsidRDefault="004E41E9" w:rsidP="007A7E76">
      <w:pPr>
        <w:pStyle w:val="Sinespaciado"/>
        <w:jc w:val="both"/>
        <w:rPr>
          <w:rFonts w:ascii="Times New Roman" w:hAnsi="Times New Roman" w:cs="Times New Roman"/>
          <w:sz w:val="24"/>
          <w:szCs w:val="24"/>
        </w:rPr>
      </w:pPr>
    </w:p>
    <w:p w14:paraId="3E27E477" w14:textId="77777777" w:rsidR="004E41E9" w:rsidRPr="0012597A" w:rsidRDefault="004E41E9" w:rsidP="007A7E76">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(Se inserta documento)</w:t>
      </w:r>
    </w:p>
    <w:p w14:paraId="1B747C67" w14:textId="77777777" w:rsidR="004E41E9" w:rsidRPr="0012597A" w:rsidRDefault="004E41E9" w:rsidP="007A7E76">
      <w:pPr>
        <w:spacing w:after="0" w:line="240" w:lineRule="auto"/>
        <w:jc w:val="center"/>
        <w:rPr>
          <w:rFonts w:ascii="Times New Roman" w:hAnsi="Times New Roman" w:cs="Times New Roman"/>
          <w:sz w:val="24"/>
          <w:szCs w:val="24"/>
        </w:rPr>
      </w:pPr>
    </w:p>
    <w:p w14:paraId="1C55256C" w14:textId="77777777" w:rsidR="007A7E76" w:rsidRPr="0012597A" w:rsidRDefault="007A7E76" w:rsidP="007A7E76">
      <w:pPr>
        <w:spacing w:after="0" w:line="240" w:lineRule="auto"/>
        <w:contextualSpacing/>
        <w:jc w:val="right"/>
        <w:rPr>
          <w:rFonts w:ascii="Times New Roman" w:eastAsia="Times New Roman" w:hAnsi="Times New Roman" w:cs="Times New Roman"/>
          <w:sz w:val="24"/>
          <w:szCs w:val="24"/>
          <w:lang w:val="es-ES" w:eastAsia="es-ES"/>
        </w:rPr>
      </w:pPr>
      <w:bookmarkStart w:id="30" w:name="_Hlk189213733"/>
      <w:r w:rsidRPr="0012597A">
        <w:rPr>
          <w:rFonts w:ascii="Times New Roman" w:eastAsia="Times New Roman" w:hAnsi="Times New Roman" w:cs="Times New Roman"/>
          <w:sz w:val="24"/>
          <w:szCs w:val="24"/>
          <w:lang w:val="es-ES" w:eastAsia="es-ES"/>
        </w:rPr>
        <w:t xml:space="preserve">Toluca de Lerdo, Méx., </w:t>
      </w:r>
    </w:p>
    <w:p w14:paraId="098966E5" w14:textId="77777777" w:rsidR="007A7E76" w:rsidRPr="0012597A" w:rsidRDefault="007A7E76" w:rsidP="007A7E76">
      <w:pPr>
        <w:spacing w:after="0" w:line="240" w:lineRule="auto"/>
        <w:contextualSpacing/>
        <w:jc w:val="right"/>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sz w:val="24"/>
          <w:szCs w:val="24"/>
          <w:lang w:val="es-ES" w:eastAsia="es-ES"/>
        </w:rPr>
        <w:t>a 18 de marzo de 2026.</w:t>
      </w:r>
    </w:p>
    <w:p w14:paraId="773D1DAE" w14:textId="77777777" w:rsidR="007A7E76" w:rsidRPr="0012597A" w:rsidRDefault="007A7E76" w:rsidP="007A7E76">
      <w:pPr>
        <w:spacing w:after="0" w:line="240" w:lineRule="auto"/>
        <w:contextualSpacing/>
        <w:rPr>
          <w:rFonts w:ascii="Times New Roman" w:eastAsia="Times New Roman" w:hAnsi="Times New Roman" w:cs="Times New Roman"/>
          <w:sz w:val="24"/>
          <w:szCs w:val="24"/>
          <w:lang w:val="es-ES" w:eastAsia="es-ES"/>
        </w:rPr>
      </w:pPr>
    </w:p>
    <w:bookmarkEnd w:id="30"/>
    <w:p w14:paraId="2CBA1EB2" w14:textId="77777777" w:rsidR="007A7E76" w:rsidRPr="0012597A" w:rsidRDefault="007A7E76" w:rsidP="007A7E76">
      <w:pPr>
        <w:spacing w:after="0" w:line="240" w:lineRule="auto"/>
        <w:contextualSpacing/>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DIP. MARTHA AZUCENA CAMACHO REYNOSO</w:t>
      </w:r>
    </w:p>
    <w:p w14:paraId="7B384E4E" w14:textId="77777777" w:rsidR="007A7E76" w:rsidRPr="0012597A" w:rsidRDefault="007A7E76" w:rsidP="007A7E76">
      <w:pPr>
        <w:spacing w:after="0" w:line="240" w:lineRule="auto"/>
        <w:contextualSpacing/>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PRESIDENTA DE LA H. “LXII” LEGISLATURA</w:t>
      </w:r>
    </w:p>
    <w:p w14:paraId="3A20F6A7" w14:textId="77777777" w:rsidR="007A7E76" w:rsidRPr="0012597A" w:rsidRDefault="007A7E76" w:rsidP="007A7E76">
      <w:pPr>
        <w:spacing w:after="0" w:line="240" w:lineRule="auto"/>
        <w:contextualSpacing/>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DEL CONGRESO DEL ESTADO LIBRE Y</w:t>
      </w:r>
    </w:p>
    <w:p w14:paraId="1DA3494D" w14:textId="77777777" w:rsidR="007A7E76" w:rsidRPr="0012597A" w:rsidRDefault="007A7E76" w:rsidP="007A7E76">
      <w:pPr>
        <w:spacing w:after="0" w:line="240" w:lineRule="auto"/>
        <w:contextualSpacing/>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SOBERANO DE MÉXICO</w:t>
      </w:r>
    </w:p>
    <w:p w14:paraId="1C3FC047" w14:textId="77777777" w:rsidR="007A7E76" w:rsidRPr="0012597A" w:rsidRDefault="007A7E76" w:rsidP="007A7E76">
      <w:pPr>
        <w:spacing w:after="0" w:line="240" w:lineRule="auto"/>
        <w:contextualSpacing/>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P R E S E N T E .</w:t>
      </w:r>
    </w:p>
    <w:p w14:paraId="54C02B33" w14:textId="77777777" w:rsidR="007A7E76" w:rsidRPr="0012597A" w:rsidRDefault="007A7E76" w:rsidP="007A7E76">
      <w:pPr>
        <w:spacing w:after="0" w:line="240" w:lineRule="auto"/>
        <w:contextualSpacing/>
        <w:rPr>
          <w:rFonts w:ascii="Times New Roman" w:eastAsia="Times New Roman" w:hAnsi="Times New Roman" w:cs="Times New Roman"/>
          <w:sz w:val="24"/>
          <w:szCs w:val="24"/>
          <w:lang w:val="es-ES" w:eastAsia="es-ES"/>
        </w:rPr>
      </w:pPr>
    </w:p>
    <w:p w14:paraId="7C79C9F6" w14:textId="28D116F3" w:rsidR="007A7E76" w:rsidRPr="0012597A" w:rsidRDefault="007A7E76" w:rsidP="007A7E76">
      <w:pPr>
        <w:spacing w:after="0" w:line="240" w:lineRule="auto"/>
        <w:contextualSpacing/>
        <w:jc w:val="both"/>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sz w:val="24"/>
          <w:szCs w:val="24"/>
          <w:lang w:val="es-ES" w:eastAsia="es-ES"/>
        </w:rPr>
        <w:tab/>
        <w:t>Quienes integramos la Junta de Coordinación Política, para favorecer los trabajos de las comisiones legislativas, nos permitimos solicitar a usted, que en uso de las atribuciones establecidas en el artículo 47 fracciones VIII, XX y XXII de la Ley Orgánica del Poder Legislativo del Estado Libre y Soberano de México, se sirva modificar el turno de estudio y dictamen de comisiones legislativas, con apego al documento se adjunta.</w:t>
      </w:r>
    </w:p>
    <w:p w14:paraId="6745EDF5" w14:textId="77777777" w:rsidR="007A7E76" w:rsidRPr="0012597A" w:rsidRDefault="007A7E76" w:rsidP="007A7E76">
      <w:pPr>
        <w:spacing w:after="0" w:line="240" w:lineRule="auto"/>
        <w:contextualSpacing/>
        <w:jc w:val="both"/>
        <w:rPr>
          <w:rFonts w:ascii="Times New Roman" w:eastAsia="Times New Roman" w:hAnsi="Times New Roman" w:cs="Times New Roman"/>
          <w:sz w:val="24"/>
          <w:szCs w:val="24"/>
          <w:lang w:val="es-ES" w:eastAsia="es-ES"/>
        </w:rPr>
      </w:pPr>
    </w:p>
    <w:p w14:paraId="00C6B922" w14:textId="786A2BC9" w:rsidR="007A7E76" w:rsidRPr="0012597A" w:rsidRDefault="007A7E76" w:rsidP="007A7E76">
      <w:pPr>
        <w:spacing w:after="0" w:line="240" w:lineRule="auto"/>
        <w:contextualSpacing/>
        <w:jc w:val="both"/>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sz w:val="24"/>
          <w:szCs w:val="24"/>
          <w:lang w:val="es-ES" w:eastAsia="es-ES"/>
        </w:rPr>
        <w:tab/>
        <w:t>Asimismo, le pedimos, si no tiene inconveniente, se realice la modificación en los supuestos que se estime conveniente.</w:t>
      </w:r>
    </w:p>
    <w:p w14:paraId="62B8FAC2" w14:textId="77777777" w:rsidR="007A7E76" w:rsidRPr="0012597A" w:rsidRDefault="007A7E76" w:rsidP="007A7E76">
      <w:pPr>
        <w:spacing w:after="0" w:line="240" w:lineRule="auto"/>
        <w:contextualSpacing/>
        <w:jc w:val="both"/>
        <w:rPr>
          <w:rFonts w:ascii="Times New Roman" w:eastAsia="Times New Roman" w:hAnsi="Times New Roman" w:cs="Times New Roman"/>
          <w:sz w:val="24"/>
          <w:szCs w:val="24"/>
          <w:lang w:val="es-ES" w:eastAsia="es-ES"/>
        </w:rPr>
      </w:pPr>
    </w:p>
    <w:p w14:paraId="6D78C129" w14:textId="1C1EB11D" w:rsidR="007A7E76" w:rsidRPr="0012597A" w:rsidRDefault="007A7E76" w:rsidP="007A7E76">
      <w:pPr>
        <w:spacing w:after="0" w:line="240" w:lineRule="auto"/>
        <w:contextualSpacing/>
        <w:jc w:val="both"/>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sz w:val="24"/>
          <w:szCs w:val="24"/>
          <w:lang w:val="es-ES" w:eastAsia="es-ES"/>
        </w:rPr>
        <w:tab/>
        <w:t>Sin otro particular, le expresamos nuestra elevada consideración.</w:t>
      </w:r>
    </w:p>
    <w:p w14:paraId="01DC96C4"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A T E N T A M E N T E</w:t>
      </w:r>
    </w:p>
    <w:p w14:paraId="0690981A"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bookmarkStart w:id="31" w:name="_Hlk180326772"/>
      <w:r w:rsidRPr="0012597A">
        <w:rPr>
          <w:rFonts w:ascii="Times New Roman" w:eastAsia="Times New Roman" w:hAnsi="Times New Roman" w:cs="Times New Roman"/>
          <w:b/>
          <w:sz w:val="24"/>
          <w:szCs w:val="24"/>
          <w:lang w:val="es-ES" w:eastAsia="es-ES"/>
        </w:rPr>
        <w:t>JUNTA DE COORDINACIÓN POLÍTICA DE LA “LXII”</w:t>
      </w:r>
    </w:p>
    <w:p w14:paraId="7427C814"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lastRenderedPageBreak/>
        <w:t>LEGISLATURA DEL CONGRESO DEL ESTADO</w:t>
      </w:r>
    </w:p>
    <w:p w14:paraId="3533A5A9"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LIBRE Y SOBERANO DE MÉXICO</w:t>
      </w:r>
    </w:p>
    <w:p w14:paraId="19671F6F"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p>
    <w:p w14:paraId="242DB367"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PRESIDENTE</w:t>
      </w:r>
    </w:p>
    <w:p w14:paraId="4A3B9796" w14:textId="0048371A"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DIP. JOSÉ FRANCISCO VÁZQUEZ RODRÍGUEZ</w:t>
      </w:r>
    </w:p>
    <w:p w14:paraId="6D76A2AE" w14:textId="77777777" w:rsidR="00F80676" w:rsidRPr="0012597A" w:rsidRDefault="00F80676" w:rsidP="007A7E76">
      <w:pPr>
        <w:spacing w:after="0" w:line="240" w:lineRule="auto"/>
        <w:contextualSpacing/>
        <w:jc w:val="center"/>
        <w:rPr>
          <w:rFonts w:ascii="Times New Roman" w:eastAsia="Times New Roman" w:hAnsi="Times New Roman" w:cs="Times New Roman"/>
          <w:b/>
          <w:sz w:val="24"/>
          <w:szCs w:val="24"/>
          <w:lang w:val="es-ES" w:eastAsia="es-ES"/>
        </w:rPr>
      </w:pPr>
    </w:p>
    <w:tbl>
      <w:tblPr>
        <w:tblW w:w="9464" w:type="dxa"/>
        <w:jc w:val="center"/>
        <w:tblLook w:val="04A0" w:firstRow="1" w:lastRow="0" w:firstColumn="1" w:lastColumn="0" w:noHBand="0" w:noVBand="1"/>
      </w:tblPr>
      <w:tblGrid>
        <w:gridCol w:w="4732"/>
        <w:gridCol w:w="4732"/>
      </w:tblGrid>
      <w:tr w:rsidR="007A7E76" w:rsidRPr="0012597A" w14:paraId="7B2D25B2" w14:textId="77777777" w:rsidTr="000746F2">
        <w:trPr>
          <w:trHeight w:val="1215"/>
          <w:jc w:val="center"/>
        </w:trPr>
        <w:tc>
          <w:tcPr>
            <w:tcW w:w="4732" w:type="dxa"/>
            <w:shd w:val="clear" w:color="auto" w:fill="auto"/>
          </w:tcPr>
          <w:p w14:paraId="2CB4FB2C"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VICEPRESIDENTE</w:t>
            </w:r>
          </w:p>
          <w:p w14:paraId="040576D6"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DIP. JOSÉ ALBERTO COUTTOLENC BUENTELLO</w:t>
            </w:r>
          </w:p>
          <w:p w14:paraId="77C385BE" w14:textId="2476FE46" w:rsidR="00F80676" w:rsidRPr="0012597A" w:rsidRDefault="00F80676" w:rsidP="007A7E76">
            <w:pPr>
              <w:spacing w:after="0" w:line="240" w:lineRule="auto"/>
              <w:contextualSpacing/>
              <w:jc w:val="center"/>
              <w:rPr>
                <w:rFonts w:ascii="Times New Roman" w:eastAsia="Times New Roman" w:hAnsi="Times New Roman" w:cs="Times New Roman"/>
                <w:b/>
                <w:sz w:val="24"/>
                <w:szCs w:val="24"/>
                <w:lang w:val="es-ES" w:eastAsia="es-ES"/>
              </w:rPr>
            </w:pPr>
          </w:p>
        </w:tc>
        <w:tc>
          <w:tcPr>
            <w:tcW w:w="4732" w:type="dxa"/>
            <w:shd w:val="clear" w:color="auto" w:fill="auto"/>
          </w:tcPr>
          <w:p w14:paraId="74288641"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VICEPRESIDENTE</w:t>
            </w:r>
          </w:p>
          <w:p w14:paraId="60F03BA5"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DIP. ELÍAS RESCALA JIMÉNEZ</w:t>
            </w:r>
          </w:p>
        </w:tc>
      </w:tr>
      <w:tr w:rsidR="007A7E76" w:rsidRPr="0012597A" w14:paraId="766114CC" w14:textId="77777777" w:rsidTr="000746F2">
        <w:trPr>
          <w:trHeight w:val="1215"/>
          <w:jc w:val="center"/>
        </w:trPr>
        <w:tc>
          <w:tcPr>
            <w:tcW w:w="4732" w:type="dxa"/>
            <w:shd w:val="clear" w:color="auto" w:fill="auto"/>
          </w:tcPr>
          <w:p w14:paraId="7E9E24F3"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SECRETARIO</w:t>
            </w:r>
          </w:p>
          <w:p w14:paraId="6A2DF24D"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 xml:space="preserve">DIP. </w:t>
            </w:r>
            <w:r w:rsidRPr="0012597A">
              <w:rPr>
                <w:rFonts w:ascii="Times New Roman" w:eastAsia="Times New Roman" w:hAnsi="Times New Roman" w:cs="Times New Roman"/>
                <w:b/>
                <w:bCs/>
                <w:sz w:val="24"/>
                <w:szCs w:val="24"/>
                <w:lang w:val="es-ES" w:eastAsia="es-ES"/>
              </w:rPr>
              <w:t>OSCAR GONZÁLEZ YÁÑEZ</w:t>
            </w:r>
          </w:p>
        </w:tc>
        <w:tc>
          <w:tcPr>
            <w:tcW w:w="4732" w:type="dxa"/>
            <w:shd w:val="clear" w:color="auto" w:fill="auto"/>
          </w:tcPr>
          <w:p w14:paraId="6D9E8662"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VOCAL</w:t>
            </w:r>
          </w:p>
          <w:p w14:paraId="0C21ABFD"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 xml:space="preserve">DIP. </w:t>
            </w:r>
            <w:r w:rsidRPr="0012597A">
              <w:rPr>
                <w:rFonts w:ascii="Times New Roman" w:eastAsia="Times New Roman" w:hAnsi="Times New Roman" w:cs="Times New Roman"/>
                <w:b/>
                <w:bCs/>
                <w:sz w:val="24"/>
                <w:szCs w:val="24"/>
                <w:lang w:val="es-ES" w:eastAsia="es-ES"/>
              </w:rPr>
              <w:t>PABLO FERNÁNDEZ DE CEVALLOS GONZÁLEZ</w:t>
            </w:r>
          </w:p>
          <w:p w14:paraId="02CFBBB7"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p>
        </w:tc>
      </w:tr>
      <w:tr w:rsidR="007A7E76" w:rsidRPr="0012597A" w14:paraId="524BF984" w14:textId="77777777" w:rsidTr="000746F2">
        <w:trPr>
          <w:trHeight w:val="911"/>
          <w:jc w:val="center"/>
        </w:trPr>
        <w:tc>
          <w:tcPr>
            <w:tcW w:w="4732" w:type="dxa"/>
            <w:shd w:val="clear" w:color="auto" w:fill="auto"/>
          </w:tcPr>
          <w:p w14:paraId="0567D498"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VOCAL</w:t>
            </w:r>
          </w:p>
          <w:p w14:paraId="556F1CF9"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DIP. JUAN MANUEL ZEPEDA HERNÁNDEZ</w:t>
            </w:r>
          </w:p>
        </w:tc>
        <w:tc>
          <w:tcPr>
            <w:tcW w:w="4732" w:type="dxa"/>
            <w:shd w:val="clear" w:color="auto" w:fill="auto"/>
          </w:tcPr>
          <w:p w14:paraId="22B75AB8"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VOCAL</w:t>
            </w:r>
          </w:p>
          <w:p w14:paraId="3267C70D" w14:textId="77777777" w:rsidR="007A7E76" w:rsidRPr="0012597A" w:rsidRDefault="007A7E76" w:rsidP="007A7E76">
            <w:pPr>
              <w:spacing w:after="0" w:line="240" w:lineRule="auto"/>
              <w:contextualSpacing/>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 xml:space="preserve">DIP. OMAR ORTEGA ÁLVAREZ </w:t>
            </w:r>
          </w:p>
        </w:tc>
      </w:tr>
      <w:bookmarkEnd w:id="31"/>
    </w:tbl>
    <w:p w14:paraId="47B014D8" w14:textId="77777777" w:rsidR="007A7E76" w:rsidRPr="0012597A" w:rsidRDefault="007A7E76" w:rsidP="007A7E76">
      <w:pPr>
        <w:spacing w:after="0" w:line="240" w:lineRule="auto"/>
        <w:rPr>
          <w:rFonts w:ascii="Times New Roman" w:eastAsia="Times New Roman" w:hAnsi="Times New Roman" w:cs="Times New Roman"/>
          <w:sz w:val="24"/>
          <w:szCs w:val="24"/>
          <w:lang w:val="es-ES" w:eastAsia="es-ES"/>
        </w:rPr>
      </w:pPr>
    </w:p>
    <w:p w14:paraId="491C7EC8" w14:textId="77777777" w:rsidR="007A7E76" w:rsidRPr="0012597A" w:rsidRDefault="007A7E76" w:rsidP="007A7E76">
      <w:pPr>
        <w:spacing w:after="0" w:line="240" w:lineRule="auto"/>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CAMBIO DE TURNO SESIÓN DELIBERANTE</w:t>
      </w:r>
    </w:p>
    <w:p w14:paraId="6538901A" w14:textId="77777777" w:rsidR="007A7E76" w:rsidRPr="0012597A" w:rsidRDefault="007A7E76" w:rsidP="007A7E76">
      <w:pPr>
        <w:spacing w:after="0" w:line="240" w:lineRule="auto"/>
        <w:jc w:val="center"/>
        <w:rPr>
          <w:rFonts w:ascii="Times New Roman" w:eastAsia="Times New Roman" w:hAnsi="Times New Roman" w:cs="Times New Roman"/>
          <w:b/>
          <w:sz w:val="24"/>
          <w:szCs w:val="24"/>
          <w:lang w:val="es-ES" w:eastAsia="es-ES"/>
        </w:rPr>
      </w:pPr>
      <w:r w:rsidRPr="0012597A">
        <w:rPr>
          <w:rFonts w:ascii="Times New Roman" w:eastAsia="Times New Roman" w:hAnsi="Times New Roman" w:cs="Times New Roman"/>
          <w:b/>
          <w:sz w:val="24"/>
          <w:szCs w:val="24"/>
          <w:lang w:val="es-ES" w:eastAsia="es-ES"/>
        </w:rPr>
        <w:t>18/MARZO/2026</w:t>
      </w:r>
    </w:p>
    <w:p w14:paraId="45FD204B" w14:textId="77777777" w:rsidR="007A7E76" w:rsidRPr="0012597A" w:rsidRDefault="007A7E76" w:rsidP="007A7E76">
      <w:pPr>
        <w:spacing w:after="0" w:line="240" w:lineRule="auto"/>
        <w:jc w:val="center"/>
        <w:rPr>
          <w:rFonts w:ascii="Times New Roman" w:eastAsia="Times New Roman" w:hAnsi="Times New Roman" w:cs="Times New Roman"/>
          <w:b/>
          <w:sz w:val="24"/>
          <w:szCs w:val="24"/>
          <w:lang w:val="es-ES" w:eastAsia="es-ES"/>
        </w:rPr>
      </w:pPr>
    </w:p>
    <w:tbl>
      <w:tblPr>
        <w:tblW w:w="5032"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2"/>
        <w:gridCol w:w="2264"/>
        <w:gridCol w:w="1632"/>
        <w:gridCol w:w="1437"/>
        <w:gridCol w:w="1829"/>
        <w:gridCol w:w="1721"/>
      </w:tblGrid>
      <w:tr w:rsidR="000746F2" w:rsidRPr="0012597A" w14:paraId="13D04AF1" w14:textId="77777777" w:rsidTr="000746F2">
        <w:trPr>
          <w:trHeight w:val="282"/>
          <w:tblHeader/>
        </w:trPr>
        <w:tc>
          <w:tcPr>
            <w:tcW w:w="303" w:type="pct"/>
            <w:shd w:val="clear" w:color="auto" w:fill="auto"/>
          </w:tcPr>
          <w:p w14:paraId="1ACCB7D6" w14:textId="77777777" w:rsidR="007A7E76" w:rsidRPr="0012597A" w:rsidRDefault="007A7E76" w:rsidP="007A7E76">
            <w:pPr>
              <w:spacing w:after="0" w:line="240" w:lineRule="auto"/>
              <w:jc w:val="center"/>
              <w:rPr>
                <w:rFonts w:ascii="Times New Roman" w:eastAsia="Times New Roman" w:hAnsi="Times New Roman" w:cs="Times New Roman"/>
                <w:b/>
                <w:bCs/>
                <w:sz w:val="24"/>
                <w:szCs w:val="24"/>
                <w:lang w:val="es-ES" w:eastAsia="es-ES"/>
              </w:rPr>
            </w:pPr>
            <w:r w:rsidRPr="0012597A">
              <w:rPr>
                <w:rFonts w:ascii="Times New Roman" w:eastAsia="Times New Roman" w:hAnsi="Times New Roman" w:cs="Times New Roman"/>
                <w:b/>
                <w:bCs/>
                <w:sz w:val="24"/>
                <w:szCs w:val="24"/>
                <w:lang w:val="es-ES" w:eastAsia="es-ES"/>
              </w:rPr>
              <w:t>No.</w:t>
            </w:r>
          </w:p>
        </w:tc>
        <w:tc>
          <w:tcPr>
            <w:tcW w:w="1197" w:type="pct"/>
            <w:shd w:val="clear" w:color="auto" w:fill="auto"/>
          </w:tcPr>
          <w:p w14:paraId="3AB5575F" w14:textId="77777777" w:rsidR="007A7E76" w:rsidRPr="0012597A" w:rsidRDefault="007A7E76" w:rsidP="007A7E76">
            <w:pPr>
              <w:spacing w:after="0" w:line="240" w:lineRule="auto"/>
              <w:jc w:val="center"/>
              <w:rPr>
                <w:rFonts w:ascii="Times New Roman" w:eastAsia="Times New Roman" w:hAnsi="Times New Roman" w:cs="Times New Roman"/>
                <w:b/>
                <w:bCs/>
                <w:sz w:val="24"/>
                <w:szCs w:val="24"/>
                <w:lang w:val="es-ES" w:eastAsia="es-ES"/>
              </w:rPr>
            </w:pPr>
            <w:r w:rsidRPr="0012597A">
              <w:rPr>
                <w:rFonts w:ascii="Times New Roman" w:eastAsia="Times New Roman" w:hAnsi="Times New Roman" w:cs="Times New Roman"/>
                <w:b/>
                <w:bCs/>
                <w:sz w:val="24"/>
                <w:szCs w:val="24"/>
                <w:lang w:val="es-ES" w:eastAsia="es-ES"/>
              </w:rPr>
              <w:t>Iniciativa</w:t>
            </w:r>
          </w:p>
        </w:tc>
        <w:tc>
          <w:tcPr>
            <w:tcW w:w="863" w:type="pct"/>
            <w:shd w:val="clear" w:color="auto" w:fill="auto"/>
          </w:tcPr>
          <w:p w14:paraId="59E5AE0D" w14:textId="77777777" w:rsidR="007A7E76" w:rsidRPr="0012597A" w:rsidRDefault="007A7E76" w:rsidP="007A7E76">
            <w:pPr>
              <w:spacing w:after="0" w:line="240" w:lineRule="auto"/>
              <w:jc w:val="center"/>
              <w:rPr>
                <w:rFonts w:ascii="Times New Roman" w:eastAsia="Times New Roman" w:hAnsi="Times New Roman" w:cs="Times New Roman"/>
                <w:b/>
                <w:bCs/>
                <w:sz w:val="24"/>
                <w:szCs w:val="24"/>
                <w:lang w:val="es-ES" w:eastAsia="es-ES"/>
              </w:rPr>
            </w:pPr>
            <w:r w:rsidRPr="0012597A">
              <w:rPr>
                <w:rFonts w:ascii="Times New Roman" w:eastAsia="Times New Roman" w:hAnsi="Times New Roman" w:cs="Times New Roman"/>
                <w:b/>
                <w:bCs/>
                <w:sz w:val="24"/>
                <w:szCs w:val="24"/>
                <w:lang w:val="es-ES" w:eastAsia="es-ES"/>
              </w:rPr>
              <w:t>Resumen</w:t>
            </w:r>
          </w:p>
        </w:tc>
        <w:tc>
          <w:tcPr>
            <w:tcW w:w="760" w:type="pct"/>
            <w:shd w:val="clear" w:color="auto" w:fill="auto"/>
          </w:tcPr>
          <w:p w14:paraId="5B53210E" w14:textId="77777777" w:rsidR="007A7E76" w:rsidRPr="0012597A" w:rsidRDefault="007A7E76" w:rsidP="007A7E76">
            <w:pPr>
              <w:spacing w:after="0" w:line="240" w:lineRule="auto"/>
              <w:jc w:val="center"/>
              <w:rPr>
                <w:rFonts w:ascii="Times New Roman" w:eastAsia="Times New Roman" w:hAnsi="Times New Roman" w:cs="Times New Roman"/>
                <w:b/>
                <w:bCs/>
                <w:sz w:val="24"/>
                <w:szCs w:val="24"/>
                <w:lang w:val="es-ES" w:eastAsia="es-ES"/>
              </w:rPr>
            </w:pPr>
            <w:r w:rsidRPr="0012597A">
              <w:rPr>
                <w:rFonts w:ascii="Times New Roman" w:eastAsia="Times New Roman" w:hAnsi="Times New Roman" w:cs="Times New Roman"/>
                <w:b/>
                <w:bCs/>
                <w:sz w:val="24"/>
                <w:szCs w:val="24"/>
                <w:lang w:val="es-ES" w:eastAsia="es-ES"/>
              </w:rPr>
              <w:t>Presentante</w:t>
            </w:r>
          </w:p>
        </w:tc>
        <w:tc>
          <w:tcPr>
            <w:tcW w:w="967" w:type="pct"/>
            <w:shd w:val="clear" w:color="auto" w:fill="auto"/>
          </w:tcPr>
          <w:p w14:paraId="1F280B5A" w14:textId="77777777" w:rsidR="007A7E76" w:rsidRPr="0012597A" w:rsidRDefault="007A7E76" w:rsidP="007A7E76">
            <w:pPr>
              <w:spacing w:after="0" w:line="240" w:lineRule="auto"/>
              <w:jc w:val="center"/>
              <w:rPr>
                <w:rFonts w:ascii="Times New Roman" w:eastAsia="Times New Roman" w:hAnsi="Times New Roman" w:cs="Times New Roman"/>
                <w:b/>
                <w:bCs/>
                <w:sz w:val="24"/>
                <w:szCs w:val="24"/>
                <w:lang w:val="es-ES" w:eastAsia="es-ES"/>
              </w:rPr>
            </w:pPr>
            <w:r w:rsidRPr="0012597A">
              <w:rPr>
                <w:rFonts w:ascii="Times New Roman" w:eastAsia="Times New Roman" w:hAnsi="Times New Roman" w:cs="Times New Roman"/>
                <w:b/>
                <w:bCs/>
                <w:sz w:val="24"/>
                <w:szCs w:val="24"/>
                <w:lang w:val="es-ES" w:eastAsia="es-ES"/>
              </w:rPr>
              <w:t>Turno Original</w:t>
            </w:r>
          </w:p>
        </w:tc>
        <w:tc>
          <w:tcPr>
            <w:tcW w:w="910" w:type="pct"/>
            <w:shd w:val="clear" w:color="auto" w:fill="auto"/>
          </w:tcPr>
          <w:p w14:paraId="5E48396F" w14:textId="77777777" w:rsidR="007A7E76" w:rsidRPr="0012597A" w:rsidRDefault="007A7E76" w:rsidP="007A7E76">
            <w:pPr>
              <w:spacing w:after="0" w:line="240" w:lineRule="auto"/>
              <w:jc w:val="center"/>
              <w:rPr>
                <w:rFonts w:ascii="Times New Roman" w:eastAsia="Times New Roman" w:hAnsi="Times New Roman" w:cs="Times New Roman"/>
                <w:b/>
                <w:bCs/>
                <w:sz w:val="24"/>
                <w:szCs w:val="24"/>
                <w:lang w:val="es-ES" w:eastAsia="es-ES"/>
              </w:rPr>
            </w:pPr>
            <w:r w:rsidRPr="0012597A">
              <w:rPr>
                <w:rFonts w:ascii="Times New Roman" w:eastAsia="Times New Roman" w:hAnsi="Times New Roman" w:cs="Times New Roman"/>
                <w:b/>
                <w:bCs/>
                <w:sz w:val="24"/>
                <w:szCs w:val="24"/>
                <w:lang w:val="es-ES" w:eastAsia="es-ES"/>
              </w:rPr>
              <w:t>Turno Final</w:t>
            </w:r>
          </w:p>
        </w:tc>
      </w:tr>
      <w:tr w:rsidR="000746F2" w:rsidRPr="0012597A" w14:paraId="65408979" w14:textId="77777777" w:rsidTr="000746F2">
        <w:trPr>
          <w:trHeight w:val="1713"/>
        </w:trPr>
        <w:tc>
          <w:tcPr>
            <w:tcW w:w="303" w:type="pct"/>
            <w:shd w:val="clear" w:color="auto" w:fill="F2F2F2"/>
            <w:vAlign w:val="center"/>
          </w:tcPr>
          <w:p w14:paraId="38D7BD71" w14:textId="77777777" w:rsidR="007A7E76" w:rsidRPr="0012597A" w:rsidRDefault="007A7E76" w:rsidP="007A7E76">
            <w:pPr>
              <w:spacing w:after="0" w:line="240" w:lineRule="auto"/>
              <w:jc w:val="center"/>
              <w:rPr>
                <w:rFonts w:ascii="Times New Roman" w:eastAsia="Times New Roman" w:hAnsi="Times New Roman" w:cs="Times New Roman"/>
                <w:b/>
                <w:bCs/>
                <w:sz w:val="24"/>
                <w:szCs w:val="24"/>
                <w:lang w:val="es-ES" w:eastAsia="es-ES"/>
              </w:rPr>
            </w:pPr>
            <w:r w:rsidRPr="0012597A">
              <w:rPr>
                <w:rFonts w:ascii="Times New Roman" w:eastAsia="Times New Roman" w:hAnsi="Times New Roman" w:cs="Times New Roman"/>
                <w:b/>
                <w:bCs/>
                <w:sz w:val="24"/>
                <w:szCs w:val="24"/>
                <w:lang w:val="es-ES" w:eastAsia="es-ES"/>
              </w:rPr>
              <w:t>1</w:t>
            </w:r>
          </w:p>
        </w:tc>
        <w:tc>
          <w:tcPr>
            <w:tcW w:w="1197" w:type="pct"/>
            <w:shd w:val="clear" w:color="auto" w:fill="F2F2F2"/>
          </w:tcPr>
          <w:p w14:paraId="478B733D" w14:textId="77777777" w:rsidR="007A7E76" w:rsidRPr="0012597A" w:rsidRDefault="007A7E76" w:rsidP="007A7E76">
            <w:pPr>
              <w:spacing w:after="0" w:line="240" w:lineRule="auto"/>
              <w:jc w:val="both"/>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b/>
                <w:bCs/>
                <w:sz w:val="24"/>
                <w:szCs w:val="24"/>
                <w:lang w:val="es-ES" w:eastAsia="es-ES"/>
              </w:rPr>
              <w:t xml:space="preserve">Iniciativa </w:t>
            </w:r>
            <w:r w:rsidRPr="0012597A">
              <w:rPr>
                <w:rFonts w:ascii="Times New Roman" w:eastAsia="Times New Roman" w:hAnsi="Times New Roman" w:cs="Times New Roman"/>
                <w:bCs/>
                <w:sz w:val="24"/>
                <w:szCs w:val="24"/>
                <w:lang w:val="es-ES" w:eastAsia="es-ES"/>
              </w:rPr>
              <w:t>con Proyecto de Decreto por el que se adiciona la fracción XLI al artículo 69 de la</w:t>
            </w:r>
            <w:r w:rsidRPr="0012597A">
              <w:rPr>
                <w:rFonts w:ascii="Times New Roman" w:eastAsia="Times New Roman" w:hAnsi="Times New Roman" w:cs="Times New Roman"/>
                <w:b/>
                <w:bCs/>
                <w:sz w:val="24"/>
                <w:szCs w:val="24"/>
                <w:lang w:val="es-ES" w:eastAsia="es-ES"/>
              </w:rPr>
              <w:t xml:space="preserve"> Ley Orgánica del Poder Legislativo del Estado Libre y Soberano de México</w:t>
            </w:r>
          </w:p>
        </w:tc>
        <w:tc>
          <w:tcPr>
            <w:tcW w:w="863" w:type="pct"/>
            <w:shd w:val="clear" w:color="auto" w:fill="F2F2F2"/>
          </w:tcPr>
          <w:p w14:paraId="4BD0C72C" w14:textId="77777777" w:rsidR="007A7E76" w:rsidRPr="0012597A" w:rsidRDefault="007A7E76" w:rsidP="007A7E76">
            <w:pPr>
              <w:spacing w:after="0" w:line="240" w:lineRule="auto"/>
              <w:jc w:val="both"/>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sz w:val="24"/>
                <w:szCs w:val="24"/>
                <w:lang w:val="es-ES" w:eastAsia="es-ES"/>
              </w:rPr>
              <w:t xml:space="preserve">Con la finalidad de crear la Comisión Legislativa en materia de Amnistía. </w:t>
            </w:r>
          </w:p>
        </w:tc>
        <w:tc>
          <w:tcPr>
            <w:tcW w:w="760" w:type="pct"/>
            <w:shd w:val="clear" w:color="auto" w:fill="F2F2F2"/>
            <w:vAlign w:val="center"/>
          </w:tcPr>
          <w:p w14:paraId="2375BEEC" w14:textId="77777777" w:rsidR="007A7E76" w:rsidRPr="0012597A" w:rsidRDefault="007A7E76" w:rsidP="007A7E76">
            <w:pPr>
              <w:spacing w:after="0" w:line="240" w:lineRule="auto"/>
              <w:jc w:val="center"/>
              <w:rPr>
                <w:rFonts w:ascii="Times New Roman" w:eastAsia="Times New Roman" w:hAnsi="Times New Roman" w:cs="Times New Roman"/>
                <w:bCs/>
                <w:sz w:val="24"/>
                <w:szCs w:val="24"/>
                <w:lang w:val="es-ES" w:eastAsia="es-ES"/>
              </w:rPr>
            </w:pPr>
            <w:r w:rsidRPr="0012597A">
              <w:rPr>
                <w:rFonts w:ascii="Times New Roman" w:eastAsia="Times New Roman" w:hAnsi="Times New Roman" w:cs="Times New Roman"/>
                <w:bCs/>
                <w:sz w:val="24"/>
                <w:szCs w:val="24"/>
                <w:lang w:val="es-ES" w:eastAsia="es-ES"/>
              </w:rPr>
              <w:t>Dip. Ana Yurixi Leyva Piñón</w:t>
            </w:r>
          </w:p>
        </w:tc>
        <w:tc>
          <w:tcPr>
            <w:tcW w:w="967" w:type="pct"/>
            <w:shd w:val="clear" w:color="auto" w:fill="F2F2F2"/>
            <w:vAlign w:val="center"/>
          </w:tcPr>
          <w:p w14:paraId="772A38B3" w14:textId="77777777" w:rsidR="007A7E76" w:rsidRPr="0012597A" w:rsidRDefault="007A7E76" w:rsidP="007A7E76">
            <w:pPr>
              <w:spacing w:after="0" w:line="240" w:lineRule="auto"/>
              <w:jc w:val="center"/>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sz w:val="24"/>
                <w:szCs w:val="24"/>
                <w:lang w:val="es-ES" w:eastAsia="es-ES"/>
              </w:rPr>
              <w:t>Gobernación y Puntos Constitucionales</w:t>
            </w:r>
          </w:p>
        </w:tc>
        <w:tc>
          <w:tcPr>
            <w:tcW w:w="910" w:type="pct"/>
            <w:shd w:val="clear" w:color="auto" w:fill="F2F2F2"/>
            <w:vAlign w:val="center"/>
          </w:tcPr>
          <w:p w14:paraId="29CE2A7B" w14:textId="77777777" w:rsidR="007A7E76" w:rsidRPr="0012597A" w:rsidRDefault="007A7E76" w:rsidP="007A7E76">
            <w:pPr>
              <w:spacing w:after="0" w:line="240" w:lineRule="auto"/>
              <w:jc w:val="center"/>
              <w:rPr>
                <w:rFonts w:ascii="Times New Roman" w:eastAsia="Times New Roman" w:hAnsi="Times New Roman" w:cs="Times New Roman"/>
                <w:sz w:val="24"/>
                <w:szCs w:val="24"/>
                <w:lang w:val="es-ES" w:eastAsia="es-ES"/>
              </w:rPr>
            </w:pPr>
            <w:r w:rsidRPr="0012597A">
              <w:rPr>
                <w:rFonts w:ascii="Times New Roman" w:eastAsia="Times New Roman" w:hAnsi="Times New Roman" w:cs="Times New Roman"/>
                <w:sz w:val="24"/>
                <w:szCs w:val="24"/>
                <w:lang w:val="es-ES" w:eastAsia="es-ES"/>
              </w:rPr>
              <w:t>Procuración y Administración de Justicia</w:t>
            </w:r>
          </w:p>
        </w:tc>
      </w:tr>
    </w:tbl>
    <w:p w14:paraId="5ED546B8" w14:textId="77777777" w:rsidR="004E41E9" w:rsidRPr="0012597A" w:rsidRDefault="004E41E9" w:rsidP="007A7E76">
      <w:pPr>
        <w:spacing w:after="0" w:line="240" w:lineRule="auto"/>
        <w:jc w:val="center"/>
        <w:rPr>
          <w:rFonts w:ascii="Times New Roman" w:hAnsi="Times New Roman" w:cs="Times New Roman"/>
          <w:sz w:val="24"/>
          <w:szCs w:val="24"/>
        </w:rPr>
      </w:pPr>
    </w:p>
    <w:p w14:paraId="3706EFBD" w14:textId="77777777" w:rsidR="004E41E9" w:rsidRPr="0012597A" w:rsidRDefault="004E41E9" w:rsidP="007A7E76">
      <w:pPr>
        <w:spacing w:after="0" w:line="240" w:lineRule="auto"/>
        <w:jc w:val="center"/>
        <w:rPr>
          <w:rFonts w:ascii="Times New Roman" w:hAnsi="Times New Roman" w:cs="Times New Roman"/>
          <w:i/>
          <w:sz w:val="24"/>
          <w:szCs w:val="24"/>
        </w:rPr>
      </w:pPr>
      <w:r w:rsidRPr="0012597A">
        <w:rPr>
          <w:rFonts w:ascii="Times New Roman" w:hAnsi="Times New Roman" w:cs="Times New Roman"/>
          <w:i/>
          <w:sz w:val="24"/>
          <w:szCs w:val="24"/>
        </w:rPr>
        <w:t>(Fin del documento)</w:t>
      </w:r>
    </w:p>
    <w:p w14:paraId="2027F8E8" w14:textId="77777777" w:rsidR="004E41E9" w:rsidRPr="0012597A" w:rsidRDefault="004E41E9" w:rsidP="00E42132">
      <w:pPr>
        <w:spacing w:after="0" w:line="240" w:lineRule="auto"/>
        <w:jc w:val="center"/>
        <w:rPr>
          <w:rFonts w:ascii="Times New Roman" w:hAnsi="Times New Roman"/>
          <w:sz w:val="24"/>
          <w:szCs w:val="24"/>
        </w:rPr>
      </w:pPr>
    </w:p>
    <w:p w14:paraId="7E7278F8" w14:textId="00C8CA05"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En uso de las atribuciones previstas en el artículo 47 de la fracción XVI, XX, XXII, XXI de este Poder Legislativo, acuerdo del turno de las comisiones en los términos solicitados y en su caso, se hace extensivo en los supuestos que se estime lo necesario.</w:t>
      </w:r>
    </w:p>
    <w:p w14:paraId="0897CA78"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Registre la Secretaría la asistencia a la sesión.</w:t>
      </w:r>
    </w:p>
    <w:p w14:paraId="423F012F"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SECRETARIA DIP. MARICELA BELTRÁN SÁNCHEZ. Ha sido registrada la asistencia.</w:t>
      </w:r>
    </w:p>
    <w:p w14:paraId="061D4CA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Pido a la Vicepresidenta dé cuenta de los comunicados.</w:t>
      </w:r>
    </w:p>
    <w:p w14:paraId="156235F8" w14:textId="1E718656"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VICEPRESIDENTA DIP. SARA ALICIA RAMÍREZ DE LA O.</w:t>
      </w:r>
      <w:r w:rsidR="00E264E4" w:rsidRPr="0012597A">
        <w:rPr>
          <w:rFonts w:ascii="Times New Roman" w:hAnsi="Times New Roman" w:cs="Times New Roman"/>
          <w:sz w:val="24"/>
          <w:szCs w:val="24"/>
        </w:rPr>
        <w:t xml:space="preserve"> Calendario de Comisiones:</w:t>
      </w:r>
    </w:p>
    <w:p w14:paraId="73BD222A"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1. Diputado Eduardo Zarzosa Sánchez, Iniciativa con Proyecto de Decreto por el que se reforman y adicionan diversas disposiciones de la Ley Orgánica Municipal del Estado de México. Programación Jueves 19 de marzo de 2026, 11:00 horas, Salón Narciso Bassols y en modalidad </w:t>
      </w:r>
      <w:r w:rsidRPr="0012597A">
        <w:rPr>
          <w:rFonts w:ascii="Times New Roman" w:hAnsi="Times New Roman" w:cs="Times New Roman"/>
          <w:sz w:val="24"/>
          <w:szCs w:val="24"/>
        </w:rPr>
        <w:lastRenderedPageBreak/>
        <w:t>mixta. Comisión de Legislación y Administración Municipal, Electoral y de Desarrollo Democrático. Tipo de reunión, reunión de trabajo.</w:t>
      </w:r>
    </w:p>
    <w:p w14:paraId="39D49281"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2. Diputado Rigoberto Vargas Cervantes, Iniciativa con Proyecto de Decreto mediante la cual, se adicionan las fracciones IX, X y XI, recorriéndose las subsecuentes en su orden del artículo 94 de la Ley de Educación del Estado de México, jueves 19 de marzo de 2026, 12:00 horas, Salón Protocolo y en modalidad mixta. Comisión de Educación, Cultura, Ciencia, Tecnología e Innovación y el tipo de reunión es reunión de trabajo y en su caso, dictaminación.</w:t>
      </w:r>
    </w:p>
    <w:p w14:paraId="2B053269"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3. Diputado Edmundo Luis Valdeña Bas</w:t>
      </w:r>
      <w:bookmarkStart w:id="32" w:name="_GoBack"/>
      <w:bookmarkEnd w:id="32"/>
      <w:r w:rsidRPr="0012597A">
        <w:rPr>
          <w:rFonts w:ascii="Times New Roman" w:hAnsi="Times New Roman" w:cs="Times New Roman"/>
          <w:sz w:val="24"/>
          <w:szCs w:val="24"/>
        </w:rPr>
        <w:t>tida, Iniciativa de Decreto por el que se adiciona una fracción al artículo 5 de la Ley del Adulto Mayor del Estado de México, Materia para garantizar atención preferente a personas adultas mayores en trámites y servicios públicos, programada para el lunes 23 de marzo de 2026 a las 12:00 horas, en el Salón Narciso Bassols y en modalidad mixta. Comisión Para la Atención de Grupos Vulnerables y Desarrollo y Bienestar Social. Tipo de reunión, reunión de trabajo.</w:t>
      </w:r>
    </w:p>
    <w:p w14:paraId="016BADEE"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4. Grupo del Partido Verde del Estado de México. Iniciativa con Proyecto de Decreto por el que se reforman diversas disposiciones del Código Administrativo del Estado de México, Materia con la finalidad de que sea causa de utilidad pública la creación, promoción y mejoramiento de áreas verdes en zonas urbanas, es el lunes 23 de marzo a las 13:00 en el Salón “Narciso Bassols” en modalidad mixta, Comisión Protección Animal Ambiental y Cambio Climático. Tipo de reunión, reunión de trabajo.</w:t>
      </w:r>
    </w:p>
    <w:p w14:paraId="1AFC3764" w14:textId="77777777" w:rsidR="00791E2D" w:rsidRPr="0012597A" w:rsidRDefault="00791E2D" w:rsidP="00EF1C7F">
      <w:pPr>
        <w:pStyle w:val="Sinespaciado"/>
        <w:ind w:firstLine="708"/>
        <w:jc w:val="both"/>
        <w:rPr>
          <w:rFonts w:ascii="Times New Roman" w:hAnsi="Times New Roman" w:cs="Times New Roman"/>
          <w:sz w:val="24"/>
          <w:szCs w:val="24"/>
        </w:rPr>
      </w:pPr>
      <w:r w:rsidRPr="0012597A">
        <w:rPr>
          <w:rFonts w:ascii="Times New Roman" w:hAnsi="Times New Roman" w:cs="Times New Roman"/>
          <w:sz w:val="24"/>
          <w:szCs w:val="24"/>
        </w:rPr>
        <w:t xml:space="preserve">5. Diputada Elena Trujillo Arismendi, presenta punto de acuerdo mediante la cual se exhorta a los municipios del Estado de México para que, en el ámbito de sus respectivas atribuciones, procedan a la instalación de sus instancias de coordinación y gobernanza metropolitana, el lunes 23 de marzo de 2026 a 14:00, en el Salón “Narciso Bassols” y en modalidad mixta, Comisión Legislativa de Asuntos Metropolitanos, es una reunión de trabajo y en su caso, dictaminación. </w:t>
      </w:r>
    </w:p>
    <w:p w14:paraId="58E5A615"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Es cuanto Presidenta. </w:t>
      </w:r>
    </w:p>
    <w:p w14:paraId="7D216627"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PRESIDENTA DIP. MARTHA AZUCENA CAMACHO REYNOSO. Gracias diputada Vicepresidenta, Sara Alicia Ramírez de la O.</w:t>
      </w:r>
    </w:p>
    <w:p w14:paraId="0558EBB2"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En cuanto al punto número 20, se registra la iniciativa y se remite a las Comisiones Legislativas de Comunicaciones y Transporte y de Seguridad Pública y de Tránsito, para su estudio y dictamen.</w:t>
      </w:r>
    </w:p>
    <w:p w14:paraId="3F56B327" w14:textId="044A873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 xml:space="preserve">Habiendo agotado los asuntos en cartera, se levanta la Sesión Deliberante, siendo diecisiete horas con cuarenta minutos del día miércoles dieciocho de marzo del año en curso y se cita a quienes integran esta Asamblea a la sesión que realizaremos el martes veinticuatro de marzo del año en curso a doce horas, en este Recinto. </w:t>
      </w:r>
    </w:p>
    <w:p w14:paraId="7C23AE70"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SECRETARIA DIP. MARICELA BELTRÁN SÁNCHEZ. La sesión ha quedado grabada en la cinta marcada con la clave número 108-A-LXII.</w:t>
      </w:r>
    </w:p>
    <w:p w14:paraId="7FE805A1" w14:textId="77777777" w:rsidR="00791E2D" w:rsidRPr="0012597A" w:rsidRDefault="00791E2D" w:rsidP="00EF1C7F">
      <w:pPr>
        <w:pStyle w:val="Sinespaciado"/>
        <w:jc w:val="both"/>
        <w:rPr>
          <w:rFonts w:ascii="Times New Roman" w:hAnsi="Times New Roman" w:cs="Times New Roman"/>
          <w:sz w:val="24"/>
          <w:szCs w:val="24"/>
        </w:rPr>
      </w:pPr>
      <w:r w:rsidRPr="0012597A">
        <w:rPr>
          <w:rFonts w:ascii="Times New Roman" w:hAnsi="Times New Roman" w:cs="Times New Roman"/>
          <w:sz w:val="24"/>
          <w:szCs w:val="24"/>
        </w:rPr>
        <w:tab/>
        <w:t>Muchas gracias.</w:t>
      </w:r>
    </w:p>
    <w:sectPr w:rsidR="00791E2D" w:rsidRPr="0012597A" w:rsidSect="007A7E76">
      <w:headerReference w:type="default" r:id="rId96"/>
      <w:footerReference w:type="default" r:id="rId9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08A3D" w14:textId="77777777" w:rsidR="0012453E" w:rsidRDefault="0012453E" w:rsidP="001105DF">
      <w:pPr>
        <w:spacing w:after="0" w:line="240" w:lineRule="auto"/>
      </w:pPr>
      <w:r>
        <w:separator/>
      </w:r>
    </w:p>
  </w:endnote>
  <w:endnote w:type="continuationSeparator" w:id="0">
    <w:p w14:paraId="5117AAB0" w14:textId="77777777" w:rsidR="0012453E" w:rsidRDefault="0012453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59822"/>
      <w:docPartObj>
        <w:docPartGallery w:val="Page Numbers (Bottom of Page)"/>
        <w:docPartUnique/>
      </w:docPartObj>
    </w:sdtPr>
    <w:sdtContent>
      <w:p w14:paraId="48D63773" w14:textId="77777777" w:rsidR="00116883" w:rsidRDefault="00116883" w:rsidP="0043365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51BD1" w14:textId="77777777" w:rsidR="0012453E" w:rsidRDefault="0012453E" w:rsidP="001105DF">
      <w:pPr>
        <w:spacing w:after="0" w:line="240" w:lineRule="auto"/>
      </w:pPr>
      <w:r>
        <w:separator/>
      </w:r>
    </w:p>
  </w:footnote>
  <w:footnote w:type="continuationSeparator" w:id="0">
    <w:p w14:paraId="4F84FA7C" w14:textId="77777777" w:rsidR="0012453E" w:rsidRDefault="0012453E" w:rsidP="001105DF">
      <w:pPr>
        <w:spacing w:after="0" w:line="240" w:lineRule="auto"/>
      </w:pPr>
      <w:r>
        <w:continuationSeparator/>
      </w:r>
    </w:p>
  </w:footnote>
  <w:footnote w:id="1">
    <w:p w14:paraId="3FB066D8" w14:textId="77777777" w:rsidR="00116883" w:rsidRPr="008655D8" w:rsidRDefault="00116883" w:rsidP="00B53F8D">
      <w:pPr>
        <w:pStyle w:val="Textonotapie"/>
        <w:rPr>
          <w:rFonts w:ascii="Arial" w:hAnsi="Arial" w:cs="Arial"/>
        </w:rPr>
      </w:pPr>
      <w:r w:rsidRPr="008655D8">
        <w:rPr>
          <w:rStyle w:val="Refdenotaalpie"/>
          <w:rFonts w:ascii="Arial" w:hAnsi="Arial" w:cs="Arial"/>
        </w:rPr>
        <w:footnoteRef/>
      </w:r>
      <w:r w:rsidRPr="008655D8">
        <w:rPr>
          <w:rFonts w:ascii="Arial" w:hAnsi="Arial" w:cs="Arial"/>
        </w:rPr>
        <w:t xml:space="preserve"> Datos</w:t>
      </w:r>
      <w:r w:rsidRPr="008655D8">
        <w:rPr>
          <w:rFonts w:ascii="Arial" w:hAnsi="Arial" w:cs="Arial"/>
          <w:spacing w:val="-7"/>
        </w:rPr>
        <w:t xml:space="preserve"> </w:t>
      </w:r>
      <w:r w:rsidRPr="008655D8">
        <w:rPr>
          <w:rFonts w:ascii="Arial" w:hAnsi="Arial" w:cs="Arial"/>
        </w:rPr>
        <w:t>suministrados</w:t>
      </w:r>
      <w:r w:rsidRPr="008655D8">
        <w:rPr>
          <w:rFonts w:ascii="Arial" w:hAnsi="Arial" w:cs="Arial"/>
          <w:spacing w:val="-8"/>
        </w:rPr>
        <w:t xml:space="preserve"> </w:t>
      </w:r>
      <w:r w:rsidRPr="008655D8">
        <w:rPr>
          <w:rFonts w:ascii="Arial" w:hAnsi="Arial" w:cs="Arial"/>
        </w:rPr>
        <w:t>por</w:t>
      </w:r>
      <w:r w:rsidRPr="008655D8">
        <w:rPr>
          <w:rFonts w:ascii="Arial" w:hAnsi="Arial" w:cs="Arial"/>
          <w:spacing w:val="-5"/>
        </w:rPr>
        <w:t xml:space="preserve"> </w:t>
      </w:r>
      <w:r w:rsidRPr="008655D8">
        <w:rPr>
          <w:rFonts w:ascii="Arial" w:hAnsi="Arial" w:cs="Arial"/>
        </w:rPr>
        <w:t>CFE</w:t>
      </w:r>
      <w:r w:rsidRPr="008655D8">
        <w:rPr>
          <w:rFonts w:ascii="Arial" w:hAnsi="Arial" w:cs="Arial"/>
          <w:spacing w:val="-6"/>
        </w:rPr>
        <w:t xml:space="preserve"> </w:t>
      </w:r>
      <w:r w:rsidRPr="008655D8">
        <w:rPr>
          <w:rFonts w:ascii="Arial" w:hAnsi="Arial" w:cs="Arial"/>
        </w:rPr>
        <w:t>Suministrador</w:t>
      </w:r>
      <w:r w:rsidRPr="008655D8">
        <w:rPr>
          <w:rFonts w:ascii="Arial" w:hAnsi="Arial" w:cs="Arial"/>
          <w:spacing w:val="-6"/>
        </w:rPr>
        <w:t xml:space="preserve"> </w:t>
      </w:r>
      <w:r w:rsidRPr="008655D8">
        <w:rPr>
          <w:rFonts w:ascii="Arial" w:hAnsi="Arial" w:cs="Arial"/>
        </w:rPr>
        <w:t>de</w:t>
      </w:r>
      <w:r w:rsidRPr="008655D8">
        <w:rPr>
          <w:rFonts w:ascii="Arial" w:hAnsi="Arial" w:cs="Arial"/>
          <w:spacing w:val="-6"/>
        </w:rPr>
        <w:t xml:space="preserve"> </w:t>
      </w:r>
      <w:r w:rsidRPr="008655D8">
        <w:rPr>
          <w:rFonts w:ascii="Arial" w:hAnsi="Arial" w:cs="Arial"/>
        </w:rPr>
        <w:t>Servicios</w:t>
      </w:r>
      <w:r w:rsidRPr="008655D8">
        <w:rPr>
          <w:rFonts w:ascii="Arial" w:hAnsi="Arial" w:cs="Arial"/>
          <w:spacing w:val="-8"/>
        </w:rPr>
        <w:t xml:space="preserve"> </w:t>
      </w:r>
      <w:r w:rsidRPr="008655D8">
        <w:rPr>
          <w:rFonts w:ascii="Arial" w:hAnsi="Arial" w:cs="Arial"/>
        </w:rPr>
        <w:t>Básicos</w:t>
      </w:r>
      <w:r w:rsidRPr="008655D8">
        <w:rPr>
          <w:rFonts w:ascii="Arial" w:hAnsi="Arial" w:cs="Arial"/>
          <w:spacing w:val="-4"/>
        </w:rPr>
        <w:t xml:space="preserve"> </w:t>
      </w:r>
      <w:r w:rsidRPr="008655D8">
        <w:rPr>
          <w:rFonts w:ascii="Arial" w:hAnsi="Arial" w:cs="Arial"/>
        </w:rPr>
        <w:t>(CFE</w:t>
      </w:r>
      <w:r w:rsidRPr="008655D8">
        <w:rPr>
          <w:rFonts w:ascii="Arial" w:hAnsi="Arial" w:cs="Arial"/>
          <w:spacing w:val="-6"/>
        </w:rPr>
        <w:t xml:space="preserve"> </w:t>
      </w:r>
      <w:r w:rsidRPr="008655D8">
        <w:rPr>
          <w:rFonts w:ascii="Arial" w:hAnsi="Arial" w:cs="Arial"/>
          <w:spacing w:val="-2"/>
        </w:rPr>
        <w:t>SSB).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B694A" w14:textId="77777777" w:rsidR="00116883" w:rsidRDefault="00116883" w:rsidP="00433653">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D55"/>
    <w:multiLevelType w:val="multilevel"/>
    <w:tmpl w:val="427AA12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AA2530"/>
    <w:multiLevelType w:val="multilevel"/>
    <w:tmpl w:val="F8DA7504"/>
    <w:lvl w:ilvl="0">
      <w:start w:val="1"/>
      <w:numFmt w:val="upperRoman"/>
      <w:lvlText w:val="%1."/>
      <w:lvlJc w:val="left"/>
      <w:pPr>
        <w:ind w:left="1287" w:hanging="360"/>
      </w:pPr>
      <w:rPr>
        <w:rFonts w:ascii="Times New Roman" w:eastAsia="Arial" w:hAnsi="Times New Roman" w:cs="Times New Roman" w:hint="default"/>
        <w:b w:val="0"/>
        <w:bCs/>
        <w:w w:val="100"/>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8CA53BB"/>
    <w:multiLevelType w:val="hybridMultilevel"/>
    <w:tmpl w:val="F5AA1D20"/>
    <w:lvl w:ilvl="0" w:tplc="C1C8B7A2">
      <w:start w:val="1"/>
      <w:numFmt w:val="upperRoman"/>
      <w:lvlText w:val="%1."/>
      <w:lvlJc w:val="left"/>
      <w:pPr>
        <w:ind w:left="0"/>
      </w:pPr>
      <w:rPr>
        <w:rFonts w:ascii="Times New Roman" w:eastAsia="Bookman Old Style"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431AA8DE">
      <w:start w:val="1"/>
      <w:numFmt w:val="lowerLetter"/>
      <w:lvlText w:val="%2"/>
      <w:lvlJc w:val="left"/>
      <w:pPr>
        <w:ind w:left="118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C19045BA">
      <w:start w:val="1"/>
      <w:numFmt w:val="lowerRoman"/>
      <w:lvlText w:val="%3"/>
      <w:lvlJc w:val="left"/>
      <w:pPr>
        <w:ind w:left="190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4C2CC482">
      <w:start w:val="1"/>
      <w:numFmt w:val="decimal"/>
      <w:lvlText w:val="%4"/>
      <w:lvlJc w:val="left"/>
      <w:pPr>
        <w:ind w:left="262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5C5469CC">
      <w:start w:val="1"/>
      <w:numFmt w:val="lowerLetter"/>
      <w:lvlText w:val="%5"/>
      <w:lvlJc w:val="left"/>
      <w:pPr>
        <w:ind w:left="334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1EC2539C">
      <w:start w:val="1"/>
      <w:numFmt w:val="lowerRoman"/>
      <w:lvlText w:val="%6"/>
      <w:lvlJc w:val="left"/>
      <w:pPr>
        <w:ind w:left="406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F8A476F2">
      <w:start w:val="1"/>
      <w:numFmt w:val="decimal"/>
      <w:lvlText w:val="%7"/>
      <w:lvlJc w:val="left"/>
      <w:pPr>
        <w:ind w:left="478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9B8CC160">
      <w:start w:val="1"/>
      <w:numFmt w:val="lowerLetter"/>
      <w:lvlText w:val="%8"/>
      <w:lvlJc w:val="left"/>
      <w:pPr>
        <w:ind w:left="550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0D4220FE">
      <w:start w:val="1"/>
      <w:numFmt w:val="lowerRoman"/>
      <w:lvlText w:val="%9"/>
      <w:lvlJc w:val="left"/>
      <w:pPr>
        <w:ind w:left="6226"/>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F76EED"/>
    <w:multiLevelType w:val="hybridMultilevel"/>
    <w:tmpl w:val="89EA50D8"/>
    <w:lvl w:ilvl="0" w:tplc="CA5A7152">
      <w:start w:val="1"/>
      <w:numFmt w:val="decimal"/>
      <w:lvlText w:val="%1."/>
      <w:lvlJc w:val="left"/>
      <w:pPr>
        <w:ind w:left="84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43709DF0">
      <w:numFmt w:val="bullet"/>
      <w:lvlText w:val=""/>
      <w:lvlJc w:val="left"/>
      <w:pPr>
        <w:ind w:left="840" w:hanging="360"/>
      </w:pPr>
      <w:rPr>
        <w:rFonts w:ascii="Symbol" w:eastAsia="Symbol" w:hAnsi="Symbol" w:cs="Symbol" w:hint="default"/>
        <w:b w:val="0"/>
        <w:bCs w:val="0"/>
        <w:i w:val="0"/>
        <w:iCs w:val="0"/>
        <w:spacing w:val="0"/>
        <w:w w:val="100"/>
        <w:sz w:val="24"/>
        <w:szCs w:val="24"/>
        <w:lang w:val="es-ES" w:eastAsia="en-US" w:bidi="ar-SA"/>
      </w:rPr>
    </w:lvl>
    <w:lvl w:ilvl="2" w:tplc="A3907EAC">
      <w:numFmt w:val="bullet"/>
      <w:lvlText w:val="•"/>
      <w:lvlJc w:val="left"/>
      <w:pPr>
        <w:ind w:left="2544" w:hanging="360"/>
      </w:pPr>
      <w:rPr>
        <w:rFonts w:hint="default"/>
        <w:lang w:val="es-ES" w:eastAsia="en-US" w:bidi="ar-SA"/>
      </w:rPr>
    </w:lvl>
    <w:lvl w:ilvl="3" w:tplc="2166C6B8">
      <w:numFmt w:val="bullet"/>
      <w:lvlText w:val="•"/>
      <w:lvlJc w:val="left"/>
      <w:pPr>
        <w:ind w:left="3396" w:hanging="360"/>
      </w:pPr>
      <w:rPr>
        <w:rFonts w:hint="default"/>
        <w:lang w:val="es-ES" w:eastAsia="en-US" w:bidi="ar-SA"/>
      </w:rPr>
    </w:lvl>
    <w:lvl w:ilvl="4" w:tplc="3DAEB044">
      <w:numFmt w:val="bullet"/>
      <w:lvlText w:val="•"/>
      <w:lvlJc w:val="left"/>
      <w:pPr>
        <w:ind w:left="4248" w:hanging="360"/>
      </w:pPr>
      <w:rPr>
        <w:rFonts w:hint="default"/>
        <w:lang w:val="es-ES" w:eastAsia="en-US" w:bidi="ar-SA"/>
      </w:rPr>
    </w:lvl>
    <w:lvl w:ilvl="5" w:tplc="9FFCF240">
      <w:numFmt w:val="bullet"/>
      <w:lvlText w:val="•"/>
      <w:lvlJc w:val="left"/>
      <w:pPr>
        <w:ind w:left="5100" w:hanging="360"/>
      </w:pPr>
      <w:rPr>
        <w:rFonts w:hint="default"/>
        <w:lang w:val="es-ES" w:eastAsia="en-US" w:bidi="ar-SA"/>
      </w:rPr>
    </w:lvl>
    <w:lvl w:ilvl="6" w:tplc="04C091D2">
      <w:numFmt w:val="bullet"/>
      <w:lvlText w:val="•"/>
      <w:lvlJc w:val="left"/>
      <w:pPr>
        <w:ind w:left="5952" w:hanging="360"/>
      </w:pPr>
      <w:rPr>
        <w:rFonts w:hint="default"/>
        <w:lang w:val="es-ES" w:eastAsia="en-US" w:bidi="ar-SA"/>
      </w:rPr>
    </w:lvl>
    <w:lvl w:ilvl="7" w:tplc="B4A23F22">
      <w:numFmt w:val="bullet"/>
      <w:lvlText w:val="•"/>
      <w:lvlJc w:val="left"/>
      <w:pPr>
        <w:ind w:left="6804" w:hanging="360"/>
      </w:pPr>
      <w:rPr>
        <w:rFonts w:hint="default"/>
        <w:lang w:val="es-ES" w:eastAsia="en-US" w:bidi="ar-SA"/>
      </w:rPr>
    </w:lvl>
    <w:lvl w:ilvl="8" w:tplc="5142B8D8">
      <w:numFmt w:val="bullet"/>
      <w:lvlText w:val="•"/>
      <w:lvlJc w:val="left"/>
      <w:pPr>
        <w:ind w:left="7656" w:hanging="360"/>
      </w:pPr>
      <w:rPr>
        <w:rFonts w:hint="default"/>
        <w:lang w:val="es-ES" w:eastAsia="en-US" w:bidi="ar-SA"/>
      </w:rPr>
    </w:lvl>
  </w:abstractNum>
  <w:abstractNum w:abstractNumId="4" w15:restartNumberingAfterBreak="0">
    <w:nsid w:val="0AF515E7"/>
    <w:multiLevelType w:val="hybridMultilevel"/>
    <w:tmpl w:val="44C6CD1E"/>
    <w:lvl w:ilvl="0" w:tplc="9634EA72">
      <w:start w:val="4"/>
      <w:numFmt w:val="decimal"/>
      <w:lvlText w:val="%1."/>
      <w:lvlJc w:val="left"/>
      <w:pPr>
        <w:ind w:left="262" w:hanging="252"/>
      </w:pPr>
      <w:rPr>
        <w:rFonts w:ascii="Times New Roman" w:eastAsia="Trebuchet MS" w:hAnsi="Times New Roman" w:cs="Times New Roman" w:hint="default"/>
        <w:b/>
        <w:bCs/>
        <w:i w:val="0"/>
        <w:iCs w:val="0"/>
        <w:spacing w:val="-1"/>
        <w:w w:val="100"/>
        <w:sz w:val="24"/>
        <w:szCs w:val="24"/>
        <w:lang w:val="es-ES" w:eastAsia="en-US" w:bidi="ar-SA"/>
      </w:rPr>
    </w:lvl>
    <w:lvl w:ilvl="1" w:tplc="E996E032">
      <w:numFmt w:val="bullet"/>
      <w:lvlText w:val="•"/>
      <w:lvlJc w:val="left"/>
      <w:pPr>
        <w:ind w:left="1170" w:hanging="252"/>
      </w:pPr>
      <w:rPr>
        <w:rFonts w:hint="default"/>
        <w:lang w:val="es-ES" w:eastAsia="en-US" w:bidi="ar-SA"/>
      </w:rPr>
    </w:lvl>
    <w:lvl w:ilvl="2" w:tplc="5E4C07CA">
      <w:numFmt w:val="bullet"/>
      <w:lvlText w:val="•"/>
      <w:lvlJc w:val="left"/>
      <w:pPr>
        <w:ind w:left="2080" w:hanging="252"/>
      </w:pPr>
      <w:rPr>
        <w:rFonts w:hint="default"/>
        <w:lang w:val="es-ES" w:eastAsia="en-US" w:bidi="ar-SA"/>
      </w:rPr>
    </w:lvl>
    <w:lvl w:ilvl="3" w:tplc="29C829B4">
      <w:numFmt w:val="bullet"/>
      <w:lvlText w:val="•"/>
      <w:lvlJc w:val="left"/>
      <w:pPr>
        <w:ind w:left="2990" w:hanging="252"/>
      </w:pPr>
      <w:rPr>
        <w:rFonts w:hint="default"/>
        <w:lang w:val="es-ES" w:eastAsia="en-US" w:bidi="ar-SA"/>
      </w:rPr>
    </w:lvl>
    <w:lvl w:ilvl="4" w:tplc="23A24366">
      <w:numFmt w:val="bullet"/>
      <w:lvlText w:val="•"/>
      <w:lvlJc w:val="left"/>
      <w:pPr>
        <w:ind w:left="3900" w:hanging="252"/>
      </w:pPr>
      <w:rPr>
        <w:rFonts w:hint="default"/>
        <w:lang w:val="es-ES" w:eastAsia="en-US" w:bidi="ar-SA"/>
      </w:rPr>
    </w:lvl>
    <w:lvl w:ilvl="5" w:tplc="2F42454C">
      <w:numFmt w:val="bullet"/>
      <w:lvlText w:val="•"/>
      <w:lvlJc w:val="left"/>
      <w:pPr>
        <w:ind w:left="4810" w:hanging="252"/>
      </w:pPr>
      <w:rPr>
        <w:rFonts w:hint="default"/>
        <w:lang w:val="es-ES" w:eastAsia="en-US" w:bidi="ar-SA"/>
      </w:rPr>
    </w:lvl>
    <w:lvl w:ilvl="6" w:tplc="E1AAE314">
      <w:numFmt w:val="bullet"/>
      <w:lvlText w:val="•"/>
      <w:lvlJc w:val="left"/>
      <w:pPr>
        <w:ind w:left="5720" w:hanging="252"/>
      </w:pPr>
      <w:rPr>
        <w:rFonts w:hint="default"/>
        <w:lang w:val="es-ES" w:eastAsia="en-US" w:bidi="ar-SA"/>
      </w:rPr>
    </w:lvl>
    <w:lvl w:ilvl="7" w:tplc="2D0C7E8A">
      <w:numFmt w:val="bullet"/>
      <w:lvlText w:val="•"/>
      <w:lvlJc w:val="left"/>
      <w:pPr>
        <w:ind w:left="6630" w:hanging="252"/>
      </w:pPr>
      <w:rPr>
        <w:rFonts w:hint="default"/>
        <w:lang w:val="es-ES" w:eastAsia="en-US" w:bidi="ar-SA"/>
      </w:rPr>
    </w:lvl>
    <w:lvl w:ilvl="8" w:tplc="F3803186">
      <w:numFmt w:val="bullet"/>
      <w:lvlText w:val="•"/>
      <w:lvlJc w:val="left"/>
      <w:pPr>
        <w:ind w:left="7540" w:hanging="252"/>
      </w:pPr>
      <w:rPr>
        <w:rFonts w:hint="default"/>
        <w:lang w:val="es-ES" w:eastAsia="en-US" w:bidi="ar-SA"/>
      </w:rPr>
    </w:lvl>
  </w:abstractNum>
  <w:abstractNum w:abstractNumId="5" w15:restartNumberingAfterBreak="0">
    <w:nsid w:val="0BFD1839"/>
    <w:multiLevelType w:val="hybridMultilevel"/>
    <w:tmpl w:val="F040588C"/>
    <w:lvl w:ilvl="0" w:tplc="86643DDE">
      <w:start w:val="1"/>
      <w:numFmt w:val="upperRoman"/>
      <w:lvlText w:val="%1."/>
      <w:lvlJc w:val="left"/>
      <w:pPr>
        <w:ind w:left="306" w:hanging="201"/>
      </w:pPr>
      <w:rPr>
        <w:rFonts w:ascii="Arial" w:eastAsia="Arial" w:hAnsi="Arial" w:cs="Arial" w:hint="default"/>
        <w:b/>
        <w:bCs/>
        <w:i w:val="0"/>
        <w:iCs w:val="0"/>
        <w:spacing w:val="0"/>
        <w:w w:val="100"/>
        <w:sz w:val="24"/>
        <w:szCs w:val="24"/>
        <w:lang w:val="es-ES" w:eastAsia="en-US" w:bidi="ar-SA"/>
      </w:rPr>
    </w:lvl>
    <w:lvl w:ilvl="1" w:tplc="F6D2699C">
      <w:numFmt w:val="bullet"/>
      <w:lvlText w:val="•"/>
      <w:lvlJc w:val="left"/>
      <w:pPr>
        <w:ind w:left="717" w:hanging="201"/>
      </w:pPr>
      <w:rPr>
        <w:rFonts w:hint="default"/>
        <w:lang w:val="es-ES" w:eastAsia="en-US" w:bidi="ar-SA"/>
      </w:rPr>
    </w:lvl>
    <w:lvl w:ilvl="2" w:tplc="E2B6F8E6">
      <w:numFmt w:val="bullet"/>
      <w:lvlText w:val="•"/>
      <w:lvlJc w:val="left"/>
      <w:pPr>
        <w:ind w:left="1135" w:hanging="201"/>
      </w:pPr>
      <w:rPr>
        <w:rFonts w:hint="default"/>
        <w:lang w:val="es-ES" w:eastAsia="en-US" w:bidi="ar-SA"/>
      </w:rPr>
    </w:lvl>
    <w:lvl w:ilvl="3" w:tplc="14DA44C0">
      <w:numFmt w:val="bullet"/>
      <w:lvlText w:val="•"/>
      <w:lvlJc w:val="left"/>
      <w:pPr>
        <w:ind w:left="1553" w:hanging="201"/>
      </w:pPr>
      <w:rPr>
        <w:rFonts w:hint="default"/>
        <w:lang w:val="es-ES" w:eastAsia="en-US" w:bidi="ar-SA"/>
      </w:rPr>
    </w:lvl>
    <w:lvl w:ilvl="4" w:tplc="FBE046AE">
      <w:numFmt w:val="bullet"/>
      <w:lvlText w:val="•"/>
      <w:lvlJc w:val="left"/>
      <w:pPr>
        <w:ind w:left="1971" w:hanging="201"/>
      </w:pPr>
      <w:rPr>
        <w:rFonts w:hint="default"/>
        <w:lang w:val="es-ES" w:eastAsia="en-US" w:bidi="ar-SA"/>
      </w:rPr>
    </w:lvl>
    <w:lvl w:ilvl="5" w:tplc="F2A063F2">
      <w:numFmt w:val="bullet"/>
      <w:lvlText w:val="•"/>
      <w:lvlJc w:val="left"/>
      <w:pPr>
        <w:ind w:left="2389" w:hanging="201"/>
      </w:pPr>
      <w:rPr>
        <w:rFonts w:hint="default"/>
        <w:lang w:val="es-ES" w:eastAsia="en-US" w:bidi="ar-SA"/>
      </w:rPr>
    </w:lvl>
    <w:lvl w:ilvl="6" w:tplc="9362AA84">
      <w:numFmt w:val="bullet"/>
      <w:lvlText w:val="•"/>
      <w:lvlJc w:val="left"/>
      <w:pPr>
        <w:ind w:left="2807" w:hanging="201"/>
      </w:pPr>
      <w:rPr>
        <w:rFonts w:hint="default"/>
        <w:lang w:val="es-ES" w:eastAsia="en-US" w:bidi="ar-SA"/>
      </w:rPr>
    </w:lvl>
    <w:lvl w:ilvl="7" w:tplc="013212DA">
      <w:numFmt w:val="bullet"/>
      <w:lvlText w:val="•"/>
      <w:lvlJc w:val="left"/>
      <w:pPr>
        <w:ind w:left="3225" w:hanging="201"/>
      </w:pPr>
      <w:rPr>
        <w:rFonts w:hint="default"/>
        <w:lang w:val="es-ES" w:eastAsia="en-US" w:bidi="ar-SA"/>
      </w:rPr>
    </w:lvl>
    <w:lvl w:ilvl="8" w:tplc="B6567E20">
      <w:numFmt w:val="bullet"/>
      <w:lvlText w:val="•"/>
      <w:lvlJc w:val="left"/>
      <w:pPr>
        <w:ind w:left="3643" w:hanging="201"/>
      </w:pPr>
      <w:rPr>
        <w:rFonts w:hint="default"/>
        <w:lang w:val="es-ES" w:eastAsia="en-US" w:bidi="ar-SA"/>
      </w:rPr>
    </w:lvl>
  </w:abstractNum>
  <w:abstractNum w:abstractNumId="6" w15:restartNumberingAfterBreak="0">
    <w:nsid w:val="0E2439A8"/>
    <w:multiLevelType w:val="multilevel"/>
    <w:tmpl w:val="284676D8"/>
    <w:lvl w:ilvl="0">
      <w:start w:val="1"/>
      <w:numFmt w:val="upperRoman"/>
      <w:lvlText w:val="%1."/>
      <w:lvlJc w:val="left"/>
      <w:pPr>
        <w:ind w:left="1854" w:hanging="72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0F6247C0"/>
    <w:multiLevelType w:val="multilevel"/>
    <w:tmpl w:val="C32E31C4"/>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8D02ABD"/>
    <w:multiLevelType w:val="hybridMultilevel"/>
    <w:tmpl w:val="90381E00"/>
    <w:lvl w:ilvl="0" w:tplc="43545482">
      <w:start w:val="1"/>
      <w:numFmt w:val="upperRoman"/>
      <w:lvlText w:val="%1."/>
      <w:lvlJc w:val="left"/>
      <w:pPr>
        <w:ind w:left="107" w:hanging="230"/>
      </w:pPr>
      <w:rPr>
        <w:rFonts w:ascii="Arial MT" w:eastAsia="Arial MT" w:hAnsi="Arial MT" w:cs="Arial MT" w:hint="default"/>
        <w:b w:val="0"/>
        <w:bCs w:val="0"/>
        <w:i w:val="0"/>
        <w:iCs w:val="0"/>
        <w:spacing w:val="0"/>
        <w:w w:val="100"/>
        <w:sz w:val="24"/>
        <w:szCs w:val="24"/>
        <w:lang w:val="es-ES" w:eastAsia="en-US" w:bidi="ar-SA"/>
      </w:rPr>
    </w:lvl>
    <w:lvl w:ilvl="1" w:tplc="6862E24C">
      <w:numFmt w:val="bullet"/>
      <w:lvlText w:val="•"/>
      <w:lvlJc w:val="left"/>
      <w:pPr>
        <w:ind w:left="538" w:hanging="230"/>
      </w:pPr>
      <w:rPr>
        <w:rFonts w:hint="default"/>
        <w:lang w:val="es-ES" w:eastAsia="en-US" w:bidi="ar-SA"/>
      </w:rPr>
    </w:lvl>
    <w:lvl w:ilvl="2" w:tplc="0DE0A1C6">
      <w:numFmt w:val="bullet"/>
      <w:lvlText w:val="•"/>
      <w:lvlJc w:val="left"/>
      <w:pPr>
        <w:ind w:left="976" w:hanging="230"/>
      </w:pPr>
      <w:rPr>
        <w:rFonts w:hint="default"/>
        <w:lang w:val="es-ES" w:eastAsia="en-US" w:bidi="ar-SA"/>
      </w:rPr>
    </w:lvl>
    <w:lvl w:ilvl="3" w:tplc="ADCC1FB4">
      <w:numFmt w:val="bullet"/>
      <w:lvlText w:val="•"/>
      <w:lvlJc w:val="left"/>
      <w:pPr>
        <w:ind w:left="1414" w:hanging="230"/>
      </w:pPr>
      <w:rPr>
        <w:rFonts w:hint="default"/>
        <w:lang w:val="es-ES" w:eastAsia="en-US" w:bidi="ar-SA"/>
      </w:rPr>
    </w:lvl>
    <w:lvl w:ilvl="4" w:tplc="B81C9CD4">
      <w:numFmt w:val="bullet"/>
      <w:lvlText w:val="•"/>
      <w:lvlJc w:val="left"/>
      <w:pPr>
        <w:ind w:left="1852" w:hanging="230"/>
      </w:pPr>
      <w:rPr>
        <w:rFonts w:hint="default"/>
        <w:lang w:val="es-ES" w:eastAsia="en-US" w:bidi="ar-SA"/>
      </w:rPr>
    </w:lvl>
    <w:lvl w:ilvl="5" w:tplc="1EE80AB4">
      <w:numFmt w:val="bullet"/>
      <w:lvlText w:val="•"/>
      <w:lvlJc w:val="left"/>
      <w:pPr>
        <w:ind w:left="2290" w:hanging="230"/>
      </w:pPr>
      <w:rPr>
        <w:rFonts w:hint="default"/>
        <w:lang w:val="es-ES" w:eastAsia="en-US" w:bidi="ar-SA"/>
      </w:rPr>
    </w:lvl>
    <w:lvl w:ilvl="6" w:tplc="D9226E32">
      <w:numFmt w:val="bullet"/>
      <w:lvlText w:val="•"/>
      <w:lvlJc w:val="left"/>
      <w:pPr>
        <w:ind w:left="2728" w:hanging="230"/>
      </w:pPr>
      <w:rPr>
        <w:rFonts w:hint="default"/>
        <w:lang w:val="es-ES" w:eastAsia="en-US" w:bidi="ar-SA"/>
      </w:rPr>
    </w:lvl>
    <w:lvl w:ilvl="7" w:tplc="E654DA52">
      <w:numFmt w:val="bullet"/>
      <w:lvlText w:val="•"/>
      <w:lvlJc w:val="left"/>
      <w:pPr>
        <w:ind w:left="3166" w:hanging="230"/>
      </w:pPr>
      <w:rPr>
        <w:rFonts w:hint="default"/>
        <w:lang w:val="es-ES" w:eastAsia="en-US" w:bidi="ar-SA"/>
      </w:rPr>
    </w:lvl>
    <w:lvl w:ilvl="8" w:tplc="3B1033D2">
      <w:numFmt w:val="bullet"/>
      <w:lvlText w:val="•"/>
      <w:lvlJc w:val="left"/>
      <w:pPr>
        <w:ind w:left="3604" w:hanging="230"/>
      </w:pPr>
      <w:rPr>
        <w:rFonts w:hint="default"/>
        <w:lang w:val="es-ES" w:eastAsia="en-US" w:bidi="ar-SA"/>
      </w:rPr>
    </w:lvl>
  </w:abstractNum>
  <w:abstractNum w:abstractNumId="9" w15:restartNumberingAfterBreak="0">
    <w:nsid w:val="19FA5411"/>
    <w:multiLevelType w:val="multilevel"/>
    <w:tmpl w:val="FAEE1D02"/>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1B362B91"/>
    <w:multiLevelType w:val="multilevel"/>
    <w:tmpl w:val="2C6C9776"/>
    <w:lvl w:ilvl="0">
      <w:start w:val="1"/>
      <w:numFmt w:val="upperRoman"/>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1B9141EC"/>
    <w:multiLevelType w:val="hybridMultilevel"/>
    <w:tmpl w:val="6EE2447A"/>
    <w:lvl w:ilvl="0" w:tplc="58E00FEE">
      <w:start w:val="1"/>
      <w:numFmt w:val="upperRoman"/>
      <w:lvlText w:val="%1."/>
      <w:lvlJc w:val="left"/>
      <w:pPr>
        <w:ind w:left="0" w:hanging="216"/>
      </w:pPr>
      <w:rPr>
        <w:rFonts w:ascii="Arial" w:eastAsia="Arial" w:hAnsi="Arial" w:cs="Arial" w:hint="default"/>
        <w:b/>
        <w:bCs/>
        <w:i w:val="0"/>
        <w:iCs w:val="0"/>
        <w:spacing w:val="0"/>
        <w:w w:val="100"/>
        <w:sz w:val="24"/>
        <w:szCs w:val="24"/>
        <w:lang w:val="es-ES" w:eastAsia="en-US" w:bidi="ar-SA"/>
      </w:rPr>
    </w:lvl>
    <w:lvl w:ilvl="1" w:tplc="7FFC47E6">
      <w:numFmt w:val="bullet"/>
      <w:lvlText w:val="•"/>
      <w:lvlJc w:val="left"/>
      <w:pPr>
        <w:ind w:left="972" w:hanging="216"/>
      </w:pPr>
      <w:rPr>
        <w:rFonts w:hint="default"/>
        <w:lang w:val="es-ES" w:eastAsia="en-US" w:bidi="ar-SA"/>
      </w:rPr>
    </w:lvl>
    <w:lvl w:ilvl="2" w:tplc="9F70F224">
      <w:numFmt w:val="bullet"/>
      <w:lvlText w:val="•"/>
      <w:lvlJc w:val="left"/>
      <w:pPr>
        <w:ind w:left="1944" w:hanging="216"/>
      </w:pPr>
      <w:rPr>
        <w:rFonts w:hint="default"/>
        <w:lang w:val="es-ES" w:eastAsia="en-US" w:bidi="ar-SA"/>
      </w:rPr>
    </w:lvl>
    <w:lvl w:ilvl="3" w:tplc="E9A01BAC">
      <w:numFmt w:val="bullet"/>
      <w:lvlText w:val="•"/>
      <w:lvlJc w:val="left"/>
      <w:pPr>
        <w:ind w:left="2916" w:hanging="216"/>
      </w:pPr>
      <w:rPr>
        <w:rFonts w:hint="default"/>
        <w:lang w:val="es-ES" w:eastAsia="en-US" w:bidi="ar-SA"/>
      </w:rPr>
    </w:lvl>
    <w:lvl w:ilvl="4" w:tplc="E12AA43A">
      <w:numFmt w:val="bullet"/>
      <w:lvlText w:val="•"/>
      <w:lvlJc w:val="left"/>
      <w:pPr>
        <w:ind w:left="3888" w:hanging="216"/>
      </w:pPr>
      <w:rPr>
        <w:rFonts w:hint="default"/>
        <w:lang w:val="es-ES" w:eastAsia="en-US" w:bidi="ar-SA"/>
      </w:rPr>
    </w:lvl>
    <w:lvl w:ilvl="5" w:tplc="D142578C">
      <w:numFmt w:val="bullet"/>
      <w:lvlText w:val="•"/>
      <w:lvlJc w:val="left"/>
      <w:pPr>
        <w:ind w:left="4860" w:hanging="216"/>
      </w:pPr>
      <w:rPr>
        <w:rFonts w:hint="default"/>
        <w:lang w:val="es-ES" w:eastAsia="en-US" w:bidi="ar-SA"/>
      </w:rPr>
    </w:lvl>
    <w:lvl w:ilvl="6" w:tplc="F6F0D97A">
      <w:numFmt w:val="bullet"/>
      <w:lvlText w:val="•"/>
      <w:lvlJc w:val="left"/>
      <w:pPr>
        <w:ind w:left="5832" w:hanging="216"/>
      </w:pPr>
      <w:rPr>
        <w:rFonts w:hint="default"/>
        <w:lang w:val="es-ES" w:eastAsia="en-US" w:bidi="ar-SA"/>
      </w:rPr>
    </w:lvl>
    <w:lvl w:ilvl="7" w:tplc="BF1AE29C">
      <w:numFmt w:val="bullet"/>
      <w:lvlText w:val="•"/>
      <w:lvlJc w:val="left"/>
      <w:pPr>
        <w:ind w:left="6804" w:hanging="216"/>
      </w:pPr>
      <w:rPr>
        <w:rFonts w:hint="default"/>
        <w:lang w:val="es-ES" w:eastAsia="en-US" w:bidi="ar-SA"/>
      </w:rPr>
    </w:lvl>
    <w:lvl w:ilvl="8" w:tplc="FB14F59A">
      <w:numFmt w:val="bullet"/>
      <w:lvlText w:val="•"/>
      <w:lvlJc w:val="left"/>
      <w:pPr>
        <w:ind w:left="7776" w:hanging="216"/>
      </w:pPr>
      <w:rPr>
        <w:rFonts w:hint="default"/>
        <w:lang w:val="es-ES" w:eastAsia="en-US" w:bidi="ar-SA"/>
      </w:rPr>
    </w:lvl>
  </w:abstractNum>
  <w:abstractNum w:abstractNumId="12" w15:restartNumberingAfterBreak="0">
    <w:nsid w:val="1D4931C8"/>
    <w:multiLevelType w:val="hybridMultilevel"/>
    <w:tmpl w:val="1A22E544"/>
    <w:lvl w:ilvl="0" w:tplc="089E133C">
      <w:start w:val="1"/>
      <w:numFmt w:val="upperRoman"/>
      <w:lvlText w:val="%1."/>
      <w:lvlJc w:val="left"/>
      <w:pPr>
        <w:ind w:left="110" w:hanging="180"/>
      </w:pPr>
      <w:rPr>
        <w:rFonts w:ascii="Times New Roman" w:eastAsia="Arial MT" w:hAnsi="Times New Roman" w:cs="Times New Roman" w:hint="default"/>
        <w:b w:val="0"/>
        <w:bCs w:val="0"/>
        <w:i w:val="0"/>
        <w:iCs w:val="0"/>
        <w:spacing w:val="-2"/>
        <w:w w:val="100"/>
        <w:sz w:val="24"/>
        <w:szCs w:val="24"/>
        <w:lang w:val="es-ES" w:eastAsia="en-US" w:bidi="ar-SA"/>
      </w:rPr>
    </w:lvl>
    <w:lvl w:ilvl="1" w:tplc="E44A730C">
      <w:numFmt w:val="bullet"/>
      <w:lvlText w:val="•"/>
      <w:lvlJc w:val="left"/>
      <w:pPr>
        <w:ind w:left="548" w:hanging="180"/>
      </w:pPr>
      <w:rPr>
        <w:rFonts w:hint="default"/>
        <w:lang w:val="es-ES" w:eastAsia="en-US" w:bidi="ar-SA"/>
      </w:rPr>
    </w:lvl>
    <w:lvl w:ilvl="2" w:tplc="111CB3B0">
      <w:numFmt w:val="bullet"/>
      <w:lvlText w:val="•"/>
      <w:lvlJc w:val="left"/>
      <w:pPr>
        <w:ind w:left="977" w:hanging="180"/>
      </w:pPr>
      <w:rPr>
        <w:rFonts w:hint="default"/>
        <w:lang w:val="es-ES" w:eastAsia="en-US" w:bidi="ar-SA"/>
      </w:rPr>
    </w:lvl>
    <w:lvl w:ilvl="3" w:tplc="15E8E5B8">
      <w:numFmt w:val="bullet"/>
      <w:lvlText w:val="•"/>
      <w:lvlJc w:val="left"/>
      <w:pPr>
        <w:ind w:left="1406" w:hanging="180"/>
      </w:pPr>
      <w:rPr>
        <w:rFonts w:hint="default"/>
        <w:lang w:val="es-ES" w:eastAsia="en-US" w:bidi="ar-SA"/>
      </w:rPr>
    </w:lvl>
    <w:lvl w:ilvl="4" w:tplc="7228F9C6">
      <w:numFmt w:val="bullet"/>
      <w:lvlText w:val="•"/>
      <w:lvlJc w:val="left"/>
      <w:pPr>
        <w:ind w:left="1834" w:hanging="180"/>
      </w:pPr>
      <w:rPr>
        <w:rFonts w:hint="default"/>
        <w:lang w:val="es-ES" w:eastAsia="en-US" w:bidi="ar-SA"/>
      </w:rPr>
    </w:lvl>
    <w:lvl w:ilvl="5" w:tplc="EA8A5FB0">
      <w:numFmt w:val="bullet"/>
      <w:lvlText w:val="•"/>
      <w:lvlJc w:val="left"/>
      <w:pPr>
        <w:ind w:left="2263" w:hanging="180"/>
      </w:pPr>
      <w:rPr>
        <w:rFonts w:hint="default"/>
        <w:lang w:val="es-ES" w:eastAsia="en-US" w:bidi="ar-SA"/>
      </w:rPr>
    </w:lvl>
    <w:lvl w:ilvl="6" w:tplc="51AA4474">
      <w:numFmt w:val="bullet"/>
      <w:lvlText w:val="•"/>
      <w:lvlJc w:val="left"/>
      <w:pPr>
        <w:ind w:left="2692" w:hanging="180"/>
      </w:pPr>
      <w:rPr>
        <w:rFonts w:hint="default"/>
        <w:lang w:val="es-ES" w:eastAsia="en-US" w:bidi="ar-SA"/>
      </w:rPr>
    </w:lvl>
    <w:lvl w:ilvl="7" w:tplc="829037F0">
      <w:numFmt w:val="bullet"/>
      <w:lvlText w:val="•"/>
      <w:lvlJc w:val="left"/>
      <w:pPr>
        <w:ind w:left="3120" w:hanging="180"/>
      </w:pPr>
      <w:rPr>
        <w:rFonts w:hint="default"/>
        <w:lang w:val="es-ES" w:eastAsia="en-US" w:bidi="ar-SA"/>
      </w:rPr>
    </w:lvl>
    <w:lvl w:ilvl="8" w:tplc="43C8A6C2">
      <w:numFmt w:val="bullet"/>
      <w:lvlText w:val="•"/>
      <w:lvlJc w:val="left"/>
      <w:pPr>
        <w:ind w:left="3549" w:hanging="180"/>
      </w:pPr>
      <w:rPr>
        <w:rFonts w:hint="default"/>
        <w:lang w:val="es-ES" w:eastAsia="en-US" w:bidi="ar-SA"/>
      </w:rPr>
    </w:lvl>
  </w:abstractNum>
  <w:abstractNum w:abstractNumId="13" w15:restartNumberingAfterBreak="0">
    <w:nsid w:val="1DEF1EDE"/>
    <w:multiLevelType w:val="hybridMultilevel"/>
    <w:tmpl w:val="5C8A7728"/>
    <w:lvl w:ilvl="0" w:tplc="A5FC52B6">
      <w:start w:val="11"/>
      <w:numFmt w:val="upperRoman"/>
      <w:lvlText w:val="%1."/>
      <w:lvlJc w:val="left"/>
      <w:pPr>
        <w:ind w:left="262" w:hanging="377"/>
      </w:pPr>
      <w:rPr>
        <w:rFonts w:ascii="Times New Roman" w:eastAsia="Trebuchet MS" w:hAnsi="Times New Roman" w:cs="Times New Roman" w:hint="default"/>
        <w:b/>
        <w:bCs/>
        <w:i w:val="0"/>
        <w:iCs w:val="0"/>
        <w:spacing w:val="-1"/>
        <w:w w:val="100"/>
        <w:sz w:val="24"/>
        <w:szCs w:val="24"/>
        <w:lang w:val="es-ES" w:eastAsia="en-US" w:bidi="ar-SA"/>
      </w:rPr>
    </w:lvl>
    <w:lvl w:ilvl="1" w:tplc="FF96A8E2">
      <w:numFmt w:val="bullet"/>
      <w:lvlText w:val="•"/>
      <w:lvlJc w:val="left"/>
      <w:pPr>
        <w:ind w:left="1170" w:hanging="377"/>
      </w:pPr>
      <w:rPr>
        <w:rFonts w:hint="default"/>
        <w:lang w:val="es-ES" w:eastAsia="en-US" w:bidi="ar-SA"/>
      </w:rPr>
    </w:lvl>
    <w:lvl w:ilvl="2" w:tplc="7324B5F0">
      <w:numFmt w:val="bullet"/>
      <w:lvlText w:val="•"/>
      <w:lvlJc w:val="left"/>
      <w:pPr>
        <w:ind w:left="2080" w:hanging="377"/>
      </w:pPr>
      <w:rPr>
        <w:rFonts w:hint="default"/>
        <w:lang w:val="es-ES" w:eastAsia="en-US" w:bidi="ar-SA"/>
      </w:rPr>
    </w:lvl>
    <w:lvl w:ilvl="3" w:tplc="2FB6ABA0">
      <w:numFmt w:val="bullet"/>
      <w:lvlText w:val="•"/>
      <w:lvlJc w:val="left"/>
      <w:pPr>
        <w:ind w:left="2990" w:hanging="377"/>
      </w:pPr>
      <w:rPr>
        <w:rFonts w:hint="default"/>
        <w:lang w:val="es-ES" w:eastAsia="en-US" w:bidi="ar-SA"/>
      </w:rPr>
    </w:lvl>
    <w:lvl w:ilvl="4" w:tplc="AE464046">
      <w:numFmt w:val="bullet"/>
      <w:lvlText w:val="•"/>
      <w:lvlJc w:val="left"/>
      <w:pPr>
        <w:ind w:left="3900" w:hanging="377"/>
      </w:pPr>
      <w:rPr>
        <w:rFonts w:hint="default"/>
        <w:lang w:val="es-ES" w:eastAsia="en-US" w:bidi="ar-SA"/>
      </w:rPr>
    </w:lvl>
    <w:lvl w:ilvl="5" w:tplc="296C87AC">
      <w:numFmt w:val="bullet"/>
      <w:lvlText w:val="•"/>
      <w:lvlJc w:val="left"/>
      <w:pPr>
        <w:ind w:left="4810" w:hanging="377"/>
      </w:pPr>
      <w:rPr>
        <w:rFonts w:hint="default"/>
        <w:lang w:val="es-ES" w:eastAsia="en-US" w:bidi="ar-SA"/>
      </w:rPr>
    </w:lvl>
    <w:lvl w:ilvl="6" w:tplc="331C2678">
      <w:numFmt w:val="bullet"/>
      <w:lvlText w:val="•"/>
      <w:lvlJc w:val="left"/>
      <w:pPr>
        <w:ind w:left="5720" w:hanging="377"/>
      </w:pPr>
      <w:rPr>
        <w:rFonts w:hint="default"/>
        <w:lang w:val="es-ES" w:eastAsia="en-US" w:bidi="ar-SA"/>
      </w:rPr>
    </w:lvl>
    <w:lvl w:ilvl="7" w:tplc="4100020A">
      <w:numFmt w:val="bullet"/>
      <w:lvlText w:val="•"/>
      <w:lvlJc w:val="left"/>
      <w:pPr>
        <w:ind w:left="6630" w:hanging="377"/>
      </w:pPr>
      <w:rPr>
        <w:rFonts w:hint="default"/>
        <w:lang w:val="es-ES" w:eastAsia="en-US" w:bidi="ar-SA"/>
      </w:rPr>
    </w:lvl>
    <w:lvl w:ilvl="8" w:tplc="A65C98A2">
      <w:numFmt w:val="bullet"/>
      <w:lvlText w:val="•"/>
      <w:lvlJc w:val="left"/>
      <w:pPr>
        <w:ind w:left="7540" w:hanging="377"/>
      </w:pPr>
      <w:rPr>
        <w:rFonts w:hint="default"/>
        <w:lang w:val="es-ES" w:eastAsia="en-US" w:bidi="ar-SA"/>
      </w:rPr>
    </w:lvl>
  </w:abstractNum>
  <w:abstractNum w:abstractNumId="14" w15:restartNumberingAfterBreak="0">
    <w:nsid w:val="23982F49"/>
    <w:multiLevelType w:val="multilevel"/>
    <w:tmpl w:val="73BA36D4"/>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5" w15:restartNumberingAfterBreak="0">
    <w:nsid w:val="23F93DC5"/>
    <w:multiLevelType w:val="multilevel"/>
    <w:tmpl w:val="F5DA45E0"/>
    <w:lvl w:ilvl="0">
      <w:start w:val="1"/>
      <w:numFmt w:val="upperRoman"/>
      <w:lvlText w:val="%1."/>
      <w:lvlJc w:val="left"/>
      <w:pPr>
        <w:ind w:left="1996" w:hanging="72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2AB351C6"/>
    <w:multiLevelType w:val="multilevel"/>
    <w:tmpl w:val="5426B76A"/>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2D6008AF"/>
    <w:multiLevelType w:val="multilevel"/>
    <w:tmpl w:val="C2027950"/>
    <w:lvl w:ilvl="0">
      <w:start w:val="1"/>
      <w:numFmt w:val="upperRoman"/>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34490881"/>
    <w:multiLevelType w:val="hybridMultilevel"/>
    <w:tmpl w:val="6D54B68A"/>
    <w:lvl w:ilvl="0" w:tplc="6C128456">
      <w:start w:val="1"/>
      <w:numFmt w:val="lowerLetter"/>
      <w:lvlText w:val="%1)"/>
      <w:lvlJc w:val="left"/>
      <w:pPr>
        <w:ind w:left="840" w:hanging="360"/>
      </w:pPr>
      <w:rPr>
        <w:rFonts w:ascii="Times New Roman" w:eastAsia="Arial MT" w:hAnsi="Times New Roman" w:cs="Times New Roman" w:hint="default"/>
        <w:b w:val="0"/>
        <w:bCs w:val="0"/>
        <w:i w:val="0"/>
        <w:iCs w:val="0"/>
        <w:spacing w:val="0"/>
        <w:w w:val="99"/>
        <w:sz w:val="24"/>
        <w:szCs w:val="24"/>
        <w:lang w:val="es-ES" w:eastAsia="en-US" w:bidi="ar-SA"/>
      </w:rPr>
    </w:lvl>
    <w:lvl w:ilvl="1" w:tplc="80940C76">
      <w:numFmt w:val="bullet"/>
      <w:lvlText w:val="•"/>
      <w:lvlJc w:val="left"/>
      <w:pPr>
        <w:ind w:left="1692" w:hanging="360"/>
      </w:pPr>
      <w:rPr>
        <w:rFonts w:hint="default"/>
        <w:lang w:val="es-ES" w:eastAsia="en-US" w:bidi="ar-SA"/>
      </w:rPr>
    </w:lvl>
    <w:lvl w:ilvl="2" w:tplc="583C610C">
      <w:numFmt w:val="bullet"/>
      <w:lvlText w:val="•"/>
      <w:lvlJc w:val="left"/>
      <w:pPr>
        <w:ind w:left="2544" w:hanging="360"/>
      </w:pPr>
      <w:rPr>
        <w:rFonts w:hint="default"/>
        <w:lang w:val="es-ES" w:eastAsia="en-US" w:bidi="ar-SA"/>
      </w:rPr>
    </w:lvl>
    <w:lvl w:ilvl="3" w:tplc="5E648624">
      <w:numFmt w:val="bullet"/>
      <w:lvlText w:val="•"/>
      <w:lvlJc w:val="left"/>
      <w:pPr>
        <w:ind w:left="3396" w:hanging="360"/>
      </w:pPr>
      <w:rPr>
        <w:rFonts w:hint="default"/>
        <w:lang w:val="es-ES" w:eastAsia="en-US" w:bidi="ar-SA"/>
      </w:rPr>
    </w:lvl>
    <w:lvl w:ilvl="4" w:tplc="9F063FCC">
      <w:numFmt w:val="bullet"/>
      <w:lvlText w:val="•"/>
      <w:lvlJc w:val="left"/>
      <w:pPr>
        <w:ind w:left="4248" w:hanging="360"/>
      </w:pPr>
      <w:rPr>
        <w:rFonts w:hint="default"/>
        <w:lang w:val="es-ES" w:eastAsia="en-US" w:bidi="ar-SA"/>
      </w:rPr>
    </w:lvl>
    <w:lvl w:ilvl="5" w:tplc="E14CCF88">
      <w:numFmt w:val="bullet"/>
      <w:lvlText w:val="•"/>
      <w:lvlJc w:val="left"/>
      <w:pPr>
        <w:ind w:left="5100" w:hanging="360"/>
      </w:pPr>
      <w:rPr>
        <w:rFonts w:hint="default"/>
        <w:lang w:val="es-ES" w:eastAsia="en-US" w:bidi="ar-SA"/>
      </w:rPr>
    </w:lvl>
    <w:lvl w:ilvl="6" w:tplc="1D4EC468">
      <w:numFmt w:val="bullet"/>
      <w:lvlText w:val="•"/>
      <w:lvlJc w:val="left"/>
      <w:pPr>
        <w:ind w:left="5952" w:hanging="360"/>
      </w:pPr>
      <w:rPr>
        <w:rFonts w:hint="default"/>
        <w:lang w:val="es-ES" w:eastAsia="en-US" w:bidi="ar-SA"/>
      </w:rPr>
    </w:lvl>
    <w:lvl w:ilvl="7" w:tplc="7ADCA9EE">
      <w:numFmt w:val="bullet"/>
      <w:lvlText w:val="•"/>
      <w:lvlJc w:val="left"/>
      <w:pPr>
        <w:ind w:left="6804" w:hanging="360"/>
      </w:pPr>
      <w:rPr>
        <w:rFonts w:hint="default"/>
        <w:lang w:val="es-ES" w:eastAsia="en-US" w:bidi="ar-SA"/>
      </w:rPr>
    </w:lvl>
    <w:lvl w:ilvl="8" w:tplc="BAC47CA4">
      <w:numFmt w:val="bullet"/>
      <w:lvlText w:val="•"/>
      <w:lvlJc w:val="left"/>
      <w:pPr>
        <w:ind w:left="7656" w:hanging="360"/>
      </w:pPr>
      <w:rPr>
        <w:rFonts w:hint="default"/>
        <w:lang w:val="es-ES" w:eastAsia="en-US" w:bidi="ar-SA"/>
      </w:rPr>
    </w:lvl>
  </w:abstractNum>
  <w:abstractNum w:abstractNumId="19" w15:restartNumberingAfterBreak="0">
    <w:nsid w:val="37FD189D"/>
    <w:multiLevelType w:val="hybridMultilevel"/>
    <w:tmpl w:val="E3EC89F6"/>
    <w:lvl w:ilvl="0" w:tplc="493836F0">
      <w:start w:val="1"/>
      <w:numFmt w:val="decimal"/>
      <w:lvlText w:val="%1."/>
      <w:lvlJc w:val="left"/>
      <w:pPr>
        <w:ind w:left="266" w:hanging="267"/>
      </w:pPr>
      <w:rPr>
        <w:rFonts w:ascii="Arial" w:eastAsia="Arial" w:hAnsi="Arial" w:cs="Arial" w:hint="default"/>
        <w:b/>
        <w:bCs/>
        <w:i w:val="0"/>
        <w:iCs w:val="0"/>
        <w:spacing w:val="0"/>
        <w:w w:val="100"/>
        <w:sz w:val="24"/>
        <w:szCs w:val="24"/>
        <w:lang w:val="es-ES" w:eastAsia="en-US" w:bidi="ar-SA"/>
      </w:rPr>
    </w:lvl>
    <w:lvl w:ilvl="1" w:tplc="1988F24C">
      <w:numFmt w:val="bullet"/>
      <w:lvlText w:val="•"/>
      <w:lvlJc w:val="left"/>
      <w:pPr>
        <w:ind w:left="1206" w:hanging="267"/>
      </w:pPr>
      <w:rPr>
        <w:rFonts w:hint="default"/>
        <w:lang w:val="es-ES" w:eastAsia="en-US" w:bidi="ar-SA"/>
      </w:rPr>
    </w:lvl>
    <w:lvl w:ilvl="2" w:tplc="F2ECFDF0">
      <w:numFmt w:val="bullet"/>
      <w:lvlText w:val="•"/>
      <w:lvlJc w:val="left"/>
      <w:pPr>
        <w:ind w:left="2152" w:hanging="267"/>
      </w:pPr>
      <w:rPr>
        <w:rFonts w:hint="default"/>
        <w:lang w:val="es-ES" w:eastAsia="en-US" w:bidi="ar-SA"/>
      </w:rPr>
    </w:lvl>
    <w:lvl w:ilvl="3" w:tplc="716E0576">
      <w:numFmt w:val="bullet"/>
      <w:lvlText w:val="•"/>
      <w:lvlJc w:val="left"/>
      <w:pPr>
        <w:ind w:left="3098" w:hanging="267"/>
      </w:pPr>
      <w:rPr>
        <w:rFonts w:hint="default"/>
        <w:lang w:val="es-ES" w:eastAsia="en-US" w:bidi="ar-SA"/>
      </w:rPr>
    </w:lvl>
    <w:lvl w:ilvl="4" w:tplc="E18C4926">
      <w:numFmt w:val="bullet"/>
      <w:lvlText w:val="•"/>
      <w:lvlJc w:val="left"/>
      <w:pPr>
        <w:ind w:left="4044" w:hanging="267"/>
      </w:pPr>
      <w:rPr>
        <w:rFonts w:hint="default"/>
        <w:lang w:val="es-ES" w:eastAsia="en-US" w:bidi="ar-SA"/>
      </w:rPr>
    </w:lvl>
    <w:lvl w:ilvl="5" w:tplc="C01C8936">
      <w:numFmt w:val="bullet"/>
      <w:lvlText w:val="•"/>
      <w:lvlJc w:val="left"/>
      <w:pPr>
        <w:ind w:left="4990" w:hanging="267"/>
      </w:pPr>
      <w:rPr>
        <w:rFonts w:hint="default"/>
        <w:lang w:val="es-ES" w:eastAsia="en-US" w:bidi="ar-SA"/>
      </w:rPr>
    </w:lvl>
    <w:lvl w:ilvl="6" w:tplc="65BAFDF2">
      <w:numFmt w:val="bullet"/>
      <w:lvlText w:val="•"/>
      <w:lvlJc w:val="left"/>
      <w:pPr>
        <w:ind w:left="5936" w:hanging="267"/>
      </w:pPr>
      <w:rPr>
        <w:rFonts w:hint="default"/>
        <w:lang w:val="es-ES" w:eastAsia="en-US" w:bidi="ar-SA"/>
      </w:rPr>
    </w:lvl>
    <w:lvl w:ilvl="7" w:tplc="F63C18DA">
      <w:numFmt w:val="bullet"/>
      <w:lvlText w:val="•"/>
      <w:lvlJc w:val="left"/>
      <w:pPr>
        <w:ind w:left="6882" w:hanging="267"/>
      </w:pPr>
      <w:rPr>
        <w:rFonts w:hint="default"/>
        <w:lang w:val="es-ES" w:eastAsia="en-US" w:bidi="ar-SA"/>
      </w:rPr>
    </w:lvl>
    <w:lvl w:ilvl="8" w:tplc="DFFC7D84">
      <w:numFmt w:val="bullet"/>
      <w:lvlText w:val="•"/>
      <w:lvlJc w:val="left"/>
      <w:pPr>
        <w:ind w:left="7828" w:hanging="267"/>
      </w:pPr>
      <w:rPr>
        <w:rFonts w:hint="default"/>
        <w:lang w:val="es-ES" w:eastAsia="en-US" w:bidi="ar-SA"/>
      </w:rPr>
    </w:lvl>
  </w:abstractNum>
  <w:abstractNum w:abstractNumId="20" w15:restartNumberingAfterBreak="0">
    <w:nsid w:val="3E853054"/>
    <w:multiLevelType w:val="hybridMultilevel"/>
    <w:tmpl w:val="5BB0DEA2"/>
    <w:lvl w:ilvl="0" w:tplc="700AA644">
      <w:start w:val="4"/>
      <w:numFmt w:val="upperRoman"/>
      <w:lvlText w:val="%1."/>
      <w:lvlJc w:val="left"/>
      <w:pPr>
        <w:ind w:left="107" w:hanging="523"/>
      </w:pPr>
      <w:rPr>
        <w:rFonts w:ascii="Times New Roman" w:eastAsia="Arial MT" w:hAnsi="Times New Roman" w:cs="Times New Roman" w:hint="default"/>
        <w:b w:val="0"/>
        <w:bCs w:val="0"/>
        <w:i w:val="0"/>
        <w:iCs w:val="0"/>
        <w:spacing w:val="0"/>
        <w:w w:val="100"/>
        <w:sz w:val="24"/>
        <w:szCs w:val="24"/>
        <w:lang w:val="es-ES" w:eastAsia="en-US" w:bidi="ar-SA"/>
      </w:rPr>
    </w:lvl>
    <w:lvl w:ilvl="1" w:tplc="7A7207B4">
      <w:numFmt w:val="bullet"/>
      <w:lvlText w:val="•"/>
      <w:lvlJc w:val="left"/>
      <w:pPr>
        <w:ind w:left="538" w:hanging="523"/>
      </w:pPr>
      <w:rPr>
        <w:rFonts w:hint="default"/>
        <w:lang w:val="es-ES" w:eastAsia="en-US" w:bidi="ar-SA"/>
      </w:rPr>
    </w:lvl>
    <w:lvl w:ilvl="2" w:tplc="0588A786">
      <w:numFmt w:val="bullet"/>
      <w:lvlText w:val="•"/>
      <w:lvlJc w:val="left"/>
      <w:pPr>
        <w:ind w:left="976" w:hanging="523"/>
      </w:pPr>
      <w:rPr>
        <w:rFonts w:hint="default"/>
        <w:lang w:val="es-ES" w:eastAsia="en-US" w:bidi="ar-SA"/>
      </w:rPr>
    </w:lvl>
    <w:lvl w:ilvl="3" w:tplc="301AC8BC">
      <w:numFmt w:val="bullet"/>
      <w:lvlText w:val="•"/>
      <w:lvlJc w:val="left"/>
      <w:pPr>
        <w:ind w:left="1414" w:hanging="523"/>
      </w:pPr>
      <w:rPr>
        <w:rFonts w:hint="default"/>
        <w:lang w:val="es-ES" w:eastAsia="en-US" w:bidi="ar-SA"/>
      </w:rPr>
    </w:lvl>
    <w:lvl w:ilvl="4" w:tplc="6BEA8028">
      <w:numFmt w:val="bullet"/>
      <w:lvlText w:val="•"/>
      <w:lvlJc w:val="left"/>
      <w:pPr>
        <w:ind w:left="1852" w:hanging="523"/>
      </w:pPr>
      <w:rPr>
        <w:rFonts w:hint="default"/>
        <w:lang w:val="es-ES" w:eastAsia="en-US" w:bidi="ar-SA"/>
      </w:rPr>
    </w:lvl>
    <w:lvl w:ilvl="5" w:tplc="0826EF84">
      <w:numFmt w:val="bullet"/>
      <w:lvlText w:val="•"/>
      <w:lvlJc w:val="left"/>
      <w:pPr>
        <w:ind w:left="2290" w:hanging="523"/>
      </w:pPr>
      <w:rPr>
        <w:rFonts w:hint="default"/>
        <w:lang w:val="es-ES" w:eastAsia="en-US" w:bidi="ar-SA"/>
      </w:rPr>
    </w:lvl>
    <w:lvl w:ilvl="6" w:tplc="28441700">
      <w:numFmt w:val="bullet"/>
      <w:lvlText w:val="•"/>
      <w:lvlJc w:val="left"/>
      <w:pPr>
        <w:ind w:left="2728" w:hanging="523"/>
      </w:pPr>
      <w:rPr>
        <w:rFonts w:hint="default"/>
        <w:lang w:val="es-ES" w:eastAsia="en-US" w:bidi="ar-SA"/>
      </w:rPr>
    </w:lvl>
    <w:lvl w:ilvl="7" w:tplc="A7F4B32A">
      <w:numFmt w:val="bullet"/>
      <w:lvlText w:val="•"/>
      <w:lvlJc w:val="left"/>
      <w:pPr>
        <w:ind w:left="3166" w:hanging="523"/>
      </w:pPr>
      <w:rPr>
        <w:rFonts w:hint="default"/>
        <w:lang w:val="es-ES" w:eastAsia="en-US" w:bidi="ar-SA"/>
      </w:rPr>
    </w:lvl>
    <w:lvl w:ilvl="8" w:tplc="E6B2F776">
      <w:numFmt w:val="bullet"/>
      <w:lvlText w:val="•"/>
      <w:lvlJc w:val="left"/>
      <w:pPr>
        <w:ind w:left="3604" w:hanging="523"/>
      </w:pPr>
      <w:rPr>
        <w:rFonts w:hint="default"/>
        <w:lang w:val="es-ES" w:eastAsia="en-US" w:bidi="ar-SA"/>
      </w:rPr>
    </w:lvl>
  </w:abstractNum>
  <w:abstractNum w:abstractNumId="21" w15:restartNumberingAfterBreak="0">
    <w:nsid w:val="3EBA2517"/>
    <w:multiLevelType w:val="hybridMultilevel"/>
    <w:tmpl w:val="3BE2CA4C"/>
    <w:lvl w:ilvl="0" w:tplc="39561E72">
      <w:start w:val="1"/>
      <w:numFmt w:val="decimal"/>
      <w:lvlText w:val="%1."/>
      <w:lvlJc w:val="left"/>
      <w:pPr>
        <w:ind w:left="2062" w:hanging="360"/>
      </w:pPr>
      <w:rPr>
        <w:rFonts w:ascii="Arial MT" w:eastAsia="Arial MT" w:hAnsi="Arial MT" w:cs="Arial MT" w:hint="default"/>
        <w:b w:val="0"/>
        <w:bCs w:val="0"/>
        <w:i w:val="0"/>
        <w:iCs w:val="0"/>
        <w:color w:val="006FC0"/>
        <w:spacing w:val="0"/>
        <w:w w:val="100"/>
        <w:sz w:val="18"/>
        <w:szCs w:val="18"/>
        <w:lang w:val="es-ES" w:eastAsia="en-US" w:bidi="ar-SA"/>
      </w:rPr>
    </w:lvl>
    <w:lvl w:ilvl="1" w:tplc="6422ECCC">
      <w:numFmt w:val="bullet"/>
      <w:lvlText w:val="•"/>
      <w:lvlJc w:val="left"/>
      <w:pPr>
        <w:ind w:left="2970" w:hanging="360"/>
      </w:pPr>
      <w:rPr>
        <w:rFonts w:hint="default"/>
        <w:lang w:val="es-ES" w:eastAsia="en-US" w:bidi="ar-SA"/>
      </w:rPr>
    </w:lvl>
    <w:lvl w:ilvl="2" w:tplc="F4BA23F2">
      <w:numFmt w:val="bullet"/>
      <w:lvlText w:val="•"/>
      <w:lvlJc w:val="left"/>
      <w:pPr>
        <w:ind w:left="3880" w:hanging="360"/>
      </w:pPr>
      <w:rPr>
        <w:rFonts w:hint="default"/>
        <w:lang w:val="es-ES" w:eastAsia="en-US" w:bidi="ar-SA"/>
      </w:rPr>
    </w:lvl>
    <w:lvl w:ilvl="3" w:tplc="529C921C">
      <w:numFmt w:val="bullet"/>
      <w:lvlText w:val="•"/>
      <w:lvlJc w:val="left"/>
      <w:pPr>
        <w:ind w:left="4790" w:hanging="360"/>
      </w:pPr>
      <w:rPr>
        <w:rFonts w:hint="default"/>
        <w:lang w:val="es-ES" w:eastAsia="en-US" w:bidi="ar-SA"/>
      </w:rPr>
    </w:lvl>
    <w:lvl w:ilvl="4" w:tplc="A9BE7A20">
      <w:numFmt w:val="bullet"/>
      <w:lvlText w:val="•"/>
      <w:lvlJc w:val="left"/>
      <w:pPr>
        <w:ind w:left="5700" w:hanging="360"/>
      </w:pPr>
      <w:rPr>
        <w:rFonts w:hint="default"/>
        <w:lang w:val="es-ES" w:eastAsia="en-US" w:bidi="ar-SA"/>
      </w:rPr>
    </w:lvl>
    <w:lvl w:ilvl="5" w:tplc="7A347B74">
      <w:numFmt w:val="bullet"/>
      <w:lvlText w:val="•"/>
      <w:lvlJc w:val="left"/>
      <w:pPr>
        <w:ind w:left="6610" w:hanging="360"/>
      </w:pPr>
      <w:rPr>
        <w:rFonts w:hint="default"/>
        <w:lang w:val="es-ES" w:eastAsia="en-US" w:bidi="ar-SA"/>
      </w:rPr>
    </w:lvl>
    <w:lvl w:ilvl="6" w:tplc="7B14159E">
      <w:numFmt w:val="bullet"/>
      <w:lvlText w:val="•"/>
      <w:lvlJc w:val="left"/>
      <w:pPr>
        <w:ind w:left="7520" w:hanging="360"/>
      </w:pPr>
      <w:rPr>
        <w:rFonts w:hint="default"/>
        <w:lang w:val="es-ES" w:eastAsia="en-US" w:bidi="ar-SA"/>
      </w:rPr>
    </w:lvl>
    <w:lvl w:ilvl="7" w:tplc="C0064D62">
      <w:numFmt w:val="bullet"/>
      <w:lvlText w:val="•"/>
      <w:lvlJc w:val="left"/>
      <w:pPr>
        <w:ind w:left="8430" w:hanging="360"/>
      </w:pPr>
      <w:rPr>
        <w:rFonts w:hint="default"/>
        <w:lang w:val="es-ES" w:eastAsia="en-US" w:bidi="ar-SA"/>
      </w:rPr>
    </w:lvl>
    <w:lvl w:ilvl="8" w:tplc="15304438">
      <w:numFmt w:val="bullet"/>
      <w:lvlText w:val="•"/>
      <w:lvlJc w:val="left"/>
      <w:pPr>
        <w:ind w:left="9340" w:hanging="360"/>
      </w:pPr>
      <w:rPr>
        <w:rFonts w:hint="default"/>
        <w:lang w:val="es-ES" w:eastAsia="en-US" w:bidi="ar-SA"/>
      </w:rPr>
    </w:lvl>
  </w:abstractNum>
  <w:abstractNum w:abstractNumId="22" w15:restartNumberingAfterBreak="0">
    <w:nsid w:val="3EF869C9"/>
    <w:multiLevelType w:val="multilevel"/>
    <w:tmpl w:val="46D2528A"/>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3FFB3B62"/>
    <w:multiLevelType w:val="hybridMultilevel"/>
    <w:tmpl w:val="9BF6B94A"/>
    <w:lvl w:ilvl="0" w:tplc="D4D8DCAE">
      <w:start w:val="1"/>
      <w:numFmt w:val="decimal"/>
      <w:lvlText w:val="%1."/>
      <w:lvlJc w:val="left"/>
      <w:pPr>
        <w:ind w:left="2422" w:hanging="360"/>
      </w:pPr>
      <w:rPr>
        <w:rFonts w:ascii="Arial MT" w:eastAsia="Arial MT" w:hAnsi="Arial MT" w:cs="Arial MT" w:hint="default"/>
        <w:b w:val="0"/>
        <w:bCs w:val="0"/>
        <w:i w:val="0"/>
        <w:iCs w:val="0"/>
        <w:spacing w:val="0"/>
        <w:w w:val="100"/>
        <w:sz w:val="24"/>
        <w:szCs w:val="24"/>
        <w:lang w:val="es-ES" w:eastAsia="en-US" w:bidi="ar-SA"/>
      </w:rPr>
    </w:lvl>
    <w:lvl w:ilvl="1" w:tplc="A2947B70">
      <w:numFmt w:val="bullet"/>
      <w:lvlText w:val="•"/>
      <w:lvlJc w:val="left"/>
      <w:pPr>
        <w:ind w:left="3402" w:hanging="360"/>
      </w:pPr>
      <w:rPr>
        <w:rFonts w:hint="default"/>
        <w:lang w:val="es-ES" w:eastAsia="en-US" w:bidi="ar-SA"/>
      </w:rPr>
    </w:lvl>
    <w:lvl w:ilvl="2" w:tplc="1D9A21F2">
      <w:numFmt w:val="bullet"/>
      <w:lvlText w:val="•"/>
      <w:lvlJc w:val="left"/>
      <w:pPr>
        <w:ind w:left="4384" w:hanging="360"/>
      </w:pPr>
      <w:rPr>
        <w:rFonts w:hint="default"/>
        <w:lang w:val="es-ES" w:eastAsia="en-US" w:bidi="ar-SA"/>
      </w:rPr>
    </w:lvl>
    <w:lvl w:ilvl="3" w:tplc="9EC0B97A">
      <w:numFmt w:val="bullet"/>
      <w:lvlText w:val="•"/>
      <w:lvlJc w:val="left"/>
      <w:pPr>
        <w:ind w:left="5366" w:hanging="360"/>
      </w:pPr>
      <w:rPr>
        <w:rFonts w:hint="default"/>
        <w:lang w:val="es-ES" w:eastAsia="en-US" w:bidi="ar-SA"/>
      </w:rPr>
    </w:lvl>
    <w:lvl w:ilvl="4" w:tplc="08261848">
      <w:numFmt w:val="bullet"/>
      <w:lvlText w:val="•"/>
      <w:lvlJc w:val="left"/>
      <w:pPr>
        <w:ind w:left="6348" w:hanging="360"/>
      </w:pPr>
      <w:rPr>
        <w:rFonts w:hint="default"/>
        <w:lang w:val="es-ES" w:eastAsia="en-US" w:bidi="ar-SA"/>
      </w:rPr>
    </w:lvl>
    <w:lvl w:ilvl="5" w:tplc="C6DED530">
      <w:numFmt w:val="bullet"/>
      <w:lvlText w:val="•"/>
      <w:lvlJc w:val="left"/>
      <w:pPr>
        <w:ind w:left="7330" w:hanging="360"/>
      </w:pPr>
      <w:rPr>
        <w:rFonts w:hint="default"/>
        <w:lang w:val="es-ES" w:eastAsia="en-US" w:bidi="ar-SA"/>
      </w:rPr>
    </w:lvl>
    <w:lvl w:ilvl="6" w:tplc="107002FE">
      <w:numFmt w:val="bullet"/>
      <w:lvlText w:val="•"/>
      <w:lvlJc w:val="left"/>
      <w:pPr>
        <w:ind w:left="8312" w:hanging="360"/>
      </w:pPr>
      <w:rPr>
        <w:rFonts w:hint="default"/>
        <w:lang w:val="es-ES" w:eastAsia="en-US" w:bidi="ar-SA"/>
      </w:rPr>
    </w:lvl>
    <w:lvl w:ilvl="7" w:tplc="11EA904E">
      <w:numFmt w:val="bullet"/>
      <w:lvlText w:val="•"/>
      <w:lvlJc w:val="left"/>
      <w:pPr>
        <w:ind w:left="9294" w:hanging="360"/>
      </w:pPr>
      <w:rPr>
        <w:rFonts w:hint="default"/>
        <w:lang w:val="es-ES" w:eastAsia="en-US" w:bidi="ar-SA"/>
      </w:rPr>
    </w:lvl>
    <w:lvl w:ilvl="8" w:tplc="82B25C12">
      <w:numFmt w:val="bullet"/>
      <w:lvlText w:val="•"/>
      <w:lvlJc w:val="left"/>
      <w:pPr>
        <w:ind w:left="10276" w:hanging="360"/>
      </w:pPr>
      <w:rPr>
        <w:rFonts w:hint="default"/>
        <w:lang w:val="es-ES" w:eastAsia="en-US" w:bidi="ar-SA"/>
      </w:rPr>
    </w:lvl>
  </w:abstractNum>
  <w:abstractNum w:abstractNumId="24" w15:restartNumberingAfterBreak="0">
    <w:nsid w:val="44250703"/>
    <w:multiLevelType w:val="multilevel"/>
    <w:tmpl w:val="6ABE780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461F68A8"/>
    <w:multiLevelType w:val="hybridMultilevel"/>
    <w:tmpl w:val="55DC2DB2"/>
    <w:lvl w:ilvl="0" w:tplc="7CECE412">
      <w:start w:val="1"/>
      <w:numFmt w:val="upperRoman"/>
      <w:lvlText w:val="%1."/>
      <w:lvlJc w:val="left"/>
      <w:pPr>
        <w:ind w:left="0" w:hanging="186"/>
      </w:pPr>
      <w:rPr>
        <w:rFonts w:ascii="Times New Roman" w:eastAsia="Arial" w:hAnsi="Times New Roman" w:cs="Times New Roman" w:hint="default"/>
        <w:b/>
        <w:bCs/>
        <w:i w:val="0"/>
        <w:iCs w:val="0"/>
        <w:spacing w:val="-2"/>
        <w:w w:val="100"/>
        <w:sz w:val="24"/>
        <w:szCs w:val="24"/>
        <w:lang w:val="es-ES" w:eastAsia="en-US" w:bidi="ar-SA"/>
      </w:rPr>
    </w:lvl>
    <w:lvl w:ilvl="1" w:tplc="D00E5E7E">
      <w:numFmt w:val="bullet"/>
      <w:lvlText w:val="•"/>
      <w:lvlJc w:val="left"/>
      <w:pPr>
        <w:ind w:left="972" w:hanging="186"/>
      </w:pPr>
      <w:rPr>
        <w:rFonts w:hint="default"/>
        <w:lang w:val="es-ES" w:eastAsia="en-US" w:bidi="ar-SA"/>
      </w:rPr>
    </w:lvl>
    <w:lvl w:ilvl="2" w:tplc="9118C0A2">
      <w:numFmt w:val="bullet"/>
      <w:lvlText w:val="•"/>
      <w:lvlJc w:val="left"/>
      <w:pPr>
        <w:ind w:left="1944" w:hanging="186"/>
      </w:pPr>
      <w:rPr>
        <w:rFonts w:hint="default"/>
        <w:lang w:val="es-ES" w:eastAsia="en-US" w:bidi="ar-SA"/>
      </w:rPr>
    </w:lvl>
    <w:lvl w:ilvl="3" w:tplc="BA96A02C">
      <w:numFmt w:val="bullet"/>
      <w:lvlText w:val="•"/>
      <w:lvlJc w:val="left"/>
      <w:pPr>
        <w:ind w:left="2916" w:hanging="186"/>
      </w:pPr>
      <w:rPr>
        <w:rFonts w:hint="default"/>
        <w:lang w:val="es-ES" w:eastAsia="en-US" w:bidi="ar-SA"/>
      </w:rPr>
    </w:lvl>
    <w:lvl w:ilvl="4" w:tplc="59A46934">
      <w:numFmt w:val="bullet"/>
      <w:lvlText w:val="•"/>
      <w:lvlJc w:val="left"/>
      <w:pPr>
        <w:ind w:left="3888" w:hanging="186"/>
      </w:pPr>
      <w:rPr>
        <w:rFonts w:hint="default"/>
        <w:lang w:val="es-ES" w:eastAsia="en-US" w:bidi="ar-SA"/>
      </w:rPr>
    </w:lvl>
    <w:lvl w:ilvl="5" w:tplc="4EF216C4">
      <w:numFmt w:val="bullet"/>
      <w:lvlText w:val="•"/>
      <w:lvlJc w:val="left"/>
      <w:pPr>
        <w:ind w:left="4860" w:hanging="186"/>
      </w:pPr>
      <w:rPr>
        <w:rFonts w:hint="default"/>
        <w:lang w:val="es-ES" w:eastAsia="en-US" w:bidi="ar-SA"/>
      </w:rPr>
    </w:lvl>
    <w:lvl w:ilvl="6" w:tplc="B808AE2C">
      <w:numFmt w:val="bullet"/>
      <w:lvlText w:val="•"/>
      <w:lvlJc w:val="left"/>
      <w:pPr>
        <w:ind w:left="5832" w:hanging="186"/>
      </w:pPr>
      <w:rPr>
        <w:rFonts w:hint="default"/>
        <w:lang w:val="es-ES" w:eastAsia="en-US" w:bidi="ar-SA"/>
      </w:rPr>
    </w:lvl>
    <w:lvl w:ilvl="7" w:tplc="5AA04886">
      <w:numFmt w:val="bullet"/>
      <w:lvlText w:val="•"/>
      <w:lvlJc w:val="left"/>
      <w:pPr>
        <w:ind w:left="6804" w:hanging="186"/>
      </w:pPr>
      <w:rPr>
        <w:rFonts w:hint="default"/>
        <w:lang w:val="es-ES" w:eastAsia="en-US" w:bidi="ar-SA"/>
      </w:rPr>
    </w:lvl>
    <w:lvl w:ilvl="8" w:tplc="C62053DC">
      <w:numFmt w:val="bullet"/>
      <w:lvlText w:val="•"/>
      <w:lvlJc w:val="left"/>
      <w:pPr>
        <w:ind w:left="7776" w:hanging="186"/>
      </w:pPr>
      <w:rPr>
        <w:rFonts w:hint="default"/>
        <w:lang w:val="es-ES" w:eastAsia="en-US" w:bidi="ar-SA"/>
      </w:rPr>
    </w:lvl>
  </w:abstractNum>
  <w:abstractNum w:abstractNumId="26" w15:restartNumberingAfterBreak="0">
    <w:nsid w:val="470669D0"/>
    <w:multiLevelType w:val="multilevel"/>
    <w:tmpl w:val="5552A8E8"/>
    <w:lvl w:ilvl="0">
      <w:start w:val="1"/>
      <w:numFmt w:val="upperRoman"/>
      <w:lvlText w:val="%1."/>
      <w:lvlJc w:val="left"/>
      <w:pPr>
        <w:ind w:left="1854" w:hanging="72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49DC2FC6"/>
    <w:multiLevelType w:val="hybridMultilevel"/>
    <w:tmpl w:val="D514DAEA"/>
    <w:lvl w:ilvl="0" w:tplc="C6FC4F72">
      <w:start w:val="1"/>
      <w:numFmt w:val="upperRoman"/>
      <w:lvlText w:val="%1."/>
      <w:lvlJc w:val="left"/>
      <w:pPr>
        <w:ind w:left="0" w:hanging="220"/>
      </w:pPr>
      <w:rPr>
        <w:rFonts w:ascii="Times New Roman" w:eastAsia="Arial" w:hAnsi="Times New Roman" w:cs="Times New Roman" w:hint="default"/>
        <w:b/>
        <w:bCs/>
        <w:i w:val="0"/>
        <w:iCs w:val="0"/>
        <w:spacing w:val="-2"/>
        <w:w w:val="100"/>
        <w:sz w:val="24"/>
        <w:szCs w:val="24"/>
        <w:lang w:val="es-ES" w:eastAsia="en-US" w:bidi="ar-SA"/>
      </w:rPr>
    </w:lvl>
    <w:lvl w:ilvl="1" w:tplc="C8C23B08">
      <w:numFmt w:val="bullet"/>
      <w:lvlText w:val="•"/>
      <w:lvlJc w:val="left"/>
      <w:pPr>
        <w:ind w:left="972" w:hanging="220"/>
      </w:pPr>
      <w:rPr>
        <w:rFonts w:hint="default"/>
        <w:lang w:val="es-ES" w:eastAsia="en-US" w:bidi="ar-SA"/>
      </w:rPr>
    </w:lvl>
    <w:lvl w:ilvl="2" w:tplc="F3B86690">
      <w:numFmt w:val="bullet"/>
      <w:lvlText w:val="•"/>
      <w:lvlJc w:val="left"/>
      <w:pPr>
        <w:ind w:left="1944" w:hanging="220"/>
      </w:pPr>
      <w:rPr>
        <w:rFonts w:hint="default"/>
        <w:lang w:val="es-ES" w:eastAsia="en-US" w:bidi="ar-SA"/>
      </w:rPr>
    </w:lvl>
    <w:lvl w:ilvl="3" w:tplc="034CBD44">
      <w:numFmt w:val="bullet"/>
      <w:lvlText w:val="•"/>
      <w:lvlJc w:val="left"/>
      <w:pPr>
        <w:ind w:left="2916" w:hanging="220"/>
      </w:pPr>
      <w:rPr>
        <w:rFonts w:hint="default"/>
        <w:lang w:val="es-ES" w:eastAsia="en-US" w:bidi="ar-SA"/>
      </w:rPr>
    </w:lvl>
    <w:lvl w:ilvl="4" w:tplc="50680AB0">
      <w:numFmt w:val="bullet"/>
      <w:lvlText w:val="•"/>
      <w:lvlJc w:val="left"/>
      <w:pPr>
        <w:ind w:left="3888" w:hanging="220"/>
      </w:pPr>
      <w:rPr>
        <w:rFonts w:hint="default"/>
        <w:lang w:val="es-ES" w:eastAsia="en-US" w:bidi="ar-SA"/>
      </w:rPr>
    </w:lvl>
    <w:lvl w:ilvl="5" w:tplc="66066E96">
      <w:numFmt w:val="bullet"/>
      <w:lvlText w:val="•"/>
      <w:lvlJc w:val="left"/>
      <w:pPr>
        <w:ind w:left="4860" w:hanging="220"/>
      </w:pPr>
      <w:rPr>
        <w:rFonts w:hint="default"/>
        <w:lang w:val="es-ES" w:eastAsia="en-US" w:bidi="ar-SA"/>
      </w:rPr>
    </w:lvl>
    <w:lvl w:ilvl="6" w:tplc="05F02BA0">
      <w:numFmt w:val="bullet"/>
      <w:lvlText w:val="•"/>
      <w:lvlJc w:val="left"/>
      <w:pPr>
        <w:ind w:left="5832" w:hanging="220"/>
      </w:pPr>
      <w:rPr>
        <w:rFonts w:hint="default"/>
        <w:lang w:val="es-ES" w:eastAsia="en-US" w:bidi="ar-SA"/>
      </w:rPr>
    </w:lvl>
    <w:lvl w:ilvl="7" w:tplc="02B6700C">
      <w:numFmt w:val="bullet"/>
      <w:lvlText w:val="•"/>
      <w:lvlJc w:val="left"/>
      <w:pPr>
        <w:ind w:left="6804" w:hanging="220"/>
      </w:pPr>
      <w:rPr>
        <w:rFonts w:hint="default"/>
        <w:lang w:val="es-ES" w:eastAsia="en-US" w:bidi="ar-SA"/>
      </w:rPr>
    </w:lvl>
    <w:lvl w:ilvl="8" w:tplc="FCB0A858">
      <w:numFmt w:val="bullet"/>
      <w:lvlText w:val="•"/>
      <w:lvlJc w:val="left"/>
      <w:pPr>
        <w:ind w:left="7776" w:hanging="220"/>
      </w:pPr>
      <w:rPr>
        <w:rFonts w:hint="default"/>
        <w:lang w:val="es-ES" w:eastAsia="en-US" w:bidi="ar-SA"/>
      </w:rPr>
    </w:lvl>
  </w:abstractNum>
  <w:abstractNum w:abstractNumId="28" w15:restartNumberingAfterBreak="0">
    <w:nsid w:val="4BBF2D55"/>
    <w:multiLevelType w:val="multilevel"/>
    <w:tmpl w:val="46B0539E"/>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C26032C"/>
    <w:multiLevelType w:val="multilevel"/>
    <w:tmpl w:val="CB947600"/>
    <w:lvl w:ilvl="0">
      <w:start w:val="1"/>
      <w:numFmt w:val="upperRoman"/>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4CAA4AD1"/>
    <w:multiLevelType w:val="hybridMultilevel"/>
    <w:tmpl w:val="F2427098"/>
    <w:lvl w:ilvl="0" w:tplc="D052531A">
      <w:start w:val="1"/>
      <w:numFmt w:val="upperRoman"/>
      <w:lvlText w:val="%1."/>
      <w:lvlJc w:val="left"/>
      <w:pPr>
        <w:ind w:left="1017" w:hanging="167"/>
      </w:pPr>
      <w:rPr>
        <w:rFonts w:ascii="Arial" w:eastAsia="Arial" w:hAnsi="Arial" w:cs="Arial" w:hint="default"/>
        <w:b/>
        <w:bCs/>
        <w:i/>
        <w:iCs/>
        <w:spacing w:val="-1"/>
        <w:w w:val="100"/>
        <w:sz w:val="20"/>
        <w:szCs w:val="20"/>
        <w:lang w:val="es-ES" w:eastAsia="en-US" w:bidi="ar-SA"/>
      </w:rPr>
    </w:lvl>
    <w:lvl w:ilvl="1" w:tplc="73C86096">
      <w:numFmt w:val="bullet"/>
      <w:lvlText w:val="•"/>
      <w:lvlJc w:val="left"/>
      <w:pPr>
        <w:ind w:left="1890" w:hanging="167"/>
      </w:pPr>
      <w:rPr>
        <w:rFonts w:hint="default"/>
        <w:lang w:val="es-ES" w:eastAsia="en-US" w:bidi="ar-SA"/>
      </w:rPr>
    </w:lvl>
    <w:lvl w:ilvl="2" w:tplc="C9240FDC">
      <w:numFmt w:val="bullet"/>
      <w:lvlText w:val="•"/>
      <w:lvlJc w:val="left"/>
      <w:pPr>
        <w:ind w:left="2760" w:hanging="167"/>
      </w:pPr>
      <w:rPr>
        <w:rFonts w:hint="default"/>
        <w:lang w:val="es-ES" w:eastAsia="en-US" w:bidi="ar-SA"/>
      </w:rPr>
    </w:lvl>
    <w:lvl w:ilvl="3" w:tplc="E1F4DDD0">
      <w:numFmt w:val="bullet"/>
      <w:lvlText w:val="•"/>
      <w:lvlJc w:val="left"/>
      <w:pPr>
        <w:ind w:left="3630" w:hanging="167"/>
      </w:pPr>
      <w:rPr>
        <w:rFonts w:hint="default"/>
        <w:lang w:val="es-ES" w:eastAsia="en-US" w:bidi="ar-SA"/>
      </w:rPr>
    </w:lvl>
    <w:lvl w:ilvl="4" w:tplc="FE3E41F4">
      <w:numFmt w:val="bullet"/>
      <w:lvlText w:val="•"/>
      <w:lvlJc w:val="left"/>
      <w:pPr>
        <w:ind w:left="4500" w:hanging="167"/>
      </w:pPr>
      <w:rPr>
        <w:rFonts w:hint="default"/>
        <w:lang w:val="es-ES" w:eastAsia="en-US" w:bidi="ar-SA"/>
      </w:rPr>
    </w:lvl>
    <w:lvl w:ilvl="5" w:tplc="BB428276">
      <w:numFmt w:val="bullet"/>
      <w:lvlText w:val="•"/>
      <w:lvlJc w:val="left"/>
      <w:pPr>
        <w:ind w:left="5370" w:hanging="167"/>
      </w:pPr>
      <w:rPr>
        <w:rFonts w:hint="default"/>
        <w:lang w:val="es-ES" w:eastAsia="en-US" w:bidi="ar-SA"/>
      </w:rPr>
    </w:lvl>
    <w:lvl w:ilvl="6" w:tplc="815E87FE">
      <w:numFmt w:val="bullet"/>
      <w:lvlText w:val="•"/>
      <w:lvlJc w:val="left"/>
      <w:pPr>
        <w:ind w:left="6240" w:hanging="167"/>
      </w:pPr>
      <w:rPr>
        <w:rFonts w:hint="default"/>
        <w:lang w:val="es-ES" w:eastAsia="en-US" w:bidi="ar-SA"/>
      </w:rPr>
    </w:lvl>
    <w:lvl w:ilvl="7" w:tplc="B6AC928E">
      <w:numFmt w:val="bullet"/>
      <w:lvlText w:val="•"/>
      <w:lvlJc w:val="left"/>
      <w:pPr>
        <w:ind w:left="7110" w:hanging="167"/>
      </w:pPr>
      <w:rPr>
        <w:rFonts w:hint="default"/>
        <w:lang w:val="es-ES" w:eastAsia="en-US" w:bidi="ar-SA"/>
      </w:rPr>
    </w:lvl>
    <w:lvl w:ilvl="8" w:tplc="E0942BBE">
      <w:numFmt w:val="bullet"/>
      <w:lvlText w:val="•"/>
      <w:lvlJc w:val="left"/>
      <w:pPr>
        <w:ind w:left="7980" w:hanging="167"/>
      </w:pPr>
      <w:rPr>
        <w:rFonts w:hint="default"/>
        <w:lang w:val="es-ES" w:eastAsia="en-US" w:bidi="ar-SA"/>
      </w:rPr>
    </w:lvl>
  </w:abstractNum>
  <w:abstractNum w:abstractNumId="31" w15:restartNumberingAfterBreak="0">
    <w:nsid w:val="52734A91"/>
    <w:multiLevelType w:val="hybridMultilevel"/>
    <w:tmpl w:val="DAE64436"/>
    <w:lvl w:ilvl="0" w:tplc="60A07550">
      <w:start w:val="1"/>
      <w:numFmt w:val="upperRoman"/>
      <w:lvlText w:val="%1."/>
      <w:lvlJc w:val="left"/>
      <w:pPr>
        <w:ind w:left="200" w:hanging="201"/>
      </w:pPr>
      <w:rPr>
        <w:rFonts w:ascii="Arial MT" w:eastAsia="Arial MT" w:hAnsi="Arial MT" w:cs="Arial MT" w:hint="default"/>
        <w:b w:val="0"/>
        <w:bCs w:val="0"/>
        <w:i w:val="0"/>
        <w:iCs w:val="0"/>
        <w:spacing w:val="0"/>
        <w:w w:val="100"/>
        <w:sz w:val="24"/>
        <w:szCs w:val="24"/>
        <w:lang w:val="es-ES" w:eastAsia="en-US" w:bidi="ar-SA"/>
      </w:rPr>
    </w:lvl>
    <w:lvl w:ilvl="1" w:tplc="FCDC4F8C">
      <w:numFmt w:val="bullet"/>
      <w:lvlText w:val="•"/>
      <w:lvlJc w:val="left"/>
      <w:pPr>
        <w:ind w:left="1152" w:hanging="201"/>
      </w:pPr>
      <w:rPr>
        <w:rFonts w:hint="default"/>
        <w:lang w:val="es-ES" w:eastAsia="en-US" w:bidi="ar-SA"/>
      </w:rPr>
    </w:lvl>
    <w:lvl w:ilvl="2" w:tplc="12FA3F0A">
      <w:numFmt w:val="bullet"/>
      <w:lvlText w:val="•"/>
      <w:lvlJc w:val="left"/>
      <w:pPr>
        <w:ind w:left="2104" w:hanging="201"/>
      </w:pPr>
      <w:rPr>
        <w:rFonts w:hint="default"/>
        <w:lang w:val="es-ES" w:eastAsia="en-US" w:bidi="ar-SA"/>
      </w:rPr>
    </w:lvl>
    <w:lvl w:ilvl="3" w:tplc="DD0A432C">
      <w:numFmt w:val="bullet"/>
      <w:lvlText w:val="•"/>
      <w:lvlJc w:val="left"/>
      <w:pPr>
        <w:ind w:left="3056" w:hanging="201"/>
      </w:pPr>
      <w:rPr>
        <w:rFonts w:hint="default"/>
        <w:lang w:val="es-ES" w:eastAsia="en-US" w:bidi="ar-SA"/>
      </w:rPr>
    </w:lvl>
    <w:lvl w:ilvl="4" w:tplc="6DACECBA">
      <w:numFmt w:val="bullet"/>
      <w:lvlText w:val="•"/>
      <w:lvlJc w:val="left"/>
      <w:pPr>
        <w:ind w:left="4008" w:hanging="201"/>
      </w:pPr>
      <w:rPr>
        <w:rFonts w:hint="default"/>
        <w:lang w:val="es-ES" w:eastAsia="en-US" w:bidi="ar-SA"/>
      </w:rPr>
    </w:lvl>
    <w:lvl w:ilvl="5" w:tplc="3F60CA16">
      <w:numFmt w:val="bullet"/>
      <w:lvlText w:val="•"/>
      <w:lvlJc w:val="left"/>
      <w:pPr>
        <w:ind w:left="4960" w:hanging="201"/>
      </w:pPr>
      <w:rPr>
        <w:rFonts w:hint="default"/>
        <w:lang w:val="es-ES" w:eastAsia="en-US" w:bidi="ar-SA"/>
      </w:rPr>
    </w:lvl>
    <w:lvl w:ilvl="6" w:tplc="3E9AE906">
      <w:numFmt w:val="bullet"/>
      <w:lvlText w:val="•"/>
      <w:lvlJc w:val="left"/>
      <w:pPr>
        <w:ind w:left="5912" w:hanging="201"/>
      </w:pPr>
      <w:rPr>
        <w:rFonts w:hint="default"/>
        <w:lang w:val="es-ES" w:eastAsia="en-US" w:bidi="ar-SA"/>
      </w:rPr>
    </w:lvl>
    <w:lvl w:ilvl="7" w:tplc="22BA8F68">
      <w:numFmt w:val="bullet"/>
      <w:lvlText w:val="•"/>
      <w:lvlJc w:val="left"/>
      <w:pPr>
        <w:ind w:left="6864" w:hanging="201"/>
      </w:pPr>
      <w:rPr>
        <w:rFonts w:hint="default"/>
        <w:lang w:val="es-ES" w:eastAsia="en-US" w:bidi="ar-SA"/>
      </w:rPr>
    </w:lvl>
    <w:lvl w:ilvl="8" w:tplc="19C8963A">
      <w:numFmt w:val="bullet"/>
      <w:lvlText w:val="•"/>
      <w:lvlJc w:val="left"/>
      <w:pPr>
        <w:ind w:left="7816" w:hanging="201"/>
      </w:pPr>
      <w:rPr>
        <w:rFonts w:hint="default"/>
        <w:lang w:val="es-ES" w:eastAsia="en-US" w:bidi="ar-SA"/>
      </w:rPr>
    </w:lvl>
  </w:abstractNum>
  <w:abstractNum w:abstractNumId="32" w15:restartNumberingAfterBreak="0">
    <w:nsid w:val="533A0CB6"/>
    <w:multiLevelType w:val="hybridMultilevel"/>
    <w:tmpl w:val="95D698B4"/>
    <w:lvl w:ilvl="0" w:tplc="A38829CA">
      <w:start w:val="11"/>
      <w:numFmt w:val="upperRoman"/>
      <w:lvlText w:val="%1."/>
      <w:lvlJc w:val="left"/>
      <w:pPr>
        <w:ind w:left="851" w:hanging="408"/>
      </w:pPr>
      <w:rPr>
        <w:rFonts w:ascii="Arial" w:eastAsia="Arial" w:hAnsi="Arial" w:cs="Arial" w:hint="default"/>
        <w:b/>
        <w:bCs/>
        <w:i/>
        <w:iCs/>
        <w:spacing w:val="-2"/>
        <w:w w:val="100"/>
        <w:sz w:val="20"/>
        <w:szCs w:val="20"/>
        <w:lang w:val="es-ES" w:eastAsia="en-US" w:bidi="ar-SA"/>
      </w:rPr>
    </w:lvl>
    <w:lvl w:ilvl="1" w:tplc="9CBC4FDA">
      <w:numFmt w:val="bullet"/>
      <w:lvlText w:val="•"/>
      <w:lvlJc w:val="left"/>
      <w:pPr>
        <w:ind w:left="1746" w:hanging="408"/>
      </w:pPr>
      <w:rPr>
        <w:rFonts w:hint="default"/>
        <w:lang w:val="es-ES" w:eastAsia="en-US" w:bidi="ar-SA"/>
      </w:rPr>
    </w:lvl>
    <w:lvl w:ilvl="2" w:tplc="BBC4E136">
      <w:numFmt w:val="bullet"/>
      <w:lvlText w:val="•"/>
      <w:lvlJc w:val="left"/>
      <w:pPr>
        <w:ind w:left="2632" w:hanging="408"/>
      </w:pPr>
      <w:rPr>
        <w:rFonts w:hint="default"/>
        <w:lang w:val="es-ES" w:eastAsia="en-US" w:bidi="ar-SA"/>
      </w:rPr>
    </w:lvl>
    <w:lvl w:ilvl="3" w:tplc="9462D816">
      <w:numFmt w:val="bullet"/>
      <w:lvlText w:val="•"/>
      <w:lvlJc w:val="left"/>
      <w:pPr>
        <w:ind w:left="3518" w:hanging="408"/>
      </w:pPr>
      <w:rPr>
        <w:rFonts w:hint="default"/>
        <w:lang w:val="es-ES" w:eastAsia="en-US" w:bidi="ar-SA"/>
      </w:rPr>
    </w:lvl>
    <w:lvl w:ilvl="4" w:tplc="717AD3C4">
      <w:numFmt w:val="bullet"/>
      <w:lvlText w:val="•"/>
      <w:lvlJc w:val="left"/>
      <w:pPr>
        <w:ind w:left="4404" w:hanging="408"/>
      </w:pPr>
      <w:rPr>
        <w:rFonts w:hint="default"/>
        <w:lang w:val="es-ES" w:eastAsia="en-US" w:bidi="ar-SA"/>
      </w:rPr>
    </w:lvl>
    <w:lvl w:ilvl="5" w:tplc="835613F2">
      <w:numFmt w:val="bullet"/>
      <w:lvlText w:val="•"/>
      <w:lvlJc w:val="left"/>
      <w:pPr>
        <w:ind w:left="5290" w:hanging="408"/>
      </w:pPr>
      <w:rPr>
        <w:rFonts w:hint="default"/>
        <w:lang w:val="es-ES" w:eastAsia="en-US" w:bidi="ar-SA"/>
      </w:rPr>
    </w:lvl>
    <w:lvl w:ilvl="6" w:tplc="74069DF0">
      <w:numFmt w:val="bullet"/>
      <w:lvlText w:val="•"/>
      <w:lvlJc w:val="left"/>
      <w:pPr>
        <w:ind w:left="6176" w:hanging="408"/>
      </w:pPr>
      <w:rPr>
        <w:rFonts w:hint="default"/>
        <w:lang w:val="es-ES" w:eastAsia="en-US" w:bidi="ar-SA"/>
      </w:rPr>
    </w:lvl>
    <w:lvl w:ilvl="7" w:tplc="ABFEC3F8">
      <w:numFmt w:val="bullet"/>
      <w:lvlText w:val="•"/>
      <w:lvlJc w:val="left"/>
      <w:pPr>
        <w:ind w:left="7062" w:hanging="408"/>
      </w:pPr>
      <w:rPr>
        <w:rFonts w:hint="default"/>
        <w:lang w:val="es-ES" w:eastAsia="en-US" w:bidi="ar-SA"/>
      </w:rPr>
    </w:lvl>
    <w:lvl w:ilvl="8" w:tplc="BE8CA77A">
      <w:numFmt w:val="bullet"/>
      <w:lvlText w:val="•"/>
      <w:lvlJc w:val="left"/>
      <w:pPr>
        <w:ind w:left="7948" w:hanging="408"/>
      </w:pPr>
      <w:rPr>
        <w:rFonts w:hint="default"/>
        <w:lang w:val="es-ES" w:eastAsia="en-US" w:bidi="ar-SA"/>
      </w:rPr>
    </w:lvl>
  </w:abstractNum>
  <w:abstractNum w:abstractNumId="33" w15:restartNumberingAfterBreak="0">
    <w:nsid w:val="544B1675"/>
    <w:multiLevelType w:val="multilevel"/>
    <w:tmpl w:val="66BE10E6"/>
    <w:lvl w:ilvl="0">
      <w:start w:val="1"/>
      <w:numFmt w:val="upperRoman"/>
      <w:lvlText w:val="%1."/>
      <w:lvlJc w:val="left"/>
      <w:pPr>
        <w:ind w:left="1854" w:hanging="72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56252407"/>
    <w:multiLevelType w:val="hybridMultilevel"/>
    <w:tmpl w:val="BBC4BE52"/>
    <w:lvl w:ilvl="0" w:tplc="DDCA1C44">
      <w:start w:val="1"/>
      <w:numFmt w:val="upperRoman"/>
      <w:lvlText w:val="%1."/>
      <w:lvlJc w:val="left"/>
      <w:pPr>
        <w:ind w:left="0" w:hanging="221"/>
      </w:pPr>
      <w:rPr>
        <w:rFonts w:ascii="Arial" w:eastAsia="Arial" w:hAnsi="Arial" w:cs="Arial" w:hint="default"/>
        <w:b/>
        <w:bCs/>
        <w:i w:val="0"/>
        <w:iCs w:val="0"/>
        <w:spacing w:val="0"/>
        <w:w w:val="100"/>
        <w:sz w:val="24"/>
        <w:szCs w:val="24"/>
        <w:lang w:val="es-ES" w:eastAsia="en-US" w:bidi="ar-SA"/>
      </w:rPr>
    </w:lvl>
    <w:lvl w:ilvl="1" w:tplc="D33AF812">
      <w:numFmt w:val="bullet"/>
      <w:lvlText w:val="•"/>
      <w:lvlJc w:val="left"/>
      <w:pPr>
        <w:ind w:left="972" w:hanging="221"/>
      </w:pPr>
      <w:rPr>
        <w:rFonts w:hint="default"/>
        <w:lang w:val="es-ES" w:eastAsia="en-US" w:bidi="ar-SA"/>
      </w:rPr>
    </w:lvl>
    <w:lvl w:ilvl="2" w:tplc="80FE3838">
      <w:numFmt w:val="bullet"/>
      <w:lvlText w:val="•"/>
      <w:lvlJc w:val="left"/>
      <w:pPr>
        <w:ind w:left="1944" w:hanging="221"/>
      </w:pPr>
      <w:rPr>
        <w:rFonts w:hint="default"/>
        <w:lang w:val="es-ES" w:eastAsia="en-US" w:bidi="ar-SA"/>
      </w:rPr>
    </w:lvl>
    <w:lvl w:ilvl="3" w:tplc="130E7D30">
      <w:numFmt w:val="bullet"/>
      <w:lvlText w:val="•"/>
      <w:lvlJc w:val="left"/>
      <w:pPr>
        <w:ind w:left="2916" w:hanging="221"/>
      </w:pPr>
      <w:rPr>
        <w:rFonts w:hint="default"/>
        <w:lang w:val="es-ES" w:eastAsia="en-US" w:bidi="ar-SA"/>
      </w:rPr>
    </w:lvl>
    <w:lvl w:ilvl="4" w:tplc="FD80D44E">
      <w:numFmt w:val="bullet"/>
      <w:lvlText w:val="•"/>
      <w:lvlJc w:val="left"/>
      <w:pPr>
        <w:ind w:left="3888" w:hanging="221"/>
      </w:pPr>
      <w:rPr>
        <w:rFonts w:hint="default"/>
        <w:lang w:val="es-ES" w:eastAsia="en-US" w:bidi="ar-SA"/>
      </w:rPr>
    </w:lvl>
    <w:lvl w:ilvl="5" w:tplc="3F2CF1F6">
      <w:numFmt w:val="bullet"/>
      <w:lvlText w:val="•"/>
      <w:lvlJc w:val="left"/>
      <w:pPr>
        <w:ind w:left="4860" w:hanging="221"/>
      </w:pPr>
      <w:rPr>
        <w:rFonts w:hint="default"/>
        <w:lang w:val="es-ES" w:eastAsia="en-US" w:bidi="ar-SA"/>
      </w:rPr>
    </w:lvl>
    <w:lvl w:ilvl="6" w:tplc="00FE7858">
      <w:numFmt w:val="bullet"/>
      <w:lvlText w:val="•"/>
      <w:lvlJc w:val="left"/>
      <w:pPr>
        <w:ind w:left="5832" w:hanging="221"/>
      </w:pPr>
      <w:rPr>
        <w:rFonts w:hint="default"/>
        <w:lang w:val="es-ES" w:eastAsia="en-US" w:bidi="ar-SA"/>
      </w:rPr>
    </w:lvl>
    <w:lvl w:ilvl="7" w:tplc="3CBC8D4C">
      <w:numFmt w:val="bullet"/>
      <w:lvlText w:val="•"/>
      <w:lvlJc w:val="left"/>
      <w:pPr>
        <w:ind w:left="6804" w:hanging="221"/>
      </w:pPr>
      <w:rPr>
        <w:rFonts w:hint="default"/>
        <w:lang w:val="es-ES" w:eastAsia="en-US" w:bidi="ar-SA"/>
      </w:rPr>
    </w:lvl>
    <w:lvl w:ilvl="8" w:tplc="4122189E">
      <w:numFmt w:val="bullet"/>
      <w:lvlText w:val="•"/>
      <w:lvlJc w:val="left"/>
      <w:pPr>
        <w:ind w:left="7776" w:hanging="221"/>
      </w:pPr>
      <w:rPr>
        <w:rFonts w:hint="default"/>
        <w:lang w:val="es-ES" w:eastAsia="en-US" w:bidi="ar-SA"/>
      </w:rPr>
    </w:lvl>
  </w:abstractNum>
  <w:abstractNum w:abstractNumId="35" w15:restartNumberingAfterBreak="0">
    <w:nsid w:val="5C905C5F"/>
    <w:multiLevelType w:val="hybridMultilevel"/>
    <w:tmpl w:val="F85204F8"/>
    <w:lvl w:ilvl="0" w:tplc="00EA8B10">
      <w:start w:val="1"/>
      <w:numFmt w:val="upperRoman"/>
      <w:lvlText w:val="%1."/>
      <w:lvlJc w:val="left"/>
      <w:pPr>
        <w:ind w:left="0" w:hanging="200"/>
      </w:pPr>
      <w:rPr>
        <w:rFonts w:ascii="Times New Roman" w:eastAsia="Arial" w:hAnsi="Times New Roman" w:cs="Times New Roman" w:hint="default"/>
        <w:b/>
        <w:bCs/>
        <w:i w:val="0"/>
        <w:iCs w:val="0"/>
        <w:spacing w:val="-2"/>
        <w:w w:val="100"/>
        <w:sz w:val="24"/>
        <w:szCs w:val="24"/>
        <w:lang w:val="es-ES" w:eastAsia="en-US" w:bidi="ar-SA"/>
      </w:rPr>
    </w:lvl>
    <w:lvl w:ilvl="1" w:tplc="083A1412">
      <w:numFmt w:val="bullet"/>
      <w:lvlText w:val="•"/>
      <w:lvlJc w:val="left"/>
      <w:pPr>
        <w:ind w:left="972" w:hanging="200"/>
      </w:pPr>
      <w:rPr>
        <w:rFonts w:hint="default"/>
        <w:lang w:val="es-ES" w:eastAsia="en-US" w:bidi="ar-SA"/>
      </w:rPr>
    </w:lvl>
    <w:lvl w:ilvl="2" w:tplc="52642960">
      <w:numFmt w:val="bullet"/>
      <w:lvlText w:val="•"/>
      <w:lvlJc w:val="left"/>
      <w:pPr>
        <w:ind w:left="1944" w:hanging="200"/>
      </w:pPr>
      <w:rPr>
        <w:rFonts w:hint="default"/>
        <w:lang w:val="es-ES" w:eastAsia="en-US" w:bidi="ar-SA"/>
      </w:rPr>
    </w:lvl>
    <w:lvl w:ilvl="3" w:tplc="D1C62B38">
      <w:numFmt w:val="bullet"/>
      <w:lvlText w:val="•"/>
      <w:lvlJc w:val="left"/>
      <w:pPr>
        <w:ind w:left="2916" w:hanging="200"/>
      </w:pPr>
      <w:rPr>
        <w:rFonts w:hint="default"/>
        <w:lang w:val="es-ES" w:eastAsia="en-US" w:bidi="ar-SA"/>
      </w:rPr>
    </w:lvl>
    <w:lvl w:ilvl="4" w:tplc="73FE7AC6">
      <w:numFmt w:val="bullet"/>
      <w:lvlText w:val="•"/>
      <w:lvlJc w:val="left"/>
      <w:pPr>
        <w:ind w:left="3888" w:hanging="200"/>
      </w:pPr>
      <w:rPr>
        <w:rFonts w:hint="default"/>
        <w:lang w:val="es-ES" w:eastAsia="en-US" w:bidi="ar-SA"/>
      </w:rPr>
    </w:lvl>
    <w:lvl w:ilvl="5" w:tplc="5DAE6D7C">
      <w:numFmt w:val="bullet"/>
      <w:lvlText w:val="•"/>
      <w:lvlJc w:val="left"/>
      <w:pPr>
        <w:ind w:left="4860" w:hanging="200"/>
      </w:pPr>
      <w:rPr>
        <w:rFonts w:hint="default"/>
        <w:lang w:val="es-ES" w:eastAsia="en-US" w:bidi="ar-SA"/>
      </w:rPr>
    </w:lvl>
    <w:lvl w:ilvl="6" w:tplc="B33A2EE2">
      <w:numFmt w:val="bullet"/>
      <w:lvlText w:val="•"/>
      <w:lvlJc w:val="left"/>
      <w:pPr>
        <w:ind w:left="5832" w:hanging="200"/>
      </w:pPr>
      <w:rPr>
        <w:rFonts w:hint="default"/>
        <w:lang w:val="es-ES" w:eastAsia="en-US" w:bidi="ar-SA"/>
      </w:rPr>
    </w:lvl>
    <w:lvl w:ilvl="7" w:tplc="21169B06">
      <w:numFmt w:val="bullet"/>
      <w:lvlText w:val="•"/>
      <w:lvlJc w:val="left"/>
      <w:pPr>
        <w:ind w:left="6804" w:hanging="200"/>
      </w:pPr>
      <w:rPr>
        <w:rFonts w:hint="default"/>
        <w:lang w:val="es-ES" w:eastAsia="en-US" w:bidi="ar-SA"/>
      </w:rPr>
    </w:lvl>
    <w:lvl w:ilvl="8" w:tplc="D9CAC8D0">
      <w:numFmt w:val="bullet"/>
      <w:lvlText w:val="•"/>
      <w:lvlJc w:val="left"/>
      <w:pPr>
        <w:ind w:left="7776" w:hanging="200"/>
      </w:pPr>
      <w:rPr>
        <w:rFonts w:hint="default"/>
        <w:lang w:val="es-ES" w:eastAsia="en-US" w:bidi="ar-SA"/>
      </w:rPr>
    </w:lvl>
  </w:abstractNum>
  <w:abstractNum w:abstractNumId="36" w15:restartNumberingAfterBreak="0">
    <w:nsid w:val="60336190"/>
    <w:multiLevelType w:val="hybridMultilevel"/>
    <w:tmpl w:val="230CDA4C"/>
    <w:lvl w:ilvl="0" w:tplc="20888B9E">
      <w:start w:val="1"/>
      <w:numFmt w:val="upperRoman"/>
      <w:lvlText w:val="%1."/>
      <w:lvlJc w:val="left"/>
      <w:pPr>
        <w:ind w:left="200" w:hanging="201"/>
      </w:pPr>
      <w:rPr>
        <w:rFonts w:ascii="Arial MT" w:eastAsia="Arial MT" w:hAnsi="Arial MT" w:cs="Arial MT" w:hint="default"/>
        <w:b w:val="0"/>
        <w:bCs w:val="0"/>
        <w:i w:val="0"/>
        <w:iCs w:val="0"/>
        <w:spacing w:val="0"/>
        <w:w w:val="100"/>
        <w:sz w:val="24"/>
        <w:szCs w:val="24"/>
        <w:lang w:val="es-ES" w:eastAsia="en-US" w:bidi="ar-SA"/>
      </w:rPr>
    </w:lvl>
    <w:lvl w:ilvl="1" w:tplc="AC7EFDF2">
      <w:numFmt w:val="bullet"/>
      <w:lvlText w:val="•"/>
      <w:lvlJc w:val="left"/>
      <w:pPr>
        <w:ind w:left="1152" w:hanging="201"/>
      </w:pPr>
      <w:rPr>
        <w:rFonts w:hint="default"/>
        <w:lang w:val="es-ES" w:eastAsia="en-US" w:bidi="ar-SA"/>
      </w:rPr>
    </w:lvl>
    <w:lvl w:ilvl="2" w:tplc="D2408C1E">
      <w:numFmt w:val="bullet"/>
      <w:lvlText w:val="•"/>
      <w:lvlJc w:val="left"/>
      <w:pPr>
        <w:ind w:left="2104" w:hanging="201"/>
      </w:pPr>
      <w:rPr>
        <w:rFonts w:hint="default"/>
        <w:lang w:val="es-ES" w:eastAsia="en-US" w:bidi="ar-SA"/>
      </w:rPr>
    </w:lvl>
    <w:lvl w:ilvl="3" w:tplc="E8708D5A">
      <w:numFmt w:val="bullet"/>
      <w:lvlText w:val="•"/>
      <w:lvlJc w:val="left"/>
      <w:pPr>
        <w:ind w:left="3056" w:hanging="201"/>
      </w:pPr>
      <w:rPr>
        <w:rFonts w:hint="default"/>
        <w:lang w:val="es-ES" w:eastAsia="en-US" w:bidi="ar-SA"/>
      </w:rPr>
    </w:lvl>
    <w:lvl w:ilvl="4" w:tplc="505C556C">
      <w:numFmt w:val="bullet"/>
      <w:lvlText w:val="•"/>
      <w:lvlJc w:val="left"/>
      <w:pPr>
        <w:ind w:left="4008" w:hanging="201"/>
      </w:pPr>
      <w:rPr>
        <w:rFonts w:hint="default"/>
        <w:lang w:val="es-ES" w:eastAsia="en-US" w:bidi="ar-SA"/>
      </w:rPr>
    </w:lvl>
    <w:lvl w:ilvl="5" w:tplc="A86EF782">
      <w:numFmt w:val="bullet"/>
      <w:lvlText w:val="•"/>
      <w:lvlJc w:val="left"/>
      <w:pPr>
        <w:ind w:left="4960" w:hanging="201"/>
      </w:pPr>
      <w:rPr>
        <w:rFonts w:hint="default"/>
        <w:lang w:val="es-ES" w:eastAsia="en-US" w:bidi="ar-SA"/>
      </w:rPr>
    </w:lvl>
    <w:lvl w:ilvl="6" w:tplc="E9A045B2">
      <w:numFmt w:val="bullet"/>
      <w:lvlText w:val="•"/>
      <w:lvlJc w:val="left"/>
      <w:pPr>
        <w:ind w:left="5912" w:hanging="201"/>
      </w:pPr>
      <w:rPr>
        <w:rFonts w:hint="default"/>
        <w:lang w:val="es-ES" w:eastAsia="en-US" w:bidi="ar-SA"/>
      </w:rPr>
    </w:lvl>
    <w:lvl w:ilvl="7" w:tplc="0C546C46">
      <w:numFmt w:val="bullet"/>
      <w:lvlText w:val="•"/>
      <w:lvlJc w:val="left"/>
      <w:pPr>
        <w:ind w:left="6864" w:hanging="201"/>
      </w:pPr>
      <w:rPr>
        <w:rFonts w:hint="default"/>
        <w:lang w:val="es-ES" w:eastAsia="en-US" w:bidi="ar-SA"/>
      </w:rPr>
    </w:lvl>
    <w:lvl w:ilvl="8" w:tplc="54269A50">
      <w:numFmt w:val="bullet"/>
      <w:lvlText w:val="•"/>
      <w:lvlJc w:val="left"/>
      <w:pPr>
        <w:ind w:left="7816" w:hanging="201"/>
      </w:pPr>
      <w:rPr>
        <w:rFonts w:hint="default"/>
        <w:lang w:val="es-ES" w:eastAsia="en-US" w:bidi="ar-SA"/>
      </w:rPr>
    </w:lvl>
  </w:abstractNum>
  <w:abstractNum w:abstractNumId="37" w15:restartNumberingAfterBreak="0">
    <w:nsid w:val="60B141F8"/>
    <w:multiLevelType w:val="hybridMultilevel"/>
    <w:tmpl w:val="82DEEAC6"/>
    <w:lvl w:ilvl="0" w:tplc="47A050C0">
      <w:start w:val="1"/>
      <w:numFmt w:val="decimal"/>
      <w:lvlText w:val="%1."/>
      <w:lvlJc w:val="left"/>
      <w:pPr>
        <w:ind w:left="266" w:hanging="267"/>
      </w:pPr>
      <w:rPr>
        <w:rFonts w:ascii="Times New Roman" w:eastAsia="Arial" w:hAnsi="Times New Roman" w:cs="Times New Roman" w:hint="default"/>
        <w:b/>
        <w:bCs/>
        <w:i w:val="0"/>
        <w:iCs w:val="0"/>
        <w:spacing w:val="0"/>
        <w:w w:val="100"/>
        <w:sz w:val="24"/>
        <w:szCs w:val="24"/>
        <w:lang w:val="es-ES" w:eastAsia="en-US" w:bidi="ar-SA"/>
      </w:rPr>
    </w:lvl>
    <w:lvl w:ilvl="1" w:tplc="5292FA36">
      <w:numFmt w:val="bullet"/>
      <w:lvlText w:val="•"/>
      <w:lvlJc w:val="left"/>
      <w:pPr>
        <w:ind w:left="1206" w:hanging="267"/>
      </w:pPr>
      <w:rPr>
        <w:rFonts w:hint="default"/>
        <w:lang w:val="es-ES" w:eastAsia="en-US" w:bidi="ar-SA"/>
      </w:rPr>
    </w:lvl>
    <w:lvl w:ilvl="2" w:tplc="78BC3EC8">
      <w:numFmt w:val="bullet"/>
      <w:lvlText w:val="•"/>
      <w:lvlJc w:val="left"/>
      <w:pPr>
        <w:ind w:left="2152" w:hanging="267"/>
      </w:pPr>
      <w:rPr>
        <w:rFonts w:hint="default"/>
        <w:lang w:val="es-ES" w:eastAsia="en-US" w:bidi="ar-SA"/>
      </w:rPr>
    </w:lvl>
    <w:lvl w:ilvl="3" w:tplc="EB2ED9D2">
      <w:numFmt w:val="bullet"/>
      <w:lvlText w:val="•"/>
      <w:lvlJc w:val="left"/>
      <w:pPr>
        <w:ind w:left="3098" w:hanging="267"/>
      </w:pPr>
      <w:rPr>
        <w:rFonts w:hint="default"/>
        <w:lang w:val="es-ES" w:eastAsia="en-US" w:bidi="ar-SA"/>
      </w:rPr>
    </w:lvl>
    <w:lvl w:ilvl="4" w:tplc="E6B44D24">
      <w:numFmt w:val="bullet"/>
      <w:lvlText w:val="•"/>
      <w:lvlJc w:val="left"/>
      <w:pPr>
        <w:ind w:left="4044" w:hanging="267"/>
      </w:pPr>
      <w:rPr>
        <w:rFonts w:hint="default"/>
        <w:lang w:val="es-ES" w:eastAsia="en-US" w:bidi="ar-SA"/>
      </w:rPr>
    </w:lvl>
    <w:lvl w:ilvl="5" w:tplc="F64ECCF8">
      <w:numFmt w:val="bullet"/>
      <w:lvlText w:val="•"/>
      <w:lvlJc w:val="left"/>
      <w:pPr>
        <w:ind w:left="4990" w:hanging="267"/>
      </w:pPr>
      <w:rPr>
        <w:rFonts w:hint="default"/>
        <w:lang w:val="es-ES" w:eastAsia="en-US" w:bidi="ar-SA"/>
      </w:rPr>
    </w:lvl>
    <w:lvl w:ilvl="6" w:tplc="058AD43A">
      <w:numFmt w:val="bullet"/>
      <w:lvlText w:val="•"/>
      <w:lvlJc w:val="left"/>
      <w:pPr>
        <w:ind w:left="5936" w:hanging="267"/>
      </w:pPr>
      <w:rPr>
        <w:rFonts w:hint="default"/>
        <w:lang w:val="es-ES" w:eastAsia="en-US" w:bidi="ar-SA"/>
      </w:rPr>
    </w:lvl>
    <w:lvl w:ilvl="7" w:tplc="57F27640">
      <w:numFmt w:val="bullet"/>
      <w:lvlText w:val="•"/>
      <w:lvlJc w:val="left"/>
      <w:pPr>
        <w:ind w:left="6882" w:hanging="267"/>
      </w:pPr>
      <w:rPr>
        <w:rFonts w:hint="default"/>
        <w:lang w:val="es-ES" w:eastAsia="en-US" w:bidi="ar-SA"/>
      </w:rPr>
    </w:lvl>
    <w:lvl w:ilvl="8" w:tplc="E38CFD2E">
      <w:numFmt w:val="bullet"/>
      <w:lvlText w:val="•"/>
      <w:lvlJc w:val="left"/>
      <w:pPr>
        <w:ind w:left="7828" w:hanging="267"/>
      </w:pPr>
      <w:rPr>
        <w:rFonts w:hint="default"/>
        <w:lang w:val="es-ES" w:eastAsia="en-US" w:bidi="ar-SA"/>
      </w:rPr>
    </w:lvl>
  </w:abstractNum>
  <w:abstractNum w:abstractNumId="38" w15:restartNumberingAfterBreak="0">
    <w:nsid w:val="61B65985"/>
    <w:multiLevelType w:val="hybridMultilevel"/>
    <w:tmpl w:val="794482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5E01407"/>
    <w:multiLevelType w:val="hybridMultilevel"/>
    <w:tmpl w:val="F692ED86"/>
    <w:lvl w:ilvl="0" w:tplc="C9EE2518">
      <w:start w:val="1"/>
      <w:numFmt w:val="upperRoman"/>
      <w:lvlText w:val="%1."/>
      <w:lvlJc w:val="left"/>
      <w:pPr>
        <w:ind w:left="0" w:hanging="260"/>
      </w:pPr>
      <w:rPr>
        <w:rFonts w:ascii="Arial" w:eastAsia="Arial" w:hAnsi="Arial" w:cs="Arial" w:hint="default"/>
        <w:b/>
        <w:bCs/>
        <w:i w:val="0"/>
        <w:iCs w:val="0"/>
        <w:spacing w:val="0"/>
        <w:w w:val="100"/>
        <w:sz w:val="24"/>
        <w:szCs w:val="24"/>
        <w:lang w:val="es-ES" w:eastAsia="en-US" w:bidi="ar-SA"/>
      </w:rPr>
    </w:lvl>
    <w:lvl w:ilvl="1" w:tplc="5676876E">
      <w:numFmt w:val="bullet"/>
      <w:lvlText w:val="•"/>
      <w:lvlJc w:val="left"/>
      <w:pPr>
        <w:ind w:left="972" w:hanging="260"/>
      </w:pPr>
      <w:rPr>
        <w:rFonts w:hint="default"/>
        <w:lang w:val="es-ES" w:eastAsia="en-US" w:bidi="ar-SA"/>
      </w:rPr>
    </w:lvl>
    <w:lvl w:ilvl="2" w:tplc="0D1C6D18">
      <w:numFmt w:val="bullet"/>
      <w:lvlText w:val="•"/>
      <w:lvlJc w:val="left"/>
      <w:pPr>
        <w:ind w:left="1944" w:hanging="260"/>
      </w:pPr>
      <w:rPr>
        <w:rFonts w:hint="default"/>
        <w:lang w:val="es-ES" w:eastAsia="en-US" w:bidi="ar-SA"/>
      </w:rPr>
    </w:lvl>
    <w:lvl w:ilvl="3" w:tplc="A0240C9A">
      <w:numFmt w:val="bullet"/>
      <w:lvlText w:val="•"/>
      <w:lvlJc w:val="left"/>
      <w:pPr>
        <w:ind w:left="2916" w:hanging="260"/>
      </w:pPr>
      <w:rPr>
        <w:rFonts w:hint="default"/>
        <w:lang w:val="es-ES" w:eastAsia="en-US" w:bidi="ar-SA"/>
      </w:rPr>
    </w:lvl>
    <w:lvl w:ilvl="4" w:tplc="B5D8B06A">
      <w:numFmt w:val="bullet"/>
      <w:lvlText w:val="•"/>
      <w:lvlJc w:val="left"/>
      <w:pPr>
        <w:ind w:left="3888" w:hanging="260"/>
      </w:pPr>
      <w:rPr>
        <w:rFonts w:hint="default"/>
        <w:lang w:val="es-ES" w:eastAsia="en-US" w:bidi="ar-SA"/>
      </w:rPr>
    </w:lvl>
    <w:lvl w:ilvl="5" w:tplc="7A46603C">
      <w:numFmt w:val="bullet"/>
      <w:lvlText w:val="•"/>
      <w:lvlJc w:val="left"/>
      <w:pPr>
        <w:ind w:left="4860" w:hanging="260"/>
      </w:pPr>
      <w:rPr>
        <w:rFonts w:hint="default"/>
        <w:lang w:val="es-ES" w:eastAsia="en-US" w:bidi="ar-SA"/>
      </w:rPr>
    </w:lvl>
    <w:lvl w:ilvl="6" w:tplc="48F40AA6">
      <w:numFmt w:val="bullet"/>
      <w:lvlText w:val="•"/>
      <w:lvlJc w:val="left"/>
      <w:pPr>
        <w:ind w:left="5832" w:hanging="260"/>
      </w:pPr>
      <w:rPr>
        <w:rFonts w:hint="default"/>
        <w:lang w:val="es-ES" w:eastAsia="en-US" w:bidi="ar-SA"/>
      </w:rPr>
    </w:lvl>
    <w:lvl w:ilvl="7" w:tplc="C20E470A">
      <w:numFmt w:val="bullet"/>
      <w:lvlText w:val="•"/>
      <w:lvlJc w:val="left"/>
      <w:pPr>
        <w:ind w:left="6804" w:hanging="260"/>
      </w:pPr>
      <w:rPr>
        <w:rFonts w:hint="default"/>
        <w:lang w:val="es-ES" w:eastAsia="en-US" w:bidi="ar-SA"/>
      </w:rPr>
    </w:lvl>
    <w:lvl w:ilvl="8" w:tplc="97F06AA8">
      <w:numFmt w:val="bullet"/>
      <w:lvlText w:val="•"/>
      <w:lvlJc w:val="left"/>
      <w:pPr>
        <w:ind w:left="7776" w:hanging="260"/>
      </w:pPr>
      <w:rPr>
        <w:rFonts w:hint="default"/>
        <w:lang w:val="es-ES" w:eastAsia="en-US" w:bidi="ar-SA"/>
      </w:rPr>
    </w:lvl>
  </w:abstractNum>
  <w:abstractNum w:abstractNumId="40" w15:restartNumberingAfterBreak="0">
    <w:nsid w:val="661B7415"/>
    <w:multiLevelType w:val="hybridMultilevel"/>
    <w:tmpl w:val="41246CA8"/>
    <w:lvl w:ilvl="0" w:tplc="F356E360">
      <w:start w:val="1"/>
      <w:numFmt w:val="decimal"/>
      <w:lvlText w:val="%1."/>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5DAAB040">
      <w:numFmt w:val="bullet"/>
      <w:lvlText w:val="•"/>
      <w:lvlJc w:val="left"/>
      <w:pPr>
        <w:ind w:left="1620" w:hanging="360"/>
      </w:pPr>
      <w:rPr>
        <w:rFonts w:hint="default"/>
        <w:lang w:val="es-ES" w:eastAsia="en-US" w:bidi="ar-SA"/>
      </w:rPr>
    </w:lvl>
    <w:lvl w:ilvl="2" w:tplc="FC3ACABE">
      <w:numFmt w:val="bullet"/>
      <w:lvlText w:val="•"/>
      <w:lvlJc w:val="left"/>
      <w:pPr>
        <w:ind w:left="2520" w:hanging="360"/>
      </w:pPr>
      <w:rPr>
        <w:rFonts w:hint="default"/>
        <w:lang w:val="es-ES" w:eastAsia="en-US" w:bidi="ar-SA"/>
      </w:rPr>
    </w:lvl>
    <w:lvl w:ilvl="3" w:tplc="941EC48C">
      <w:numFmt w:val="bullet"/>
      <w:lvlText w:val="•"/>
      <w:lvlJc w:val="left"/>
      <w:pPr>
        <w:ind w:left="3420" w:hanging="360"/>
      </w:pPr>
      <w:rPr>
        <w:rFonts w:hint="default"/>
        <w:lang w:val="es-ES" w:eastAsia="en-US" w:bidi="ar-SA"/>
      </w:rPr>
    </w:lvl>
    <w:lvl w:ilvl="4" w:tplc="E3863614">
      <w:numFmt w:val="bullet"/>
      <w:lvlText w:val="•"/>
      <w:lvlJc w:val="left"/>
      <w:pPr>
        <w:ind w:left="4320" w:hanging="360"/>
      </w:pPr>
      <w:rPr>
        <w:rFonts w:hint="default"/>
        <w:lang w:val="es-ES" w:eastAsia="en-US" w:bidi="ar-SA"/>
      </w:rPr>
    </w:lvl>
    <w:lvl w:ilvl="5" w:tplc="297CCDA0">
      <w:numFmt w:val="bullet"/>
      <w:lvlText w:val="•"/>
      <w:lvlJc w:val="left"/>
      <w:pPr>
        <w:ind w:left="5220" w:hanging="360"/>
      </w:pPr>
      <w:rPr>
        <w:rFonts w:hint="default"/>
        <w:lang w:val="es-ES" w:eastAsia="en-US" w:bidi="ar-SA"/>
      </w:rPr>
    </w:lvl>
    <w:lvl w:ilvl="6" w:tplc="0D3644BA">
      <w:numFmt w:val="bullet"/>
      <w:lvlText w:val="•"/>
      <w:lvlJc w:val="left"/>
      <w:pPr>
        <w:ind w:left="6120" w:hanging="360"/>
      </w:pPr>
      <w:rPr>
        <w:rFonts w:hint="default"/>
        <w:lang w:val="es-ES" w:eastAsia="en-US" w:bidi="ar-SA"/>
      </w:rPr>
    </w:lvl>
    <w:lvl w:ilvl="7" w:tplc="FDD2115C">
      <w:numFmt w:val="bullet"/>
      <w:lvlText w:val="•"/>
      <w:lvlJc w:val="left"/>
      <w:pPr>
        <w:ind w:left="7020" w:hanging="360"/>
      </w:pPr>
      <w:rPr>
        <w:rFonts w:hint="default"/>
        <w:lang w:val="es-ES" w:eastAsia="en-US" w:bidi="ar-SA"/>
      </w:rPr>
    </w:lvl>
    <w:lvl w:ilvl="8" w:tplc="47668ED0">
      <w:numFmt w:val="bullet"/>
      <w:lvlText w:val="•"/>
      <w:lvlJc w:val="left"/>
      <w:pPr>
        <w:ind w:left="7920" w:hanging="360"/>
      </w:pPr>
      <w:rPr>
        <w:rFonts w:hint="default"/>
        <w:lang w:val="es-ES" w:eastAsia="en-US" w:bidi="ar-SA"/>
      </w:rPr>
    </w:lvl>
  </w:abstractNum>
  <w:abstractNum w:abstractNumId="41" w15:restartNumberingAfterBreak="0">
    <w:nsid w:val="6FC937DC"/>
    <w:multiLevelType w:val="multilevel"/>
    <w:tmpl w:val="1EE477A6"/>
    <w:lvl w:ilvl="0">
      <w:start w:val="1"/>
      <w:numFmt w:val="upperRoman"/>
      <w:lvlText w:val="%1."/>
      <w:lvlJc w:val="left"/>
      <w:pPr>
        <w:ind w:left="1647" w:hanging="360"/>
      </w:pPr>
      <w:rPr>
        <w:rFonts w:ascii="Times New Roman" w:eastAsia="Arial" w:hAnsi="Times New Roman" w:cs="Times New Roman" w:hint="default"/>
        <w:b w:val="0"/>
        <w:bCs/>
        <w:w w:val="100"/>
        <w:sz w:val="24"/>
        <w:szCs w:val="24"/>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42" w15:restartNumberingAfterBreak="0">
    <w:nsid w:val="74386A47"/>
    <w:multiLevelType w:val="hybridMultilevel"/>
    <w:tmpl w:val="F4B46870"/>
    <w:lvl w:ilvl="0" w:tplc="FB2C636C">
      <w:start w:val="1"/>
      <w:numFmt w:val="upperRoman"/>
      <w:lvlText w:val="%1."/>
      <w:lvlJc w:val="left"/>
      <w:pPr>
        <w:ind w:left="442" w:hanging="181"/>
      </w:pPr>
      <w:rPr>
        <w:rFonts w:ascii="Times New Roman" w:eastAsia="Trebuchet MS" w:hAnsi="Times New Roman" w:cs="Times New Roman" w:hint="default"/>
        <w:b w:val="0"/>
        <w:bCs w:val="0"/>
        <w:i w:val="0"/>
        <w:iCs w:val="0"/>
        <w:spacing w:val="0"/>
        <w:w w:val="100"/>
        <w:sz w:val="24"/>
        <w:szCs w:val="24"/>
        <w:lang w:val="es-ES" w:eastAsia="en-US" w:bidi="ar-SA"/>
      </w:rPr>
    </w:lvl>
    <w:lvl w:ilvl="1" w:tplc="2AC64D40">
      <w:numFmt w:val="bullet"/>
      <w:lvlText w:val="•"/>
      <w:lvlJc w:val="left"/>
      <w:pPr>
        <w:ind w:left="1332" w:hanging="181"/>
      </w:pPr>
      <w:rPr>
        <w:rFonts w:hint="default"/>
        <w:lang w:val="es-ES" w:eastAsia="en-US" w:bidi="ar-SA"/>
      </w:rPr>
    </w:lvl>
    <w:lvl w:ilvl="2" w:tplc="E96C84E4">
      <w:numFmt w:val="bullet"/>
      <w:lvlText w:val="•"/>
      <w:lvlJc w:val="left"/>
      <w:pPr>
        <w:ind w:left="2224" w:hanging="181"/>
      </w:pPr>
      <w:rPr>
        <w:rFonts w:hint="default"/>
        <w:lang w:val="es-ES" w:eastAsia="en-US" w:bidi="ar-SA"/>
      </w:rPr>
    </w:lvl>
    <w:lvl w:ilvl="3" w:tplc="AA4EEBD8">
      <w:numFmt w:val="bullet"/>
      <w:lvlText w:val="•"/>
      <w:lvlJc w:val="left"/>
      <w:pPr>
        <w:ind w:left="3116" w:hanging="181"/>
      </w:pPr>
      <w:rPr>
        <w:rFonts w:hint="default"/>
        <w:lang w:val="es-ES" w:eastAsia="en-US" w:bidi="ar-SA"/>
      </w:rPr>
    </w:lvl>
    <w:lvl w:ilvl="4" w:tplc="607AA37C">
      <w:numFmt w:val="bullet"/>
      <w:lvlText w:val="•"/>
      <w:lvlJc w:val="left"/>
      <w:pPr>
        <w:ind w:left="4008" w:hanging="181"/>
      </w:pPr>
      <w:rPr>
        <w:rFonts w:hint="default"/>
        <w:lang w:val="es-ES" w:eastAsia="en-US" w:bidi="ar-SA"/>
      </w:rPr>
    </w:lvl>
    <w:lvl w:ilvl="5" w:tplc="70387790">
      <w:numFmt w:val="bullet"/>
      <w:lvlText w:val="•"/>
      <w:lvlJc w:val="left"/>
      <w:pPr>
        <w:ind w:left="4900" w:hanging="181"/>
      </w:pPr>
      <w:rPr>
        <w:rFonts w:hint="default"/>
        <w:lang w:val="es-ES" w:eastAsia="en-US" w:bidi="ar-SA"/>
      </w:rPr>
    </w:lvl>
    <w:lvl w:ilvl="6" w:tplc="4C5E0676">
      <w:numFmt w:val="bullet"/>
      <w:lvlText w:val="•"/>
      <w:lvlJc w:val="left"/>
      <w:pPr>
        <w:ind w:left="5792" w:hanging="181"/>
      </w:pPr>
      <w:rPr>
        <w:rFonts w:hint="default"/>
        <w:lang w:val="es-ES" w:eastAsia="en-US" w:bidi="ar-SA"/>
      </w:rPr>
    </w:lvl>
    <w:lvl w:ilvl="7" w:tplc="183E778E">
      <w:numFmt w:val="bullet"/>
      <w:lvlText w:val="•"/>
      <w:lvlJc w:val="left"/>
      <w:pPr>
        <w:ind w:left="6684" w:hanging="181"/>
      </w:pPr>
      <w:rPr>
        <w:rFonts w:hint="default"/>
        <w:lang w:val="es-ES" w:eastAsia="en-US" w:bidi="ar-SA"/>
      </w:rPr>
    </w:lvl>
    <w:lvl w:ilvl="8" w:tplc="E0FCC558">
      <w:numFmt w:val="bullet"/>
      <w:lvlText w:val="•"/>
      <w:lvlJc w:val="left"/>
      <w:pPr>
        <w:ind w:left="7576" w:hanging="181"/>
      </w:pPr>
      <w:rPr>
        <w:rFonts w:hint="default"/>
        <w:lang w:val="es-ES" w:eastAsia="en-US" w:bidi="ar-SA"/>
      </w:rPr>
    </w:lvl>
  </w:abstractNum>
  <w:abstractNum w:abstractNumId="43" w15:restartNumberingAfterBreak="0">
    <w:nsid w:val="74553BED"/>
    <w:multiLevelType w:val="hybridMultilevel"/>
    <w:tmpl w:val="69EE3650"/>
    <w:lvl w:ilvl="0" w:tplc="FB6860AA">
      <w:start w:val="1"/>
      <w:numFmt w:val="upperRoman"/>
      <w:lvlText w:val="%1."/>
      <w:lvlJc w:val="left"/>
      <w:pPr>
        <w:ind w:left="0" w:hanging="206"/>
      </w:pPr>
      <w:rPr>
        <w:rFonts w:ascii="Arial" w:eastAsia="Arial" w:hAnsi="Arial" w:cs="Arial" w:hint="default"/>
        <w:b/>
        <w:bCs/>
        <w:i w:val="0"/>
        <w:iCs w:val="0"/>
        <w:spacing w:val="0"/>
        <w:w w:val="100"/>
        <w:sz w:val="24"/>
        <w:szCs w:val="24"/>
        <w:lang w:val="es-ES" w:eastAsia="en-US" w:bidi="ar-SA"/>
      </w:rPr>
    </w:lvl>
    <w:lvl w:ilvl="1" w:tplc="D25487DC">
      <w:numFmt w:val="bullet"/>
      <w:lvlText w:val="•"/>
      <w:lvlJc w:val="left"/>
      <w:pPr>
        <w:ind w:left="972" w:hanging="206"/>
      </w:pPr>
      <w:rPr>
        <w:rFonts w:hint="default"/>
        <w:lang w:val="es-ES" w:eastAsia="en-US" w:bidi="ar-SA"/>
      </w:rPr>
    </w:lvl>
    <w:lvl w:ilvl="2" w:tplc="762E4A20">
      <w:numFmt w:val="bullet"/>
      <w:lvlText w:val="•"/>
      <w:lvlJc w:val="left"/>
      <w:pPr>
        <w:ind w:left="1944" w:hanging="206"/>
      </w:pPr>
      <w:rPr>
        <w:rFonts w:hint="default"/>
        <w:lang w:val="es-ES" w:eastAsia="en-US" w:bidi="ar-SA"/>
      </w:rPr>
    </w:lvl>
    <w:lvl w:ilvl="3" w:tplc="2C040170">
      <w:numFmt w:val="bullet"/>
      <w:lvlText w:val="•"/>
      <w:lvlJc w:val="left"/>
      <w:pPr>
        <w:ind w:left="2916" w:hanging="206"/>
      </w:pPr>
      <w:rPr>
        <w:rFonts w:hint="default"/>
        <w:lang w:val="es-ES" w:eastAsia="en-US" w:bidi="ar-SA"/>
      </w:rPr>
    </w:lvl>
    <w:lvl w:ilvl="4" w:tplc="968E3364">
      <w:numFmt w:val="bullet"/>
      <w:lvlText w:val="•"/>
      <w:lvlJc w:val="left"/>
      <w:pPr>
        <w:ind w:left="3888" w:hanging="206"/>
      </w:pPr>
      <w:rPr>
        <w:rFonts w:hint="default"/>
        <w:lang w:val="es-ES" w:eastAsia="en-US" w:bidi="ar-SA"/>
      </w:rPr>
    </w:lvl>
    <w:lvl w:ilvl="5" w:tplc="136A3260">
      <w:numFmt w:val="bullet"/>
      <w:lvlText w:val="•"/>
      <w:lvlJc w:val="left"/>
      <w:pPr>
        <w:ind w:left="4860" w:hanging="206"/>
      </w:pPr>
      <w:rPr>
        <w:rFonts w:hint="default"/>
        <w:lang w:val="es-ES" w:eastAsia="en-US" w:bidi="ar-SA"/>
      </w:rPr>
    </w:lvl>
    <w:lvl w:ilvl="6" w:tplc="02CA41BE">
      <w:numFmt w:val="bullet"/>
      <w:lvlText w:val="•"/>
      <w:lvlJc w:val="left"/>
      <w:pPr>
        <w:ind w:left="5832" w:hanging="206"/>
      </w:pPr>
      <w:rPr>
        <w:rFonts w:hint="default"/>
        <w:lang w:val="es-ES" w:eastAsia="en-US" w:bidi="ar-SA"/>
      </w:rPr>
    </w:lvl>
    <w:lvl w:ilvl="7" w:tplc="74F67940">
      <w:numFmt w:val="bullet"/>
      <w:lvlText w:val="•"/>
      <w:lvlJc w:val="left"/>
      <w:pPr>
        <w:ind w:left="6804" w:hanging="206"/>
      </w:pPr>
      <w:rPr>
        <w:rFonts w:hint="default"/>
        <w:lang w:val="es-ES" w:eastAsia="en-US" w:bidi="ar-SA"/>
      </w:rPr>
    </w:lvl>
    <w:lvl w:ilvl="8" w:tplc="24320900">
      <w:numFmt w:val="bullet"/>
      <w:lvlText w:val="•"/>
      <w:lvlJc w:val="left"/>
      <w:pPr>
        <w:ind w:left="7776" w:hanging="206"/>
      </w:pPr>
      <w:rPr>
        <w:rFonts w:hint="default"/>
        <w:lang w:val="es-ES" w:eastAsia="en-US" w:bidi="ar-SA"/>
      </w:rPr>
    </w:lvl>
  </w:abstractNum>
  <w:abstractNum w:abstractNumId="44" w15:restartNumberingAfterBreak="0">
    <w:nsid w:val="781E6905"/>
    <w:multiLevelType w:val="hybridMultilevel"/>
    <w:tmpl w:val="63AC2A08"/>
    <w:lvl w:ilvl="0" w:tplc="C54A55AC">
      <w:start w:val="1"/>
      <w:numFmt w:val="decimal"/>
      <w:lvlText w:val="%1."/>
      <w:lvlJc w:val="left"/>
      <w:pPr>
        <w:ind w:left="84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F12A90D4">
      <w:numFmt w:val="bullet"/>
      <w:lvlText w:val="•"/>
      <w:lvlJc w:val="left"/>
      <w:pPr>
        <w:ind w:left="1692" w:hanging="360"/>
      </w:pPr>
      <w:rPr>
        <w:rFonts w:hint="default"/>
        <w:lang w:val="es-ES" w:eastAsia="en-US" w:bidi="ar-SA"/>
      </w:rPr>
    </w:lvl>
    <w:lvl w:ilvl="2" w:tplc="7BFA839E">
      <w:numFmt w:val="bullet"/>
      <w:lvlText w:val="•"/>
      <w:lvlJc w:val="left"/>
      <w:pPr>
        <w:ind w:left="2544" w:hanging="360"/>
      </w:pPr>
      <w:rPr>
        <w:rFonts w:hint="default"/>
        <w:lang w:val="es-ES" w:eastAsia="en-US" w:bidi="ar-SA"/>
      </w:rPr>
    </w:lvl>
    <w:lvl w:ilvl="3" w:tplc="E1B0AA0E">
      <w:numFmt w:val="bullet"/>
      <w:lvlText w:val="•"/>
      <w:lvlJc w:val="left"/>
      <w:pPr>
        <w:ind w:left="3396" w:hanging="360"/>
      </w:pPr>
      <w:rPr>
        <w:rFonts w:hint="default"/>
        <w:lang w:val="es-ES" w:eastAsia="en-US" w:bidi="ar-SA"/>
      </w:rPr>
    </w:lvl>
    <w:lvl w:ilvl="4" w:tplc="8120450E">
      <w:numFmt w:val="bullet"/>
      <w:lvlText w:val="•"/>
      <w:lvlJc w:val="left"/>
      <w:pPr>
        <w:ind w:left="4248" w:hanging="360"/>
      </w:pPr>
      <w:rPr>
        <w:rFonts w:hint="default"/>
        <w:lang w:val="es-ES" w:eastAsia="en-US" w:bidi="ar-SA"/>
      </w:rPr>
    </w:lvl>
    <w:lvl w:ilvl="5" w:tplc="99B8C60A">
      <w:numFmt w:val="bullet"/>
      <w:lvlText w:val="•"/>
      <w:lvlJc w:val="left"/>
      <w:pPr>
        <w:ind w:left="5100" w:hanging="360"/>
      </w:pPr>
      <w:rPr>
        <w:rFonts w:hint="default"/>
        <w:lang w:val="es-ES" w:eastAsia="en-US" w:bidi="ar-SA"/>
      </w:rPr>
    </w:lvl>
    <w:lvl w:ilvl="6" w:tplc="06D43090">
      <w:numFmt w:val="bullet"/>
      <w:lvlText w:val="•"/>
      <w:lvlJc w:val="left"/>
      <w:pPr>
        <w:ind w:left="5952" w:hanging="360"/>
      </w:pPr>
      <w:rPr>
        <w:rFonts w:hint="default"/>
        <w:lang w:val="es-ES" w:eastAsia="en-US" w:bidi="ar-SA"/>
      </w:rPr>
    </w:lvl>
    <w:lvl w:ilvl="7" w:tplc="810C1AF2">
      <w:numFmt w:val="bullet"/>
      <w:lvlText w:val="•"/>
      <w:lvlJc w:val="left"/>
      <w:pPr>
        <w:ind w:left="6804" w:hanging="360"/>
      </w:pPr>
      <w:rPr>
        <w:rFonts w:hint="default"/>
        <w:lang w:val="es-ES" w:eastAsia="en-US" w:bidi="ar-SA"/>
      </w:rPr>
    </w:lvl>
    <w:lvl w:ilvl="8" w:tplc="031CB80A">
      <w:numFmt w:val="bullet"/>
      <w:lvlText w:val="•"/>
      <w:lvlJc w:val="left"/>
      <w:pPr>
        <w:ind w:left="7656" w:hanging="360"/>
      </w:pPr>
      <w:rPr>
        <w:rFonts w:hint="default"/>
        <w:lang w:val="es-ES" w:eastAsia="en-US" w:bidi="ar-SA"/>
      </w:rPr>
    </w:lvl>
  </w:abstractNum>
  <w:abstractNum w:abstractNumId="45" w15:restartNumberingAfterBreak="0">
    <w:nsid w:val="7CEF3566"/>
    <w:multiLevelType w:val="hybridMultilevel"/>
    <w:tmpl w:val="B6EA9CFA"/>
    <w:lvl w:ilvl="0" w:tplc="B4E8D748">
      <w:start w:val="1"/>
      <w:numFmt w:val="upperRoman"/>
      <w:lvlText w:val="%1."/>
      <w:lvlJc w:val="left"/>
      <w:pPr>
        <w:ind w:left="521" w:hanging="185"/>
      </w:pPr>
      <w:rPr>
        <w:rFonts w:ascii="Times New Roman" w:eastAsia="Arial" w:hAnsi="Times New Roman" w:cs="Times New Roman" w:hint="default"/>
        <w:b/>
        <w:bCs/>
        <w:i w:val="0"/>
        <w:iCs w:val="0"/>
        <w:spacing w:val="0"/>
        <w:w w:val="100"/>
        <w:sz w:val="24"/>
        <w:szCs w:val="24"/>
        <w:lang w:val="es-ES" w:eastAsia="en-US" w:bidi="ar-SA"/>
      </w:rPr>
    </w:lvl>
    <w:lvl w:ilvl="1" w:tplc="BE4600C2">
      <w:numFmt w:val="bullet"/>
      <w:lvlText w:val="•"/>
      <w:lvlJc w:val="left"/>
      <w:pPr>
        <w:ind w:left="1476" w:hanging="185"/>
      </w:pPr>
      <w:rPr>
        <w:rFonts w:hint="default"/>
        <w:lang w:val="es-ES" w:eastAsia="en-US" w:bidi="ar-SA"/>
      </w:rPr>
    </w:lvl>
    <w:lvl w:ilvl="2" w:tplc="88D49E0C">
      <w:numFmt w:val="bullet"/>
      <w:lvlText w:val="•"/>
      <w:lvlJc w:val="left"/>
      <w:pPr>
        <w:ind w:left="2432" w:hanging="185"/>
      </w:pPr>
      <w:rPr>
        <w:rFonts w:hint="default"/>
        <w:lang w:val="es-ES" w:eastAsia="en-US" w:bidi="ar-SA"/>
      </w:rPr>
    </w:lvl>
    <w:lvl w:ilvl="3" w:tplc="A7E0D6F4">
      <w:numFmt w:val="bullet"/>
      <w:lvlText w:val="•"/>
      <w:lvlJc w:val="left"/>
      <w:pPr>
        <w:ind w:left="3388" w:hanging="185"/>
      </w:pPr>
      <w:rPr>
        <w:rFonts w:hint="default"/>
        <w:lang w:val="es-ES" w:eastAsia="en-US" w:bidi="ar-SA"/>
      </w:rPr>
    </w:lvl>
    <w:lvl w:ilvl="4" w:tplc="EA46197E">
      <w:numFmt w:val="bullet"/>
      <w:lvlText w:val="•"/>
      <w:lvlJc w:val="left"/>
      <w:pPr>
        <w:ind w:left="4344" w:hanging="185"/>
      </w:pPr>
      <w:rPr>
        <w:rFonts w:hint="default"/>
        <w:lang w:val="es-ES" w:eastAsia="en-US" w:bidi="ar-SA"/>
      </w:rPr>
    </w:lvl>
    <w:lvl w:ilvl="5" w:tplc="761A618E">
      <w:numFmt w:val="bullet"/>
      <w:lvlText w:val="•"/>
      <w:lvlJc w:val="left"/>
      <w:pPr>
        <w:ind w:left="5300" w:hanging="185"/>
      </w:pPr>
      <w:rPr>
        <w:rFonts w:hint="default"/>
        <w:lang w:val="es-ES" w:eastAsia="en-US" w:bidi="ar-SA"/>
      </w:rPr>
    </w:lvl>
    <w:lvl w:ilvl="6" w:tplc="E280D816">
      <w:numFmt w:val="bullet"/>
      <w:lvlText w:val="•"/>
      <w:lvlJc w:val="left"/>
      <w:pPr>
        <w:ind w:left="6256" w:hanging="185"/>
      </w:pPr>
      <w:rPr>
        <w:rFonts w:hint="default"/>
        <w:lang w:val="es-ES" w:eastAsia="en-US" w:bidi="ar-SA"/>
      </w:rPr>
    </w:lvl>
    <w:lvl w:ilvl="7" w:tplc="7ACC43CE">
      <w:numFmt w:val="bullet"/>
      <w:lvlText w:val="•"/>
      <w:lvlJc w:val="left"/>
      <w:pPr>
        <w:ind w:left="7212" w:hanging="185"/>
      </w:pPr>
      <w:rPr>
        <w:rFonts w:hint="default"/>
        <w:lang w:val="es-ES" w:eastAsia="en-US" w:bidi="ar-SA"/>
      </w:rPr>
    </w:lvl>
    <w:lvl w:ilvl="8" w:tplc="C2AA9A12">
      <w:numFmt w:val="bullet"/>
      <w:lvlText w:val="•"/>
      <w:lvlJc w:val="left"/>
      <w:pPr>
        <w:ind w:left="8168" w:hanging="185"/>
      </w:pPr>
      <w:rPr>
        <w:rFonts w:hint="default"/>
        <w:lang w:val="es-ES" w:eastAsia="en-US" w:bidi="ar-SA"/>
      </w:rPr>
    </w:lvl>
  </w:abstractNum>
  <w:abstractNum w:abstractNumId="46" w15:restartNumberingAfterBreak="0">
    <w:nsid w:val="7DA92246"/>
    <w:multiLevelType w:val="multilevel"/>
    <w:tmpl w:val="B2B8DCB4"/>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7FAC431C"/>
    <w:multiLevelType w:val="hybridMultilevel"/>
    <w:tmpl w:val="99E8CDA4"/>
    <w:lvl w:ilvl="0" w:tplc="B672D6FA">
      <w:start w:val="1"/>
      <w:numFmt w:val="upperRoman"/>
      <w:lvlText w:val="%1."/>
      <w:lvlJc w:val="left"/>
      <w:pPr>
        <w:ind w:left="1017" w:hanging="167"/>
      </w:pPr>
      <w:rPr>
        <w:rFonts w:ascii="Arial" w:eastAsia="Arial" w:hAnsi="Arial" w:cs="Arial" w:hint="default"/>
        <w:b/>
        <w:bCs/>
        <w:i/>
        <w:iCs/>
        <w:spacing w:val="-1"/>
        <w:w w:val="100"/>
        <w:sz w:val="20"/>
        <w:szCs w:val="20"/>
        <w:lang w:val="es-ES" w:eastAsia="en-US" w:bidi="ar-SA"/>
      </w:rPr>
    </w:lvl>
    <w:lvl w:ilvl="1" w:tplc="D2A0C5C2">
      <w:numFmt w:val="bullet"/>
      <w:lvlText w:val="•"/>
      <w:lvlJc w:val="left"/>
      <w:pPr>
        <w:ind w:left="1890" w:hanging="167"/>
      </w:pPr>
      <w:rPr>
        <w:rFonts w:hint="default"/>
        <w:lang w:val="es-ES" w:eastAsia="en-US" w:bidi="ar-SA"/>
      </w:rPr>
    </w:lvl>
    <w:lvl w:ilvl="2" w:tplc="171E3AA2">
      <w:numFmt w:val="bullet"/>
      <w:lvlText w:val="•"/>
      <w:lvlJc w:val="left"/>
      <w:pPr>
        <w:ind w:left="2760" w:hanging="167"/>
      </w:pPr>
      <w:rPr>
        <w:rFonts w:hint="default"/>
        <w:lang w:val="es-ES" w:eastAsia="en-US" w:bidi="ar-SA"/>
      </w:rPr>
    </w:lvl>
    <w:lvl w:ilvl="3" w:tplc="D13456CA">
      <w:numFmt w:val="bullet"/>
      <w:lvlText w:val="•"/>
      <w:lvlJc w:val="left"/>
      <w:pPr>
        <w:ind w:left="3630" w:hanging="167"/>
      </w:pPr>
      <w:rPr>
        <w:rFonts w:hint="default"/>
        <w:lang w:val="es-ES" w:eastAsia="en-US" w:bidi="ar-SA"/>
      </w:rPr>
    </w:lvl>
    <w:lvl w:ilvl="4" w:tplc="DB3E642E">
      <w:numFmt w:val="bullet"/>
      <w:lvlText w:val="•"/>
      <w:lvlJc w:val="left"/>
      <w:pPr>
        <w:ind w:left="4500" w:hanging="167"/>
      </w:pPr>
      <w:rPr>
        <w:rFonts w:hint="default"/>
        <w:lang w:val="es-ES" w:eastAsia="en-US" w:bidi="ar-SA"/>
      </w:rPr>
    </w:lvl>
    <w:lvl w:ilvl="5" w:tplc="C02001EA">
      <w:numFmt w:val="bullet"/>
      <w:lvlText w:val="•"/>
      <w:lvlJc w:val="left"/>
      <w:pPr>
        <w:ind w:left="5370" w:hanging="167"/>
      </w:pPr>
      <w:rPr>
        <w:rFonts w:hint="default"/>
        <w:lang w:val="es-ES" w:eastAsia="en-US" w:bidi="ar-SA"/>
      </w:rPr>
    </w:lvl>
    <w:lvl w:ilvl="6" w:tplc="A4D89754">
      <w:numFmt w:val="bullet"/>
      <w:lvlText w:val="•"/>
      <w:lvlJc w:val="left"/>
      <w:pPr>
        <w:ind w:left="6240" w:hanging="167"/>
      </w:pPr>
      <w:rPr>
        <w:rFonts w:hint="default"/>
        <w:lang w:val="es-ES" w:eastAsia="en-US" w:bidi="ar-SA"/>
      </w:rPr>
    </w:lvl>
    <w:lvl w:ilvl="7" w:tplc="D7C42470">
      <w:numFmt w:val="bullet"/>
      <w:lvlText w:val="•"/>
      <w:lvlJc w:val="left"/>
      <w:pPr>
        <w:ind w:left="7110" w:hanging="167"/>
      </w:pPr>
      <w:rPr>
        <w:rFonts w:hint="default"/>
        <w:lang w:val="es-ES" w:eastAsia="en-US" w:bidi="ar-SA"/>
      </w:rPr>
    </w:lvl>
    <w:lvl w:ilvl="8" w:tplc="64941FA6">
      <w:numFmt w:val="bullet"/>
      <w:lvlText w:val="•"/>
      <w:lvlJc w:val="left"/>
      <w:pPr>
        <w:ind w:left="7980" w:hanging="167"/>
      </w:pPr>
      <w:rPr>
        <w:rFonts w:hint="default"/>
        <w:lang w:val="es-ES" w:eastAsia="en-US" w:bidi="ar-SA"/>
      </w:rPr>
    </w:lvl>
  </w:abstractNum>
  <w:num w:numId="1">
    <w:abstractNumId w:val="14"/>
  </w:num>
  <w:num w:numId="2">
    <w:abstractNumId w:val="2"/>
  </w:num>
  <w:num w:numId="3">
    <w:abstractNumId w:val="35"/>
  </w:num>
  <w:num w:numId="4">
    <w:abstractNumId w:val="25"/>
  </w:num>
  <w:num w:numId="5">
    <w:abstractNumId w:val="27"/>
  </w:num>
  <w:num w:numId="6">
    <w:abstractNumId w:val="20"/>
  </w:num>
  <w:num w:numId="7">
    <w:abstractNumId w:val="5"/>
  </w:num>
  <w:num w:numId="8">
    <w:abstractNumId w:val="8"/>
  </w:num>
  <w:num w:numId="9">
    <w:abstractNumId w:val="18"/>
  </w:num>
  <w:num w:numId="10">
    <w:abstractNumId w:val="3"/>
  </w:num>
  <w:num w:numId="11">
    <w:abstractNumId w:val="44"/>
  </w:num>
  <w:num w:numId="12">
    <w:abstractNumId w:val="15"/>
  </w:num>
  <w:num w:numId="13">
    <w:abstractNumId w:val="6"/>
  </w:num>
  <w:num w:numId="14">
    <w:abstractNumId w:val="33"/>
  </w:num>
  <w:num w:numId="15">
    <w:abstractNumId w:val="26"/>
  </w:num>
  <w:num w:numId="16">
    <w:abstractNumId w:val="10"/>
  </w:num>
  <w:num w:numId="17">
    <w:abstractNumId w:val="0"/>
  </w:num>
  <w:num w:numId="18">
    <w:abstractNumId w:val="46"/>
  </w:num>
  <w:num w:numId="19">
    <w:abstractNumId w:val="7"/>
  </w:num>
  <w:num w:numId="20">
    <w:abstractNumId w:val="9"/>
  </w:num>
  <w:num w:numId="21">
    <w:abstractNumId w:val="24"/>
  </w:num>
  <w:num w:numId="22">
    <w:abstractNumId w:val="28"/>
  </w:num>
  <w:num w:numId="23">
    <w:abstractNumId w:val="29"/>
  </w:num>
  <w:num w:numId="24">
    <w:abstractNumId w:val="17"/>
  </w:num>
  <w:num w:numId="25">
    <w:abstractNumId w:val="22"/>
  </w:num>
  <w:num w:numId="26">
    <w:abstractNumId w:val="1"/>
  </w:num>
  <w:num w:numId="27">
    <w:abstractNumId w:val="41"/>
  </w:num>
  <w:num w:numId="28">
    <w:abstractNumId w:val="16"/>
  </w:num>
  <w:num w:numId="29">
    <w:abstractNumId w:val="38"/>
  </w:num>
  <w:num w:numId="30">
    <w:abstractNumId w:val="40"/>
  </w:num>
  <w:num w:numId="31">
    <w:abstractNumId w:val="47"/>
  </w:num>
  <w:num w:numId="32">
    <w:abstractNumId w:val="30"/>
  </w:num>
  <w:num w:numId="33">
    <w:abstractNumId w:val="32"/>
  </w:num>
  <w:num w:numId="34">
    <w:abstractNumId w:val="43"/>
  </w:num>
  <w:num w:numId="35">
    <w:abstractNumId w:val="37"/>
  </w:num>
  <w:num w:numId="36">
    <w:abstractNumId w:val="31"/>
  </w:num>
  <w:num w:numId="37">
    <w:abstractNumId w:val="34"/>
  </w:num>
  <w:num w:numId="38">
    <w:abstractNumId w:val="39"/>
  </w:num>
  <w:num w:numId="39">
    <w:abstractNumId w:val="11"/>
  </w:num>
  <w:num w:numId="40">
    <w:abstractNumId w:val="36"/>
  </w:num>
  <w:num w:numId="41">
    <w:abstractNumId w:val="19"/>
  </w:num>
  <w:num w:numId="42">
    <w:abstractNumId w:val="12"/>
  </w:num>
  <w:num w:numId="43">
    <w:abstractNumId w:val="45"/>
  </w:num>
  <w:num w:numId="44">
    <w:abstractNumId w:val="21"/>
  </w:num>
  <w:num w:numId="45">
    <w:abstractNumId w:val="42"/>
  </w:num>
  <w:num w:numId="46">
    <w:abstractNumId w:val="13"/>
  </w:num>
  <w:num w:numId="47">
    <w:abstractNumId w:val="4"/>
  </w:num>
  <w:num w:numId="48">
    <w:abstractNumId w:val="2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822"/>
    <w:rsid w:val="000062C1"/>
    <w:rsid w:val="00017D8C"/>
    <w:rsid w:val="0002039C"/>
    <w:rsid w:val="00020F9D"/>
    <w:rsid w:val="00026044"/>
    <w:rsid w:val="00027A27"/>
    <w:rsid w:val="0003368F"/>
    <w:rsid w:val="00037898"/>
    <w:rsid w:val="00040F5D"/>
    <w:rsid w:val="00055332"/>
    <w:rsid w:val="000562F5"/>
    <w:rsid w:val="00065062"/>
    <w:rsid w:val="0007056F"/>
    <w:rsid w:val="00072256"/>
    <w:rsid w:val="000746F2"/>
    <w:rsid w:val="00081BD4"/>
    <w:rsid w:val="000850F2"/>
    <w:rsid w:val="00086820"/>
    <w:rsid w:val="00087D16"/>
    <w:rsid w:val="00091DF5"/>
    <w:rsid w:val="000A3371"/>
    <w:rsid w:val="000A5417"/>
    <w:rsid w:val="000B60A6"/>
    <w:rsid w:val="000C2244"/>
    <w:rsid w:val="000C3C01"/>
    <w:rsid w:val="000D6030"/>
    <w:rsid w:val="000D7935"/>
    <w:rsid w:val="000E27D3"/>
    <w:rsid w:val="000E3EB0"/>
    <w:rsid w:val="000E4A88"/>
    <w:rsid w:val="000F610F"/>
    <w:rsid w:val="00102A5B"/>
    <w:rsid w:val="00105B64"/>
    <w:rsid w:val="001105DF"/>
    <w:rsid w:val="00116883"/>
    <w:rsid w:val="00117DD9"/>
    <w:rsid w:val="0012453E"/>
    <w:rsid w:val="0012579C"/>
    <w:rsid w:val="0012597A"/>
    <w:rsid w:val="00132FF2"/>
    <w:rsid w:val="00133DF3"/>
    <w:rsid w:val="0013776F"/>
    <w:rsid w:val="00146650"/>
    <w:rsid w:val="00154F63"/>
    <w:rsid w:val="001611A4"/>
    <w:rsid w:val="00161A2E"/>
    <w:rsid w:val="001754DB"/>
    <w:rsid w:val="00176697"/>
    <w:rsid w:val="001824FF"/>
    <w:rsid w:val="001854F1"/>
    <w:rsid w:val="0018734A"/>
    <w:rsid w:val="0019259C"/>
    <w:rsid w:val="001A3A8B"/>
    <w:rsid w:val="001A5CAD"/>
    <w:rsid w:val="001B29B3"/>
    <w:rsid w:val="001D2287"/>
    <w:rsid w:val="001D479B"/>
    <w:rsid w:val="001E577C"/>
    <w:rsid w:val="001F1F87"/>
    <w:rsid w:val="001F5F13"/>
    <w:rsid w:val="001F7591"/>
    <w:rsid w:val="00201AF8"/>
    <w:rsid w:val="002057E2"/>
    <w:rsid w:val="00212504"/>
    <w:rsid w:val="00215284"/>
    <w:rsid w:val="00221CE2"/>
    <w:rsid w:val="002339A0"/>
    <w:rsid w:val="00247EAC"/>
    <w:rsid w:val="00250B5E"/>
    <w:rsid w:val="00255A17"/>
    <w:rsid w:val="002570A5"/>
    <w:rsid w:val="0026207E"/>
    <w:rsid w:val="00272A27"/>
    <w:rsid w:val="00273584"/>
    <w:rsid w:val="002771C4"/>
    <w:rsid w:val="0028520F"/>
    <w:rsid w:val="00294AA7"/>
    <w:rsid w:val="00295385"/>
    <w:rsid w:val="00295AF7"/>
    <w:rsid w:val="002A1626"/>
    <w:rsid w:val="002B323A"/>
    <w:rsid w:val="002B4F2C"/>
    <w:rsid w:val="002C1293"/>
    <w:rsid w:val="002C2309"/>
    <w:rsid w:val="002D2D01"/>
    <w:rsid w:val="002D7E06"/>
    <w:rsid w:val="002F6E17"/>
    <w:rsid w:val="003003A0"/>
    <w:rsid w:val="00301339"/>
    <w:rsid w:val="00304376"/>
    <w:rsid w:val="003317A5"/>
    <w:rsid w:val="00332898"/>
    <w:rsid w:val="00341D4F"/>
    <w:rsid w:val="00342202"/>
    <w:rsid w:val="00344ABF"/>
    <w:rsid w:val="00346494"/>
    <w:rsid w:val="00347989"/>
    <w:rsid w:val="003745FD"/>
    <w:rsid w:val="0037479D"/>
    <w:rsid w:val="003854CA"/>
    <w:rsid w:val="00385F23"/>
    <w:rsid w:val="00397C1F"/>
    <w:rsid w:val="003A71AB"/>
    <w:rsid w:val="003A7B4C"/>
    <w:rsid w:val="003B2510"/>
    <w:rsid w:val="003C1224"/>
    <w:rsid w:val="003F1220"/>
    <w:rsid w:val="003F2F4C"/>
    <w:rsid w:val="003F4223"/>
    <w:rsid w:val="003F5C79"/>
    <w:rsid w:val="00405E0A"/>
    <w:rsid w:val="00405F10"/>
    <w:rsid w:val="00412BF7"/>
    <w:rsid w:val="00430929"/>
    <w:rsid w:val="00433653"/>
    <w:rsid w:val="00434807"/>
    <w:rsid w:val="004371A9"/>
    <w:rsid w:val="0043721C"/>
    <w:rsid w:val="004429CA"/>
    <w:rsid w:val="00451110"/>
    <w:rsid w:val="004520A8"/>
    <w:rsid w:val="0045564A"/>
    <w:rsid w:val="0045611D"/>
    <w:rsid w:val="00457A7C"/>
    <w:rsid w:val="004626D6"/>
    <w:rsid w:val="00464389"/>
    <w:rsid w:val="0046672E"/>
    <w:rsid w:val="004703A1"/>
    <w:rsid w:val="004757FA"/>
    <w:rsid w:val="00477464"/>
    <w:rsid w:val="00480CFE"/>
    <w:rsid w:val="004858E5"/>
    <w:rsid w:val="0048794A"/>
    <w:rsid w:val="004A0CC4"/>
    <w:rsid w:val="004A4EF8"/>
    <w:rsid w:val="004A5250"/>
    <w:rsid w:val="004A7217"/>
    <w:rsid w:val="004B08E8"/>
    <w:rsid w:val="004B1BD8"/>
    <w:rsid w:val="004B3905"/>
    <w:rsid w:val="004B39D3"/>
    <w:rsid w:val="004C1841"/>
    <w:rsid w:val="004C1BEA"/>
    <w:rsid w:val="004C5117"/>
    <w:rsid w:val="004D08C7"/>
    <w:rsid w:val="004E2D30"/>
    <w:rsid w:val="004E30D9"/>
    <w:rsid w:val="004E41E9"/>
    <w:rsid w:val="004F3D6F"/>
    <w:rsid w:val="005064B6"/>
    <w:rsid w:val="00516EB6"/>
    <w:rsid w:val="005175FD"/>
    <w:rsid w:val="00520EAF"/>
    <w:rsid w:val="00525246"/>
    <w:rsid w:val="00542011"/>
    <w:rsid w:val="00550A39"/>
    <w:rsid w:val="00554C49"/>
    <w:rsid w:val="0056027A"/>
    <w:rsid w:val="00567C5E"/>
    <w:rsid w:val="00581E67"/>
    <w:rsid w:val="005864DB"/>
    <w:rsid w:val="005879CD"/>
    <w:rsid w:val="00597CA1"/>
    <w:rsid w:val="005A47B1"/>
    <w:rsid w:val="005A641B"/>
    <w:rsid w:val="005A7F2D"/>
    <w:rsid w:val="005B4071"/>
    <w:rsid w:val="005B7614"/>
    <w:rsid w:val="005D2B30"/>
    <w:rsid w:val="005D544D"/>
    <w:rsid w:val="005F226E"/>
    <w:rsid w:val="00647413"/>
    <w:rsid w:val="00657CB1"/>
    <w:rsid w:val="00673069"/>
    <w:rsid w:val="006836F2"/>
    <w:rsid w:val="006907F3"/>
    <w:rsid w:val="006929A8"/>
    <w:rsid w:val="00697F9C"/>
    <w:rsid w:val="006A2810"/>
    <w:rsid w:val="006B2E7C"/>
    <w:rsid w:val="006B3A7E"/>
    <w:rsid w:val="006B49A0"/>
    <w:rsid w:val="006B49DD"/>
    <w:rsid w:val="006B674B"/>
    <w:rsid w:val="006D5B89"/>
    <w:rsid w:val="006E35FB"/>
    <w:rsid w:val="006E4F8A"/>
    <w:rsid w:val="0070733E"/>
    <w:rsid w:val="007106B8"/>
    <w:rsid w:val="007108B6"/>
    <w:rsid w:val="00710EC7"/>
    <w:rsid w:val="00720659"/>
    <w:rsid w:val="00721B67"/>
    <w:rsid w:val="007223D9"/>
    <w:rsid w:val="007251EC"/>
    <w:rsid w:val="00732F53"/>
    <w:rsid w:val="00733672"/>
    <w:rsid w:val="00733911"/>
    <w:rsid w:val="007365CE"/>
    <w:rsid w:val="00740E34"/>
    <w:rsid w:val="00741E1E"/>
    <w:rsid w:val="0075478A"/>
    <w:rsid w:val="00755D13"/>
    <w:rsid w:val="007627F9"/>
    <w:rsid w:val="00765B60"/>
    <w:rsid w:val="00776D5C"/>
    <w:rsid w:val="007907A6"/>
    <w:rsid w:val="00791E2D"/>
    <w:rsid w:val="00792A1F"/>
    <w:rsid w:val="007A0303"/>
    <w:rsid w:val="007A7E76"/>
    <w:rsid w:val="007B30B3"/>
    <w:rsid w:val="007C105C"/>
    <w:rsid w:val="007C3C78"/>
    <w:rsid w:val="007D2F80"/>
    <w:rsid w:val="007E46D4"/>
    <w:rsid w:val="007E7066"/>
    <w:rsid w:val="007F0C07"/>
    <w:rsid w:val="007F283E"/>
    <w:rsid w:val="007F6E25"/>
    <w:rsid w:val="0080625C"/>
    <w:rsid w:val="00813E50"/>
    <w:rsid w:val="00817432"/>
    <w:rsid w:val="008232DF"/>
    <w:rsid w:val="00825039"/>
    <w:rsid w:val="00850430"/>
    <w:rsid w:val="0085084C"/>
    <w:rsid w:val="00853093"/>
    <w:rsid w:val="00861363"/>
    <w:rsid w:val="008637DB"/>
    <w:rsid w:val="00870760"/>
    <w:rsid w:val="008712A8"/>
    <w:rsid w:val="00871E0D"/>
    <w:rsid w:val="00877A10"/>
    <w:rsid w:val="00881005"/>
    <w:rsid w:val="00883467"/>
    <w:rsid w:val="00887245"/>
    <w:rsid w:val="008A11F4"/>
    <w:rsid w:val="008A58BB"/>
    <w:rsid w:val="008B03E1"/>
    <w:rsid w:val="008C37ED"/>
    <w:rsid w:val="008C74E0"/>
    <w:rsid w:val="008E2F16"/>
    <w:rsid w:val="008F06D5"/>
    <w:rsid w:val="008F0DC7"/>
    <w:rsid w:val="008F16B7"/>
    <w:rsid w:val="008F5D5B"/>
    <w:rsid w:val="00910D56"/>
    <w:rsid w:val="00912658"/>
    <w:rsid w:val="00912E20"/>
    <w:rsid w:val="00915E74"/>
    <w:rsid w:val="00916876"/>
    <w:rsid w:val="009324C2"/>
    <w:rsid w:val="00935D29"/>
    <w:rsid w:val="00937D0F"/>
    <w:rsid w:val="00944633"/>
    <w:rsid w:val="00953981"/>
    <w:rsid w:val="0096157E"/>
    <w:rsid w:val="009616B4"/>
    <w:rsid w:val="009629E1"/>
    <w:rsid w:val="009645B6"/>
    <w:rsid w:val="00966E5D"/>
    <w:rsid w:val="0097115F"/>
    <w:rsid w:val="00976895"/>
    <w:rsid w:val="00985E10"/>
    <w:rsid w:val="00997954"/>
    <w:rsid w:val="009A572E"/>
    <w:rsid w:val="009B2232"/>
    <w:rsid w:val="009C7090"/>
    <w:rsid w:val="009D6128"/>
    <w:rsid w:val="009E3DA7"/>
    <w:rsid w:val="009F0F26"/>
    <w:rsid w:val="00A00DF9"/>
    <w:rsid w:val="00A039EC"/>
    <w:rsid w:val="00A0549E"/>
    <w:rsid w:val="00A209DE"/>
    <w:rsid w:val="00A26739"/>
    <w:rsid w:val="00A30DBD"/>
    <w:rsid w:val="00A3500F"/>
    <w:rsid w:val="00A37772"/>
    <w:rsid w:val="00A37E97"/>
    <w:rsid w:val="00A42BAF"/>
    <w:rsid w:val="00A52A01"/>
    <w:rsid w:val="00A57B9D"/>
    <w:rsid w:val="00A72735"/>
    <w:rsid w:val="00A84B7F"/>
    <w:rsid w:val="00AA0AAC"/>
    <w:rsid w:val="00AA7227"/>
    <w:rsid w:val="00AC2B9C"/>
    <w:rsid w:val="00AC5E47"/>
    <w:rsid w:val="00AD446B"/>
    <w:rsid w:val="00AD469A"/>
    <w:rsid w:val="00AD5D06"/>
    <w:rsid w:val="00AE3080"/>
    <w:rsid w:val="00AF0D65"/>
    <w:rsid w:val="00B0048A"/>
    <w:rsid w:val="00B1066C"/>
    <w:rsid w:val="00B161CB"/>
    <w:rsid w:val="00B31CE9"/>
    <w:rsid w:val="00B32505"/>
    <w:rsid w:val="00B333B9"/>
    <w:rsid w:val="00B34DDB"/>
    <w:rsid w:val="00B4039B"/>
    <w:rsid w:val="00B41D90"/>
    <w:rsid w:val="00B45211"/>
    <w:rsid w:val="00B45F0F"/>
    <w:rsid w:val="00B5179E"/>
    <w:rsid w:val="00B53F8D"/>
    <w:rsid w:val="00B702C0"/>
    <w:rsid w:val="00B7165D"/>
    <w:rsid w:val="00B829DD"/>
    <w:rsid w:val="00B904E1"/>
    <w:rsid w:val="00B91376"/>
    <w:rsid w:val="00B9688A"/>
    <w:rsid w:val="00BA0602"/>
    <w:rsid w:val="00BA2607"/>
    <w:rsid w:val="00BA4C6F"/>
    <w:rsid w:val="00BB0253"/>
    <w:rsid w:val="00BB1E44"/>
    <w:rsid w:val="00BB51A3"/>
    <w:rsid w:val="00BC76AF"/>
    <w:rsid w:val="00BD1489"/>
    <w:rsid w:val="00BD1949"/>
    <w:rsid w:val="00BD2B8B"/>
    <w:rsid w:val="00BD5B98"/>
    <w:rsid w:val="00BF3F81"/>
    <w:rsid w:val="00BF4BC8"/>
    <w:rsid w:val="00C17AA5"/>
    <w:rsid w:val="00C20F46"/>
    <w:rsid w:val="00C2559E"/>
    <w:rsid w:val="00C665BB"/>
    <w:rsid w:val="00C66D68"/>
    <w:rsid w:val="00C7476F"/>
    <w:rsid w:val="00C75D53"/>
    <w:rsid w:val="00C7605A"/>
    <w:rsid w:val="00C83675"/>
    <w:rsid w:val="00C850B7"/>
    <w:rsid w:val="00C86E6B"/>
    <w:rsid w:val="00C943F6"/>
    <w:rsid w:val="00C96B15"/>
    <w:rsid w:val="00C976F9"/>
    <w:rsid w:val="00CA0B72"/>
    <w:rsid w:val="00CA76AD"/>
    <w:rsid w:val="00CB1E0A"/>
    <w:rsid w:val="00CC4D1D"/>
    <w:rsid w:val="00CD0E2F"/>
    <w:rsid w:val="00CD2C9D"/>
    <w:rsid w:val="00CD39F5"/>
    <w:rsid w:val="00CD6A78"/>
    <w:rsid w:val="00CD6B05"/>
    <w:rsid w:val="00CE47B1"/>
    <w:rsid w:val="00CE655F"/>
    <w:rsid w:val="00CF0F52"/>
    <w:rsid w:val="00CF1CEA"/>
    <w:rsid w:val="00D06D65"/>
    <w:rsid w:val="00D07075"/>
    <w:rsid w:val="00D072B2"/>
    <w:rsid w:val="00D07C19"/>
    <w:rsid w:val="00D10120"/>
    <w:rsid w:val="00D12358"/>
    <w:rsid w:val="00D1447C"/>
    <w:rsid w:val="00D20EBA"/>
    <w:rsid w:val="00D4064D"/>
    <w:rsid w:val="00D43A85"/>
    <w:rsid w:val="00D47844"/>
    <w:rsid w:val="00D52137"/>
    <w:rsid w:val="00D5532D"/>
    <w:rsid w:val="00D60116"/>
    <w:rsid w:val="00D7162C"/>
    <w:rsid w:val="00D73F3C"/>
    <w:rsid w:val="00D7543D"/>
    <w:rsid w:val="00D84918"/>
    <w:rsid w:val="00D906D3"/>
    <w:rsid w:val="00D9083E"/>
    <w:rsid w:val="00D909F2"/>
    <w:rsid w:val="00DA3665"/>
    <w:rsid w:val="00DB53AA"/>
    <w:rsid w:val="00DD75F8"/>
    <w:rsid w:val="00DE39CA"/>
    <w:rsid w:val="00E01273"/>
    <w:rsid w:val="00E01A62"/>
    <w:rsid w:val="00E05950"/>
    <w:rsid w:val="00E16545"/>
    <w:rsid w:val="00E264E4"/>
    <w:rsid w:val="00E26DD2"/>
    <w:rsid w:val="00E3524D"/>
    <w:rsid w:val="00E35A53"/>
    <w:rsid w:val="00E36381"/>
    <w:rsid w:val="00E42132"/>
    <w:rsid w:val="00E45EB9"/>
    <w:rsid w:val="00E679A7"/>
    <w:rsid w:val="00E82DC1"/>
    <w:rsid w:val="00E83F95"/>
    <w:rsid w:val="00E84244"/>
    <w:rsid w:val="00E9427A"/>
    <w:rsid w:val="00E944E3"/>
    <w:rsid w:val="00E94A5F"/>
    <w:rsid w:val="00EB169A"/>
    <w:rsid w:val="00EC554C"/>
    <w:rsid w:val="00EC6689"/>
    <w:rsid w:val="00EE01CF"/>
    <w:rsid w:val="00EE7E63"/>
    <w:rsid w:val="00EF1C7F"/>
    <w:rsid w:val="00EF1EC9"/>
    <w:rsid w:val="00EF6AC6"/>
    <w:rsid w:val="00EF6E9E"/>
    <w:rsid w:val="00F1023A"/>
    <w:rsid w:val="00F20A45"/>
    <w:rsid w:val="00F24A80"/>
    <w:rsid w:val="00F30CB6"/>
    <w:rsid w:val="00F320DD"/>
    <w:rsid w:val="00F35F71"/>
    <w:rsid w:val="00F4181A"/>
    <w:rsid w:val="00F428DE"/>
    <w:rsid w:val="00F44758"/>
    <w:rsid w:val="00F44DC4"/>
    <w:rsid w:val="00F520D5"/>
    <w:rsid w:val="00F545C8"/>
    <w:rsid w:val="00F70BB9"/>
    <w:rsid w:val="00F71897"/>
    <w:rsid w:val="00F80676"/>
    <w:rsid w:val="00F85E06"/>
    <w:rsid w:val="00F909FA"/>
    <w:rsid w:val="00F94238"/>
    <w:rsid w:val="00F9561D"/>
    <w:rsid w:val="00FA154B"/>
    <w:rsid w:val="00FA52DD"/>
    <w:rsid w:val="00FB015E"/>
    <w:rsid w:val="00FC0165"/>
    <w:rsid w:val="00FC09E8"/>
    <w:rsid w:val="00FC45CA"/>
    <w:rsid w:val="00FC47FF"/>
    <w:rsid w:val="00FC5907"/>
    <w:rsid w:val="00FD7960"/>
    <w:rsid w:val="00FF49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6C1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250B5E"/>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250B5E"/>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250B5E"/>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250B5E"/>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250B5E"/>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250B5E"/>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250B5E"/>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250B5E"/>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250B5E"/>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397C1F"/>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720659"/>
  </w:style>
  <w:style w:type="paragraph" w:customStyle="1" w:styleId="Default">
    <w:name w:val="Default"/>
    <w:rsid w:val="00EC6689"/>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102A5B"/>
    <w:pPr>
      <w:ind w:left="720"/>
      <w:contextualSpacing/>
    </w:pPr>
  </w:style>
  <w:style w:type="table" w:styleId="Tablaconcuadrcula">
    <w:name w:val="Table Grid"/>
    <w:basedOn w:val="Tablanormal"/>
    <w:uiPriority w:val="39"/>
    <w:rsid w:val="00EB1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250B5E"/>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250B5E"/>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250B5E"/>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250B5E"/>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250B5E"/>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250B5E"/>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250B5E"/>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250B5E"/>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250B5E"/>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250B5E"/>
  </w:style>
  <w:style w:type="character" w:customStyle="1" w:styleId="Ttulo1Car">
    <w:name w:val="Título 1 Car"/>
    <w:basedOn w:val="Fuentedeprrafopredeter"/>
    <w:link w:val="Ttulo1"/>
    <w:uiPriority w:val="9"/>
    <w:rsid w:val="00250B5E"/>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250B5E"/>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250B5E"/>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250B5E"/>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250B5E"/>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250B5E"/>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250B5E"/>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250B5E"/>
    <w:rPr>
      <w:rFonts w:ascii="Cambria" w:eastAsia="Times New Roman" w:hAnsi="Cambria" w:cs="Times New Roman"/>
      <w:sz w:val="22"/>
      <w:szCs w:val="22"/>
    </w:rPr>
  </w:style>
  <w:style w:type="character" w:customStyle="1" w:styleId="Ttulo1Car1">
    <w:name w:val="Título 1 Car1"/>
    <w:basedOn w:val="Fuentedeprrafopredeter"/>
    <w:uiPriority w:val="9"/>
    <w:rsid w:val="00250B5E"/>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250B5E"/>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250B5E"/>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250B5E"/>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250B5E"/>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250B5E"/>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250B5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250B5E"/>
    <w:rPr>
      <w:rFonts w:asciiTheme="majorHAnsi" w:eastAsiaTheme="majorEastAsia" w:hAnsiTheme="majorHAnsi" w:cstheme="majorBidi"/>
      <w:i/>
      <w:iCs/>
      <w:color w:val="272727" w:themeColor="text1" w:themeTint="D8"/>
      <w:sz w:val="21"/>
      <w:szCs w:val="21"/>
    </w:rPr>
  </w:style>
  <w:style w:type="paragraph" w:styleId="Textoindependiente">
    <w:name w:val="Body Text"/>
    <w:basedOn w:val="Normal"/>
    <w:link w:val="TextoindependienteCar"/>
    <w:uiPriority w:val="1"/>
    <w:unhideWhenUsed/>
    <w:qFormat/>
    <w:rsid w:val="009D6128"/>
    <w:pPr>
      <w:spacing w:after="120"/>
    </w:pPr>
  </w:style>
  <w:style w:type="character" w:customStyle="1" w:styleId="TextoindependienteCar">
    <w:name w:val="Texto independiente Car"/>
    <w:basedOn w:val="Fuentedeprrafopredeter"/>
    <w:link w:val="Textoindependiente"/>
    <w:uiPriority w:val="1"/>
    <w:rsid w:val="009D6128"/>
  </w:style>
  <w:style w:type="table" w:customStyle="1" w:styleId="TableGrid">
    <w:name w:val="TableGrid"/>
    <w:rsid w:val="009D6128"/>
    <w:pPr>
      <w:spacing w:after="0" w:line="240" w:lineRule="auto"/>
    </w:pPr>
    <w:rPr>
      <w:rFonts w:eastAsia="Times New Roman"/>
      <w:lang w:eastAsia="es-MX"/>
    </w:rPr>
    <w:tblPr>
      <w:tblCellMar>
        <w:top w:w="0" w:type="dxa"/>
        <w:left w:w="0" w:type="dxa"/>
        <w:bottom w:w="0" w:type="dxa"/>
        <w:right w:w="0" w:type="dxa"/>
      </w:tblCellMar>
    </w:tblPr>
  </w:style>
  <w:style w:type="table" w:customStyle="1" w:styleId="TableNormal">
    <w:name w:val="Table Normal"/>
    <w:uiPriority w:val="2"/>
    <w:semiHidden/>
    <w:unhideWhenUsed/>
    <w:qFormat/>
    <w:rsid w:val="004556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FB0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325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30C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667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F1C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F3F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176697"/>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2">
    <w:name w:val="Tabla con cuadrícula2"/>
    <w:basedOn w:val="Tablanormal"/>
    <w:next w:val="Tablaconcuadrcula"/>
    <w:uiPriority w:val="39"/>
    <w:rsid w:val="00937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D544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7339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53F8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3F8D"/>
    <w:rPr>
      <w:sz w:val="20"/>
      <w:szCs w:val="20"/>
    </w:rPr>
  </w:style>
  <w:style w:type="character" w:styleId="Refdenotaalpie">
    <w:name w:val="footnote reference"/>
    <w:uiPriority w:val="99"/>
    <w:semiHidden/>
    <w:unhideWhenUsed/>
    <w:rsid w:val="00B53F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20131">
      <w:bodyDiv w:val="1"/>
      <w:marLeft w:val="0"/>
      <w:marRight w:val="0"/>
      <w:marTop w:val="0"/>
      <w:marBottom w:val="0"/>
      <w:divBdr>
        <w:top w:val="none" w:sz="0" w:space="0" w:color="auto"/>
        <w:left w:val="none" w:sz="0" w:space="0" w:color="auto"/>
        <w:bottom w:val="none" w:sz="0" w:space="0" w:color="auto"/>
        <w:right w:val="none" w:sz="0" w:space="0" w:color="auto"/>
      </w:divBdr>
    </w:div>
    <w:div w:id="78647493">
      <w:bodyDiv w:val="1"/>
      <w:marLeft w:val="0"/>
      <w:marRight w:val="0"/>
      <w:marTop w:val="0"/>
      <w:marBottom w:val="0"/>
      <w:divBdr>
        <w:top w:val="none" w:sz="0" w:space="0" w:color="auto"/>
        <w:left w:val="none" w:sz="0" w:space="0" w:color="auto"/>
        <w:bottom w:val="none" w:sz="0" w:space="0" w:color="auto"/>
        <w:right w:val="none" w:sz="0" w:space="0" w:color="auto"/>
      </w:divBdr>
    </w:div>
    <w:div w:id="187763673">
      <w:bodyDiv w:val="1"/>
      <w:marLeft w:val="0"/>
      <w:marRight w:val="0"/>
      <w:marTop w:val="0"/>
      <w:marBottom w:val="0"/>
      <w:divBdr>
        <w:top w:val="none" w:sz="0" w:space="0" w:color="auto"/>
        <w:left w:val="none" w:sz="0" w:space="0" w:color="auto"/>
        <w:bottom w:val="none" w:sz="0" w:space="0" w:color="auto"/>
        <w:right w:val="none" w:sz="0" w:space="0" w:color="auto"/>
      </w:divBdr>
    </w:div>
    <w:div w:id="203058556">
      <w:bodyDiv w:val="1"/>
      <w:marLeft w:val="0"/>
      <w:marRight w:val="0"/>
      <w:marTop w:val="0"/>
      <w:marBottom w:val="0"/>
      <w:divBdr>
        <w:top w:val="none" w:sz="0" w:space="0" w:color="auto"/>
        <w:left w:val="none" w:sz="0" w:space="0" w:color="auto"/>
        <w:bottom w:val="none" w:sz="0" w:space="0" w:color="auto"/>
        <w:right w:val="none" w:sz="0" w:space="0" w:color="auto"/>
      </w:divBdr>
    </w:div>
    <w:div w:id="213975207">
      <w:bodyDiv w:val="1"/>
      <w:marLeft w:val="0"/>
      <w:marRight w:val="0"/>
      <w:marTop w:val="0"/>
      <w:marBottom w:val="0"/>
      <w:divBdr>
        <w:top w:val="none" w:sz="0" w:space="0" w:color="auto"/>
        <w:left w:val="none" w:sz="0" w:space="0" w:color="auto"/>
        <w:bottom w:val="none" w:sz="0" w:space="0" w:color="auto"/>
        <w:right w:val="none" w:sz="0" w:space="0" w:color="auto"/>
      </w:divBdr>
    </w:div>
    <w:div w:id="246765247">
      <w:bodyDiv w:val="1"/>
      <w:marLeft w:val="0"/>
      <w:marRight w:val="0"/>
      <w:marTop w:val="0"/>
      <w:marBottom w:val="0"/>
      <w:divBdr>
        <w:top w:val="none" w:sz="0" w:space="0" w:color="auto"/>
        <w:left w:val="none" w:sz="0" w:space="0" w:color="auto"/>
        <w:bottom w:val="none" w:sz="0" w:space="0" w:color="auto"/>
        <w:right w:val="none" w:sz="0" w:space="0" w:color="auto"/>
      </w:divBdr>
    </w:div>
    <w:div w:id="24897242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6548475">
      <w:bodyDiv w:val="1"/>
      <w:marLeft w:val="0"/>
      <w:marRight w:val="0"/>
      <w:marTop w:val="0"/>
      <w:marBottom w:val="0"/>
      <w:divBdr>
        <w:top w:val="none" w:sz="0" w:space="0" w:color="auto"/>
        <w:left w:val="none" w:sz="0" w:space="0" w:color="auto"/>
        <w:bottom w:val="none" w:sz="0" w:space="0" w:color="auto"/>
        <w:right w:val="none" w:sz="0" w:space="0" w:color="auto"/>
      </w:divBdr>
    </w:div>
    <w:div w:id="287012282">
      <w:bodyDiv w:val="1"/>
      <w:marLeft w:val="0"/>
      <w:marRight w:val="0"/>
      <w:marTop w:val="0"/>
      <w:marBottom w:val="0"/>
      <w:divBdr>
        <w:top w:val="none" w:sz="0" w:space="0" w:color="auto"/>
        <w:left w:val="none" w:sz="0" w:space="0" w:color="auto"/>
        <w:bottom w:val="none" w:sz="0" w:space="0" w:color="auto"/>
        <w:right w:val="none" w:sz="0" w:space="0" w:color="auto"/>
      </w:divBdr>
    </w:div>
    <w:div w:id="294531005">
      <w:bodyDiv w:val="1"/>
      <w:marLeft w:val="0"/>
      <w:marRight w:val="0"/>
      <w:marTop w:val="0"/>
      <w:marBottom w:val="0"/>
      <w:divBdr>
        <w:top w:val="none" w:sz="0" w:space="0" w:color="auto"/>
        <w:left w:val="none" w:sz="0" w:space="0" w:color="auto"/>
        <w:bottom w:val="none" w:sz="0" w:space="0" w:color="auto"/>
        <w:right w:val="none" w:sz="0" w:space="0" w:color="auto"/>
      </w:divBdr>
    </w:div>
    <w:div w:id="299649383">
      <w:bodyDiv w:val="1"/>
      <w:marLeft w:val="0"/>
      <w:marRight w:val="0"/>
      <w:marTop w:val="0"/>
      <w:marBottom w:val="0"/>
      <w:divBdr>
        <w:top w:val="none" w:sz="0" w:space="0" w:color="auto"/>
        <w:left w:val="none" w:sz="0" w:space="0" w:color="auto"/>
        <w:bottom w:val="none" w:sz="0" w:space="0" w:color="auto"/>
        <w:right w:val="none" w:sz="0" w:space="0" w:color="auto"/>
      </w:divBdr>
    </w:div>
    <w:div w:id="339552554">
      <w:bodyDiv w:val="1"/>
      <w:marLeft w:val="0"/>
      <w:marRight w:val="0"/>
      <w:marTop w:val="0"/>
      <w:marBottom w:val="0"/>
      <w:divBdr>
        <w:top w:val="none" w:sz="0" w:space="0" w:color="auto"/>
        <w:left w:val="none" w:sz="0" w:space="0" w:color="auto"/>
        <w:bottom w:val="none" w:sz="0" w:space="0" w:color="auto"/>
        <w:right w:val="none" w:sz="0" w:space="0" w:color="auto"/>
      </w:divBdr>
    </w:div>
    <w:div w:id="393822787">
      <w:bodyDiv w:val="1"/>
      <w:marLeft w:val="0"/>
      <w:marRight w:val="0"/>
      <w:marTop w:val="0"/>
      <w:marBottom w:val="0"/>
      <w:divBdr>
        <w:top w:val="none" w:sz="0" w:space="0" w:color="auto"/>
        <w:left w:val="none" w:sz="0" w:space="0" w:color="auto"/>
        <w:bottom w:val="none" w:sz="0" w:space="0" w:color="auto"/>
        <w:right w:val="none" w:sz="0" w:space="0" w:color="auto"/>
      </w:divBdr>
    </w:div>
    <w:div w:id="397090869">
      <w:bodyDiv w:val="1"/>
      <w:marLeft w:val="0"/>
      <w:marRight w:val="0"/>
      <w:marTop w:val="0"/>
      <w:marBottom w:val="0"/>
      <w:divBdr>
        <w:top w:val="none" w:sz="0" w:space="0" w:color="auto"/>
        <w:left w:val="none" w:sz="0" w:space="0" w:color="auto"/>
        <w:bottom w:val="none" w:sz="0" w:space="0" w:color="auto"/>
        <w:right w:val="none" w:sz="0" w:space="0" w:color="auto"/>
      </w:divBdr>
    </w:div>
    <w:div w:id="443576985">
      <w:bodyDiv w:val="1"/>
      <w:marLeft w:val="0"/>
      <w:marRight w:val="0"/>
      <w:marTop w:val="0"/>
      <w:marBottom w:val="0"/>
      <w:divBdr>
        <w:top w:val="none" w:sz="0" w:space="0" w:color="auto"/>
        <w:left w:val="none" w:sz="0" w:space="0" w:color="auto"/>
        <w:bottom w:val="none" w:sz="0" w:space="0" w:color="auto"/>
        <w:right w:val="none" w:sz="0" w:space="0" w:color="auto"/>
      </w:divBdr>
    </w:div>
    <w:div w:id="456220593">
      <w:bodyDiv w:val="1"/>
      <w:marLeft w:val="0"/>
      <w:marRight w:val="0"/>
      <w:marTop w:val="0"/>
      <w:marBottom w:val="0"/>
      <w:divBdr>
        <w:top w:val="none" w:sz="0" w:space="0" w:color="auto"/>
        <w:left w:val="none" w:sz="0" w:space="0" w:color="auto"/>
        <w:bottom w:val="none" w:sz="0" w:space="0" w:color="auto"/>
        <w:right w:val="none" w:sz="0" w:space="0" w:color="auto"/>
      </w:divBdr>
    </w:div>
    <w:div w:id="500776434">
      <w:bodyDiv w:val="1"/>
      <w:marLeft w:val="0"/>
      <w:marRight w:val="0"/>
      <w:marTop w:val="0"/>
      <w:marBottom w:val="0"/>
      <w:divBdr>
        <w:top w:val="none" w:sz="0" w:space="0" w:color="auto"/>
        <w:left w:val="none" w:sz="0" w:space="0" w:color="auto"/>
        <w:bottom w:val="none" w:sz="0" w:space="0" w:color="auto"/>
        <w:right w:val="none" w:sz="0" w:space="0" w:color="auto"/>
      </w:divBdr>
    </w:div>
    <w:div w:id="539708201">
      <w:bodyDiv w:val="1"/>
      <w:marLeft w:val="0"/>
      <w:marRight w:val="0"/>
      <w:marTop w:val="0"/>
      <w:marBottom w:val="0"/>
      <w:divBdr>
        <w:top w:val="none" w:sz="0" w:space="0" w:color="auto"/>
        <w:left w:val="none" w:sz="0" w:space="0" w:color="auto"/>
        <w:bottom w:val="none" w:sz="0" w:space="0" w:color="auto"/>
        <w:right w:val="none" w:sz="0" w:space="0" w:color="auto"/>
      </w:divBdr>
    </w:div>
    <w:div w:id="542138920">
      <w:bodyDiv w:val="1"/>
      <w:marLeft w:val="0"/>
      <w:marRight w:val="0"/>
      <w:marTop w:val="0"/>
      <w:marBottom w:val="0"/>
      <w:divBdr>
        <w:top w:val="none" w:sz="0" w:space="0" w:color="auto"/>
        <w:left w:val="none" w:sz="0" w:space="0" w:color="auto"/>
        <w:bottom w:val="none" w:sz="0" w:space="0" w:color="auto"/>
        <w:right w:val="none" w:sz="0" w:space="0" w:color="auto"/>
      </w:divBdr>
    </w:div>
    <w:div w:id="565183226">
      <w:bodyDiv w:val="1"/>
      <w:marLeft w:val="0"/>
      <w:marRight w:val="0"/>
      <w:marTop w:val="0"/>
      <w:marBottom w:val="0"/>
      <w:divBdr>
        <w:top w:val="none" w:sz="0" w:space="0" w:color="auto"/>
        <w:left w:val="none" w:sz="0" w:space="0" w:color="auto"/>
        <w:bottom w:val="none" w:sz="0" w:space="0" w:color="auto"/>
        <w:right w:val="none" w:sz="0" w:space="0" w:color="auto"/>
      </w:divBdr>
    </w:div>
    <w:div w:id="566035332">
      <w:bodyDiv w:val="1"/>
      <w:marLeft w:val="0"/>
      <w:marRight w:val="0"/>
      <w:marTop w:val="0"/>
      <w:marBottom w:val="0"/>
      <w:divBdr>
        <w:top w:val="none" w:sz="0" w:space="0" w:color="auto"/>
        <w:left w:val="none" w:sz="0" w:space="0" w:color="auto"/>
        <w:bottom w:val="none" w:sz="0" w:space="0" w:color="auto"/>
        <w:right w:val="none" w:sz="0" w:space="0" w:color="auto"/>
      </w:divBdr>
    </w:div>
    <w:div w:id="584340827">
      <w:bodyDiv w:val="1"/>
      <w:marLeft w:val="0"/>
      <w:marRight w:val="0"/>
      <w:marTop w:val="0"/>
      <w:marBottom w:val="0"/>
      <w:divBdr>
        <w:top w:val="none" w:sz="0" w:space="0" w:color="auto"/>
        <w:left w:val="none" w:sz="0" w:space="0" w:color="auto"/>
        <w:bottom w:val="none" w:sz="0" w:space="0" w:color="auto"/>
        <w:right w:val="none" w:sz="0" w:space="0" w:color="auto"/>
      </w:divBdr>
    </w:div>
    <w:div w:id="611674295">
      <w:bodyDiv w:val="1"/>
      <w:marLeft w:val="0"/>
      <w:marRight w:val="0"/>
      <w:marTop w:val="0"/>
      <w:marBottom w:val="0"/>
      <w:divBdr>
        <w:top w:val="none" w:sz="0" w:space="0" w:color="auto"/>
        <w:left w:val="none" w:sz="0" w:space="0" w:color="auto"/>
        <w:bottom w:val="none" w:sz="0" w:space="0" w:color="auto"/>
        <w:right w:val="none" w:sz="0" w:space="0" w:color="auto"/>
      </w:divBdr>
    </w:div>
    <w:div w:id="686324181">
      <w:bodyDiv w:val="1"/>
      <w:marLeft w:val="0"/>
      <w:marRight w:val="0"/>
      <w:marTop w:val="0"/>
      <w:marBottom w:val="0"/>
      <w:divBdr>
        <w:top w:val="none" w:sz="0" w:space="0" w:color="auto"/>
        <w:left w:val="none" w:sz="0" w:space="0" w:color="auto"/>
        <w:bottom w:val="none" w:sz="0" w:space="0" w:color="auto"/>
        <w:right w:val="none" w:sz="0" w:space="0" w:color="auto"/>
      </w:divBdr>
    </w:div>
    <w:div w:id="751240614">
      <w:bodyDiv w:val="1"/>
      <w:marLeft w:val="0"/>
      <w:marRight w:val="0"/>
      <w:marTop w:val="0"/>
      <w:marBottom w:val="0"/>
      <w:divBdr>
        <w:top w:val="none" w:sz="0" w:space="0" w:color="auto"/>
        <w:left w:val="none" w:sz="0" w:space="0" w:color="auto"/>
        <w:bottom w:val="none" w:sz="0" w:space="0" w:color="auto"/>
        <w:right w:val="none" w:sz="0" w:space="0" w:color="auto"/>
      </w:divBdr>
    </w:div>
    <w:div w:id="791679277">
      <w:bodyDiv w:val="1"/>
      <w:marLeft w:val="0"/>
      <w:marRight w:val="0"/>
      <w:marTop w:val="0"/>
      <w:marBottom w:val="0"/>
      <w:divBdr>
        <w:top w:val="none" w:sz="0" w:space="0" w:color="auto"/>
        <w:left w:val="none" w:sz="0" w:space="0" w:color="auto"/>
        <w:bottom w:val="none" w:sz="0" w:space="0" w:color="auto"/>
        <w:right w:val="none" w:sz="0" w:space="0" w:color="auto"/>
      </w:divBdr>
    </w:div>
    <w:div w:id="851526160">
      <w:bodyDiv w:val="1"/>
      <w:marLeft w:val="0"/>
      <w:marRight w:val="0"/>
      <w:marTop w:val="0"/>
      <w:marBottom w:val="0"/>
      <w:divBdr>
        <w:top w:val="none" w:sz="0" w:space="0" w:color="auto"/>
        <w:left w:val="none" w:sz="0" w:space="0" w:color="auto"/>
        <w:bottom w:val="none" w:sz="0" w:space="0" w:color="auto"/>
        <w:right w:val="none" w:sz="0" w:space="0" w:color="auto"/>
      </w:divBdr>
    </w:div>
    <w:div w:id="860819148">
      <w:bodyDiv w:val="1"/>
      <w:marLeft w:val="0"/>
      <w:marRight w:val="0"/>
      <w:marTop w:val="0"/>
      <w:marBottom w:val="0"/>
      <w:divBdr>
        <w:top w:val="none" w:sz="0" w:space="0" w:color="auto"/>
        <w:left w:val="none" w:sz="0" w:space="0" w:color="auto"/>
        <w:bottom w:val="none" w:sz="0" w:space="0" w:color="auto"/>
        <w:right w:val="none" w:sz="0" w:space="0" w:color="auto"/>
      </w:divBdr>
    </w:div>
    <w:div w:id="861092845">
      <w:bodyDiv w:val="1"/>
      <w:marLeft w:val="0"/>
      <w:marRight w:val="0"/>
      <w:marTop w:val="0"/>
      <w:marBottom w:val="0"/>
      <w:divBdr>
        <w:top w:val="none" w:sz="0" w:space="0" w:color="auto"/>
        <w:left w:val="none" w:sz="0" w:space="0" w:color="auto"/>
        <w:bottom w:val="none" w:sz="0" w:space="0" w:color="auto"/>
        <w:right w:val="none" w:sz="0" w:space="0" w:color="auto"/>
      </w:divBdr>
    </w:div>
    <w:div w:id="874922428">
      <w:bodyDiv w:val="1"/>
      <w:marLeft w:val="0"/>
      <w:marRight w:val="0"/>
      <w:marTop w:val="0"/>
      <w:marBottom w:val="0"/>
      <w:divBdr>
        <w:top w:val="none" w:sz="0" w:space="0" w:color="auto"/>
        <w:left w:val="none" w:sz="0" w:space="0" w:color="auto"/>
        <w:bottom w:val="none" w:sz="0" w:space="0" w:color="auto"/>
        <w:right w:val="none" w:sz="0" w:space="0" w:color="auto"/>
      </w:divBdr>
    </w:div>
    <w:div w:id="893321373">
      <w:bodyDiv w:val="1"/>
      <w:marLeft w:val="0"/>
      <w:marRight w:val="0"/>
      <w:marTop w:val="0"/>
      <w:marBottom w:val="0"/>
      <w:divBdr>
        <w:top w:val="none" w:sz="0" w:space="0" w:color="auto"/>
        <w:left w:val="none" w:sz="0" w:space="0" w:color="auto"/>
        <w:bottom w:val="none" w:sz="0" w:space="0" w:color="auto"/>
        <w:right w:val="none" w:sz="0" w:space="0" w:color="auto"/>
      </w:divBdr>
    </w:div>
    <w:div w:id="972713116">
      <w:bodyDiv w:val="1"/>
      <w:marLeft w:val="0"/>
      <w:marRight w:val="0"/>
      <w:marTop w:val="0"/>
      <w:marBottom w:val="0"/>
      <w:divBdr>
        <w:top w:val="none" w:sz="0" w:space="0" w:color="auto"/>
        <w:left w:val="none" w:sz="0" w:space="0" w:color="auto"/>
        <w:bottom w:val="none" w:sz="0" w:space="0" w:color="auto"/>
        <w:right w:val="none" w:sz="0" w:space="0" w:color="auto"/>
      </w:divBdr>
    </w:div>
    <w:div w:id="982075351">
      <w:bodyDiv w:val="1"/>
      <w:marLeft w:val="0"/>
      <w:marRight w:val="0"/>
      <w:marTop w:val="0"/>
      <w:marBottom w:val="0"/>
      <w:divBdr>
        <w:top w:val="none" w:sz="0" w:space="0" w:color="auto"/>
        <w:left w:val="none" w:sz="0" w:space="0" w:color="auto"/>
        <w:bottom w:val="none" w:sz="0" w:space="0" w:color="auto"/>
        <w:right w:val="none" w:sz="0" w:space="0" w:color="auto"/>
      </w:divBdr>
    </w:div>
    <w:div w:id="987398078">
      <w:bodyDiv w:val="1"/>
      <w:marLeft w:val="0"/>
      <w:marRight w:val="0"/>
      <w:marTop w:val="0"/>
      <w:marBottom w:val="0"/>
      <w:divBdr>
        <w:top w:val="none" w:sz="0" w:space="0" w:color="auto"/>
        <w:left w:val="none" w:sz="0" w:space="0" w:color="auto"/>
        <w:bottom w:val="none" w:sz="0" w:space="0" w:color="auto"/>
        <w:right w:val="none" w:sz="0" w:space="0" w:color="auto"/>
      </w:divBdr>
    </w:div>
    <w:div w:id="1027877959">
      <w:bodyDiv w:val="1"/>
      <w:marLeft w:val="0"/>
      <w:marRight w:val="0"/>
      <w:marTop w:val="0"/>
      <w:marBottom w:val="0"/>
      <w:divBdr>
        <w:top w:val="none" w:sz="0" w:space="0" w:color="auto"/>
        <w:left w:val="none" w:sz="0" w:space="0" w:color="auto"/>
        <w:bottom w:val="none" w:sz="0" w:space="0" w:color="auto"/>
        <w:right w:val="none" w:sz="0" w:space="0" w:color="auto"/>
      </w:divBdr>
    </w:div>
    <w:div w:id="1133909996">
      <w:bodyDiv w:val="1"/>
      <w:marLeft w:val="0"/>
      <w:marRight w:val="0"/>
      <w:marTop w:val="0"/>
      <w:marBottom w:val="0"/>
      <w:divBdr>
        <w:top w:val="none" w:sz="0" w:space="0" w:color="auto"/>
        <w:left w:val="none" w:sz="0" w:space="0" w:color="auto"/>
        <w:bottom w:val="none" w:sz="0" w:space="0" w:color="auto"/>
        <w:right w:val="none" w:sz="0" w:space="0" w:color="auto"/>
      </w:divBdr>
    </w:div>
    <w:div w:id="1137800675">
      <w:bodyDiv w:val="1"/>
      <w:marLeft w:val="0"/>
      <w:marRight w:val="0"/>
      <w:marTop w:val="0"/>
      <w:marBottom w:val="0"/>
      <w:divBdr>
        <w:top w:val="none" w:sz="0" w:space="0" w:color="auto"/>
        <w:left w:val="none" w:sz="0" w:space="0" w:color="auto"/>
        <w:bottom w:val="none" w:sz="0" w:space="0" w:color="auto"/>
        <w:right w:val="none" w:sz="0" w:space="0" w:color="auto"/>
      </w:divBdr>
    </w:div>
    <w:div w:id="1148402465">
      <w:bodyDiv w:val="1"/>
      <w:marLeft w:val="0"/>
      <w:marRight w:val="0"/>
      <w:marTop w:val="0"/>
      <w:marBottom w:val="0"/>
      <w:divBdr>
        <w:top w:val="none" w:sz="0" w:space="0" w:color="auto"/>
        <w:left w:val="none" w:sz="0" w:space="0" w:color="auto"/>
        <w:bottom w:val="none" w:sz="0" w:space="0" w:color="auto"/>
        <w:right w:val="none" w:sz="0" w:space="0" w:color="auto"/>
      </w:divBdr>
    </w:div>
    <w:div w:id="1173498485">
      <w:bodyDiv w:val="1"/>
      <w:marLeft w:val="0"/>
      <w:marRight w:val="0"/>
      <w:marTop w:val="0"/>
      <w:marBottom w:val="0"/>
      <w:divBdr>
        <w:top w:val="none" w:sz="0" w:space="0" w:color="auto"/>
        <w:left w:val="none" w:sz="0" w:space="0" w:color="auto"/>
        <w:bottom w:val="none" w:sz="0" w:space="0" w:color="auto"/>
        <w:right w:val="none" w:sz="0" w:space="0" w:color="auto"/>
      </w:divBdr>
    </w:div>
    <w:div w:id="1182285037">
      <w:bodyDiv w:val="1"/>
      <w:marLeft w:val="0"/>
      <w:marRight w:val="0"/>
      <w:marTop w:val="0"/>
      <w:marBottom w:val="0"/>
      <w:divBdr>
        <w:top w:val="none" w:sz="0" w:space="0" w:color="auto"/>
        <w:left w:val="none" w:sz="0" w:space="0" w:color="auto"/>
        <w:bottom w:val="none" w:sz="0" w:space="0" w:color="auto"/>
        <w:right w:val="none" w:sz="0" w:space="0" w:color="auto"/>
      </w:divBdr>
    </w:div>
    <w:div w:id="1294558707">
      <w:bodyDiv w:val="1"/>
      <w:marLeft w:val="0"/>
      <w:marRight w:val="0"/>
      <w:marTop w:val="0"/>
      <w:marBottom w:val="0"/>
      <w:divBdr>
        <w:top w:val="none" w:sz="0" w:space="0" w:color="auto"/>
        <w:left w:val="none" w:sz="0" w:space="0" w:color="auto"/>
        <w:bottom w:val="none" w:sz="0" w:space="0" w:color="auto"/>
        <w:right w:val="none" w:sz="0" w:space="0" w:color="auto"/>
      </w:divBdr>
    </w:div>
    <w:div w:id="1306543570">
      <w:bodyDiv w:val="1"/>
      <w:marLeft w:val="0"/>
      <w:marRight w:val="0"/>
      <w:marTop w:val="0"/>
      <w:marBottom w:val="0"/>
      <w:divBdr>
        <w:top w:val="none" w:sz="0" w:space="0" w:color="auto"/>
        <w:left w:val="none" w:sz="0" w:space="0" w:color="auto"/>
        <w:bottom w:val="none" w:sz="0" w:space="0" w:color="auto"/>
        <w:right w:val="none" w:sz="0" w:space="0" w:color="auto"/>
      </w:divBdr>
    </w:div>
    <w:div w:id="1329207182">
      <w:bodyDiv w:val="1"/>
      <w:marLeft w:val="0"/>
      <w:marRight w:val="0"/>
      <w:marTop w:val="0"/>
      <w:marBottom w:val="0"/>
      <w:divBdr>
        <w:top w:val="none" w:sz="0" w:space="0" w:color="auto"/>
        <w:left w:val="none" w:sz="0" w:space="0" w:color="auto"/>
        <w:bottom w:val="none" w:sz="0" w:space="0" w:color="auto"/>
        <w:right w:val="none" w:sz="0" w:space="0" w:color="auto"/>
      </w:divBdr>
    </w:div>
    <w:div w:id="1377586845">
      <w:bodyDiv w:val="1"/>
      <w:marLeft w:val="0"/>
      <w:marRight w:val="0"/>
      <w:marTop w:val="0"/>
      <w:marBottom w:val="0"/>
      <w:divBdr>
        <w:top w:val="none" w:sz="0" w:space="0" w:color="auto"/>
        <w:left w:val="none" w:sz="0" w:space="0" w:color="auto"/>
        <w:bottom w:val="none" w:sz="0" w:space="0" w:color="auto"/>
        <w:right w:val="none" w:sz="0" w:space="0" w:color="auto"/>
      </w:divBdr>
    </w:div>
    <w:div w:id="1378043340">
      <w:bodyDiv w:val="1"/>
      <w:marLeft w:val="0"/>
      <w:marRight w:val="0"/>
      <w:marTop w:val="0"/>
      <w:marBottom w:val="0"/>
      <w:divBdr>
        <w:top w:val="none" w:sz="0" w:space="0" w:color="auto"/>
        <w:left w:val="none" w:sz="0" w:space="0" w:color="auto"/>
        <w:bottom w:val="none" w:sz="0" w:space="0" w:color="auto"/>
        <w:right w:val="none" w:sz="0" w:space="0" w:color="auto"/>
      </w:divBdr>
    </w:div>
    <w:div w:id="1386837076">
      <w:bodyDiv w:val="1"/>
      <w:marLeft w:val="0"/>
      <w:marRight w:val="0"/>
      <w:marTop w:val="0"/>
      <w:marBottom w:val="0"/>
      <w:divBdr>
        <w:top w:val="none" w:sz="0" w:space="0" w:color="auto"/>
        <w:left w:val="none" w:sz="0" w:space="0" w:color="auto"/>
        <w:bottom w:val="none" w:sz="0" w:space="0" w:color="auto"/>
        <w:right w:val="none" w:sz="0" w:space="0" w:color="auto"/>
      </w:divBdr>
    </w:div>
    <w:div w:id="1424689138">
      <w:bodyDiv w:val="1"/>
      <w:marLeft w:val="0"/>
      <w:marRight w:val="0"/>
      <w:marTop w:val="0"/>
      <w:marBottom w:val="0"/>
      <w:divBdr>
        <w:top w:val="none" w:sz="0" w:space="0" w:color="auto"/>
        <w:left w:val="none" w:sz="0" w:space="0" w:color="auto"/>
        <w:bottom w:val="none" w:sz="0" w:space="0" w:color="auto"/>
        <w:right w:val="none" w:sz="0" w:space="0" w:color="auto"/>
      </w:divBdr>
    </w:div>
    <w:div w:id="1493445463">
      <w:bodyDiv w:val="1"/>
      <w:marLeft w:val="0"/>
      <w:marRight w:val="0"/>
      <w:marTop w:val="0"/>
      <w:marBottom w:val="0"/>
      <w:divBdr>
        <w:top w:val="none" w:sz="0" w:space="0" w:color="auto"/>
        <w:left w:val="none" w:sz="0" w:space="0" w:color="auto"/>
        <w:bottom w:val="none" w:sz="0" w:space="0" w:color="auto"/>
        <w:right w:val="none" w:sz="0" w:space="0" w:color="auto"/>
      </w:divBdr>
    </w:div>
    <w:div w:id="1536308461">
      <w:bodyDiv w:val="1"/>
      <w:marLeft w:val="0"/>
      <w:marRight w:val="0"/>
      <w:marTop w:val="0"/>
      <w:marBottom w:val="0"/>
      <w:divBdr>
        <w:top w:val="none" w:sz="0" w:space="0" w:color="auto"/>
        <w:left w:val="none" w:sz="0" w:space="0" w:color="auto"/>
        <w:bottom w:val="none" w:sz="0" w:space="0" w:color="auto"/>
        <w:right w:val="none" w:sz="0" w:space="0" w:color="auto"/>
      </w:divBdr>
    </w:div>
    <w:div w:id="1569337044">
      <w:bodyDiv w:val="1"/>
      <w:marLeft w:val="0"/>
      <w:marRight w:val="0"/>
      <w:marTop w:val="0"/>
      <w:marBottom w:val="0"/>
      <w:divBdr>
        <w:top w:val="none" w:sz="0" w:space="0" w:color="auto"/>
        <w:left w:val="none" w:sz="0" w:space="0" w:color="auto"/>
        <w:bottom w:val="none" w:sz="0" w:space="0" w:color="auto"/>
        <w:right w:val="none" w:sz="0" w:space="0" w:color="auto"/>
      </w:divBdr>
    </w:div>
    <w:div w:id="1605383162">
      <w:bodyDiv w:val="1"/>
      <w:marLeft w:val="0"/>
      <w:marRight w:val="0"/>
      <w:marTop w:val="0"/>
      <w:marBottom w:val="0"/>
      <w:divBdr>
        <w:top w:val="none" w:sz="0" w:space="0" w:color="auto"/>
        <w:left w:val="none" w:sz="0" w:space="0" w:color="auto"/>
        <w:bottom w:val="none" w:sz="0" w:space="0" w:color="auto"/>
        <w:right w:val="none" w:sz="0" w:space="0" w:color="auto"/>
      </w:divBdr>
    </w:div>
    <w:div w:id="1675305412">
      <w:bodyDiv w:val="1"/>
      <w:marLeft w:val="0"/>
      <w:marRight w:val="0"/>
      <w:marTop w:val="0"/>
      <w:marBottom w:val="0"/>
      <w:divBdr>
        <w:top w:val="none" w:sz="0" w:space="0" w:color="auto"/>
        <w:left w:val="none" w:sz="0" w:space="0" w:color="auto"/>
        <w:bottom w:val="none" w:sz="0" w:space="0" w:color="auto"/>
        <w:right w:val="none" w:sz="0" w:space="0" w:color="auto"/>
      </w:divBdr>
    </w:div>
    <w:div w:id="1686712859">
      <w:bodyDiv w:val="1"/>
      <w:marLeft w:val="0"/>
      <w:marRight w:val="0"/>
      <w:marTop w:val="0"/>
      <w:marBottom w:val="0"/>
      <w:divBdr>
        <w:top w:val="none" w:sz="0" w:space="0" w:color="auto"/>
        <w:left w:val="none" w:sz="0" w:space="0" w:color="auto"/>
        <w:bottom w:val="none" w:sz="0" w:space="0" w:color="auto"/>
        <w:right w:val="none" w:sz="0" w:space="0" w:color="auto"/>
      </w:divBdr>
    </w:div>
    <w:div w:id="1697152237">
      <w:bodyDiv w:val="1"/>
      <w:marLeft w:val="0"/>
      <w:marRight w:val="0"/>
      <w:marTop w:val="0"/>
      <w:marBottom w:val="0"/>
      <w:divBdr>
        <w:top w:val="none" w:sz="0" w:space="0" w:color="auto"/>
        <w:left w:val="none" w:sz="0" w:space="0" w:color="auto"/>
        <w:bottom w:val="none" w:sz="0" w:space="0" w:color="auto"/>
        <w:right w:val="none" w:sz="0" w:space="0" w:color="auto"/>
      </w:divBdr>
    </w:div>
    <w:div w:id="1753045579">
      <w:bodyDiv w:val="1"/>
      <w:marLeft w:val="0"/>
      <w:marRight w:val="0"/>
      <w:marTop w:val="0"/>
      <w:marBottom w:val="0"/>
      <w:divBdr>
        <w:top w:val="none" w:sz="0" w:space="0" w:color="auto"/>
        <w:left w:val="none" w:sz="0" w:space="0" w:color="auto"/>
        <w:bottom w:val="none" w:sz="0" w:space="0" w:color="auto"/>
        <w:right w:val="none" w:sz="0" w:space="0" w:color="auto"/>
      </w:divBdr>
    </w:div>
    <w:div w:id="1777166613">
      <w:bodyDiv w:val="1"/>
      <w:marLeft w:val="0"/>
      <w:marRight w:val="0"/>
      <w:marTop w:val="0"/>
      <w:marBottom w:val="0"/>
      <w:divBdr>
        <w:top w:val="none" w:sz="0" w:space="0" w:color="auto"/>
        <w:left w:val="none" w:sz="0" w:space="0" w:color="auto"/>
        <w:bottom w:val="none" w:sz="0" w:space="0" w:color="auto"/>
        <w:right w:val="none" w:sz="0" w:space="0" w:color="auto"/>
      </w:divBdr>
    </w:div>
    <w:div w:id="1813525236">
      <w:bodyDiv w:val="1"/>
      <w:marLeft w:val="0"/>
      <w:marRight w:val="0"/>
      <w:marTop w:val="0"/>
      <w:marBottom w:val="0"/>
      <w:divBdr>
        <w:top w:val="none" w:sz="0" w:space="0" w:color="auto"/>
        <w:left w:val="none" w:sz="0" w:space="0" w:color="auto"/>
        <w:bottom w:val="none" w:sz="0" w:space="0" w:color="auto"/>
        <w:right w:val="none" w:sz="0" w:space="0" w:color="auto"/>
      </w:divBdr>
    </w:div>
    <w:div w:id="1947496649">
      <w:bodyDiv w:val="1"/>
      <w:marLeft w:val="0"/>
      <w:marRight w:val="0"/>
      <w:marTop w:val="0"/>
      <w:marBottom w:val="0"/>
      <w:divBdr>
        <w:top w:val="none" w:sz="0" w:space="0" w:color="auto"/>
        <w:left w:val="none" w:sz="0" w:space="0" w:color="auto"/>
        <w:bottom w:val="none" w:sz="0" w:space="0" w:color="auto"/>
        <w:right w:val="none" w:sz="0" w:space="0" w:color="auto"/>
      </w:divBdr>
    </w:div>
    <w:div w:id="1997999430">
      <w:bodyDiv w:val="1"/>
      <w:marLeft w:val="0"/>
      <w:marRight w:val="0"/>
      <w:marTop w:val="0"/>
      <w:marBottom w:val="0"/>
      <w:divBdr>
        <w:top w:val="none" w:sz="0" w:space="0" w:color="auto"/>
        <w:left w:val="none" w:sz="0" w:space="0" w:color="auto"/>
        <w:bottom w:val="none" w:sz="0" w:space="0" w:color="auto"/>
        <w:right w:val="none" w:sz="0" w:space="0" w:color="auto"/>
      </w:divBdr>
    </w:div>
    <w:div w:id="2037925404">
      <w:bodyDiv w:val="1"/>
      <w:marLeft w:val="0"/>
      <w:marRight w:val="0"/>
      <w:marTop w:val="0"/>
      <w:marBottom w:val="0"/>
      <w:divBdr>
        <w:top w:val="none" w:sz="0" w:space="0" w:color="auto"/>
        <w:left w:val="none" w:sz="0" w:space="0" w:color="auto"/>
        <w:bottom w:val="none" w:sz="0" w:space="0" w:color="auto"/>
        <w:right w:val="none" w:sz="0" w:space="0" w:color="auto"/>
      </w:divBdr>
    </w:div>
    <w:div w:id="2140755448">
      <w:bodyDiv w:val="1"/>
      <w:marLeft w:val="0"/>
      <w:marRight w:val="0"/>
      <w:marTop w:val="0"/>
      <w:marBottom w:val="0"/>
      <w:divBdr>
        <w:top w:val="none" w:sz="0" w:space="0" w:color="auto"/>
        <w:left w:val="none" w:sz="0" w:space="0" w:color="auto"/>
        <w:bottom w:val="none" w:sz="0" w:space="0" w:color="auto"/>
        <w:right w:val="none" w:sz="0" w:space="0" w:color="auto"/>
      </w:divBdr>
    </w:div>
    <w:div w:id="214684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b.mx/ceav/documentos/violencia-vicaria-lineamientos-2023" TargetMode="External"/><Relationship Id="rId21" Type="http://schemas.openxmlformats.org/officeDocument/2006/relationships/hyperlink" Target="https://www.oas.org/juridico/spanish/tratados/a-61.html" TargetMode="External"/><Relationship Id="rId42" Type="http://schemas.openxmlformats.org/officeDocument/2006/relationships/hyperlink" Target="https://legislacion.edomex.gob.mx/sites/legislacion.edomex.gob.mx/files/files/pdf/ley/vig/leyvig022.pdf" TargetMode="External"/><Relationship Id="rId47" Type="http://schemas.openxmlformats.org/officeDocument/2006/relationships/hyperlink" Target="http://www.iberdrola.com/sostenibilidad/educacion-ambiental-para-ninosIberdrola" TargetMode="External"/><Relationship Id="rId63" Type="http://schemas.openxmlformats.org/officeDocument/2006/relationships/hyperlink" Target="http://www.jornada.com.mx/2020/03/09/deportes/a02n1dep" TargetMode="External"/><Relationship Id="rId68" Type="http://schemas.openxmlformats.org/officeDocument/2006/relationships/hyperlink" Target="http://www.espn.com.mx/futbol/mexico/nota/_/id/12281805/america-liga-mx-femenil-identidad-agresor-scarlett-camberos-nuevos-" TargetMode="External"/><Relationship Id="rId84" Type="http://schemas.openxmlformats.org/officeDocument/2006/relationships/hyperlink" Target="https://www.cndh.org.mx/sites/default/files/documentos/2019-08/Derecho-Humano-Agua-PS.pdf" TargetMode="External"/><Relationship Id="rId89" Type="http://schemas.openxmlformats.org/officeDocument/2006/relationships/hyperlink" Target="http://www.digitalmex.mx/municipios/story/57357/video-habitantes-15-comunidades-manifiestan-" TargetMode="External"/><Relationship Id="rId16" Type="http://schemas.openxmlformats.org/officeDocument/2006/relationships/hyperlink" Target="https://elpais.com/mexico/2025-07-10/la-suprema-corte-abre-la-puerta-a-que-se-embargue-la-cuenta-de-afore-para-el-pago-de-pensiones-alimenticias.html" TargetMode="External"/><Relationship Id="rId11" Type="http://schemas.openxmlformats.org/officeDocument/2006/relationships/hyperlink" Target="https://sintesis.yoporlajusticia.gob.mx/2025/06/30/edomex-registra-casi-14-mil-deudores-alimentarios-en-el-padron-estatal/" TargetMode="External"/><Relationship Id="rId32" Type="http://schemas.openxmlformats.org/officeDocument/2006/relationships/hyperlink" Target="https://estrategiasddhh.segob.gob.mx/work/models/EstrategiasDDHH/Documentos/pdf/GruposRiesgo/Informe_contextual_Violencia_Vicaria_30-11-2023.pdf" TargetMode="External"/><Relationship Id="rId37" Type="http://schemas.openxmlformats.org/officeDocument/2006/relationships/hyperlink" Target="http://www.tfca.gob.mx/es/TFCA/cbEG" TargetMode="External"/><Relationship Id="rId53" Type="http://schemas.openxmlformats.org/officeDocument/2006/relationships/hyperlink" Target="http://www.britishcouncil.org.mx/blog/aprender-ingles-desde-primaria" TargetMode="External"/><Relationship Id="rId58" Type="http://schemas.openxmlformats.org/officeDocument/2006/relationships/hyperlink" Target="http://www.nationalgeographicla.com/historia/2024/08/cuando-comenzaron-a-participar-las-mujeres-en-los-juegos-olimpicos" TargetMode="External"/><Relationship Id="rId74" Type="http://schemas.openxmlformats.org/officeDocument/2006/relationships/hyperlink" Target="http://www.eluniversal.com.mx/edomex/revisaran-concesion-de-tiradero-en-" TargetMode="External"/><Relationship Id="rId79" Type="http://schemas.openxmlformats.org/officeDocument/2006/relationships/hyperlink" Target="http://www.diputados.gob.mx/LeyesBiblio/abro/lge_1993/LGE_abro.pdf" TargetMode="External"/><Relationship Id="rId5" Type="http://schemas.openxmlformats.org/officeDocument/2006/relationships/footnotes" Target="footnotes.xml"/><Relationship Id="rId90" Type="http://schemas.openxmlformats.org/officeDocument/2006/relationships/hyperlink" Target="http://www.eleconomista.com.mx/politica/Contaminada-59.1-del-agua-superficial-de-Mexico-20220801-0005.html" TargetMode="External"/><Relationship Id="rId95" Type="http://schemas.openxmlformats.org/officeDocument/2006/relationships/hyperlink" Target="https://www.diputados.gob.mx/LeyesBiblio/pdf/LGSNSP.pdf" TargetMode="External"/><Relationship Id="rId22" Type="http://schemas.openxmlformats.org/officeDocument/2006/relationships/hyperlink" Target="https://www.un.org/womenwatch/daw/cedaw/text/sconvention.html" TargetMode="External"/><Relationship Id="rId27" Type="http://schemas.openxmlformats.org/officeDocument/2006/relationships/hyperlink" Target="https://www.gob.mx/inmujeres/documentos/violencia-vicaria-diagnostico-2023" TargetMode="External"/><Relationship Id="rId43" Type="http://schemas.openxmlformats.org/officeDocument/2006/relationships/hyperlink" Target="https://oem.com.mx/elsoldetoluca/local/presidencias-de-dif-municipales-no-pueden-cobrar-salario-es-conflicto-de-intereses-14425340" TargetMode="External"/><Relationship Id="rId48" Type="http://schemas.openxmlformats.org/officeDocument/2006/relationships/hyperlink" Target="http://www.iberdrola.com/sostenibilidad/educacion-ambiental-para-ninos" TargetMode="External"/><Relationship Id="rId64" Type="http://schemas.openxmlformats.org/officeDocument/2006/relationships/hyperlink" Target="http://www.unidiversidad.com.ar/informe-de-la-fifa-revelo-que-una-de-cada-cinco-jugadoras-del-" TargetMode="External"/><Relationship Id="rId69" Type="http://schemas.openxmlformats.org/officeDocument/2006/relationships/hyperlink" Target="http://www.eleconomista.com.mx/politica/diputados-aprueban-reformas-atender-frenar-violencia-" TargetMode="External"/><Relationship Id="rId80" Type="http://schemas.openxmlformats.org/officeDocument/2006/relationships/hyperlink" Target="http://www.gob.mx/cms/uploads/attachment/file/46620/Informe_Completo.pdf" TargetMode="External"/><Relationship Id="rId85" Type="http://schemas.openxmlformats.org/officeDocument/2006/relationships/hyperlink" Target="https://agua.org.mx/wp-content/uploads/2017/06/Observacion-15_derecho_al_agua.pdf" TargetMode="External"/><Relationship Id="rId3" Type="http://schemas.openxmlformats.org/officeDocument/2006/relationships/settings" Target="settings.xml"/><Relationship Id="rId12" Type="http://schemas.openxmlformats.org/officeDocument/2006/relationships/hyperlink" Target="https://lasillarota.com/metropoli/2024/6/17/deudores-alimentarios-en-edomex-son-5-mas-en-2024-488209.html" TargetMode="External"/><Relationship Id="rId17" Type="http://schemas.openxmlformats.org/officeDocument/2006/relationships/hyperlink" Target="https://elpais.com/mexico/2025-07-10/la-suprema-corte-abre-la-puerta-a-que-se-embargue-la-cuenta-de-afore-para-el-pago-de-pensiones-alimenticias.html" TargetMode="External"/><Relationship Id="rId25" Type="http://schemas.openxmlformats.org/officeDocument/2006/relationships/hyperlink" Target="https://www.scjn.gob.mx/" TargetMode="External"/><Relationship Id="rId33" Type="http://schemas.openxmlformats.org/officeDocument/2006/relationships/hyperlink" Target="https://legislacion.edomex.gob.mx/node/1024" TargetMode="External"/><Relationship Id="rId38" Type="http://schemas.openxmlformats.org/officeDocument/2006/relationships/hyperlink" Target="https://www.dof.gob.mx/nota_to_imagen_fs.php?codnota=4600445&amp;fecha=13/01/1977&amp;cod_diario=197493" TargetMode="External"/><Relationship Id="rId46" Type="http://schemas.openxmlformats.org/officeDocument/2006/relationships/hyperlink" Target="https://www.observatoriolaboral.gob.mx" TargetMode="External"/><Relationship Id="rId59" Type="http://schemas.openxmlformats.org/officeDocument/2006/relationships/hyperlink" Target="http://www.emakunde.euskadi.eus/contenidos/informacion/publicaciones_guias2/es_emakunde/" TargetMode="External"/><Relationship Id="rId67" Type="http://schemas.openxmlformats.org/officeDocument/2006/relationships/hyperlink" Target="http://www.nytimes.com/es/2025/02/20/espanol/mundo/luis-rubiales-futbol-espanol-condena.html" TargetMode="External"/><Relationship Id="rId20" Type="http://schemas.openxmlformats.org/officeDocument/2006/relationships/hyperlink" Target="https://solidaridadintergeneracional.es/wp/que-es-la-violencia-vicaria-y-por-que-es-el-maltrato-mas-cruel-hacialas-mujeres/" TargetMode="External"/><Relationship Id="rId41" Type="http://schemas.openxmlformats.org/officeDocument/2006/relationships/hyperlink" Target="https://legislacion.edomex.gob.mx/sites/legislacion.edomex.gob.mx/files/files/pdf/ley/vig/leyvig004.pdf" TargetMode="External"/><Relationship Id="rId54" Type="http://schemas.openxmlformats.org/officeDocument/2006/relationships/hyperlink" Target="http://www.gob.mx/cms/uploads/attachment/file/289658/Mexico_en_Ingle_s_DIGITAL.pdf" TargetMode="External"/><Relationship Id="rId62" Type="http://schemas.openxmlformats.org/officeDocument/2006/relationships/hyperlink" Target="http://www.espn.com.mx/futbol/mexico/nota/_/id/14890771/dia-internacional-de-la-mujer-violencia-deporte-mexico-8-marzo" TargetMode="External"/><Relationship Id="rId70" Type="http://schemas.openxmlformats.org/officeDocument/2006/relationships/hyperlink" Target="http://www.sedema.cdmx.gob.mx/storage/app/media/DGEIRA/PGIR/PGIR%202021-2025_N_ago21.pdf" TargetMode="External"/><Relationship Id="rId75" Type="http://schemas.openxmlformats.org/officeDocument/2006/relationships/hyperlink" Target="http://www.diputados.gob.mx/LeyesBiblio/pdf/LGPGIR.pdf" TargetMode="External"/><Relationship Id="rId83" Type="http://schemas.openxmlformats.org/officeDocument/2006/relationships/hyperlink" Target="https://www.cndh.org.mx/sites/default/files/documentos/2019-08/Derecho-Humano-Agua-PS.pdf" TargetMode="External"/><Relationship Id="rId88" Type="http://schemas.openxmlformats.org/officeDocument/2006/relationships/hyperlink" Target="https://www.inegi.org.mx/contenidos/programas/ccpv/2020/doc/cpv2020_pres_res_mex.pdf" TargetMode="External"/><Relationship Id="rId91" Type="http://schemas.openxmlformats.org/officeDocument/2006/relationships/hyperlink" Target="http://www.diariodemexico.com/mi-nacion/ong-estima-21-millones-de-personas-sin-acceso-agua-potable-en-mexico" TargetMode="Externa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domex.gob.mx/certificado_no_deudor_alimentario" TargetMode="External"/><Relationship Id="rId23" Type="http://schemas.openxmlformats.org/officeDocument/2006/relationships/hyperlink" Target="https://www.diputados.gob.mx/LeyesBiblio/pdf/LGDNNA.pdf" TargetMode="External"/><Relationship Id="rId28" Type="http://schemas.openxmlformats.org/officeDocument/2006/relationships/hyperlink" Target="https://www.cndh.org.mx/documento/violencia-vicaria-informe-especial" TargetMode="External"/><Relationship Id="rId36" Type="http://schemas.openxmlformats.org/officeDocument/2006/relationships/hyperlink" Target="https://legislacion.edomex.gob.mx/sites/legislacion.edomex.gob.mx/files/files/pdf/ley/vig/leyvig154.pdf" TargetMode="External"/><Relationship Id="rId49" Type="http://schemas.openxmlformats.org/officeDocument/2006/relationships/hyperlink" Target="http://www.gob.mx/semarnat/prensa/gobierno-de-mexico-impulsa-educacion-ambiental-" TargetMode="External"/><Relationship Id="rId57" Type="http://schemas.openxmlformats.org/officeDocument/2006/relationships/hyperlink" Target="http://www.ohchr.org/es/instruments-mechanisms/instruments/declaration-elimination-violence-against-women" TargetMode="External"/><Relationship Id="rId10" Type="http://schemas.openxmlformats.org/officeDocument/2006/relationships/hyperlink" Target="https://www.milenio.com/politica/comunidad/registraron-690-deudores-alimentarios-en-edomex-entre-2023-y-2024" TargetMode="External"/><Relationship Id="rId31" Type="http://schemas.openxmlformats.org/officeDocument/2006/relationships/hyperlink" Target="https://estrategiasddhh.segob.gob.mx/work/models/EstrategiasDDHH/Documentos/pdf/GruposRiesgo/Informe_contextual_Violencia_Vicaria_30-11-2023.pdf" TargetMode="External"/><Relationship Id="rId44" Type="http://schemas.openxmlformats.org/officeDocument/2006/relationships/hyperlink" Target="https://oem.com.mx/elsoldetoluca/local/presidencias-de-dif-municipales-no-pueden-cobrar-salario-es-conflicto-de-intereses-14425340" TargetMode="External"/><Relationship Id="rId52" Type="http://schemas.openxmlformats.org/officeDocument/2006/relationships/hyperlink" Target="http://www.gob.mx/cms/uploads/attachment/file/289658/Mexico_en_Ingle_s_DIGITAL.pdf" TargetMode="External"/><Relationship Id="rId60" Type="http://schemas.openxmlformats.org/officeDocument/2006/relationships/hyperlink" Target="http://www.espn.com.mx/olimpicos/nota/_/id/12923028/alejandra-zavala-deportistas-mexicanas-acoso-abuso-entrenadores" TargetMode="External"/><Relationship Id="rId65" Type="http://schemas.openxmlformats.org/officeDocument/2006/relationships/hyperlink" Target="http://www.clarosports.com/futbol/futbol-femenil/violencia-de-genero-en-el-futbol-femenil-mexicano-78-ha-sufrido-agresiones/" TargetMode="External"/><Relationship Id="rId73" Type="http://schemas.openxmlformats.org/officeDocument/2006/relationships/hyperlink" Target="http://www.eluniversaledomex.com.mx/valle-de-mexico/crisis-ambiental-en-naucalpan-pese-" TargetMode="External"/><Relationship Id="rId78" Type="http://schemas.openxmlformats.org/officeDocument/2006/relationships/hyperlink" Target="http://www.sep.gob.mx/work/models/sep1/Resource/7aa2c3ff-aab8-479f-ad93-db49d0a1108a/a475.pdf" TargetMode="External"/><Relationship Id="rId81" Type="http://schemas.openxmlformats.org/officeDocument/2006/relationships/hyperlink" Target="http://www.hcnl.gob.mx/trabajo_legislativo/leyes/pdf/LEY%20DE%20EDUCACION%20DEL%20ESTAD" TargetMode="External"/><Relationship Id="rId86" Type="http://schemas.openxmlformats.org/officeDocument/2006/relationships/hyperlink" Target="https://onu-habitat.org/index.php/comprender-las-dimensiones-del-problema-del-agua" TargetMode="External"/><Relationship Id="rId94" Type="http://schemas.openxmlformats.org/officeDocument/2006/relationships/hyperlink" Target="https://www.inegi.org.mx/contenidos/programas/envipe/2025/doc/envipe2025_mex.pdf"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lenio.com/politica/comunidad/registraron-690-deudores-alimentarios-en-edomex-entre-2023-y-2024" TargetMode="External"/><Relationship Id="rId13" Type="http://schemas.openxmlformats.org/officeDocument/2006/relationships/hyperlink" Target="https://www.pjedomex.gob.mx/vista/noticia/2025/01/26/1425" TargetMode="External"/><Relationship Id="rId18" Type="http://schemas.openxmlformats.org/officeDocument/2006/relationships/hyperlink" Target="https://www.internet2.scjn.gob.mx/red2/comunicados/comunicado.asp?id=8209" TargetMode="External"/><Relationship Id="rId39" Type="http://schemas.openxmlformats.org/officeDocument/2006/relationships/hyperlink" Target="https://legislacion.edomex.gob.mx/sites/legislacion.edomex.gob.mx/files/files/pdf/ley/vig/leyvig077.pdf" TargetMode="External"/><Relationship Id="rId34" Type="http://schemas.openxmlformats.org/officeDocument/2006/relationships/hyperlink" Target="https://legislacion.edomex.gob.mx/node/1342" TargetMode="External"/><Relationship Id="rId50" Type="http://schemas.openxmlformats.org/officeDocument/2006/relationships/hyperlink" Target="http://www.scidev.net/america-latina/news/argentina-aprueba-ley-de-educacion-ambiental-" TargetMode="External"/><Relationship Id="rId55" Type="http://schemas.openxmlformats.org/officeDocument/2006/relationships/hyperlink" Target="http://www.gob.mx/cms/uploads/attachment/file/289658/Mexico_en_Ingle_s_DIGITAL.pdf" TargetMode="External"/><Relationship Id="rId76" Type="http://schemas.openxmlformats.org/officeDocument/2006/relationships/hyperlink" Target="http://www.diputados.gob.mx/LeyesBiblio/pdf/LGEEPA.pdf" TargetMode="External"/><Relationship Id="rId97" Type="http://schemas.openxmlformats.org/officeDocument/2006/relationships/footer" Target="footer1.xml"/><Relationship Id="rId7" Type="http://schemas.openxmlformats.org/officeDocument/2006/relationships/hyperlink" Target="https://legislacion.edomex.gob.mx/sites/legislacion.edomex.gob.mx/files/files/pdf/cod/vig/codvig001.pdf" TargetMode="External"/><Relationship Id="rId71" Type="http://schemas.openxmlformats.org/officeDocument/2006/relationships/hyperlink" Target="http://www.eluniversal.com.mx/metropoli/naucalpan-el-basurero-de-la-cdmx/" TargetMode="External"/><Relationship Id="rId92" Type="http://schemas.openxmlformats.org/officeDocument/2006/relationships/hyperlink" Target="http://www.dapa.gob.mx/100-datos-y-cifras-del-agua-en-mexico" TargetMode="External"/><Relationship Id="rId2" Type="http://schemas.openxmlformats.org/officeDocument/2006/relationships/styles" Target="styles.xml"/><Relationship Id="rId29" Type="http://schemas.openxmlformats.org/officeDocument/2006/relationships/hyperlink" Target="https://www.cndh.org.mx/documento/violencia-vicaria-informe-especial" TargetMode="External"/><Relationship Id="rId24" Type="http://schemas.openxmlformats.org/officeDocument/2006/relationships/hyperlink" Target="https://legislacion.edomex.gob.mx/node/1024" TargetMode="External"/><Relationship Id="rId40" Type="http://schemas.openxmlformats.org/officeDocument/2006/relationships/hyperlink" Target="https://legislacion.edomex.gob.mx/sites/legislacion.edomex.gob.mx/files/files/pdf/ley/abr/leyabr055.pdf" TargetMode="External"/><Relationship Id="rId45" Type="http://schemas.openxmlformats.org/officeDocument/2006/relationships/hyperlink" Target="https://www.inegi.org.mx" TargetMode="External"/><Relationship Id="rId66" Type="http://schemas.openxmlformats.org/officeDocument/2006/relationships/hyperlink" Target="http://www.espn.com.mx/futbol/mexico/nota/_/id/14890771/dia-internacional-de-la-mujer-violencia-deporte-mexico-8-marzo" TargetMode="External"/><Relationship Id="rId87" Type="http://schemas.openxmlformats.org/officeDocument/2006/relationships/hyperlink" Target="https://www.inegi.org.mx/contenidos/programas/encig/2023/doc/encig2023_principales_resultados.pdf" TargetMode="External"/><Relationship Id="rId61" Type="http://schemas.openxmlformats.org/officeDocument/2006/relationships/hyperlink" Target="http://www.cronica.com.mx/nacional/2025/07/17/el-rostro-oculto-del-futbol-femenil-violencia-de-" TargetMode="External"/><Relationship Id="rId82" Type="http://schemas.openxmlformats.org/officeDocument/2006/relationships/hyperlink" Target="http://www.youtube.com/watch?v=QK2ofq12ZyU" TargetMode="External"/><Relationship Id="rId19" Type="http://schemas.openxmlformats.org/officeDocument/2006/relationships/hyperlink" Target="https://solidaridadintergeneracional.es/wp/que-es-la-violencia-vicaria-y-por-que-es-el-maltrato-mas-cruel-hacialas-mujeres/" TargetMode="External"/><Relationship Id="rId14" Type="http://schemas.openxmlformats.org/officeDocument/2006/relationships/hyperlink" Target="https://edomex.gob.mx/certificado_no_deudor_alimentario" TargetMode="External"/><Relationship Id="rId30" Type="http://schemas.openxmlformats.org/officeDocument/2006/relationships/hyperlink" Target="https://www.dof.gob.mx/nota_detalle.php?codigo=5685702" TargetMode="External"/><Relationship Id="rId35" Type="http://schemas.openxmlformats.org/officeDocument/2006/relationships/hyperlink" Target="https://legislacion.edomex.gob.mx/sites/legislacion.edomex.gob.mx/files/files/pdf/ley/vig/leyvig154.pdf" TargetMode="External"/><Relationship Id="rId56" Type="http://schemas.openxmlformats.org/officeDocument/2006/relationships/hyperlink" Target="http://www.educacionfutura.org/jovenes-que-no-aprenden-ingles-padecen-grandes-desventajas-en-" TargetMode="External"/><Relationship Id="rId77" Type="http://schemas.openxmlformats.org/officeDocument/2006/relationships/hyperlink" Target="http://www.mexicanosprimero.org/pdf/investigaciones/escuelas-de-tiempo-" TargetMode="External"/><Relationship Id="rId8" Type="http://schemas.openxmlformats.org/officeDocument/2006/relationships/hyperlink" Target="https://www.sitios.scjn.gob.mx/cec/sites/default/files/publication/documents/2023-07/CJ%20DyF_12%20ALIMENTOS_ELECTRO%CC%81NICO.pdf" TargetMode="External"/><Relationship Id="rId51" Type="http://schemas.openxmlformats.org/officeDocument/2006/relationships/hyperlink" Target="http://www.gob.mx/cms/uploads/attachment/file/64151/Diagno_stico_del_programa.pdf" TargetMode="External"/><Relationship Id="rId72" Type="http://schemas.openxmlformats.org/officeDocument/2006/relationships/hyperlink" Target="http://www.eluniversal.com.mx/metropoli/la-cdmx-esta-en-deuda-con-el-edomex-por-recibir-su-basura/" TargetMode="External"/><Relationship Id="rId93" Type="http://schemas.openxmlformats.org/officeDocument/2006/relationships/hyperlink" Target="https://www.imss.gob.mx/prensa/archivo/202508/393" TargetMode="External"/><Relationship Id="rId98"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6267</TotalTime>
  <Pages>233</Pages>
  <Words>110753</Words>
  <Characters>609143</Characters>
  <Application>Microsoft Office Word</Application>
  <DocSecurity>0</DocSecurity>
  <Lines>5076</Lines>
  <Paragraphs>1436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132</cp:revision>
  <dcterms:created xsi:type="dcterms:W3CDTF">2026-03-19T16:44:00Z</dcterms:created>
  <dcterms:modified xsi:type="dcterms:W3CDTF">2026-03-27T23:41:00Z</dcterms:modified>
</cp:coreProperties>
</file>