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4920" w:rsidRPr="006E437B" w:rsidRDefault="00E54920" w:rsidP="00141629">
      <w:pPr>
        <w:pStyle w:val="Sinespaciado"/>
        <w:ind w:left="2835"/>
        <w:jc w:val="both"/>
        <w:rPr>
          <w:rFonts w:ascii="Times New Roman" w:hAnsi="Times New Roman" w:cs="Times New Roman"/>
          <w:sz w:val="24"/>
          <w:szCs w:val="24"/>
        </w:rPr>
      </w:pPr>
      <w:bookmarkStart w:id="0" w:name="_GoBack"/>
      <w:bookmarkEnd w:id="0"/>
      <w:r w:rsidRPr="006E437B">
        <w:rPr>
          <w:rFonts w:ascii="Times New Roman" w:hAnsi="Times New Roman" w:cs="Times New Roman"/>
          <w:sz w:val="24"/>
          <w:szCs w:val="24"/>
        </w:rPr>
        <w:t xml:space="preserve">SESIÓN DELIBERANTE DE LA H. </w:t>
      </w:r>
      <w:r w:rsidR="00784D29" w:rsidRPr="006E437B">
        <w:rPr>
          <w:rFonts w:ascii="Times New Roman" w:hAnsi="Times New Roman" w:cs="Times New Roman"/>
          <w:sz w:val="24"/>
          <w:szCs w:val="24"/>
        </w:rPr>
        <w:t>“</w:t>
      </w:r>
      <w:r w:rsidRPr="006E437B">
        <w:rPr>
          <w:rFonts w:ascii="Times New Roman" w:hAnsi="Times New Roman" w:cs="Times New Roman"/>
          <w:sz w:val="24"/>
          <w:szCs w:val="24"/>
        </w:rPr>
        <w:t>LXII</w:t>
      </w:r>
      <w:r w:rsidR="00784D29" w:rsidRPr="006E437B">
        <w:rPr>
          <w:rFonts w:ascii="Times New Roman" w:hAnsi="Times New Roman" w:cs="Times New Roman"/>
          <w:sz w:val="24"/>
          <w:szCs w:val="24"/>
        </w:rPr>
        <w:t>”</w:t>
      </w:r>
      <w:r w:rsidRPr="006E437B">
        <w:rPr>
          <w:rFonts w:ascii="Times New Roman" w:hAnsi="Times New Roman" w:cs="Times New Roman"/>
          <w:sz w:val="24"/>
          <w:szCs w:val="24"/>
        </w:rPr>
        <w:t xml:space="preserve"> LEGISLATURA</w:t>
      </w:r>
      <w:r w:rsidR="00860392" w:rsidRPr="006E437B">
        <w:rPr>
          <w:rFonts w:ascii="Times New Roman" w:hAnsi="Times New Roman" w:cs="Times New Roman"/>
          <w:sz w:val="24"/>
          <w:szCs w:val="24"/>
        </w:rPr>
        <w:t xml:space="preserve"> </w:t>
      </w:r>
      <w:r w:rsidRPr="006E437B">
        <w:rPr>
          <w:rFonts w:ascii="Times New Roman" w:hAnsi="Times New Roman" w:cs="Times New Roman"/>
          <w:sz w:val="24"/>
          <w:szCs w:val="24"/>
        </w:rPr>
        <w:t>DEL ESTADO DE MÉXICO</w:t>
      </w:r>
      <w:r w:rsidR="00784D29" w:rsidRPr="006E437B">
        <w:rPr>
          <w:rFonts w:ascii="Times New Roman" w:hAnsi="Times New Roman" w:cs="Times New Roman"/>
          <w:sz w:val="24"/>
          <w:szCs w:val="24"/>
        </w:rPr>
        <w:t>.</w:t>
      </w:r>
    </w:p>
    <w:p w:rsidR="00E54920" w:rsidRPr="006E437B" w:rsidRDefault="00E54920" w:rsidP="00141629">
      <w:pPr>
        <w:pStyle w:val="Sinespaciado"/>
        <w:jc w:val="both"/>
        <w:rPr>
          <w:rFonts w:ascii="Times New Roman" w:hAnsi="Times New Roman" w:cs="Times New Roman"/>
          <w:sz w:val="24"/>
          <w:szCs w:val="24"/>
        </w:rPr>
      </w:pPr>
    </w:p>
    <w:p w:rsidR="00E54920" w:rsidRPr="006E437B" w:rsidRDefault="00E54920" w:rsidP="00DB605A">
      <w:pPr>
        <w:pStyle w:val="Sinespaciado"/>
        <w:ind w:left="2835"/>
        <w:rPr>
          <w:rFonts w:ascii="Times New Roman" w:hAnsi="Times New Roman" w:cs="Times New Roman"/>
          <w:sz w:val="24"/>
          <w:szCs w:val="24"/>
        </w:rPr>
      </w:pPr>
      <w:r w:rsidRPr="006E437B">
        <w:rPr>
          <w:rFonts w:ascii="Times New Roman" w:hAnsi="Times New Roman" w:cs="Times New Roman"/>
          <w:sz w:val="24"/>
          <w:szCs w:val="24"/>
        </w:rPr>
        <w:t>Celebrada el día 23 de septiembre de 2026.</w:t>
      </w:r>
    </w:p>
    <w:p w:rsidR="00E54920" w:rsidRPr="006E437B" w:rsidRDefault="00E54920" w:rsidP="00141629">
      <w:pPr>
        <w:pStyle w:val="Sinespaciado"/>
        <w:jc w:val="both"/>
        <w:rPr>
          <w:rFonts w:ascii="Times New Roman" w:hAnsi="Times New Roman" w:cs="Times New Roman"/>
          <w:sz w:val="24"/>
          <w:szCs w:val="24"/>
        </w:rPr>
      </w:pPr>
    </w:p>
    <w:p w:rsidR="00E54920" w:rsidRPr="006E437B" w:rsidRDefault="00E54920"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Presidencia del diputado Vladimir Hernández Villegas</w:t>
      </w:r>
      <w:r w:rsidR="000165AF" w:rsidRPr="006E437B">
        <w:rPr>
          <w:rFonts w:ascii="Times New Roman" w:hAnsi="Times New Roman" w:cs="Times New Roman"/>
          <w:sz w:val="24"/>
          <w:szCs w:val="24"/>
        </w:rPr>
        <w:t>.</w:t>
      </w:r>
    </w:p>
    <w:p w:rsidR="00E54920" w:rsidRPr="006E437B" w:rsidRDefault="00E54920" w:rsidP="00141629">
      <w:pPr>
        <w:pStyle w:val="Sinespaciado"/>
        <w:jc w:val="both"/>
        <w:rPr>
          <w:rFonts w:ascii="Times New Roman" w:hAnsi="Times New Roman" w:cs="Times New Roman"/>
          <w:sz w:val="24"/>
          <w:szCs w:val="24"/>
        </w:rPr>
      </w:pP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PRESIDENTE DIP. VLADIMIR HERNÁNDEZ VILLEGAS. </w:t>
      </w:r>
      <w:r w:rsidR="00B41F83" w:rsidRPr="006E437B">
        <w:rPr>
          <w:rFonts w:ascii="Times New Roman" w:hAnsi="Times New Roman" w:cs="Times New Roman"/>
          <w:sz w:val="24"/>
          <w:szCs w:val="24"/>
        </w:rPr>
        <w:t xml:space="preserve">Damos la bienvenida a quienes </w:t>
      </w:r>
      <w:r w:rsidRPr="006E437B">
        <w:rPr>
          <w:rFonts w:ascii="Times New Roman" w:hAnsi="Times New Roman" w:cs="Times New Roman"/>
          <w:sz w:val="24"/>
          <w:szCs w:val="24"/>
        </w:rPr>
        <w:t>integran la “LXII” Legislatura del Congreso del Estado de México Libre y Soberano de nuestro Estado y les agradezco su permanente disposición para cumplir con las funciones de esta Soberanía.</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Doy la bienvenida a los representantes de los medios de comunicación y a quienes se encuentran en este Recinto y en las redes sociales “La Casa del Pueblo”, la casa de las, los y les mexiquenses.</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Para desarrollar válidamente la Sesión</w:t>
      </w:r>
      <w:r w:rsidR="000373BD" w:rsidRPr="006E437B">
        <w:rPr>
          <w:rFonts w:ascii="Times New Roman" w:hAnsi="Times New Roman" w:cs="Times New Roman"/>
          <w:sz w:val="24"/>
          <w:szCs w:val="24"/>
        </w:rPr>
        <w:t>,</w:t>
      </w:r>
      <w:r w:rsidRPr="006E437B">
        <w:rPr>
          <w:rFonts w:ascii="Times New Roman" w:hAnsi="Times New Roman" w:cs="Times New Roman"/>
          <w:sz w:val="24"/>
          <w:szCs w:val="24"/>
        </w:rPr>
        <w:t xml:space="preserve"> pido a la Secretar</w:t>
      </w:r>
      <w:r w:rsidR="00416637" w:rsidRPr="006E437B">
        <w:rPr>
          <w:rFonts w:ascii="Times New Roman" w:hAnsi="Times New Roman" w:cs="Times New Roman"/>
          <w:sz w:val="24"/>
          <w:szCs w:val="24"/>
        </w:rPr>
        <w:t>í</w:t>
      </w:r>
      <w:r w:rsidRPr="006E437B">
        <w:rPr>
          <w:rFonts w:ascii="Times New Roman" w:hAnsi="Times New Roman" w:cs="Times New Roman"/>
          <w:sz w:val="24"/>
          <w:szCs w:val="24"/>
        </w:rPr>
        <w:t>a verifique el quórum</w:t>
      </w:r>
      <w:r w:rsidR="000373BD" w:rsidRPr="006E437B">
        <w:rPr>
          <w:rFonts w:ascii="Times New Roman" w:hAnsi="Times New Roman" w:cs="Times New Roman"/>
          <w:sz w:val="24"/>
          <w:szCs w:val="24"/>
        </w:rPr>
        <w:t>,</w:t>
      </w:r>
      <w:r w:rsidRPr="006E437B">
        <w:rPr>
          <w:rFonts w:ascii="Times New Roman" w:hAnsi="Times New Roman" w:cs="Times New Roman"/>
          <w:sz w:val="24"/>
          <w:szCs w:val="24"/>
        </w:rPr>
        <w:t xml:space="preserve"> abriendo el sistema electrónico de asistencia hasta por 5 minutos</w:t>
      </w:r>
      <w:r w:rsidR="0010462A" w:rsidRPr="006E437B">
        <w:rPr>
          <w:rFonts w:ascii="Times New Roman" w:hAnsi="Times New Roman" w:cs="Times New Roman"/>
          <w:sz w:val="24"/>
          <w:szCs w:val="24"/>
        </w:rPr>
        <w:t>,</w:t>
      </w:r>
      <w:r w:rsidRPr="006E437B">
        <w:rPr>
          <w:rFonts w:ascii="Times New Roman" w:hAnsi="Times New Roman" w:cs="Times New Roman"/>
          <w:sz w:val="24"/>
          <w:szCs w:val="24"/>
        </w:rPr>
        <w:t xml:space="preserve"> al constituirse el quórum será abierta la Sesión.</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SECRETARIO DIP. MARIANO CAMACHO SAN MARTÍN. </w:t>
      </w:r>
      <w:r w:rsidR="00443F45" w:rsidRPr="006E437B">
        <w:rPr>
          <w:rFonts w:ascii="Times New Roman" w:hAnsi="Times New Roman" w:cs="Times New Roman"/>
          <w:sz w:val="24"/>
          <w:szCs w:val="24"/>
        </w:rPr>
        <w:t>Á</w:t>
      </w:r>
      <w:r w:rsidRPr="006E437B">
        <w:rPr>
          <w:rFonts w:ascii="Times New Roman" w:hAnsi="Times New Roman" w:cs="Times New Roman"/>
          <w:sz w:val="24"/>
          <w:szCs w:val="24"/>
        </w:rPr>
        <w:t>brase el sistema electrónico de asistencia hasta por 5 minutos.</w:t>
      </w:r>
    </w:p>
    <w:p w:rsidR="00E54920" w:rsidRPr="006E437B" w:rsidRDefault="00E54920"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 xml:space="preserve">(Registro de </w:t>
      </w:r>
      <w:r w:rsidR="000373BD" w:rsidRPr="006E437B">
        <w:rPr>
          <w:rFonts w:ascii="Times New Roman" w:hAnsi="Times New Roman" w:cs="Times New Roman"/>
          <w:i/>
          <w:sz w:val="24"/>
          <w:szCs w:val="24"/>
        </w:rPr>
        <w:t>asistencia</w:t>
      </w:r>
      <w:r w:rsidRPr="006E437B">
        <w:rPr>
          <w:rFonts w:ascii="Times New Roman" w:hAnsi="Times New Roman" w:cs="Times New Roman"/>
          <w:i/>
          <w:sz w:val="24"/>
          <w:szCs w:val="24"/>
        </w:rPr>
        <w:t>)</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SECRETARIO DIP. MARIANO CAMACHO SAN MARTÍN. Ha sido verificado el quórum</w:t>
      </w:r>
      <w:r w:rsidR="000165AF" w:rsidRPr="006E437B">
        <w:rPr>
          <w:rFonts w:ascii="Times New Roman" w:hAnsi="Times New Roman" w:cs="Times New Roman"/>
          <w:sz w:val="24"/>
          <w:szCs w:val="24"/>
        </w:rPr>
        <w:t>,</w:t>
      </w:r>
      <w:r w:rsidRPr="006E437B">
        <w:rPr>
          <w:rFonts w:ascii="Times New Roman" w:hAnsi="Times New Roman" w:cs="Times New Roman"/>
          <w:sz w:val="24"/>
          <w:szCs w:val="24"/>
        </w:rPr>
        <w:t xml:space="preserve"> procede abrir la Sesión.</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Se declara la existencia del quórum y se abre la Sesión</w:t>
      </w:r>
      <w:r w:rsidR="000373BD" w:rsidRPr="006E437B">
        <w:rPr>
          <w:rFonts w:ascii="Times New Roman" w:hAnsi="Times New Roman" w:cs="Times New Roman"/>
          <w:sz w:val="24"/>
          <w:szCs w:val="24"/>
        </w:rPr>
        <w:t>,</w:t>
      </w:r>
      <w:r w:rsidRPr="006E437B">
        <w:rPr>
          <w:rFonts w:ascii="Times New Roman" w:hAnsi="Times New Roman" w:cs="Times New Roman"/>
          <w:sz w:val="24"/>
          <w:szCs w:val="24"/>
        </w:rPr>
        <w:t xml:space="preserve"> siendo las trece horas con dieciocho minutos del día miércoles veintitrés de septiembre del año dos mil veintiséis.</w:t>
      </w:r>
    </w:p>
    <w:p w:rsidR="00E54920" w:rsidRPr="006E437B" w:rsidRDefault="00E5492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Refiera la Secretar</w:t>
      </w:r>
      <w:r w:rsidR="0010462A" w:rsidRPr="006E437B">
        <w:rPr>
          <w:rFonts w:ascii="Times New Roman" w:hAnsi="Times New Roman" w:cs="Times New Roman"/>
          <w:sz w:val="24"/>
          <w:szCs w:val="24"/>
        </w:rPr>
        <w:t>í</w:t>
      </w:r>
      <w:r w:rsidRPr="006E437B">
        <w:rPr>
          <w:rFonts w:ascii="Times New Roman" w:hAnsi="Times New Roman" w:cs="Times New Roman"/>
          <w:sz w:val="24"/>
          <w:szCs w:val="24"/>
        </w:rPr>
        <w:t xml:space="preserve">a la propuesta del </w:t>
      </w:r>
      <w:r w:rsidR="00B85F0B" w:rsidRPr="006E437B">
        <w:rPr>
          <w:rFonts w:ascii="Times New Roman" w:hAnsi="Times New Roman" w:cs="Times New Roman"/>
          <w:sz w:val="24"/>
          <w:szCs w:val="24"/>
        </w:rPr>
        <w:t xml:space="preserve">orden </w:t>
      </w:r>
      <w:r w:rsidRPr="006E437B">
        <w:rPr>
          <w:rFonts w:ascii="Times New Roman" w:hAnsi="Times New Roman" w:cs="Times New Roman"/>
          <w:sz w:val="24"/>
          <w:szCs w:val="24"/>
        </w:rPr>
        <w:t>del día.</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SECRETARIA DIP. YESICA YANET ROJAS HERNÁNDEZ. La propuesta del orden del día es la siguiente:</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1. Acta de la Sesión anterior.</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2. Lectura y acuerdo conducente de la Iniciativa con Proyecto de Decreto por el que se reforman el artículo 9</w:t>
      </w:r>
      <w:r w:rsidR="00695D2A" w:rsidRPr="006E437B">
        <w:rPr>
          <w:rFonts w:ascii="Times New Roman" w:hAnsi="Times New Roman" w:cs="Times New Roman"/>
          <w:sz w:val="24"/>
          <w:szCs w:val="24"/>
        </w:rPr>
        <w:t xml:space="preserve"> d</w:t>
      </w:r>
      <w:r w:rsidRPr="006E437B">
        <w:rPr>
          <w:rFonts w:ascii="Times New Roman" w:hAnsi="Times New Roman" w:cs="Times New Roman"/>
          <w:sz w:val="24"/>
          <w:szCs w:val="24"/>
        </w:rPr>
        <w:t>el párrafo tercero del artículo 228, el párrafo segundo del artículo 229 y el artículo 234 del Código Penal del Estado de México, se adiciona la fracción VII del artículo 2.130 recorriéndose en la subsecuente, se adiciona un párrafo al artículo 2.134 y se adicional el párrafo 2.135 Bis al Código para la Biodiversidad del Estado de México, se adicionan los párrafos al artículo 5.6</w:t>
      </w:r>
      <w:r w:rsidR="00C06CEC" w:rsidRPr="006E437B">
        <w:rPr>
          <w:rFonts w:ascii="Times New Roman" w:hAnsi="Times New Roman" w:cs="Times New Roman"/>
          <w:sz w:val="24"/>
          <w:szCs w:val="24"/>
        </w:rPr>
        <w:t>;</w:t>
      </w:r>
      <w:r w:rsidRPr="006E437B">
        <w:rPr>
          <w:rFonts w:ascii="Times New Roman" w:hAnsi="Times New Roman" w:cs="Times New Roman"/>
          <w:sz w:val="24"/>
          <w:szCs w:val="24"/>
        </w:rPr>
        <w:t xml:space="preserve"> se adiciona la fracción V al artículo 5.57 al Código Administrativo del Estado de México, en materia de sanciones en delitos de incendios forestales y protección de áreas naturales protegidas presentada por la </w:t>
      </w:r>
      <w:r w:rsidR="004261A7"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Arleth Stephanie Grimaldo Osorio, en nombre del Grupo Parlamentario del Partido morena.</w:t>
      </w:r>
    </w:p>
    <w:p w:rsidR="00E54920"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3. Lectura y acuerdo conducente de la Iniciativa con Proyecto de Decreto por el que se reforman y adicionan diversas disposiciones de la Ley de Educación del Estado de México y del Código Administrativo del Estado de México, en materia de acceso de agua potable en planteles de educación básica, presentada por la </w:t>
      </w:r>
      <w:r w:rsidR="004261A7"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Jennifer Nathalie González López, en nombre del Grupo Parlamentario del Partido morena.</w:t>
      </w:r>
    </w:p>
    <w:p w:rsidR="00FD5FF1" w:rsidRPr="006E437B" w:rsidRDefault="00E5492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4. Lectura y acuerdo conducente de la Iniciativa con Proyecto de Decreto por el que se declara “2027 Bicentenario de la Promulgación en Texcoco de la Primera </w:t>
      </w:r>
      <w:r w:rsidR="00091B9C" w:rsidRPr="006E437B">
        <w:rPr>
          <w:rFonts w:ascii="Times New Roman" w:hAnsi="Times New Roman" w:cs="Times New Roman"/>
          <w:sz w:val="24"/>
          <w:szCs w:val="24"/>
        </w:rPr>
        <w:t>Constitución</w:t>
      </w:r>
      <w:r w:rsidR="00FD5FF1" w:rsidRPr="006E437B">
        <w:rPr>
          <w:rFonts w:ascii="Times New Roman" w:hAnsi="Times New Roman" w:cs="Times New Roman"/>
          <w:sz w:val="24"/>
          <w:szCs w:val="24"/>
        </w:rPr>
        <w:t xml:space="preserve"> del Estado de México</w:t>
      </w:r>
      <w:r w:rsidR="00E202EB" w:rsidRPr="006E437B">
        <w:rPr>
          <w:rFonts w:ascii="Times New Roman" w:hAnsi="Times New Roman" w:cs="Times New Roman"/>
          <w:sz w:val="24"/>
          <w:szCs w:val="24"/>
        </w:rPr>
        <w:t>”</w:t>
      </w:r>
      <w:r w:rsidR="00FD5FF1" w:rsidRPr="006E437B">
        <w:rPr>
          <w:rFonts w:ascii="Times New Roman" w:hAnsi="Times New Roman" w:cs="Times New Roman"/>
          <w:sz w:val="24"/>
          <w:szCs w:val="24"/>
        </w:rPr>
        <w:t xml:space="preserve">, presentada por la </w:t>
      </w:r>
      <w:r w:rsidR="00D929A1" w:rsidRPr="006E437B">
        <w:rPr>
          <w:rFonts w:ascii="Times New Roman" w:hAnsi="Times New Roman" w:cs="Times New Roman"/>
          <w:sz w:val="24"/>
          <w:szCs w:val="24"/>
        </w:rPr>
        <w:t xml:space="preserve">Diputada </w:t>
      </w:r>
      <w:r w:rsidR="00FD5FF1" w:rsidRPr="006E437B">
        <w:rPr>
          <w:rFonts w:ascii="Times New Roman" w:hAnsi="Times New Roman" w:cs="Times New Roman"/>
          <w:sz w:val="24"/>
          <w:szCs w:val="24"/>
        </w:rPr>
        <w:t>María José Pérez Domínguez</w:t>
      </w:r>
      <w:r w:rsidR="0008504B" w:rsidRPr="006E437B">
        <w:rPr>
          <w:rFonts w:ascii="Times New Roman" w:hAnsi="Times New Roman" w:cs="Times New Roman"/>
          <w:sz w:val="24"/>
          <w:szCs w:val="24"/>
        </w:rPr>
        <w:t>,</w:t>
      </w:r>
      <w:r w:rsidR="00FD5FF1" w:rsidRPr="006E437B">
        <w:rPr>
          <w:rFonts w:ascii="Times New Roman" w:hAnsi="Times New Roman" w:cs="Times New Roman"/>
          <w:sz w:val="24"/>
          <w:szCs w:val="24"/>
        </w:rPr>
        <w:t xml:space="preserve"> en nombre del Grupo Parlamentario del Partido morena.</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5. Lectura y acuerdo conducente de la Iniciativa con Proyecto de Decreto por el que se reforman diversas disposiciones del Código Civil del Estado de México y de la Ley de Derechos de Niños, Niñas y Adolescentes del Estado de México, en materia de guarda y custodia de menores e </w:t>
      </w:r>
      <w:r w:rsidRPr="006E437B">
        <w:rPr>
          <w:rFonts w:ascii="Times New Roman" w:hAnsi="Times New Roman" w:cs="Times New Roman"/>
          <w:sz w:val="24"/>
          <w:szCs w:val="24"/>
        </w:rPr>
        <w:lastRenderedPageBreak/>
        <w:t>incapaces, presentada por la Diputada María del Carmen de la Rosa Mendoza, en nombre del Grupo Parlamentario del Partido morena.</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6. Lectura y acuerdo conducente de la Iniciativa con Proyecto de Decreto por el que se reforma el artículo 4.71 y se adiciona un segundo párrafo a al artículo 4.70 del Código Civil del Estado de México, en materia de nulidad matrimonial por violencia, presentada por la </w:t>
      </w:r>
      <w:r w:rsidR="004261A7"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Itzel Daniela Ballesteros Lule, en nombre del Grupo Parlamentario del Partido morena.</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7. Lectura y acuerdo conducente de la Iniciativa de Decreto por el que se reforman y adicionan diversas disposiciones a la Ley del Agua para el Estado de México y Municipios, con las que se coadyuva a garantizar el derecho humano al acceso y disposición del agua para su uso y aprovechamiento en la vivienda o edificación de las personas mexiquenses y a través de sistemas de captación de agua pluvial e incentivos fiscales de carácter municipal, presentada por la </w:t>
      </w:r>
      <w:r w:rsidR="00D929A1"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Susana Estrada Rojas, en nombre del Grupo Parlamentario del Partido morena.</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8. Lectura y acuerdo conducente de la Iniciativa con Proyecto de Decreto por el que se reforma el párrafo cuarto del artículo 3.66, y se adiciona un tercer párrafo al artículo 3.67 del Código para la Biodiversidad del Estado de México, en materia de reforestación y restauración ecológica en zonas vulnerables a deslaves, erosión del suelo e inundaciones, presentada por el </w:t>
      </w:r>
      <w:r w:rsidR="00D929A1" w:rsidRPr="006E437B">
        <w:rPr>
          <w:rFonts w:ascii="Times New Roman" w:hAnsi="Times New Roman" w:cs="Times New Roman"/>
          <w:sz w:val="24"/>
          <w:szCs w:val="24"/>
        </w:rPr>
        <w:t xml:space="preserve">Diputado </w:t>
      </w:r>
      <w:r w:rsidRPr="006E437B">
        <w:rPr>
          <w:rFonts w:ascii="Times New Roman" w:hAnsi="Times New Roman" w:cs="Times New Roman"/>
          <w:sz w:val="24"/>
          <w:szCs w:val="24"/>
        </w:rPr>
        <w:t>Carlos Alberto López Imm, en nombre del Grupo Parlamentario del Partido Verde Ecologista de México.</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9. Lectura y acuerdo conducente de la Iniciativa con Proyecto de Decreto por el que se adiciona un último párrafo al artículo 75, un tercer párrafo al artículo 159 de la Ley del Agua para el Estado de México y Municipios, a fin de garantizar a la ciudadanía el suministro diario de 100 litros de agua, presentada por la </w:t>
      </w:r>
      <w:r w:rsidR="00D929A1"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Miriam Silva Mata, en nombre del Grupo Parlamentario del Partido Verde Ecologista de México.</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10. Lectura y acuerdo conducente de la Iniciativa de Decreto por el que se declara la Celebración Tradicional del Señor del Huerto del Municipio de Atlacomulco</w:t>
      </w:r>
      <w:r w:rsidR="00794902" w:rsidRPr="006E437B">
        <w:rPr>
          <w:rFonts w:ascii="Times New Roman" w:hAnsi="Times New Roman" w:cs="Times New Roman"/>
          <w:sz w:val="24"/>
          <w:szCs w:val="24"/>
        </w:rPr>
        <w:t xml:space="preserve"> del </w:t>
      </w:r>
      <w:r w:rsidRPr="006E437B">
        <w:rPr>
          <w:rFonts w:ascii="Times New Roman" w:hAnsi="Times New Roman" w:cs="Times New Roman"/>
          <w:sz w:val="24"/>
          <w:szCs w:val="24"/>
        </w:rPr>
        <w:t xml:space="preserve">Estado de México, como Patrimonio Cultural Inmaterial del Estado de México, presentada por la </w:t>
      </w:r>
      <w:r w:rsidR="00D929A1"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Alejandra Figueroa Adame, en nombre del Grupo Parlamentario del Partido Verde Ecologista de México.</w:t>
      </w:r>
    </w:p>
    <w:p w:rsidR="005754B6"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11. Lectura y acuerdo conducente de la Iniciativa con Proyecto de Decreto que</w:t>
      </w:r>
      <w:r w:rsidR="00794902" w:rsidRPr="006E437B">
        <w:rPr>
          <w:rFonts w:ascii="Times New Roman" w:hAnsi="Times New Roman" w:cs="Times New Roman"/>
          <w:sz w:val="24"/>
          <w:szCs w:val="24"/>
        </w:rPr>
        <w:t xml:space="preserve"> se</w:t>
      </w:r>
      <w:r w:rsidRPr="006E437B">
        <w:rPr>
          <w:rFonts w:ascii="Times New Roman" w:hAnsi="Times New Roman" w:cs="Times New Roman"/>
          <w:sz w:val="24"/>
          <w:szCs w:val="24"/>
        </w:rPr>
        <w:t xml:space="preserve"> adiciona un texto a las fracciones X y XXIII del artículo 48</w:t>
      </w:r>
      <w:r w:rsidR="00794902" w:rsidRPr="006E437B">
        <w:rPr>
          <w:rFonts w:ascii="Times New Roman" w:hAnsi="Times New Roman" w:cs="Times New Roman"/>
          <w:sz w:val="24"/>
          <w:szCs w:val="24"/>
        </w:rPr>
        <w:t xml:space="preserve"> y</w:t>
      </w:r>
      <w:r w:rsidRPr="006E437B">
        <w:rPr>
          <w:rFonts w:ascii="Times New Roman" w:hAnsi="Times New Roman" w:cs="Times New Roman"/>
          <w:sz w:val="24"/>
          <w:szCs w:val="24"/>
        </w:rPr>
        <w:t xml:space="preserve"> se adiciona una fracción XIV Bis al artículo 96 Quaterdecies, y se adiciona el artículo 121 Bis de la Ley Orgánica Municipal del Estado Libre y Soberano de México, con la finalidad de que se publique en la Gaceta Municipal de los once municipios alertados por feminicidio y desaparición, los montos que les fueron asignados para la atención de Alertas de Género</w:t>
      </w:r>
      <w:r w:rsidR="005754B6" w:rsidRPr="006E437B">
        <w:rPr>
          <w:rFonts w:ascii="Times New Roman" w:hAnsi="Times New Roman" w:cs="Times New Roman"/>
          <w:sz w:val="24"/>
          <w:szCs w:val="24"/>
        </w:rPr>
        <w:t xml:space="preserve">; </w:t>
      </w:r>
      <w:r w:rsidRPr="006E437B">
        <w:rPr>
          <w:rFonts w:ascii="Times New Roman" w:hAnsi="Times New Roman" w:cs="Times New Roman"/>
          <w:sz w:val="24"/>
          <w:szCs w:val="24"/>
        </w:rPr>
        <w:t>así como los planes operativos correspondientes, presentada por la Diputada Ana Yurixi Leyva Piñón, en nombre del Grupo Parlamentario del Partido del Trabajo.</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12. Lectura y acuerdo conducente de la Iniciativa con Proyecto de Decreto por el que se reforman y adicionan diversas disposiciones de la Ley de Salud del Estado de México y se reforma el artículo 5 de la Ley para Prevenir, Combatir y Eliminar Actos de Discriminación en el Estado de México, en materia de prevención, diagnóstico, atención y seguimiento de lupus y otras enfermedades autoinmunes, presentada por el </w:t>
      </w:r>
      <w:r w:rsidR="00D929A1" w:rsidRPr="006E437B">
        <w:rPr>
          <w:rFonts w:ascii="Times New Roman" w:hAnsi="Times New Roman" w:cs="Times New Roman"/>
          <w:sz w:val="24"/>
          <w:szCs w:val="24"/>
        </w:rPr>
        <w:t xml:space="preserve">Diputado </w:t>
      </w:r>
      <w:r w:rsidRPr="006E437B">
        <w:rPr>
          <w:rFonts w:ascii="Times New Roman" w:hAnsi="Times New Roman" w:cs="Times New Roman"/>
          <w:sz w:val="24"/>
          <w:szCs w:val="24"/>
        </w:rPr>
        <w:t>Isaac Josué Hernández Méndez, en nombre del Grupo Parlamentario del Partido del Trabajo.</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13. Lectura y acuerdo conducente de la Iniciativa con Proyecto de Decreto por el que se reforma la Constitución Política del Estado Libre y Soberano de México, para garantizar que el presupuesto del campo mexiquense crezca al menos 10% cada año, presentada por la </w:t>
      </w:r>
      <w:r w:rsidR="00D929A1"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Leticia Mejía García, en nombre del Grupo Parlamentario del Partido Revolucionario Institucional.</w:t>
      </w:r>
    </w:p>
    <w:p w:rsidR="00FD5FF1"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14. Lectura y acuerdo conducente de la Iniciativa con Proyecto de Decreto por el que se reforma la fracción XXII del artículo 290 del Código Penal del Estado de México, en materia de robo de combustible que ofrecen las unidades económicas, presentada por la diputada Emma Laura Álvarez Villavicencio y el </w:t>
      </w:r>
      <w:r w:rsidR="00D929A1" w:rsidRPr="006E437B">
        <w:rPr>
          <w:rFonts w:ascii="Times New Roman" w:hAnsi="Times New Roman" w:cs="Times New Roman"/>
          <w:sz w:val="24"/>
          <w:szCs w:val="24"/>
        </w:rPr>
        <w:t xml:space="preserve">Diputado </w:t>
      </w:r>
      <w:r w:rsidRPr="006E437B">
        <w:rPr>
          <w:rFonts w:ascii="Times New Roman" w:hAnsi="Times New Roman" w:cs="Times New Roman"/>
          <w:sz w:val="24"/>
          <w:szCs w:val="24"/>
        </w:rPr>
        <w:t>Pablo Fernández de Cevallos González, en nombre del Grupo Parlamentario del Partido Acción Nacional.</w:t>
      </w:r>
    </w:p>
    <w:p w:rsidR="007D0AD5" w:rsidRPr="006E437B" w:rsidRDefault="00FD5FF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lastRenderedPageBreak/>
        <w:t xml:space="preserve">15. Lectura y acuerdo conducente de la Iniciativa con Proyecto de Decreto, por el que se reforman y adicionan diversas disposiciones de la Ley que Regula </w:t>
      </w:r>
      <w:r w:rsidR="006E7D47" w:rsidRPr="006E437B">
        <w:rPr>
          <w:rFonts w:ascii="Times New Roman" w:hAnsi="Times New Roman" w:cs="Times New Roman"/>
          <w:sz w:val="24"/>
          <w:szCs w:val="24"/>
        </w:rPr>
        <w:t xml:space="preserve">el Uso de las </w:t>
      </w:r>
      <w:r w:rsidR="007D0AD5" w:rsidRPr="006E437B">
        <w:rPr>
          <w:rFonts w:ascii="Times New Roman" w:hAnsi="Times New Roman" w:cs="Times New Roman"/>
          <w:bCs/>
          <w:sz w:val="24"/>
          <w:szCs w:val="24"/>
        </w:rPr>
        <w:t xml:space="preserve">Tecnologías de la Información y Comunicación para la Seguridad Pública del Estado de México </w:t>
      </w:r>
      <w:r w:rsidR="007D0AD5" w:rsidRPr="006E437B">
        <w:rPr>
          <w:rFonts w:ascii="Times New Roman" w:hAnsi="Times New Roman" w:cs="Times New Roman"/>
          <w:sz w:val="24"/>
          <w:szCs w:val="24"/>
        </w:rPr>
        <w:t xml:space="preserve">y de la </w:t>
      </w:r>
      <w:r w:rsidR="007D0AD5" w:rsidRPr="006E437B">
        <w:rPr>
          <w:rFonts w:ascii="Times New Roman" w:hAnsi="Times New Roman" w:cs="Times New Roman"/>
          <w:bCs/>
          <w:sz w:val="24"/>
          <w:szCs w:val="24"/>
        </w:rPr>
        <w:t>Ley de Seguridad del Estado de México</w:t>
      </w:r>
      <w:r w:rsidR="007D0AD5" w:rsidRPr="006E437B">
        <w:rPr>
          <w:rFonts w:ascii="Times New Roman" w:hAnsi="Times New Roman" w:cs="Times New Roman"/>
          <w:sz w:val="24"/>
          <w:szCs w:val="24"/>
        </w:rPr>
        <w:t>, en materia de Cámaras Corporales para la Actuación Policial, presentada por la Diputada Krishna Karina Romero Velázquez y el Diputado Pablo Fernández de Cevallos González, en nombre del Grupo Parlamentario del Partido Acción Nacional.</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bCs/>
          <w:sz w:val="24"/>
          <w:szCs w:val="24"/>
        </w:rPr>
        <w:t xml:space="preserve">16. </w:t>
      </w:r>
      <w:r w:rsidRPr="006E437B">
        <w:rPr>
          <w:rFonts w:ascii="Times New Roman" w:hAnsi="Times New Roman" w:cs="Times New Roman"/>
          <w:sz w:val="24"/>
          <w:szCs w:val="24"/>
        </w:rPr>
        <w:t xml:space="preserve">Lectura y acuerdo conducente de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con Proyecto de Decreto por el que se expide la </w:t>
      </w:r>
      <w:r w:rsidRPr="006E437B">
        <w:rPr>
          <w:rFonts w:ascii="Times New Roman" w:hAnsi="Times New Roman" w:cs="Times New Roman"/>
          <w:bCs/>
          <w:sz w:val="24"/>
          <w:szCs w:val="24"/>
        </w:rPr>
        <w:t>Ley de Participación Ciudadana para el Estado de México</w:t>
      </w:r>
      <w:r w:rsidRPr="006E437B">
        <w:rPr>
          <w:rFonts w:ascii="Times New Roman" w:hAnsi="Times New Roman" w:cs="Times New Roman"/>
          <w:sz w:val="24"/>
          <w:szCs w:val="24"/>
        </w:rPr>
        <w:t xml:space="preserve">; se deroga el Título Décimo denominado “Del Testigo Social” del Libro Primero del </w:t>
      </w:r>
      <w:r w:rsidRPr="006E437B">
        <w:rPr>
          <w:rFonts w:ascii="Times New Roman" w:hAnsi="Times New Roman" w:cs="Times New Roman"/>
          <w:bCs/>
          <w:sz w:val="24"/>
          <w:szCs w:val="24"/>
        </w:rPr>
        <w:t>Código Administrativo del Estado de México</w:t>
      </w:r>
      <w:r w:rsidRPr="006E437B">
        <w:rPr>
          <w:rFonts w:ascii="Times New Roman" w:hAnsi="Times New Roman" w:cs="Times New Roman"/>
          <w:sz w:val="24"/>
          <w:szCs w:val="24"/>
        </w:rPr>
        <w:t xml:space="preserve">; se reforma la fracción XII del artículo 3 y se adiciona el artículo 28 Bis de la </w:t>
      </w:r>
      <w:r w:rsidRPr="006E437B">
        <w:rPr>
          <w:rFonts w:ascii="Times New Roman" w:hAnsi="Times New Roman" w:cs="Times New Roman"/>
          <w:bCs/>
          <w:sz w:val="24"/>
          <w:szCs w:val="24"/>
        </w:rPr>
        <w:t>Ley de Contratación Pública del Estado de México y Municipios</w:t>
      </w:r>
      <w:r w:rsidRPr="006E437B">
        <w:rPr>
          <w:rFonts w:ascii="Times New Roman" w:hAnsi="Times New Roman" w:cs="Times New Roman"/>
          <w:sz w:val="24"/>
          <w:szCs w:val="24"/>
        </w:rPr>
        <w:t xml:space="preserve">; se adiciona un último párrafo al artículo 3 de la </w:t>
      </w:r>
      <w:r w:rsidRPr="006E437B">
        <w:rPr>
          <w:rFonts w:ascii="Times New Roman" w:hAnsi="Times New Roman" w:cs="Times New Roman"/>
          <w:bCs/>
          <w:sz w:val="24"/>
          <w:szCs w:val="24"/>
        </w:rPr>
        <w:t>Ley Orgánica Municipal del Estado de México</w:t>
      </w:r>
      <w:r w:rsidRPr="006E437B">
        <w:rPr>
          <w:rFonts w:ascii="Times New Roman" w:hAnsi="Times New Roman" w:cs="Times New Roman"/>
          <w:sz w:val="24"/>
          <w:szCs w:val="24"/>
        </w:rPr>
        <w:t xml:space="preserve">, y se adiciona un último párrafo al artículo 2 del </w:t>
      </w:r>
      <w:r w:rsidRPr="006E437B">
        <w:rPr>
          <w:rFonts w:ascii="Times New Roman" w:hAnsi="Times New Roman" w:cs="Times New Roman"/>
          <w:bCs/>
          <w:sz w:val="24"/>
          <w:szCs w:val="24"/>
        </w:rPr>
        <w:t>Código Electoral del Estado de México</w:t>
      </w:r>
      <w:r w:rsidRPr="006E437B">
        <w:rPr>
          <w:rFonts w:ascii="Times New Roman" w:hAnsi="Times New Roman" w:cs="Times New Roman"/>
          <w:sz w:val="24"/>
          <w:szCs w:val="24"/>
        </w:rPr>
        <w:t>, en materia de armonización legislativa en materia de participación ciudadana y armonización legislativa, presentada por el Grupo Parlamentario del Partido Movimiento Ciudadano.</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bCs/>
          <w:sz w:val="24"/>
          <w:szCs w:val="24"/>
        </w:rPr>
        <w:t xml:space="preserve">17. </w:t>
      </w:r>
      <w:r w:rsidRPr="006E437B">
        <w:rPr>
          <w:rFonts w:ascii="Times New Roman" w:hAnsi="Times New Roman" w:cs="Times New Roman"/>
          <w:sz w:val="24"/>
          <w:szCs w:val="24"/>
        </w:rPr>
        <w:t xml:space="preserve">Lectura y acuerdo conducente de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con Proyecto de Decreto “Ley Anti Grietas” que reforma y adiciona diversas disposiciones de la </w:t>
      </w:r>
      <w:r w:rsidRPr="006E437B">
        <w:rPr>
          <w:rFonts w:ascii="Times New Roman" w:hAnsi="Times New Roman" w:cs="Times New Roman"/>
          <w:bCs/>
          <w:sz w:val="24"/>
          <w:szCs w:val="24"/>
        </w:rPr>
        <w:t>Ley del Agua para el Estado de México y Municipios</w:t>
      </w:r>
      <w:r w:rsidRPr="006E437B">
        <w:rPr>
          <w:rFonts w:ascii="Times New Roman" w:hAnsi="Times New Roman" w:cs="Times New Roman"/>
          <w:sz w:val="24"/>
          <w:szCs w:val="24"/>
        </w:rPr>
        <w:t>, en materia de establecer, vigilar y mitigar el riesgo por hundimiento del terreno, presentada por el Grupo Parlamentario del Partido Movimiento Ciudadano.</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bCs/>
          <w:sz w:val="24"/>
          <w:szCs w:val="24"/>
        </w:rPr>
        <w:t xml:space="preserve">18. </w:t>
      </w:r>
      <w:r w:rsidRPr="006E437B">
        <w:rPr>
          <w:rFonts w:ascii="Times New Roman" w:hAnsi="Times New Roman" w:cs="Times New Roman"/>
          <w:sz w:val="24"/>
          <w:szCs w:val="24"/>
        </w:rPr>
        <w:t xml:space="preserve">Lectura y acuerdo conducente de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con Proyecto de Decreto por el que se adiciona la fracción XIX recorriéndose las subsecuentes del artículo 3, se reforma la fracción IV del artículo 11, se crea el Capítulo III Bis. De la Atención a las Enfermedades Crónicas y Potencialmente Discapacitantes dentro del Título Sexto De La Promoción, Prevención y Control De Enfermedades, se adicionan los artículos 111 Bis, 111 Ter, 111 Quater, 111 Quinquies y 111 </w:t>
      </w:r>
      <w:r w:rsidR="005C7F34" w:rsidRPr="006E437B">
        <w:rPr>
          <w:rFonts w:ascii="Times New Roman" w:hAnsi="Times New Roman" w:cs="Times New Roman"/>
          <w:sz w:val="24"/>
          <w:szCs w:val="24"/>
        </w:rPr>
        <w:t>Sexties</w:t>
      </w:r>
      <w:r w:rsidRPr="006E437B">
        <w:rPr>
          <w:rFonts w:ascii="Times New Roman" w:hAnsi="Times New Roman" w:cs="Times New Roman"/>
          <w:sz w:val="24"/>
          <w:szCs w:val="24"/>
        </w:rPr>
        <w:t xml:space="preserve"> de la </w:t>
      </w:r>
      <w:r w:rsidRPr="006E437B">
        <w:rPr>
          <w:rFonts w:ascii="Times New Roman" w:hAnsi="Times New Roman" w:cs="Times New Roman"/>
          <w:bCs/>
          <w:sz w:val="24"/>
          <w:szCs w:val="24"/>
        </w:rPr>
        <w:t>Ley de Salud del Estado de México</w:t>
      </w:r>
      <w:r w:rsidRPr="006E437B">
        <w:rPr>
          <w:rFonts w:ascii="Times New Roman" w:hAnsi="Times New Roman" w:cs="Times New Roman"/>
          <w:sz w:val="24"/>
          <w:szCs w:val="24"/>
        </w:rPr>
        <w:t>, en materia de reconocimiento de Enfermedades Crónicas y Potencialmente Discapacitantes, como lo es la fibromialgia, síndromes de dolor crónico y condiciones neurobiológicas fluctuantes, presentada por el Grupo Parlamentario del Partido de la Revolución Democrática.</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bCs/>
          <w:sz w:val="24"/>
          <w:szCs w:val="24"/>
        </w:rPr>
        <w:t xml:space="preserve">19. Aviso </w:t>
      </w:r>
      <w:r w:rsidRPr="006E437B">
        <w:rPr>
          <w:rFonts w:ascii="Times New Roman" w:hAnsi="Times New Roman" w:cs="Times New Roman"/>
          <w:sz w:val="24"/>
          <w:szCs w:val="24"/>
        </w:rPr>
        <w:t>a la Legislatura de la Presentación del Tercer Informe de Gobierno.</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bCs/>
          <w:sz w:val="24"/>
          <w:szCs w:val="24"/>
        </w:rPr>
        <w:t xml:space="preserve">20. </w:t>
      </w:r>
      <w:r w:rsidRPr="006E437B">
        <w:rPr>
          <w:rFonts w:ascii="Times New Roman" w:hAnsi="Times New Roman" w:cs="Times New Roman"/>
          <w:sz w:val="24"/>
          <w:szCs w:val="24"/>
        </w:rPr>
        <w:t>Clausura de la Sesión.</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Pido a quienes estén de acuerdo en que la propuesta que ha referido la Secretaría</w:t>
      </w:r>
      <w:r w:rsidR="00B85F0B" w:rsidRPr="006E437B">
        <w:rPr>
          <w:rFonts w:ascii="Times New Roman" w:hAnsi="Times New Roman" w:cs="Times New Roman"/>
          <w:sz w:val="24"/>
          <w:szCs w:val="24"/>
        </w:rPr>
        <w:t>,</w:t>
      </w:r>
      <w:r w:rsidRPr="006E437B">
        <w:rPr>
          <w:rFonts w:ascii="Times New Roman" w:hAnsi="Times New Roman" w:cs="Times New Roman"/>
          <w:sz w:val="24"/>
          <w:szCs w:val="24"/>
        </w:rPr>
        <w:t xml:space="preserve"> sea aprobada como orden del día, se sirvan a levantar la mano ¿En contra? ¿En abstención?</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SECRETARIA DIP. </w:t>
      </w:r>
      <w:r w:rsidR="00B337AA" w:rsidRPr="006E437B">
        <w:rPr>
          <w:rFonts w:ascii="Times New Roman" w:hAnsi="Times New Roman" w:cs="Times New Roman"/>
          <w:sz w:val="24"/>
          <w:szCs w:val="24"/>
        </w:rPr>
        <w:t xml:space="preserve">ROCÍO </w:t>
      </w:r>
      <w:r w:rsidRPr="006E437B">
        <w:rPr>
          <w:rFonts w:ascii="Times New Roman" w:hAnsi="Times New Roman" w:cs="Times New Roman"/>
          <w:sz w:val="24"/>
          <w:szCs w:val="24"/>
        </w:rPr>
        <w:t>ALEXIA DÁVILA SÁNCHEZ. La propuesta del orden del día ha sido aprobada por unanimidad de votos.</w:t>
      </w:r>
    </w:p>
    <w:p w:rsidR="00E24666"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¿Diputado Osvaldo, con qué objeto? Bien diputado Zepeda</w:t>
      </w:r>
      <w:r w:rsidR="00B85F0B" w:rsidRPr="006E437B">
        <w:rPr>
          <w:rFonts w:ascii="Times New Roman" w:hAnsi="Times New Roman" w:cs="Times New Roman"/>
          <w:sz w:val="24"/>
          <w:szCs w:val="24"/>
        </w:rPr>
        <w:t>,</w:t>
      </w:r>
      <w:r w:rsidRPr="006E437B">
        <w:rPr>
          <w:rFonts w:ascii="Times New Roman" w:hAnsi="Times New Roman" w:cs="Times New Roman"/>
          <w:sz w:val="24"/>
          <w:szCs w:val="24"/>
        </w:rPr>
        <w:t xml:space="preserve"> también.</w:t>
      </w:r>
    </w:p>
    <w:p w:rsidR="007D0AD5" w:rsidRPr="006E437B" w:rsidRDefault="007D0AD5"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Damos el uso de la voz al diputado Osvaldo, posteriormente diputado Juan Zepeda. ¿Diputado Javier, dígame con qué objeto? </w:t>
      </w:r>
      <w:r w:rsidR="00E24666" w:rsidRPr="006E437B">
        <w:rPr>
          <w:rFonts w:ascii="Times New Roman" w:hAnsi="Times New Roman" w:cs="Times New Roman"/>
          <w:sz w:val="24"/>
          <w:szCs w:val="24"/>
        </w:rPr>
        <w:t xml:space="preserve">En </w:t>
      </w:r>
      <w:r w:rsidRPr="006E437B">
        <w:rPr>
          <w:rFonts w:ascii="Times New Roman" w:hAnsi="Times New Roman" w:cs="Times New Roman"/>
          <w:sz w:val="24"/>
          <w:szCs w:val="24"/>
        </w:rPr>
        <w:t>ese mis</w:t>
      </w:r>
      <w:r w:rsidR="00A94CB4" w:rsidRPr="006E437B">
        <w:rPr>
          <w:rFonts w:ascii="Times New Roman" w:hAnsi="Times New Roman" w:cs="Times New Roman"/>
          <w:sz w:val="24"/>
          <w:szCs w:val="24"/>
        </w:rPr>
        <w:t>m</w:t>
      </w:r>
      <w:r w:rsidRPr="006E437B">
        <w:rPr>
          <w:rFonts w:ascii="Times New Roman" w:hAnsi="Times New Roman" w:cs="Times New Roman"/>
          <w:sz w:val="24"/>
          <w:szCs w:val="24"/>
        </w:rPr>
        <w:t>o orden</w:t>
      </w:r>
      <w:r w:rsidR="00A94CB4" w:rsidRPr="006E437B">
        <w:rPr>
          <w:rFonts w:ascii="Times New Roman" w:hAnsi="Times New Roman" w:cs="Times New Roman"/>
          <w:sz w:val="24"/>
          <w:szCs w:val="24"/>
        </w:rPr>
        <w:t>, a</w:t>
      </w:r>
      <w:r w:rsidRPr="006E437B">
        <w:rPr>
          <w:rFonts w:ascii="Times New Roman" w:hAnsi="Times New Roman" w:cs="Times New Roman"/>
          <w:sz w:val="24"/>
          <w:szCs w:val="24"/>
        </w:rPr>
        <w:t>delante diputado Osvaldo.</w:t>
      </w:r>
    </w:p>
    <w:p w:rsidR="00A94CB4"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OSVALDO CORTÉS CONTRERAS (Desde su curul). Con el permiso de la Mesa.</w:t>
      </w:r>
    </w:p>
    <w:p w:rsidR="007D0AD5" w:rsidRPr="006E437B" w:rsidRDefault="007D0AD5"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Quisiera aprovechar este espacio para hacer un llamado respetuoso a las autoridades de la Comisión Federal de Electricidad y de manera más específica</w:t>
      </w:r>
      <w:r w:rsidR="00A94CB4" w:rsidRPr="006E437B">
        <w:rPr>
          <w:rFonts w:ascii="Times New Roman" w:hAnsi="Times New Roman" w:cs="Times New Roman"/>
          <w:sz w:val="24"/>
          <w:szCs w:val="24"/>
        </w:rPr>
        <w:t>,</w:t>
      </w:r>
      <w:r w:rsidRPr="006E437B">
        <w:rPr>
          <w:rFonts w:ascii="Times New Roman" w:hAnsi="Times New Roman" w:cs="Times New Roman"/>
          <w:sz w:val="24"/>
          <w:szCs w:val="24"/>
        </w:rPr>
        <w:t xml:space="preserve"> al Superintendente de la Zona Ecatepec, División Valle de México Norte, el Ingeniero Alfonso Garrido López, a evitar cortes de energía en instalaciones que pudiésemos llamar que para efectos municipales son de naturaleza estratégica como lo son pozos y cárcamos; ya que el pasado lunes 21 de septiembre personal de la CFE, acompañado del personal de la Guardia Nacional, acudió al Municipio de Acolman a realizar cortes de energía en 10 instalaciones, entre ellas</w:t>
      </w:r>
      <w:r w:rsidR="00C54143" w:rsidRPr="006E437B">
        <w:rPr>
          <w:rFonts w:ascii="Times New Roman" w:hAnsi="Times New Roman" w:cs="Times New Roman"/>
          <w:sz w:val="24"/>
          <w:szCs w:val="24"/>
        </w:rPr>
        <w:t>:</w:t>
      </w:r>
      <w:r w:rsidRPr="006E437B">
        <w:rPr>
          <w:rFonts w:ascii="Times New Roman" w:hAnsi="Times New Roman" w:cs="Times New Roman"/>
          <w:sz w:val="24"/>
          <w:szCs w:val="24"/>
        </w:rPr>
        <w:t xml:space="preserve"> pozos y cárcamos en el mencionado Municipio.</w:t>
      </w:r>
    </w:p>
    <w:p w:rsidR="007D0AD5"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lastRenderedPageBreak/>
        <w:tab/>
        <w:t>Déjenme comentar rápidamente, este tipo de afectaciones tuvieron un impacto importante en la población, estamos hablando de entre 70 mil y 80 mil Acolmenses que se vieron afectados por estos cortes de suministro de energía eléctrica.</w:t>
      </w:r>
    </w:p>
    <w:p w:rsidR="0091006B" w:rsidRPr="006E437B" w:rsidRDefault="007D0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Cabe mencionar que, según tengo conocimiento el Municipio de Acolman y sus órganos desconcentrados</w:t>
      </w:r>
      <w:r w:rsidR="0023298B" w:rsidRPr="006E437B">
        <w:rPr>
          <w:rFonts w:ascii="Times New Roman" w:hAnsi="Times New Roman" w:cs="Times New Roman"/>
          <w:sz w:val="24"/>
          <w:szCs w:val="24"/>
        </w:rPr>
        <w:t>,</w:t>
      </w:r>
      <w:r w:rsidRPr="006E437B">
        <w:rPr>
          <w:rFonts w:ascii="Times New Roman" w:hAnsi="Times New Roman" w:cs="Times New Roman"/>
          <w:sz w:val="24"/>
          <w:szCs w:val="24"/>
        </w:rPr>
        <w:t xml:space="preserve"> están al corriente en el pago de las cuotas que tienen que absorber en materia</w:t>
      </w:r>
      <w:r w:rsidR="00291386" w:rsidRPr="006E437B">
        <w:rPr>
          <w:rFonts w:ascii="Times New Roman" w:hAnsi="Times New Roman" w:cs="Times New Roman"/>
          <w:sz w:val="24"/>
          <w:szCs w:val="24"/>
        </w:rPr>
        <w:t xml:space="preserve"> </w:t>
      </w:r>
      <w:r w:rsidR="0091006B" w:rsidRPr="006E437B">
        <w:rPr>
          <w:rFonts w:ascii="Times New Roman" w:hAnsi="Times New Roman" w:cs="Times New Roman"/>
          <w:sz w:val="24"/>
          <w:szCs w:val="24"/>
        </w:rPr>
        <w:t>de servicio de energía eléctrica.</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Sin embargo, decir como es bien sabido, en los municipios hay un problema histórico que nos aqueja, que son los adeudos históricos, muchos de ellos impagables en materia de adeudos pasados.</w:t>
      </w:r>
    </w:p>
    <w:p w:rsidR="00B639AE"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Déjenme comentar rápidamente que creo que soy respetuoso de las instituciones y sus facultades para poder allegarse de recursos y hacer los cobros que consideren correspondientes, sin embargo</w:t>
      </w:r>
      <w:r w:rsidR="0023298B" w:rsidRPr="006E437B">
        <w:rPr>
          <w:rFonts w:ascii="Times New Roman" w:hAnsi="Times New Roman" w:cs="Times New Roman"/>
          <w:sz w:val="24"/>
          <w:szCs w:val="24"/>
        </w:rPr>
        <w:t>;</w:t>
      </w:r>
      <w:r w:rsidRPr="006E437B">
        <w:rPr>
          <w:rFonts w:ascii="Times New Roman" w:hAnsi="Times New Roman" w:cs="Times New Roman"/>
          <w:sz w:val="24"/>
          <w:szCs w:val="24"/>
        </w:rPr>
        <w:t xml:space="preserve"> creo que la manera en la que fueron realizados estos cortes denota una falta de sensibilidad de quien lo llevó a cabo, porque como lo dije, es un tema muy delicado</w:t>
      </w:r>
      <w:r w:rsidR="00F34E51" w:rsidRPr="006E437B">
        <w:rPr>
          <w:rFonts w:ascii="Times New Roman" w:hAnsi="Times New Roman" w:cs="Times New Roman"/>
          <w:sz w:val="24"/>
          <w:szCs w:val="24"/>
        </w:rPr>
        <w:t>,</w:t>
      </w:r>
      <w:r w:rsidRPr="006E437B">
        <w:rPr>
          <w:rFonts w:ascii="Times New Roman" w:hAnsi="Times New Roman" w:cs="Times New Roman"/>
          <w:sz w:val="24"/>
          <w:szCs w:val="24"/>
        </w:rPr>
        <w:t xml:space="preserve"> los cortes al servicio de agua y el tema de los cárcamos, si bien</w:t>
      </w:r>
      <w:r w:rsidR="00F34E51" w:rsidRPr="006E437B">
        <w:rPr>
          <w:rFonts w:ascii="Times New Roman" w:hAnsi="Times New Roman" w:cs="Times New Roman"/>
          <w:sz w:val="24"/>
          <w:szCs w:val="24"/>
        </w:rPr>
        <w:t>,</w:t>
      </w:r>
      <w:r w:rsidRPr="006E437B">
        <w:rPr>
          <w:rFonts w:ascii="Times New Roman" w:hAnsi="Times New Roman" w:cs="Times New Roman"/>
          <w:sz w:val="24"/>
          <w:szCs w:val="24"/>
        </w:rPr>
        <w:t xml:space="preserve"> hemos estado padeciendo a nivel Estado de México un problema relevante con las lluvias, que cada vez son más fuertes y hemos estado padeciendo y los municipios han estado luchando para estar evitando el tema de las inundaciones</w:t>
      </w:r>
      <w:r w:rsidR="00F34E51" w:rsidRPr="006E437B">
        <w:rPr>
          <w:rFonts w:ascii="Times New Roman" w:hAnsi="Times New Roman" w:cs="Times New Roman"/>
          <w:sz w:val="24"/>
          <w:szCs w:val="24"/>
        </w:rPr>
        <w:t>;</w:t>
      </w:r>
      <w:r w:rsidRPr="006E437B">
        <w:rPr>
          <w:rFonts w:ascii="Times New Roman" w:hAnsi="Times New Roman" w:cs="Times New Roman"/>
          <w:sz w:val="24"/>
          <w:szCs w:val="24"/>
        </w:rPr>
        <w:t xml:space="preserve"> creo que cortes de esa naturaleza causan una afectación social muy importante de la sociedad, como lo dije </w:t>
      </w:r>
      <w:r w:rsidR="00F34E51" w:rsidRPr="006E437B">
        <w:rPr>
          <w:rFonts w:ascii="Times New Roman" w:hAnsi="Times New Roman" w:cs="Times New Roman"/>
          <w:sz w:val="24"/>
          <w:szCs w:val="24"/>
        </w:rPr>
        <w:t xml:space="preserve">ya </w:t>
      </w:r>
      <w:r w:rsidRPr="006E437B">
        <w:rPr>
          <w:rFonts w:ascii="Times New Roman" w:hAnsi="Times New Roman" w:cs="Times New Roman"/>
          <w:sz w:val="24"/>
          <w:szCs w:val="24"/>
        </w:rPr>
        <w:t>sin mencionar el tema de los cortes en materia de agua, que está por demás decirlo, es un derecho humano el que se tiene; entonces quiero hacer un llamado a las autoridades de la Comisión Federal de Electricidad a ser más cuidadosos en las formas, porque la Guardia Nacional no fue cread</w:t>
      </w:r>
      <w:r w:rsidR="00F34E51" w:rsidRPr="006E437B">
        <w:rPr>
          <w:rFonts w:ascii="Times New Roman" w:hAnsi="Times New Roman" w:cs="Times New Roman"/>
          <w:sz w:val="24"/>
          <w:szCs w:val="24"/>
        </w:rPr>
        <w:t>a</w:t>
      </w:r>
      <w:r w:rsidRPr="006E437B">
        <w:rPr>
          <w:rFonts w:ascii="Times New Roman" w:hAnsi="Times New Roman" w:cs="Times New Roman"/>
          <w:sz w:val="24"/>
          <w:szCs w:val="24"/>
        </w:rPr>
        <w:t xml:space="preserve"> para reprimir al pueblo, desconozco la razón de ser, de ir acompañado de </w:t>
      </w:r>
      <w:r w:rsidR="00B639AE" w:rsidRPr="006E437B">
        <w:rPr>
          <w:rFonts w:ascii="Times New Roman" w:hAnsi="Times New Roman" w:cs="Times New Roman"/>
          <w:sz w:val="24"/>
          <w:szCs w:val="24"/>
        </w:rPr>
        <w:t>3</w:t>
      </w:r>
      <w:r w:rsidRPr="006E437B">
        <w:rPr>
          <w:rFonts w:ascii="Times New Roman" w:hAnsi="Times New Roman" w:cs="Times New Roman"/>
          <w:sz w:val="24"/>
          <w:szCs w:val="24"/>
        </w:rPr>
        <w:t xml:space="preserve"> patrullas de la Guardia Nacional al personal de la Comisión Federal de Electricidad</w:t>
      </w:r>
      <w:r w:rsidR="00B639AE" w:rsidRPr="006E437B">
        <w:rPr>
          <w:rFonts w:ascii="Times New Roman" w:hAnsi="Times New Roman" w:cs="Times New Roman"/>
          <w:sz w:val="24"/>
          <w:szCs w:val="24"/>
        </w:rPr>
        <w:t>.</w:t>
      </w:r>
    </w:p>
    <w:p w:rsidR="0091006B" w:rsidRPr="006E437B" w:rsidRDefault="00B639A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Yo </w:t>
      </w:r>
      <w:r w:rsidR="0091006B" w:rsidRPr="006E437B">
        <w:rPr>
          <w:rFonts w:ascii="Times New Roman" w:hAnsi="Times New Roman" w:cs="Times New Roman"/>
          <w:sz w:val="24"/>
          <w:szCs w:val="24"/>
        </w:rPr>
        <w:t>quiero hacer un llamado a al diálogo a buscar los mejores acuerdos para poder llegar a las soluciones que nuestra gente necesita, que el pueblo nos demanda</w:t>
      </w:r>
      <w:r w:rsidRPr="006E437B">
        <w:rPr>
          <w:rFonts w:ascii="Times New Roman" w:hAnsi="Times New Roman" w:cs="Times New Roman"/>
          <w:sz w:val="24"/>
          <w:szCs w:val="24"/>
        </w:rPr>
        <w:t xml:space="preserve">; </w:t>
      </w:r>
      <w:r w:rsidR="0091006B" w:rsidRPr="006E437B">
        <w:rPr>
          <w:rFonts w:ascii="Times New Roman" w:hAnsi="Times New Roman" w:cs="Times New Roman"/>
          <w:sz w:val="24"/>
          <w:szCs w:val="24"/>
        </w:rPr>
        <w:t xml:space="preserve">creo que es importante el qué, </w:t>
      </w:r>
      <w:r w:rsidRPr="006E437B">
        <w:rPr>
          <w:rFonts w:ascii="Times New Roman" w:hAnsi="Times New Roman" w:cs="Times New Roman"/>
          <w:sz w:val="24"/>
          <w:szCs w:val="24"/>
        </w:rPr>
        <w:t>pero,</w:t>
      </w:r>
      <w:r w:rsidR="0091006B" w:rsidRPr="006E437B">
        <w:rPr>
          <w:rFonts w:ascii="Times New Roman" w:hAnsi="Times New Roman" w:cs="Times New Roman"/>
          <w:sz w:val="24"/>
          <w:szCs w:val="24"/>
        </w:rPr>
        <w:t xml:space="preserve"> sobre todo</w:t>
      </w:r>
      <w:r w:rsidRPr="006E437B">
        <w:rPr>
          <w:rFonts w:ascii="Times New Roman" w:hAnsi="Times New Roman" w:cs="Times New Roman"/>
          <w:sz w:val="24"/>
          <w:szCs w:val="24"/>
        </w:rPr>
        <w:t>,</w:t>
      </w:r>
      <w:r w:rsidR="0091006B" w:rsidRPr="006E437B">
        <w:rPr>
          <w:rFonts w:ascii="Times New Roman" w:hAnsi="Times New Roman" w:cs="Times New Roman"/>
          <w:sz w:val="24"/>
          <w:szCs w:val="24"/>
        </w:rPr>
        <w:t xml:space="preserve"> el cómo también.</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Reiter</w:t>
      </w:r>
      <w:r w:rsidR="001F53A5" w:rsidRPr="006E437B">
        <w:rPr>
          <w:rFonts w:ascii="Times New Roman" w:hAnsi="Times New Roman" w:cs="Times New Roman"/>
          <w:sz w:val="24"/>
          <w:szCs w:val="24"/>
        </w:rPr>
        <w:t>o</w:t>
      </w:r>
      <w:r w:rsidRPr="006E437B">
        <w:rPr>
          <w:rFonts w:ascii="Times New Roman" w:hAnsi="Times New Roman" w:cs="Times New Roman"/>
          <w:sz w:val="24"/>
          <w:szCs w:val="24"/>
        </w:rPr>
        <w:t xml:space="preserve"> ese llamado a las autoridades de Comisión Federal de Electricidad y a las autoridades municipales a poder llegar a un acuerdo donde podamos evitar ese tipo de afectaciones a la población.</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Es cuanto, muchas gracias.</w:t>
      </w:r>
    </w:p>
    <w:p w:rsidR="0091006B"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Se registra diputado, muchas gracias.</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Damos el uso de la voz al diputado Juan Zepeda Vargas.</w:t>
      </w:r>
    </w:p>
    <w:p w:rsidR="001F53A5"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JUAN MANUEL ZEPEDA HERNÁNDEZ (Desde su curul). Presidente buenas tardes.</w:t>
      </w:r>
    </w:p>
    <w:p w:rsidR="0091006B" w:rsidRPr="006E437B" w:rsidRDefault="0091006B" w:rsidP="00141629">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A través de su intervención solicitarle a la Asamblea un minuto de silencio en memoria del compañero César Fuentes Domínguez, Presidente Municipal de Tonatico, que, en días pasados, en un lamentable accidente perdió la vida.</w:t>
      </w:r>
    </w:p>
    <w:p w:rsidR="0091006B"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Claro que sí diputado.</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Pedimos a la Asamblea nos puede acompañar con un minuto de silencio, por favor.</w:t>
      </w:r>
    </w:p>
    <w:p w:rsidR="00AC11A8" w:rsidRPr="006E437B" w:rsidRDefault="00AC11A8"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(Se guarda un minuto de silencio)</w:t>
      </w:r>
    </w:p>
    <w:p w:rsidR="00A401E0"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JOSÉ MIGUEL GUTIÉRREZ MORALES (Desde su curul). Está bien. Está bien.</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Acaba de fallecer</w:t>
      </w:r>
      <w:r w:rsidR="00A401E0" w:rsidRPr="006E437B">
        <w:rPr>
          <w:rFonts w:ascii="Times New Roman" w:hAnsi="Times New Roman" w:cs="Times New Roman"/>
          <w:sz w:val="24"/>
          <w:szCs w:val="24"/>
        </w:rPr>
        <w:t>, p</w:t>
      </w:r>
      <w:r w:rsidRPr="006E437B">
        <w:rPr>
          <w:rFonts w:ascii="Times New Roman" w:hAnsi="Times New Roman" w:cs="Times New Roman"/>
          <w:sz w:val="24"/>
          <w:szCs w:val="24"/>
        </w:rPr>
        <w:t>or favor, le pido a los compañeros podamos también guardar un minuto de silencio. Gracias.</w:t>
      </w:r>
    </w:p>
    <w:p w:rsidR="0091006B"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Nos sumamos diputado</w:t>
      </w:r>
      <w:r w:rsidR="007135E2" w:rsidRPr="006E437B">
        <w:rPr>
          <w:rFonts w:ascii="Times New Roman" w:hAnsi="Times New Roman" w:cs="Times New Roman"/>
          <w:sz w:val="24"/>
          <w:szCs w:val="24"/>
        </w:rPr>
        <w:t>,</w:t>
      </w:r>
      <w:r w:rsidR="00A401E0" w:rsidRPr="006E437B">
        <w:rPr>
          <w:rFonts w:ascii="Times New Roman" w:hAnsi="Times New Roman" w:cs="Times New Roman"/>
          <w:sz w:val="24"/>
          <w:szCs w:val="24"/>
        </w:rPr>
        <w:t xml:space="preserve"> </w:t>
      </w:r>
      <w:r w:rsidRPr="006E437B">
        <w:rPr>
          <w:rFonts w:ascii="Times New Roman" w:hAnsi="Times New Roman" w:cs="Times New Roman"/>
          <w:sz w:val="24"/>
          <w:szCs w:val="24"/>
        </w:rPr>
        <w:t>gracias.</w:t>
      </w:r>
    </w:p>
    <w:p w:rsidR="0091006B"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MARIA JOSÉ PEREZ DOMÍNGUEZ (Desde su curul). También sumarnos al minuto de silencio por el fallecimiento reciente de la diputada federal Anahí Beltrán de Tultitlán.</w:t>
      </w:r>
    </w:p>
    <w:p w:rsidR="0091006B"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w:t>
      </w:r>
    </w:p>
    <w:p w:rsidR="0091006B"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En el orden en que se ha solicitado el uso de la voz, tiene el uso de la voz para hechos el diputado Javier Cruz</w:t>
      </w:r>
      <w:r w:rsidR="00A401E0" w:rsidRPr="006E437B">
        <w:rPr>
          <w:rFonts w:ascii="Times New Roman" w:hAnsi="Times New Roman" w:cs="Times New Roman"/>
          <w:sz w:val="24"/>
          <w:szCs w:val="24"/>
        </w:rPr>
        <w:t xml:space="preserve">, </w:t>
      </w:r>
      <w:r w:rsidR="00BC7A08" w:rsidRPr="006E437B">
        <w:rPr>
          <w:rFonts w:ascii="Times New Roman" w:hAnsi="Times New Roman" w:cs="Times New Roman"/>
          <w:sz w:val="24"/>
          <w:szCs w:val="24"/>
        </w:rPr>
        <w:t>ad</w:t>
      </w:r>
      <w:r w:rsidRPr="006E437B">
        <w:rPr>
          <w:rFonts w:ascii="Times New Roman" w:hAnsi="Times New Roman" w:cs="Times New Roman"/>
          <w:sz w:val="24"/>
          <w:szCs w:val="24"/>
        </w:rPr>
        <w:t>elante diputado.</w:t>
      </w:r>
    </w:p>
    <w:p w:rsidR="00D9515B" w:rsidRPr="006E437B" w:rsidRDefault="0091006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JAVIER CRUZ JARAMILLO (Desde su curul). Gracias diputado Presidente</w:t>
      </w:r>
      <w:r w:rsidR="00D9515B" w:rsidRPr="006E437B">
        <w:rPr>
          <w:rFonts w:ascii="Times New Roman" w:hAnsi="Times New Roman" w:cs="Times New Roman"/>
          <w:sz w:val="24"/>
          <w:szCs w:val="24"/>
        </w:rPr>
        <w:t>, c</w:t>
      </w:r>
      <w:r w:rsidR="00BC7A08" w:rsidRPr="006E437B">
        <w:rPr>
          <w:rFonts w:ascii="Times New Roman" w:hAnsi="Times New Roman" w:cs="Times New Roman"/>
          <w:sz w:val="24"/>
          <w:szCs w:val="24"/>
        </w:rPr>
        <w:t xml:space="preserve">on </w:t>
      </w:r>
      <w:r w:rsidRPr="006E437B">
        <w:rPr>
          <w:rFonts w:ascii="Times New Roman" w:hAnsi="Times New Roman" w:cs="Times New Roman"/>
          <w:sz w:val="24"/>
          <w:szCs w:val="24"/>
        </w:rPr>
        <w:t>su venia.</w:t>
      </w:r>
    </w:p>
    <w:p w:rsidR="00091B9C" w:rsidRPr="006E437B" w:rsidRDefault="009100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lastRenderedPageBreak/>
        <w:t>Saludo a las y a los integrantes de la Mesa Directiva y a las diputadas diputados</w:t>
      </w:r>
      <w:r w:rsidR="006E1765" w:rsidRPr="006E437B">
        <w:rPr>
          <w:rFonts w:ascii="Times New Roman" w:hAnsi="Times New Roman" w:cs="Times New Roman"/>
          <w:sz w:val="24"/>
          <w:szCs w:val="24"/>
        </w:rPr>
        <w:t xml:space="preserve"> ya la diputade, </w:t>
      </w:r>
      <w:r w:rsidR="00091B9C" w:rsidRPr="006E437B">
        <w:rPr>
          <w:rFonts w:ascii="Times New Roman" w:hAnsi="Times New Roman" w:cs="Times New Roman"/>
          <w:sz w:val="24"/>
          <w:szCs w:val="24"/>
        </w:rPr>
        <w:t>saludo también a los representantes de los medios de comunicación que hoy nos acompañan y a quienes nos encuentran el día de hoy</w:t>
      </w:r>
      <w:r w:rsidR="00876CED"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en es</w:t>
      </w:r>
      <w:r w:rsidR="00876CED" w:rsidRPr="006E437B">
        <w:rPr>
          <w:rFonts w:ascii="Times New Roman" w:hAnsi="Times New Roman" w:cs="Times New Roman"/>
          <w:sz w:val="24"/>
          <w:szCs w:val="24"/>
        </w:rPr>
        <w:t>t</w:t>
      </w:r>
      <w:r w:rsidR="00091B9C" w:rsidRPr="006E437B">
        <w:rPr>
          <w:rFonts w:ascii="Times New Roman" w:hAnsi="Times New Roman" w:cs="Times New Roman"/>
          <w:sz w:val="24"/>
          <w:szCs w:val="24"/>
        </w:rPr>
        <w:t xml:space="preserve">e </w:t>
      </w:r>
      <w:r w:rsidR="00BC7A08" w:rsidRPr="006E437B">
        <w:rPr>
          <w:rFonts w:ascii="Times New Roman" w:hAnsi="Times New Roman" w:cs="Times New Roman"/>
          <w:sz w:val="24"/>
          <w:szCs w:val="24"/>
        </w:rPr>
        <w:t>Reci</w:t>
      </w:r>
      <w:r w:rsidR="00876CED" w:rsidRPr="006E437B">
        <w:rPr>
          <w:rFonts w:ascii="Times New Roman" w:hAnsi="Times New Roman" w:cs="Times New Roman"/>
          <w:sz w:val="24"/>
          <w:szCs w:val="24"/>
        </w:rPr>
        <w:t>n</w:t>
      </w:r>
      <w:r w:rsidR="00BC7A08" w:rsidRPr="006E437B">
        <w:rPr>
          <w:rFonts w:ascii="Times New Roman" w:hAnsi="Times New Roman" w:cs="Times New Roman"/>
          <w:sz w:val="24"/>
          <w:szCs w:val="24"/>
        </w:rPr>
        <w:t xml:space="preserve">to </w:t>
      </w:r>
      <w:r w:rsidR="00091B9C" w:rsidRPr="006E437B">
        <w:rPr>
          <w:rFonts w:ascii="Times New Roman" w:hAnsi="Times New Roman" w:cs="Times New Roman"/>
          <w:sz w:val="24"/>
          <w:szCs w:val="24"/>
        </w:rPr>
        <w:t>y a las y los mexiquenses que nos siguen a través de las plataformas digitales de esta Legislatura.</w:t>
      </w:r>
    </w:p>
    <w:p w:rsidR="00091B9C" w:rsidRPr="006E437B" w:rsidRDefault="00091B9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El día 9 de septiembre conmemoramos </w:t>
      </w:r>
      <w:r w:rsidR="00BC7A08" w:rsidRPr="006E437B">
        <w:rPr>
          <w:rFonts w:ascii="Times New Roman" w:hAnsi="Times New Roman" w:cs="Times New Roman"/>
          <w:sz w:val="24"/>
          <w:szCs w:val="24"/>
        </w:rPr>
        <w:t xml:space="preserve">“El </w:t>
      </w:r>
      <w:r w:rsidRPr="006E437B">
        <w:rPr>
          <w:rFonts w:ascii="Times New Roman" w:hAnsi="Times New Roman" w:cs="Times New Roman"/>
          <w:sz w:val="24"/>
          <w:szCs w:val="24"/>
        </w:rPr>
        <w:t>Día Mundial de la Agricultura</w:t>
      </w:r>
      <w:r w:rsidR="00BC7A08" w:rsidRPr="006E437B">
        <w:rPr>
          <w:rFonts w:ascii="Times New Roman" w:hAnsi="Times New Roman" w:cs="Times New Roman"/>
          <w:sz w:val="24"/>
          <w:szCs w:val="24"/>
        </w:rPr>
        <w:t>”</w:t>
      </w:r>
      <w:r w:rsidRPr="006E437B">
        <w:rPr>
          <w:rFonts w:ascii="Times New Roman" w:hAnsi="Times New Roman" w:cs="Times New Roman"/>
          <w:sz w:val="24"/>
          <w:szCs w:val="24"/>
        </w:rPr>
        <w:t>, una jornada que reconoce la labor de quienes con esfuerzo y conocimiento hace posible la vida misma a través del cultivo de la tierra, la agricultura es la raíz de nuestra identidad</w:t>
      </w:r>
      <w:r w:rsidR="005A5753" w:rsidRPr="006E437B">
        <w:rPr>
          <w:rFonts w:ascii="Times New Roman" w:hAnsi="Times New Roman" w:cs="Times New Roman"/>
          <w:sz w:val="24"/>
          <w:szCs w:val="24"/>
        </w:rPr>
        <w:t>,</w:t>
      </w:r>
      <w:r w:rsidRPr="006E437B">
        <w:rPr>
          <w:rFonts w:ascii="Times New Roman" w:hAnsi="Times New Roman" w:cs="Times New Roman"/>
          <w:sz w:val="24"/>
          <w:szCs w:val="24"/>
        </w:rPr>
        <w:t xml:space="preserve"> sustento de nuestras familias y motor de desarrollo para nuestras comunidades.</w:t>
      </w:r>
    </w:p>
    <w:p w:rsidR="005A5753" w:rsidRPr="006E437B" w:rsidRDefault="00091B9C"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En este marco</w:t>
      </w:r>
      <w:r w:rsidR="00876CED" w:rsidRPr="006E437B">
        <w:rPr>
          <w:rFonts w:ascii="Times New Roman" w:hAnsi="Times New Roman" w:cs="Times New Roman"/>
          <w:sz w:val="24"/>
          <w:szCs w:val="24"/>
        </w:rPr>
        <w:t>,</w:t>
      </w:r>
      <w:r w:rsidRPr="006E437B">
        <w:rPr>
          <w:rFonts w:ascii="Times New Roman" w:hAnsi="Times New Roman" w:cs="Times New Roman"/>
          <w:sz w:val="24"/>
          <w:szCs w:val="24"/>
        </w:rPr>
        <w:t xml:space="preserve"> hoy hago de su máxima tribuna para expresar una profunda preocupación por la sesión que enfrentan miles de familias productoras de la región sur del Estado de México</w:t>
      </w:r>
      <w:r w:rsidR="00143717"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143717" w:rsidRPr="006E437B">
        <w:rPr>
          <w:rFonts w:ascii="Times New Roman" w:hAnsi="Times New Roman" w:cs="Times New Roman"/>
          <w:sz w:val="24"/>
          <w:szCs w:val="24"/>
        </w:rPr>
        <w:t>quienes,</w:t>
      </w:r>
      <w:r w:rsidRPr="006E437B">
        <w:rPr>
          <w:rFonts w:ascii="Times New Roman" w:hAnsi="Times New Roman" w:cs="Times New Roman"/>
          <w:sz w:val="24"/>
          <w:szCs w:val="24"/>
        </w:rPr>
        <w:t xml:space="preserve"> durante este año</w:t>
      </w:r>
      <w:r w:rsidR="005A5753" w:rsidRPr="006E437B">
        <w:rPr>
          <w:rFonts w:ascii="Times New Roman" w:hAnsi="Times New Roman" w:cs="Times New Roman"/>
          <w:sz w:val="24"/>
          <w:szCs w:val="24"/>
        </w:rPr>
        <w:t>,</w:t>
      </w:r>
      <w:r w:rsidRPr="006E437B">
        <w:rPr>
          <w:rFonts w:ascii="Times New Roman" w:hAnsi="Times New Roman" w:cs="Times New Roman"/>
          <w:sz w:val="24"/>
          <w:szCs w:val="24"/>
        </w:rPr>
        <w:t xml:space="preserve"> han resentido los efectos de la irregularidad de las lluvias, la disminución, de la humedad en los suelos y las afectaciones </w:t>
      </w:r>
      <w:r w:rsidR="005A5753" w:rsidRPr="006E437B">
        <w:rPr>
          <w:rFonts w:ascii="Times New Roman" w:hAnsi="Times New Roman" w:cs="Times New Roman"/>
          <w:sz w:val="24"/>
          <w:szCs w:val="24"/>
        </w:rPr>
        <w:t>que,</w:t>
      </w:r>
      <w:r w:rsidRPr="006E437B">
        <w:rPr>
          <w:rFonts w:ascii="Times New Roman" w:hAnsi="Times New Roman" w:cs="Times New Roman"/>
          <w:sz w:val="24"/>
          <w:szCs w:val="24"/>
        </w:rPr>
        <w:t xml:space="preserve"> por ello</w:t>
      </w:r>
      <w:r w:rsidR="005A5753" w:rsidRPr="006E437B">
        <w:rPr>
          <w:rFonts w:ascii="Times New Roman" w:hAnsi="Times New Roman" w:cs="Times New Roman"/>
          <w:sz w:val="24"/>
          <w:szCs w:val="24"/>
        </w:rPr>
        <w:t>,</w:t>
      </w:r>
      <w:r w:rsidRPr="006E437B">
        <w:rPr>
          <w:rFonts w:ascii="Times New Roman" w:hAnsi="Times New Roman" w:cs="Times New Roman"/>
          <w:sz w:val="24"/>
          <w:szCs w:val="24"/>
        </w:rPr>
        <w:t xml:space="preserve"> generan las actividades agrícolas y pecuarias de nuestra región</w:t>
      </w:r>
      <w:r w:rsidR="005A5753" w:rsidRPr="006E437B">
        <w:rPr>
          <w:rFonts w:ascii="Times New Roman" w:hAnsi="Times New Roman" w:cs="Times New Roman"/>
          <w:sz w:val="24"/>
          <w:szCs w:val="24"/>
        </w:rPr>
        <w:t>.</w:t>
      </w:r>
    </w:p>
    <w:p w:rsidR="0071221C" w:rsidRPr="006E437B" w:rsidRDefault="005A5753"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00143717" w:rsidRPr="006E437B">
        <w:rPr>
          <w:rFonts w:ascii="Times New Roman" w:hAnsi="Times New Roman" w:cs="Times New Roman"/>
          <w:sz w:val="24"/>
          <w:szCs w:val="24"/>
        </w:rPr>
        <w:t xml:space="preserve">Sur Mexiquense </w:t>
      </w:r>
      <w:r w:rsidR="00091B9C" w:rsidRPr="006E437B">
        <w:rPr>
          <w:rFonts w:ascii="Times New Roman" w:hAnsi="Times New Roman" w:cs="Times New Roman"/>
          <w:sz w:val="24"/>
          <w:szCs w:val="24"/>
        </w:rPr>
        <w:t>es una tierra de trabajo, esfuerzo y productividad, Municipios como</w:t>
      </w:r>
      <w:r w:rsidR="00143717"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Tejupilco, Tlatlaya, Luvianos, Amatepec, Sultepec, </w:t>
      </w:r>
      <w:r w:rsidRPr="006E437B">
        <w:rPr>
          <w:rFonts w:ascii="Times New Roman" w:hAnsi="Times New Roman" w:cs="Times New Roman"/>
          <w:sz w:val="24"/>
          <w:szCs w:val="24"/>
        </w:rPr>
        <w:t>Tecalitlán</w:t>
      </w:r>
      <w:r w:rsidR="00091B9C" w:rsidRPr="006E437B">
        <w:rPr>
          <w:rFonts w:ascii="Times New Roman" w:hAnsi="Times New Roman" w:cs="Times New Roman"/>
          <w:sz w:val="24"/>
          <w:szCs w:val="24"/>
        </w:rPr>
        <w:t>, Almoloya de Alquisiras, San Simón de Guerrero, Zacazonapan, Temascaltepec, y Santo Tom</w:t>
      </w:r>
      <w:r w:rsidR="00B14E79" w:rsidRPr="006E437B">
        <w:rPr>
          <w:rFonts w:ascii="Times New Roman" w:hAnsi="Times New Roman" w:cs="Times New Roman"/>
          <w:sz w:val="24"/>
          <w:szCs w:val="24"/>
        </w:rPr>
        <w:t>á</w:t>
      </w:r>
      <w:r w:rsidR="00091B9C" w:rsidRPr="006E437B">
        <w:rPr>
          <w:rFonts w:ascii="Times New Roman" w:hAnsi="Times New Roman" w:cs="Times New Roman"/>
          <w:sz w:val="24"/>
          <w:szCs w:val="24"/>
        </w:rPr>
        <w:t>s de los Plátanos</w:t>
      </w:r>
      <w:r w:rsidR="0002244A"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se encuentran en el campo una principal fuente de sustento y desarrollo</w:t>
      </w:r>
      <w:r w:rsidR="0002244A"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sin embargo</w:t>
      </w:r>
      <w:r w:rsidR="0002244A"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las condiciones climáticas observadas durante este año han puesto de manifiesto una realidad que no podemos ignorar la enorme vulnerabilidad índica que enfrenta el campo mexiquense, diversos reporte de la </w:t>
      </w:r>
      <w:r w:rsidR="003343AF" w:rsidRPr="006E437B">
        <w:rPr>
          <w:rFonts w:ascii="Times New Roman" w:hAnsi="Times New Roman" w:cs="Times New Roman"/>
          <w:sz w:val="24"/>
          <w:szCs w:val="24"/>
        </w:rPr>
        <w:t xml:space="preserve">Secretaría </w:t>
      </w:r>
      <w:r w:rsidR="00091B9C" w:rsidRPr="006E437B">
        <w:rPr>
          <w:rFonts w:ascii="Times New Roman" w:hAnsi="Times New Roman" w:cs="Times New Roman"/>
          <w:sz w:val="24"/>
          <w:szCs w:val="24"/>
        </w:rPr>
        <w:t xml:space="preserve">del </w:t>
      </w:r>
      <w:r w:rsidR="003343AF" w:rsidRPr="006E437B">
        <w:rPr>
          <w:rFonts w:ascii="Times New Roman" w:hAnsi="Times New Roman" w:cs="Times New Roman"/>
          <w:sz w:val="24"/>
          <w:szCs w:val="24"/>
        </w:rPr>
        <w:t xml:space="preserve">Campo </w:t>
      </w:r>
      <w:r w:rsidR="00091B9C" w:rsidRPr="006E437B">
        <w:rPr>
          <w:rFonts w:ascii="Times New Roman" w:hAnsi="Times New Roman" w:cs="Times New Roman"/>
          <w:sz w:val="24"/>
          <w:szCs w:val="24"/>
        </w:rPr>
        <w:t>del Estado de México</w:t>
      </w:r>
      <w:r w:rsidR="0002244A"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han identificado afectación des preliminares en aproximadamente 700 hectáreas de cultivo de maíz de temporal en municipios de la región sur, situación que obligo a la intervención de las autoridades para evaluar daños y activar mecanismos de atención de productores afectados</w:t>
      </w:r>
      <w:r w:rsidR="0002244A" w:rsidRPr="006E437B">
        <w:rPr>
          <w:rFonts w:ascii="Times New Roman" w:hAnsi="Times New Roman" w:cs="Times New Roman"/>
          <w:sz w:val="24"/>
          <w:szCs w:val="24"/>
        </w:rPr>
        <w:t>.</w:t>
      </w:r>
    </w:p>
    <w:p w:rsidR="00091B9C" w:rsidRPr="006E437B" w:rsidRDefault="0002244A"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Detrás </w:t>
      </w:r>
      <w:r w:rsidR="00091B9C" w:rsidRPr="006E437B">
        <w:rPr>
          <w:rFonts w:ascii="Times New Roman" w:hAnsi="Times New Roman" w:cs="Times New Roman"/>
          <w:sz w:val="24"/>
          <w:szCs w:val="24"/>
        </w:rPr>
        <w:t xml:space="preserve">de cada hectárea afectada existe una familia que invirtió recursos económicos esfuerzo y esperanza para sacar adelante su cosecha, detrás de cada parcela dañada hay hombres, mujeres que dependen de la agricultura para llevar alimento a sus hogares y para sostener la economía de sus comunidades, esta situación no presenta únicamente afectación agrícola también implica consecuencias económicas directas a cientos de familias del sur mexiquense cuando una parcela pierde productividad o una cosecha se reduce significativamente la afectación no termina en el productor, el impacto alcanza a jornaleros transportistas pequeños comerciantes proveedores de insumos agrícolas y a toda la economía local que gira </w:t>
      </w:r>
      <w:r w:rsidR="001929B1" w:rsidRPr="006E437B">
        <w:rPr>
          <w:rFonts w:ascii="Times New Roman" w:hAnsi="Times New Roman" w:cs="Times New Roman"/>
          <w:sz w:val="24"/>
          <w:szCs w:val="24"/>
        </w:rPr>
        <w:t>en torno</w:t>
      </w:r>
      <w:r w:rsidR="00091B9C" w:rsidRPr="006E437B">
        <w:rPr>
          <w:rFonts w:ascii="Times New Roman" w:hAnsi="Times New Roman" w:cs="Times New Roman"/>
          <w:sz w:val="24"/>
          <w:szCs w:val="24"/>
        </w:rPr>
        <w:t xml:space="preserve"> a la productividad del campo.</w:t>
      </w:r>
    </w:p>
    <w:p w:rsidR="00DE00DB" w:rsidRPr="006E437B" w:rsidRDefault="00091B9C"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En muchas comunidades de la región sur</w:t>
      </w:r>
      <w:r w:rsidR="001929B1" w:rsidRPr="006E437B">
        <w:rPr>
          <w:rFonts w:ascii="Times New Roman" w:hAnsi="Times New Roman" w:cs="Times New Roman"/>
          <w:sz w:val="24"/>
          <w:szCs w:val="24"/>
        </w:rPr>
        <w:t>,</w:t>
      </w:r>
      <w:r w:rsidRPr="006E437B">
        <w:rPr>
          <w:rFonts w:ascii="Times New Roman" w:hAnsi="Times New Roman" w:cs="Times New Roman"/>
          <w:sz w:val="24"/>
          <w:szCs w:val="24"/>
        </w:rPr>
        <w:t xml:space="preserve"> el maíz no solamente constituye una actividad económica</w:t>
      </w:r>
      <w:r w:rsidR="001929B1" w:rsidRPr="006E437B">
        <w:rPr>
          <w:rFonts w:ascii="Times New Roman" w:hAnsi="Times New Roman" w:cs="Times New Roman"/>
          <w:sz w:val="24"/>
          <w:szCs w:val="24"/>
        </w:rPr>
        <w:t>,</w:t>
      </w:r>
      <w:r w:rsidRPr="006E437B">
        <w:rPr>
          <w:rFonts w:ascii="Times New Roman" w:hAnsi="Times New Roman" w:cs="Times New Roman"/>
          <w:sz w:val="24"/>
          <w:szCs w:val="24"/>
        </w:rPr>
        <w:t xml:space="preserve"> representa una fuente esencial de alimentación para las familias rurales la disminución de las cosechas obliga a los numerosos productores a enfrentar mayores gastos para sostener a sus familias y reduce la capacidad económica para invertir en el siguiente ciclo agrícola, la preocupación también percibe a comunidades </w:t>
      </w:r>
      <w:r w:rsidR="00DE00DB" w:rsidRPr="006E437B">
        <w:rPr>
          <w:rFonts w:ascii="Times New Roman" w:hAnsi="Times New Roman" w:cs="Times New Roman"/>
          <w:sz w:val="24"/>
          <w:szCs w:val="24"/>
        </w:rPr>
        <w:t>y</w:t>
      </w:r>
      <w:r w:rsidRPr="006E437B">
        <w:rPr>
          <w:rFonts w:ascii="Times New Roman" w:hAnsi="Times New Roman" w:cs="Times New Roman"/>
          <w:sz w:val="24"/>
          <w:szCs w:val="24"/>
        </w:rPr>
        <w:t xml:space="preserve"> </w:t>
      </w:r>
      <w:r w:rsidR="00DE00DB" w:rsidRPr="006E437B">
        <w:rPr>
          <w:rFonts w:ascii="Times New Roman" w:hAnsi="Times New Roman" w:cs="Times New Roman"/>
          <w:sz w:val="24"/>
          <w:szCs w:val="24"/>
        </w:rPr>
        <w:t xml:space="preserve">municipios </w:t>
      </w:r>
      <w:r w:rsidRPr="006E437B">
        <w:rPr>
          <w:rFonts w:ascii="Times New Roman" w:hAnsi="Times New Roman" w:cs="Times New Roman"/>
          <w:sz w:val="24"/>
          <w:szCs w:val="24"/>
        </w:rPr>
        <w:t>como Zacazonapan, San Pedro T</w:t>
      </w:r>
      <w:r w:rsidR="00DE00DB" w:rsidRPr="006E437B">
        <w:rPr>
          <w:rFonts w:ascii="Times New Roman" w:hAnsi="Times New Roman" w:cs="Times New Roman"/>
          <w:sz w:val="24"/>
          <w:szCs w:val="24"/>
        </w:rPr>
        <w:t>e</w:t>
      </w:r>
      <w:r w:rsidRPr="006E437B">
        <w:rPr>
          <w:rFonts w:ascii="Times New Roman" w:hAnsi="Times New Roman" w:cs="Times New Roman"/>
          <w:sz w:val="24"/>
          <w:szCs w:val="24"/>
        </w:rPr>
        <w:t>nayac de Temascaltepec así como diversas localidades de Santo Tom</w:t>
      </w:r>
      <w:r w:rsidR="00812F93" w:rsidRPr="006E437B">
        <w:rPr>
          <w:rFonts w:ascii="Times New Roman" w:hAnsi="Times New Roman" w:cs="Times New Roman"/>
          <w:sz w:val="24"/>
          <w:szCs w:val="24"/>
        </w:rPr>
        <w:t>á</w:t>
      </w:r>
      <w:r w:rsidRPr="006E437B">
        <w:rPr>
          <w:rFonts w:ascii="Times New Roman" w:hAnsi="Times New Roman" w:cs="Times New Roman"/>
          <w:sz w:val="24"/>
          <w:szCs w:val="24"/>
        </w:rPr>
        <w:t>s de los Plátanos donde productores han manifestado la inquietud ante la irregularidad de las lluvias y efectos que con ello genera los cultivos los pastizales y las fuentes de abastecimiento de agua; hoy debemos reconocer que el desafío no consiste únicamente en atender e una temporada agrícola complicada</w:t>
      </w:r>
      <w:r w:rsidR="00DE00DB" w:rsidRPr="006E437B">
        <w:rPr>
          <w:rFonts w:ascii="Times New Roman" w:hAnsi="Times New Roman" w:cs="Times New Roman"/>
          <w:sz w:val="24"/>
          <w:szCs w:val="24"/>
        </w:rPr>
        <w:t>.</w:t>
      </w:r>
    </w:p>
    <w:p w:rsidR="008D0769" w:rsidRPr="006E437B" w:rsidRDefault="00E9166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00091B9C" w:rsidRPr="006E437B">
        <w:rPr>
          <w:rFonts w:ascii="Times New Roman" w:hAnsi="Times New Roman" w:cs="Times New Roman"/>
          <w:sz w:val="24"/>
          <w:szCs w:val="24"/>
        </w:rPr>
        <w:t xml:space="preserve">verdadero reto es preparar para un futuro el que los fenómenos climáticos sean cada vez </w:t>
      </w:r>
      <w:r w:rsidR="00342476" w:rsidRPr="006E437B">
        <w:rPr>
          <w:rFonts w:ascii="Times New Roman" w:hAnsi="Times New Roman" w:cs="Times New Roman"/>
          <w:sz w:val="24"/>
          <w:szCs w:val="24"/>
        </w:rPr>
        <w:t>más</w:t>
      </w:r>
      <w:r w:rsidR="00091B9C" w:rsidRPr="006E437B">
        <w:rPr>
          <w:rFonts w:ascii="Times New Roman" w:hAnsi="Times New Roman" w:cs="Times New Roman"/>
          <w:sz w:val="24"/>
          <w:szCs w:val="24"/>
        </w:rPr>
        <w:t xml:space="preserve"> frecuentes e intensos, el agua es un recurso estratégico para los productores de alimentos, para la actividad ganadera</w:t>
      </w:r>
      <w:r w:rsidR="00D90528"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para el desarrollo económico y para el bienestar de nuestras comunidades</w:t>
      </w:r>
      <w:r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sin agua no hay campo, sin campo no hay desarrollo rural y sin desarrollo rural</w:t>
      </w:r>
      <w:r w:rsidR="00D90528"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no hay prosperidad para las familias mexiquenses</w:t>
      </w:r>
      <w:r w:rsidR="00D90528" w:rsidRPr="006E437B">
        <w:rPr>
          <w:rFonts w:ascii="Times New Roman" w:hAnsi="Times New Roman" w:cs="Times New Roman"/>
          <w:sz w:val="24"/>
          <w:szCs w:val="24"/>
        </w:rPr>
        <w:t xml:space="preserve">. No </w:t>
      </w:r>
      <w:r w:rsidR="00091B9C" w:rsidRPr="006E437B">
        <w:rPr>
          <w:rFonts w:ascii="Times New Roman" w:hAnsi="Times New Roman" w:cs="Times New Roman"/>
          <w:sz w:val="24"/>
          <w:szCs w:val="24"/>
        </w:rPr>
        <w:t>podemos esperar</w:t>
      </w:r>
      <w:r w:rsidR="00D90528"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las afectaciones se conviertan en una crisis mayor para actuar, no podemos esperar que las perdidas productivas aumenten, no podemos esperar que nuestros productores abandonen sus tierras por falta de apoyos y oportunidades</w:t>
      </w:r>
      <w:r w:rsidR="00AB1EB2" w:rsidRPr="006E437B">
        <w:rPr>
          <w:rFonts w:ascii="Times New Roman" w:hAnsi="Times New Roman" w:cs="Times New Roman"/>
          <w:sz w:val="24"/>
          <w:szCs w:val="24"/>
        </w:rPr>
        <w:t>.</w:t>
      </w:r>
    </w:p>
    <w:p w:rsidR="007519D4" w:rsidRPr="006E437B" w:rsidRDefault="00AB1EB2"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Ante </w:t>
      </w:r>
      <w:r w:rsidR="00091B9C" w:rsidRPr="006E437B">
        <w:rPr>
          <w:rFonts w:ascii="Times New Roman" w:hAnsi="Times New Roman" w:cs="Times New Roman"/>
          <w:sz w:val="24"/>
          <w:szCs w:val="24"/>
        </w:rPr>
        <w:t>esta realidad</w:t>
      </w:r>
      <w:r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resulta indispensable fortalecer los mecanismos de apoyo dirigidos a las y los productores afectados</w:t>
      </w:r>
      <w:r w:rsidR="008D0769"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derivados de los fenómenos climáticos</w:t>
      </w:r>
      <w:r w:rsidR="008D0769"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w:t>
      </w:r>
      <w:r w:rsidR="008D0769" w:rsidRPr="006E437B">
        <w:rPr>
          <w:rFonts w:ascii="Times New Roman" w:hAnsi="Times New Roman" w:cs="Times New Roman"/>
          <w:sz w:val="24"/>
          <w:szCs w:val="24"/>
        </w:rPr>
        <w:t xml:space="preserve">Las </w:t>
      </w:r>
      <w:r w:rsidR="00091B9C" w:rsidRPr="006E437B">
        <w:rPr>
          <w:rFonts w:ascii="Times New Roman" w:hAnsi="Times New Roman" w:cs="Times New Roman"/>
          <w:sz w:val="24"/>
          <w:szCs w:val="24"/>
        </w:rPr>
        <w:t xml:space="preserve">evaluaciones realizadas </w:t>
      </w:r>
      <w:r w:rsidR="00091B9C" w:rsidRPr="006E437B">
        <w:rPr>
          <w:rFonts w:ascii="Times New Roman" w:hAnsi="Times New Roman" w:cs="Times New Roman"/>
          <w:sz w:val="24"/>
          <w:szCs w:val="24"/>
        </w:rPr>
        <w:lastRenderedPageBreak/>
        <w:t>durante este año</w:t>
      </w:r>
      <w:r w:rsidR="008D0769"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han demostrado la importancia del </w:t>
      </w:r>
      <w:r w:rsidRPr="006E437B">
        <w:rPr>
          <w:rFonts w:ascii="Times New Roman" w:hAnsi="Times New Roman" w:cs="Times New Roman"/>
          <w:sz w:val="24"/>
          <w:szCs w:val="24"/>
        </w:rPr>
        <w:t xml:space="preserve">Programa </w:t>
      </w:r>
      <w:r w:rsidR="00091B9C" w:rsidRPr="006E437B">
        <w:rPr>
          <w:rFonts w:ascii="Times New Roman" w:hAnsi="Times New Roman" w:cs="Times New Roman"/>
          <w:sz w:val="24"/>
          <w:szCs w:val="24"/>
        </w:rPr>
        <w:t xml:space="preserve">de </w:t>
      </w:r>
      <w:r w:rsidRPr="006E437B">
        <w:rPr>
          <w:rFonts w:ascii="Times New Roman" w:hAnsi="Times New Roman" w:cs="Times New Roman"/>
          <w:sz w:val="24"/>
          <w:szCs w:val="24"/>
        </w:rPr>
        <w:t xml:space="preserve">Acción </w:t>
      </w:r>
      <w:r w:rsidR="00091B9C" w:rsidRPr="006E437B">
        <w:rPr>
          <w:rFonts w:ascii="Times New Roman" w:hAnsi="Times New Roman" w:cs="Times New Roman"/>
          <w:sz w:val="24"/>
          <w:szCs w:val="24"/>
        </w:rPr>
        <w:t xml:space="preserve">de </w:t>
      </w:r>
      <w:r w:rsidRPr="006E437B">
        <w:rPr>
          <w:rFonts w:ascii="Times New Roman" w:hAnsi="Times New Roman" w:cs="Times New Roman"/>
          <w:sz w:val="24"/>
          <w:szCs w:val="24"/>
        </w:rPr>
        <w:t xml:space="preserve">Siniestros Agroclimáticos </w:t>
      </w:r>
      <w:r w:rsidR="00091B9C" w:rsidRPr="006E437B">
        <w:rPr>
          <w:rFonts w:ascii="Times New Roman" w:hAnsi="Times New Roman" w:cs="Times New Roman"/>
          <w:sz w:val="24"/>
          <w:szCs w:val="24"/>
        </w:rPr>
        <w:t xml:space="preserve">del </w:t>
      </w:r>
      <w:r w:rsidRPr="006E437B">
        <w:rPr>
          <w:rFonts w:ascii="Times New Roman" w:hAnsi="Times New Roman" w:cs="Times New Roman"/>
          <w:sz w:val="24"/>
          <w:szCs w:val="24"/>
        </w:rPr>
        <w:t>Campo Mexiquense</w:t>
      </w:r>
      <w:r w:rsidR="00122034"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091B9C" w:rsidRPr="006E437B">
        <w:rPr>
          <w:rFonts w:ascii="Times New Roman" w:hAnsi="Times New Roman" w:cs="Times New Roman"/>
          <w:sz w:val="24"/>
          <w:szCs w:val="24"/>
        </w:rPr>
        <w:t>PASA</w:t>
      </w:r>
      <w:r w:rsidRPr="006E437B">
        <w:rPr>
          <w:rFonts w:ascii="Times New Roman" w:hAnsi="Times New Roman" w:cs="Times New Roman"/>
          <w:sz w:val="24"/>
          <w:szCs w:val="24"/>
        </w:rPr>
        <w:t>C</w:t>
      </w:r>
      <w:r w:rsidR="00091B9C" w:rsidRPr="006E437B">
        <w:rPr>
          <w:rFonts w:ascii="Times New Roman" w:hAnsi="Times New Roman" w:cs="Times New Roman"/>
          <w:sz w:val="24"/>
          <w:szCs w:val="24"/>
        </w:rPr>
        <w:t>ME</w:t>
      </w:r>
      <w:r w:rsidR="00122034"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como una herramienta para atender de manera oportuna</w:t>
      </w:r>
      <w:r w:rsidR="008D0769"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las familias productoras</w:t>
      </w:r>
      <w:r w:rsidR="008D0769"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por ello</w:t>
      </w:r>
      <w:r w:rsidR="008D0769" w:rsidRPr="006E437B">
        <w:rPr>
          <w:rFonts w:ascii="Times New Roman" w:hAnsi="Times New Roman" w:cs="Times New Roman"/>
          <w:sz w:val="24"/>
          <w:szCs w:val="24"/>
        </w:rPr>
        <w:t>,</w:t>
      </w:r>
      <w:r w:rsidR="00091B9C" w:rsidRPr="006E437B">
        <w:rPr>
          <w:rFonts w:ascii="Times New Roman" w:hAnsi="Times New Roman" w:cs="Times New Roman"/>
          <w:sz w:val="24"/>
          <w:szCs w:val="24"/>
        </w:rPr>
        <w:t xml:space="preserve"> hago un llamado respetuoso y un exhorto a la Secretaría del Campo del Estado de México para que continúe fortaleciendo </w:t>
      </w:r>
      <w:r w:rsidR="000416CD" w:rsidRPr="006E437B">
        <w:rPr>
          <w:rFonts w:ascii="Times New Roman" w:hAnsi="Times New Roman" w:cs="Times New Roman"/>
          <w:sz w:val="24"/>
          <w:szCs w:val="24"/>
        </w:rPr>
        <w:t>la evaluación, e</w:t>
      </w:r>
      <w:r w:rsidR="00AD6F8B" w:rsidRPr="006E437B">
        <w:rPr>
          <w:rFonts w:ascii="Times New Roman" w:hAnsi="Times New Roman" w:cs="Times New Roman"/>
          <w:sz w:val="24"/>
          <w:szCs w:val="24"/>
        </w:rPr>
        <w:t xml:space="preserve">l </w:t>
      </w:r>
      <w:r w:rsidR="007519D4" w:rsidRPr="006E437B">
        <w:rPr>
          <w:rFonts w:ascii="Times New Roman" w:hAnsi="Times New Roman" w:cs="Times New Roman"/>
          <w:sz w:val="24"/>
          <w:szCs w:val="24"/>
        </w:rPr>
        <w:t>acompañamiento y atención</w:t>
      </w:r>
      <w:r w:rsidR="00061EDB" w:rsidRPr="006E437B">
        <w:rPr>
          <w:rFonts w:ascii="Times New Roman" w:hAnsi="Times New Roman" w:cs="Times New Roman"/>
          <w:sz w:val="24"/>
          <w:szCs w:val="24"/>
        </w:rPr>
        <w:t>,</w:t>
      </w:r>
      <w:r w:rsidR="007519D4" w:rsidRPr="006E437B">
        <w:rPr>
          <w:rFonts w:ascii="Times New Roman" w:hAnsi="Times New Roman" w:cs="Times New Roman"/>
          <w:sz w:val="24"/>
          <w:szCs w:val="24"/>
        </w:rPr>
        <w:t xml:space="preserve"> a través del </w:t>
      </w:r>
      <w:r w:rsidR="00122034" w:rsidRPr="006E437B">
        <w:rPr>
          <w:rFonts w:ascii="Times New Roman" w:hAnsi="Times New Roman" w:cs="Times New Roman"/>
          <w:sz w:val="24"/>
          <w:szCs w:val="24"/>
        </w:rPr>
        <w:t xml:space="preserve">Programa </w:t>
      </w:r>
      <w:r w:rsidR="00AD6F8B" w:rsidRPr="006E437B">
        <w:rPr>
          <w:rFonts w:ascii="Times New Roman" w:hAnsi="Times New Roman" w:cs="Times New Roman"/>
          <w:sz w:val="24"/>
          <w:szCs w:val="24"/>
        </w:rPr>
        <w:t>PASA</w:t>
      </w:r>
      <w:r w:rsidRPr="006E437B">
        <w:rPr>
          <w:rFonts w:ascii="Times New Roman" w:hAnsi="Times New Roman" w:cs="Times New Roman"/>
          <w:sz w:val="24"/>
          <w:szCs w:val="24"/>
        </w:rPr>
        <w:t>C</w:t>
      </w:r>
      <w:r w:rsidR="00AD6F8B" w:rsidRPr="006E437B">
        <w:rPr>
          <w:rFonts w:ascii="Times New Roman" w:hAnsi="Times New Roman" w:cs="Times New Roman"/>
          <w:sz w:val="24"/>
          <w:szCs w:val="24"/>
        </w:rPr>
        <w:t>ME</w:t>
      </w:r>
      <w:r w:rsidR="007519D4" w:rsidRPr="006E437B">
        <w:rPr>
          <w:rFonts w:ascii="Times New Roman" w:hAnsi="Times New Roman" w:cs="Times New Roman"/>
          <w:sz w:val="24"/>
          <w:szCs w:val="24"/>
        </w:rPr>
        <w:t>, priorizando los municipios y comunidades de la región sur que han resentido los efectos de escasez de la lluvia durante este año.</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Asimismo, convoco a los diputados, las diputadas, diputade, integrantes de la Soberanía, para </w:t>
      </w:r>
      <w:r w:rsidR="009D33E7" w:rsidRPr="006E437B">
        <w:rPr>
          <w:rFonts w:ascii="Times New Roman" w:hAnsi="Times New Roman" w:cs="Times New Roman"/>
          <w:sz w:val="24"/>
          <w:szCs w:val="24"/>
        </w:rPr>
        <w:t>que,</w:t>
      </w:r>
      <w:r w:rsidRPr="006E437B">
        <w:rPr>
          <w:rFonts w:ascii="Times New Roman" w:hAnsi="Times New Roman" w:cs="Times New Roman"/>
          <w:sz w:val="24"/>
          <w:szCs w:val="24"/>
        </w:rPr>
        <w:t xml:space="preserve"> en el marco del análisis y aprobación del próximo Presupuesto de Egresos, valoremos la necesidad de incrementar los recursos destinados a dicho programa, con el objeto de brindar mayor protección a las familias productoras y fortalecer la capacidad de respuesta institucional frente a las contingencias agro climáticas. El costo de prevenir siempre será menor que el costo de atender una emergencia.</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Hoy todavía estamos a tiempo de actuar con responsabilidad, </w:t>
      </w:r>
      <w:r w:rsidR="009D33E7" w:rsidRPr="006E437B">
        <w:rPr>
          <w:rFonts w:ascii="Times New Roman" w:hAnsi="Times New Roman" w:cs="Times New Roman"/>
          <w:sz w:val="24"/>
          <w:szCs w:val="24"/>
        </w:rPr>
        <w:t>visión futura</w:t>
      </w:r>
      <w:r w:rsidRPr="006E437B">
        <w:rPr>
          <w:rFonts w:ascii="Times New Roman" w:hAnsi="Times New Roman" w:cs="Times New Roman"/>
          <w:sz w:val="24"/>
          <w:szCs w:val="24"/>
        </w:rPr>
        <w:t>, mañana podría ser demasiado tarde para miles de familias del sur, del Estado de México.</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Compañeras y compañeros diputados, el sur requiere que no se rindan ante las advertencias. Nuestros productores se levantan todos los días antes que salga el sol para trabajar la tierra, cuidar sus animales y llevar sustento a sus hogares, son mujeres y hombres que no piden privilegios, piden oportunidades, respaldo y condiciones dignas para seguir produciendo.</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Hoy tenemos la responsabilidad de estar a la altura de este esfuerzo ¡Que nadie diga que mañana! </w:t>
      </w:r>
      <w:r w:rsidR="00061EDB" w:rsidRPr="006E437B">
        <w:rPr>
          <w:rFonts w:ascii="Times New Roman" w:hAnsi="Times New Roman" w:cs="Times New Roman"/>
          <w:sz w:val="24"/>
          <w:szCs w:val="24"/>
        </w:rPr>
        <w:t xml:space="preserve">¡Que </w:t>
      </w:r>
      <w:r w:rsidRPr="006E437B">
        <w:rPr>
          <w:rFonts w:ascii="Times New Roman" w:hAnsi="Times New Roman" w:cs="Times New Roman"/>
          <w:sz w:val="24"/>
          <w:szCs w:val="24"/>
        </w:rPr>
        <w:t>no vimos venir el problema</w:t>
      </w:r>
      <w:r w:rsidR="00A8798C" w:rsidRPr="006E437B">
        <w:rPr>
          <w:rFonts w:ascii="Times New Roman" w:hAnsi="Times New Roman" w:cs="Times New Roman"/>
          <w:sz w:val="24"/>
          <w:szCs w:val="24"/>
        </w:rPr>
        <w:t>!</w:t>
      </w:r>
      <w:r w:rsidRPr="006E437B">
        <w:rPr>
          <w:rFonts w:ascii="Times New Roman" w:hAnsi="Times New Roman" w:cs="Times New Roman"/>
          <w:sz w:val="24"/>
          <w:szCs w:val="24"/>
        </w:rPr>
        <w:t xml:space="preserve"> ¡Que nadie diga que faltaron alertas o llamadas de atención! Hoy el campo está pidiendo apoyo y respuesta de esta Legislatura para ser claro y firmes solidarios, porque cuando el campo produce, nuestros pueblos prosperan, porque cuando hay agua, hay alimentos, hay empleo, hay bienestar por defender el campo</w:t>
      </w:r>
      <w:r w:rsidR="00DF3668" w:rsidRPr="006E437B">
        <w:rPr>
          <w:rFonts w:ascii="Times New Roman" w:hAnsi="Times New Roman" w:cs="Times New Roman"/>
          <w:sz w:val="24"/>
          <w:szCs w:val="24"/>
        </w:rPr>
        <w:t>,</w:t>
      </w:r>
      <w:r w:rsidRPr="006E437B">
        <w:rPr>
          <w:rFonts w:ascii="Times New Roman" w:hAnsi="Times New Roman" w:cs="Times New Roman"/>
          <w:sz w:val="24"/>
          <w:szCs w:val="24"/>
        </w:rPr>
        <w:t xml:space="preserve"> es defender nuestras familias y porque el sur del Estado de México merece seguir siendo tierra de trabajo, de esperanza y de oportunidades para presentes y futuras generaciones.</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Hagamos que la voz de nuestras comunidades, se conviertan en acciones y preocupaciones de </w:t>
      </w:r>
      <w:r w:rsidR="00A8798C" w:rsidRPr="006E437B">
        <w:rPr>
          <w:rFonts w:ascii="Times New Roman" w:hAnsi="Times New Roman" w:cs="Times New Roman"/>
          <w:sz w:val="24"/>
          <w:szCs w:val="24"/>
        </w:rPr>
        <w:t>los</w:t>
      </w:r>
      <w:r w:rsidRPr="006E437B">
        <w:rPr>
          <w:rFonts w:ascii="Times New Roman" w:hAnsi="Times New Roman" w:cs="Times New Roman"/>
          <w:sz w:val="24"/>
          <w:szCs w:val="24"/>
        </w:rPr>
        <w:t xml:space="preserve"> productores que conviertan en políticas públicas y que la voluntad del Congreso se traduzca en resultados con quienes más lo necesitan, con el campo, por nuestras comunidades y por el futuro del sur mexiquense. ¡Sigamos trabajando unidos!</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Y que viva el sur del Estado, que viva el campo del sur del Estado de México, es cuanto Presidente.</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Se registra diputado.</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Tiene el uso de la voz la diputada Selina Trujillo.</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DIP. SELINA TRUJILLO ARIZMENDI. Pues muchas gracias Presidente. </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Mi intervención hoy es por hechos.</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El pasado viernes estuvo aquí en la </w:t>
      </w:r>
      <w:r w:rsidR="004543B3" w:rsidRPr="006E437B">
        <w:rPr>
          <w:rFonts w:ascii="Times New Roman" w:hAnsi="Times New Roman" w:cs="Times New Roman"/>
          <w:sz w:val="24"/>
          <w:szCs w:val="24"/>
        </w:rPr>
        <w:t xml:space="preserve">Capital </w:t>
      </w:r>
      <w:r w:rsidRPr="006E437B">
        <w:rPr>
          <w:rFonts w:ascii="Times New Roman" w:hAnsi="Times New Roman" w:cs="Times New Roman"/>
          <w:sz w:val="24"/>
          <w:szCs w:val="24"/>
        </w:rPr>
        <w:t>del Estado de México</w:t>
      </w:r>
      <w:r w:rsidR="004543B3" w:rsidRPr="006E437B">
        <w:rPr>
          <w:rFonts w:ascii="Times New Roman" w:hAnsi="Times New Roman" w:cs="Times New Roman"/>
          <w:sz w:val="24"/>
          <w:szCs w:val="24"/>
        </w:rPr>
        <w:t>, en el Estado de México</w:t>
      </w:r>
      <w:r w:rsidRPr="006E437B">
        <w:rPr>
          <w:rFonts w:ascii="Times New Roman" w:hAnsi="Times New Roman" w:cs="Times New Roman"/>
          <w:sz w:val="24"/>
          <w:szCs w:val="24"/>
        </w:rPr>
        <w:t xml:space="preserve">, nuestra querida Presidenta de la República, haciendo presente su Segundo Informe de </w:t>
      </w:r>
      <w:r w:rsidR="004543B3" w:rsidRPr="006E437B">
        <w:rPr>
          <w:rFonts w:ascii="Times New Roman" w:hAnsi="Times New Roman" w:cs="Times New Roman"/>
          <w:sz w:val="24"/>
          <w:szCs w:val="24"/>
        </w:rPr>
        <w:t xml:space="preserve">Actividades </w:t>
      </w:r>
      <w:r w:rsidRPr="006E437B">
        <w:rPr>
          <w:rFonts w:ascii="Times New Roman" w:hAnsi="Times New Roman" w:cs="Times New Roman"/>
          <w:sz w:val="24"/>
          <w:szCs w:val="24"/>
        </w:rPr>
        <w:t xml:space="preserve">que tituló Honestidad y Resultados </w:t>
      </w:r>
      <w:r w:rsidR="004543B3" w:rsidRPr="006E437B">
        <w:rPr>
          <w:rFonts w:ascii="Times New Roman" w:hAnsi="Times New Roman" w:cs="Times New Roman"/>
          <w:sz w:val="24"/>
          <w:szCs w:val="24"/>
        </w:rPr>
        <w:t xml:space="preserve">y </w:t>
      </w:r>
      <w:r w:rsidRPr="006E437B">
        <w:rPr>
          <w:rFonts w:ascii="Times New Roman" w:hAnsi="Times New Roman" w:cs="Times New Roman"/>
          <w:sz w:val="24"/>
          <w:szCs w:val="24"/>
        </w:rPr>
        <w:t xml:space="preserve">hoy quiero </w:t>
      </w:r>
      <w:r w:rsidR="00DE46F7" w:rsidRPr="006E437B">
        <w:rPr>
          <w:rFonts w:ascii="Times New Roman" w:hAnsi="Times New Roman" w:cs="Times New Roman"/>
          <w:sz w:val="24"/>
          <w:szCs w:val="24"/>
        </w:rPr>
        <w:t xml:space="preserve">sólo </w:t>
      </w:r>
      <w:r w:rsidRPr="006E437B">
        <w:rPr>
          <w:rFonts w:ascii="Times New Roman" w:hAnsi="Times New Roman" w:cs="Times New Roman"/>
          <w:sz w:val="24"/>
          <w:szCs w:val="24"/>
        </w:rPr>
        <w:t>hacer un reconocimiento grande a la política federal que está aplicando aquí en nuestro Estado, una política social que alcanza cerca de 5 millones de beneficiarios; también habló de infraestructura que supera un monto ya la política general, 99 mil millones de pesos hacia el Estado de México en esta política de infraestructura, que hay que reconocer</w:t>
      </w:r>
      <w:r w:rsidR="006E7C08" w:rsidRPr="006E437B">
        <w:rPr>
          <w:rFonts w:ascii="Times New Roman" w:hAnsi="Times New Roman" w:cs="Times New Roman"/>
          <w:sz w:val="24"/>
          <w:szCs w:val="24"/>
        </w:rPr>
        <w:t>,</w:t>
      </w:r>
      <w:r w:rsidRPr="006E437B">
        <w:rPr>
          <w:rFonts w:ascii="Times New Roman" w:hAnsi="Times New Roman" w:cs="Times New Roman"/>
          <w:sz w:val="24"/>
          <w:szCs w:val="24"/>
        </w:rPr>
        <w:t xml:space="preserve"> que gracias a este gran esfuerzo que está haciendo hoy la </w:t>
      </w:r>
      <w:r w:rsidR="006E7C08" w:rsidRPr="006E437B">
        <w:rPr>
          <w:rFonts w:ascii="Times New Roman" w:hAnsi="Times New Roman" w:cs="Times New Roman"/>
          <w:sz w:val="24"/>
          <w:szCs w:val="24"/>
        </w:rPr>
        <w:t xml:space="preserve">zona oriente </w:t>
      </w:r>
      <w:r w:rsidRPr="006E437B">
        <w:rPr>
          <w:rFonts w:ascii="Times New Roman" w:hAnsi="Times New Roman" w:cs="Times New Roman"/>
          <w:sz w:val="24"/>
          <w:szCs w:val="24"/>
        </w:rPr>
        <w:t>está beneficiada de principio, con un presupuesto de 75 mil millones de pesos y que hoy</w:t>
      </w:r>
      <w:r w:rsidR="006E7C08" w:rsidRPr="006E437B">
        <w:rPr>
          <w:rFonts w:ascii="Times New Roman" w:hAnsi="Times New Roman" w:cs="Times New Roman"/>
          <w:sz w:val="24"/>
          <w:szCs w:val="24"/>
        </w:rPr>
        <w:t>,</w:t>
      </w:r>
      <w:r w:rsidRPr="006E437B">
        <w:rPr>
          <w:rFonts w:ascii="Times New Roman" w:hAnsi="Times New Roman" w:cs="Times New Roman"/>
          <w:sz w:val="24"/>
          <w:szCs w:val="24"/>
        </w:rPr>
        <w:t xml:space="preserve"> la Presidenta de la República nos informa que ya está superando los 111 millones de pesos para beneficiar a la ciudadanía de los mexiquenses.</w:t>
      </w:r>
    </w:p>
    <w:p w:rsidR="007519D4"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Quiero reconocer ese gran esfuerzo, porque gracias a eso</w:t>
      </w:r>
      <w:r w:rsidR="006E7C08" w:rsidRPr="006E437B">
        <w:rPr>
          <w:rFonts w:ascii="Times New Roman" w:hAnsi="Times New Roman" w:cs="Times New Roman"/>
          <w:sz w:val="24"/>
          <w:szCs w:val="24"/>
        </w:rPr>
        <w:t>,</w:t>
      </w:r>
      <w:r w:rsidRPr="006E437B">
        <w:rPr>
          <w:rFonts w:ascii="Times New Roman" w:hAnsi="Times New Roman" w:cs="Times New Roman"/>
          <w:sz w:val="24"/>
          <w:szCs w:val="24"/>
        </w:rPr>
        <w:t xml:space="preserve"> hoy se está consolidando la </w:t>
      </w:r>
      <w:r w:rsidR="006E7C08" w:rsidRPr="006E437B">
        <w:rPr>
          <w:rFonts w:ascii="Times New Roman" w:hAnsi="Times New Roman" w:cs="Times New Roman"/>
          <w:sz w:val="24"/>
          <w:szCs w:val="24"/>
        </w:rPr>
        <w:t>Cuarta</w:t>
      </w:r>
      <w:r w:rsidRPr="006E437B">
        <w:rPr>
          <w:rFonts w:ascii="Times New Roman" w:hAnsi="Times New Roman" w:cs="Times New Roman"/>
          <w:sz w:val="24"/>
          <w:szCs w:val="24"/>
        </w:rPr>
        <w:t xml:space="preserve"> Transformación aquí en nuestro Estado y tenemos que reconocer que, gracias a esta política, hoy el gobierno de la Maestra Delfina</w:t>
      </w:r>
      <w:r w:rsidR="006E7C08" w:rsidRPr="006E437B">
        <w:rPr>
          <w:rFonts w:ascii="Times New Roman" w:hAnsi="Times New Roman" w:cs="Times New Roman"/>
          <w:sz w:val="24"/>
          <w:szCs w:val="24"/>
        </w:rPr>
        <w:t>,</w:t>
      </w:r>
      <w:r w:rsidRPr="006E437B">
        <w:rPr>
          <w:rFonts w:ascii="Times New Roman" w:hAnsi="Times New Roman" w:cs="Times New Roman"/>
          <w:sz w:val="24"/>
          <w:szCs w:val="24"/>
        </w:rPr>
        <w:t xml:space="preserve"> tiene los ojos puestos en otros lados en donde se está construyendo bastante obra pública</w:t>
      </w:r>
      <w:r w:rsidR="00711DFC" w:rsidRPr="006E437B">
        <w:rPr>
          <w:rFonts w:ascii="Times New Roman" w:hAnsi="Times New Roman" w:cs="Times New Roman"/>
          <w:sz w:val="24"/>
          <w:szCs w:val="24"/>
        </w:rPr>
        <w:t>;</w:t>
      </w:r>
      <w:r w:rsidRPr="006E437B">
        <w:rPr>
          <w:rFonts w:ascii="Times New Roman" w:hAnsi="Times New Roman" w:cs="Times New Roman"/>
          <w:sz w:val="24"/>
          <w:szCs w:val="24"/>
        </w:rPr>
        <w:t xml:space="preserve"> así que</w:t>
      </w:r>
      <w:r w:rsidR="002E7B2A" w:rsidRPr="006E437B">
        <w:rPr>
          <w:rFonts w:ascii="Times New Roman" w:hAnsi="Times New Roman" w:cs="Times New Roman"/>
          <w:sz w:val="24"/>
          <w:szCs w:val="24"/>
        </w:rPr>
        <w:t>,</w:t>
      </w:r>
      <w:r w:rsidRPr="006E437B">
        <w:rPr>
          <w:rFonts w:ascii="Times New Roman" w:hAnsi="Times New Roman" w:cs="Times New Roman"/>
          <w:sz w:val="24"/>
          <w:szCs w:val="24"/>
        </w:rPr>
        <w:t xml:space="preserve"> solamente es el reconocimiento a nuestra querida </w:t>
      </w:r>
      <w:r w:rsidRPr="006E437B">
        <w:rPr>
          <w:rFonts w:ascii="Times New Roman" w:hAnsi="Times New Roman" w:cs="Times New Roman"/>
          <w:sz w:val="24"/>
          <w:szCs w:val="24"/>
        </w:rPr>
        <w:lastRenderedPageBreak/>
        <w:t>Presidenta y decirle que aquí en el Estado de México</w:t>
      </w:r>
      <w:r w:rsidR="00711DFC" w:rsidRPr="006E437B">
        <w:rPr>
          <w:rFonts w:ascii="Times New Roman" w:hAnsi="Times New Roman" w:cs="Times New Roman"/>
          <w:sz w:val="24"/>
          <w:szCs w:val="24"/>
        </w:rPr>
        <w:t>,</w:t>
      </w:r>
      <w:r w:rsidRPr="006E437B">
        <w:rPr>
          <w:rFonts w:ascii="Times New Roman" w:hAnsi="Times New Roman" w:cs="Times New Roman"/>
          <w:sz w:val="24"/>
          <w:szCs w:val="24"/>
        </w:rPr>
        <w:t xml:space="preserve"> se le quiere y se le quiere mucho. Muchas gracias.</w:t>
      </w:r>
    </w:p>
    <w:p w:rsidR="00197B45"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Se registra su participación</w:t>
      </w:r>
      <w:r w:rsidR="00711DFC" w:rsidRPr="006E437B">
        <w:rPr>
          <w:rFonts w:ascii="Times New Roman" w:hAnsi="Times New Roman" w:cs="Times New Roman"/>
          <w:sz w:val="24"/>
          <w:szCs w:val="24"/>
        </w:rPr>
        <w:t xml:space="preserve"> </w:t>
      </w:r>
      <w:r w:rsidRPr="006E437B">
        <w:rPr>
          <w:rFonts w:ascii="Times New Roman" w:hAnsi="Times New Roman" w:cs="Times New Roman"/>
          <w:sz w:val="24"/>
          <w:szCs w:val="24"/>
        </w:rPr>
        <w:t>diputada.</w:t>
      </w:r>
    </w:p>
    <w:p w:rsidR="007519D4" w:rsidRPr="006E437B" w:rsidRDefault="007519D4"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Sobre el punto 1, comunico a esta Legislatura que el acta de la sesión anterior fue publicada en la Gaceta Parlamentaria, por lo tanto, si alguien tiene algunas observaciones o comentarios, la Secretaría los atenderá al término de la sesión.</w:t>
      </w:r>
    </w:p>
    <w:p w:rsidR="00535F6F" w:rsidRPr="006E437B" w:rsidRDefault="00535F6F" w:rsidP="00141629">
      <w:pPr>
        <w:pStyle w:val="Sinespaciado"/>
        <w:jc w:val="both"/>
        <w:rPr>
          <w:rFonts w:ascii="Times New Roman" w:hAnsi="Times New Roman" w:cs="Times New Roman"/>
          <w:sz w:val="24"/>
          <w:szCs w:val="24"/>
        </w:rPr>
      </w:pPr>
    </w:p>
    <w:p w:rsidR="00535F6F" w:rsidRPr="006E437B" w:rsidRDefault="00535F6F"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535F6F" w:rsidRPr="006E437B" w:rsidRDefault="00535F6F" w:rsidP="00141629">
      <w:pPr>
        <w:pStyle w:val="Sinespaciado"/>
        <w:jc w:val="both"/>
        <w:rPr>
          <w:rFonts w:ascii="Times New Roman" w:hAnsi="Times New Roman" w:cs="Times New Roman"/>
          <w:sz w:val="24"/>
          <w:szCs w:val="24"/>
        </w:rPr>
      </w:pPr>
    </w:p>
    <w:p w:rsidR="00817FAD" w:rsidRPr="006E437B" w:rsidRDefault="00817FAD" w:rsidP="00141629">
      <w:pPr>
        <w:pStyle w:val="Sinespaciado"/>
        <w:jc w:val="both"/>
        <w:rPr>
          <w:rStyle w:val="normaltextrun"/>
          <w:rFonts w:ascii="Times New Roman" w:eastAsia="Calibri" w:hAnsi="Times New Roman" w:cs="Times New Roman"/>
          <w:b/>
          <w:sz w:val="24"/>
          <w:szCs w:val="24"/>
        </w:rPr>
      </w:pPr>
      <w:r w:rsidRPr="006E437B">
        <w:rPr>
          <w:rStyle w:val="normaltextrun"/>
          <w:rFonts w:ascii="Times New Roman" w:eastAsia="Calibri" w:hAnsi="Times New Roman" w:cs="Times New Roman"/>
          <w:b/>
          <w:sz w:val="24"/>
          <w:szCs w:val="24"/>
        </w:rPr>
        <w:t>ACTA DE LA SESIÓN DELIBERANTE DE LA “LXII” LEGISLATURA DEL  ESTADO DE MÉXICO, CELEBRADA EL DÍA DIEZ DE SEPTIEMBRE DE DOS MIL VEINTISÉIS.</w:t>
      </w:r>
    </w:p>
    <w:p w:rsidR="00817FAD" w:rsidRPr="006E437B" w:rsidRDefault="00817FAD" w:rsidP="00141629">
      <w:pPr>
        <w:pStyle w:val="Sinespaciado"/>
        <w:jc w:val="center"/>
        <w:rPr>
          <w:rFonts w:ascii="Times New Roman" w:hAnsi="Times New Roman" w:cs="Times New Roman"/>
          <w:sz w:val="24"/>
          <w:szCs w:val="24"/>
        </w:rPr>
      </w:pPr>
    </w:p>
    <w:p w:rsidR="00817FAD" w:rsidRPr="006E437B" w:rsidRDefault="00817FAD" w:rsidP="00141629">
      <w:pPr>
        <w:pStyle w:val="Sinespaciado"/>
        <w:jc w:val="center"/>
        <w:rPr>
          <w:rFonts w:ascii="Times New Roman" w:hAnsi="Times New Roman" w:cs="Times New Roman"/>
          <w:b/>
          <w:sz w:val="24"/>
          <w:szCs w:val="24"/>
        </w:rPr>
      </w:pPr>
      <w:r w:rsidRPr="006E437B">
        <w:rPr>
          <w:rStyle w:val="normaltextrun"/>
          <w:rFonts w:ascii="Times New Roman" w:eastAsia="Calibri" w:hAnsi="Times New Roman" w:cs="Times New Roman"/>
          <w:b/>
          <w:sz w:val="24"/>
          <w:szCs w:val="24"/>
        </w:rPr>
        <w:t>Presidente Diputado Vladimir Hernández Villegas.</w:t>
      </w:r>
    </w:p>
    <w:p w:rsidR="00817FAD" w:rsidRPr="006E437B" w:rsidRDefault="00817FAD" w:rsidP="00141629">
      <w:pPr>
        <w:pStyle w:val="Sinespaciado"/>
        <w:jc w:val="both"/>
        <w:rPr>
          <w:rFonts w:ascii="Times New Roman" w:hAnsi="Times New Roman" w:cs="Times New Roman"/>
          <w:sz w:val="24"/>
          <w:szCs w:val="24"/>
        </w:rPr>
      </w:pPr>
    </w:p>
    <w:p w:rsidR="00817FAD" w:rsidRPr="006E437B" w:rsidRDefault="00817FAD" w:rsidP="00141629">
      <w:pPr>
        <w:pStyle w:val="Sinespaciado"/>
        <w:jc w:val="both"/>
        <w:rPr>
          <w:rStyle w:val="normaltextrun"/>
          <w:rFonts w:ascii="Times New Roman" w:eastAsia="Calibri" w:hAnsi="Times New Roman" w:cs="Times New Roman"/>
          <w:sz w:val="24"/>
          <w:szCs w:val="24"/>
        </w:rPr>
      </w:pPr>
      <w:r w:rsidRPr="006E437B">
        <w:rPr>
          <w:rStyle w:val="normaltextrun"/>
          <w:rFonts w:ascii="Times New Roman" w:eastAsia="Calibri" w:hAnsi="Times New Roman" w:cs="Times New Roman"/>
          <w:sz w:val="24"/>
          <w:szCs w:val="24"/>
        </w:rPr>
        <w:t>En el Salón de Sesiones del H. Poder Legislativo, en la ciudad de Toluca de Lerdo, capital del Estado de México, la Presidencia abre la sesión siendo las doce horas con cuarenta y ocho minutos del día diez de septiembre de dos mil veintiséis, una vez que la Secretaría verificó la existencia del quórum, mediante el sistema electrónico.  </w:t>
      </w:r>
    </w:p>
    <w:p w:rsidR="00817FAD" w:rsidRPr="006E437B" w:rsidRDefault="00817FAD" w:rsidP="00141629">
      <w:pPr>
        <w:pStyle w:val="Sinespaciado"/>
        <w:jc w:val="both"/>
        <w:rPr>
          <w:rFonts w:ascii="Times New Roman" w:hAnsi="Times New Roman" w:cs="Times New Roman"/>
          <w:sz w:val="24"/>
          <w:szCs w:val="24"/>
        </w:rPr>
      </w:pPr>
    </w:p>
    <w:p w:rsidR="00817FAD" w:rsidRPr="006E437B" w:rsidRDefault="00817FAD" w:rsidP="00141629">
      <w:pPr>
        <w:pStyle w:val="Sinespaciado"/>
        <w:jc w:val="both"/>
        <w:rPr>
          <w:rStyle w:val="normaltextrun"/>
          <w:rFonts w:ascii="Times New Roman" w:eastAsia="Calibri" w:hAnsi="Times New Roman" w:cs="Times New Roman"/>
          <w:sz w:val="24"/>
          <w:szCs w:val="24"/>
        </w:rPr>
      </w:pPr>
      <w:r w:rsidRPr="006E437B">
        <w:rPr>
          <w:rStyle w:val="normaltextrun"/>
          <w:rFonts w:ascii="Times New Roman" w:eastAsia="Calibri" w:hAnsi="Times New Roman" w:cs="Times New Roman"/>
          <w:sz w:val="24"/>
          <w:szCs w:val="24"/>
        </w:rPr>
        <w:t>La Secretaría, por instrucciones de la Presidencia, da lectura a la propuesta de Orden del Día. La propuesta del Orden del Día es aprobada por unanimidad de votos y se desarrolla conforme al tenor siguiente:</w:t>
      </w:r>
    </w:p>
    <w:p w:rsidR="00817FAD" w:rsidRPr="006E437B" w:rsidRDefault="00817FAD" w:rsidP="00141629">
      <w:pPr>
        <w:pStyle w:val="Sinespaciado"/>
        <w:jc w:val="both"/>
        <w:rPr>
          <w:rStyle w:val="normaltextrun"/>
          <w:rFonts w:ascii="Times New Roman" w:eastAsia="Calibri" w:hAnsi="Times New Roman" w:cs="Times New Roman"/>
          <w:sz w:val="24"/>
          <w:szCs w:val="24"/>
        </w:rPr>
      </w:pPr>
    </w:p>
    <w:p w:rsidR="00817FAD" w:rsidRPr="006E437B" w:rsidRDefault="00817FAD" w:rsidP="00141629">
      <w:pPr>
        <w:pStyle w:val="Sinespaciado"/>
        <w:jc w:val="both"/>
        <w:rPr>
          <w:rStyle w:val="normaltextrun"/>
          <w:rFonts w:ascii="Times New Roman" w:eastAsia="Calibri" w:hAnsi="Times New Roman" w:cs="Times New Roman"/>
          <w:sz w:val="24"/>
          <w:szCs w:val="24"/>
        </w:rPr>
      </w:pPr>
      <w:r w:rsidRPr="006E437B">
        <w:rPr>
          <w:rStyle w:val="normaltextrun"/>
          <w:rFonts w:ascii="Times New Roman" w:eastAsia="Calibri" w:hAnsi="Times New Roman" w:cs="Times New Roman"/>
          <w:sz w:val="24"/>
          <w:szCs w:val="24"/>
        </w:rPr>
        <w:t xml:space="preserve">1.- La Presidencia informa que el Acta de la Sesión Anterior, ha sido publicada en la Gaceta Parlamentaria, por lo que pregunta si existen observaciones o comentarios de la misma. El Acta es aprobada por unanimidad de votos. </w:t>
      </w:r>
    </w:p>
    <w:p w:rsidR="00817FAD" w:rsidRPr="006E437B" w:rsidRDefault="00817FAD" w:rsidP="00141629">
      <w:pPr>
        <w:pStyle w:val="Sinespaciado"/>
        <w:jc w:val="both"/>
        <w:rPr>
          <w:rFonts w:ascii="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2.- El diputado Samuel Ríos Moreno hace uso de la palabra, para dar lectura a la </w:t>
      </w:r>
      <w:r w:rsidRPr="006E437B">
        <w:rPr>
          <w:rFonts w:ascii="Times New Roman" w:hAnsi="Times New Roman" w:cs="Times New Roman"/>
          <w:sz w:val="24"/>
          <w:szCs w:val="24"/>
          <w:lang w:bidi="en-US"/>
        </w:rPr>
        <w:t xml:space="preserve">Iniciativa de Decreto por el que se convoca a la ciudadanía del Estado de México y a los partidos políticos con derecho a participar, en las elecciones ordinarias de Diputadas y Diputados Locales a la “LXIII” Legislatura y de integrantes de Ayuntamientos de los Municipios del Estado de México, presentada por integrantes de la Junta de Coordinación Política. (De urgente y obvia resolución). </w:t>
      </w:r>
      <w:r w:rsidRPr="006E437B">
        <w:rPr>
          <w:rFonts w:ascii="Times New Roman" w:hAnsi="Times New Roman" w:cs="Times New Roman"/>
          <w:sz w:val="24"/>
          <w:szCs w:val="24"/>
        </w:rPr>
        <w:t xml:space="preserve">Solicita la dispensa del trámite de dictamen. </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Es aprobada la dispensa del trámite de dictamen, por unanimidad de votos. </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 </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 xml:space="preserve">3.- La Vicepresidencia, por instrucciones de la Presidencia, hace uso de la palabra, para dar lectura a la Minuta Proyecto de Decreto </w:t>
      </w:r>
      <w:r w:rsidRPr="006E437B">
        <w:rPr>
          <w:rFonts w:ascii="Times New Roman" w:hAnsi="Times New Roman" w:cs="Times New Roman"/>
          <w:sz w:val="24"/>
          <w:szCs w:val="24"/>
        </w:rPr>
        <w:t xml:space="preserve">por la que se reforman y adicionan diversas disposiciones a la </w:t>
      </w:r>
      <w:r w:rsidRPr="006E437B">
        <w:rPr>
          <w:rFonts w:ascii="Times New Roman" w:hAnsi="Times New Roman" w:cs="Times New Roman"/>
          <w:sz w:val="24"/>
          <w:szCs w:val="24"/>
        </w:rPr>
        <w:lastRenderedPageBreak/>
        <w:t>Constitución Política del Estado Libre y Soberano de México, en materia de elección de personas juzgadoras.</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Presidencia formula la Declaratoria de la Aprobación de la Minuta Proyecto de Decreto y solicita a la Secretaría haga la comunicación correspondiente a la persona Titular del Ejecutivo Estatal, para los efectos procedentes.</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pStyle w:val="Default"/>
        <w:jc w:val="both"/>
        <w:rPr>
          <w:rFonts w:ascii="Times New Roman" w:hAnsi="Times New Roman" w:cs="Times New Roman"/>
          <w:color w:val="auto"/>
        </w:rPr>
      </w:pPr>
      <w:r w:rsidRPr="006E437B">
        <w:rPr>
          <w:rFonts w:ascii="Times New Roman" w:hAnsi="Times New Roman" w:cs="Times New Roman"/>
          <w:bCs/>
          <w:color w:val="auto"/>
        </w:rPr>
        <w:t xml:space="preserve">4.- El diputado Héctor Karim Carvallo </w:t>
      </w:r>
      <w:r w:rsidRPr="006E437B">
        <w:rPr>
          <w:rFonts w:ascii="Times New Roman" w:hAnsi="Times New Roman" w:cs="Times New Roman"/>
          <w:color w:val="auto"/>
        </w:rPr>
        <w:t xml:space="preserve">Delfín hace uso de la palabra, para dar lectura al </w:t>
      </w:r>
      <w:r w:rsidRPr="006E437B">
        <w:rPr>
          <w:rFonts w:ascii="Times New Roman" w:hAnsi="Times New Roman" w:cs="Times New Roman"/>
          <w:bCs/>
          <w:color w:val="auto"/>
        </w:rPr>
        <w:t xml:space="preserve">Dictamen </w:t>
      </w:r>
      <w:r w:rsidRPr="006E437B">
        <w:rPr>
          <w:rFonts w:ascii="Times New Roman" w:hAnsi="Times New Roman" w:cs="Times New Roman"/>
          <w:color w:val="auto"/>
        </w:rPr>
        <w:t xml:space="preserve">de la </w:t>
      </w:r>
      <w:r w:rsidRPr="006E437B">
        <w:rPr>
          <w:rFonts w:ascii="Times New Roman" w:hAnsi="Times New Roman" w:cs="Times New Roman"/>
          <w:bCs/>
          <w:color w:val="auto"/>
        </w:rPr>
        <w:t xml:space="preserve">Iniciativa </w:t>
      </w:r>
      <w:r w:rsidRPr="006E437B">
        <w:rPr>
          <w:rFonts w:ascii="Times New Roman" w:hAnsi="Times New Roman" w:cs="Times New Roman"/>
          <w:color w:val="auto"/>
        </w:rPr>
        <w:t xml:space="preserve">de Decreto por el que se reforman, adicionan y derogan diversas disposiciones del </w:t>
      </w:r>
      <w:r w:rsidRPr="006E437B">
        <w:rPr>
          <w:rFonts w:ascii="Times New Roman" w:hAnsi="Times New Roman" w:cs="Times New Roman"/>
          <w:bCs/>
          <w:color w:val="auto"/>
        </w:rPr>
        <w:t>Código Administrativo del Estado de México</w:t>
      </w:r>
      <w:r w:rsidRPr="006E437B">
        <w:rPr>
          <w:rFonts w:ascii="Times New Roman" w:hAnsi="Times New Roman" w:cs="Times New Roman"/>
          <w:color w:val="auto"/>
        </w:rPr>
        <w:t xml:space="preserve">, de la </w:t>
      </w:r>
      <w:r w:rsidRPr="006E437B">
        <w:rPr>
          <w:rFonts w:ascii="Times New Roman" w:hAnsi="Times New Roman" w:cs="Times New Roman"/>
          <w:bCs/>
          <w:color w:val="auto"/>
        </w:rPr>
        <w:t xml:space="preserve">Ley de la Comisión de Impacto Estatal </w:t>
      </w:r>
      <w:r w:rsidRPr="006E437B">
        <w:rPr>
          <w:rFonts w:ascii="Times New Roman" w:hAnsi="Times New Roman" w:cs="Times New Roman"/>
          <w:color w:val="auto"/>
        </w:rPr>
        <w:t xml:space="preserve">y de la </w:t>
      </w:r>
      <w:r w:rsidRPr="006E437B">
        <w:rPr>
          <w:rFonts w:ascii="Times New Roman" w:hAnsi="Times New Roman" w:cs="Times New Roman"/>
          <w:bCs/>
          <w:color w:val="auto"/>
        </w:rPr>
        <w:t>Ley Orgánica de la Administración Pública del Estado de México</w:t>
      </w:r>
      <w:r w:rsidRPr="006E437B">
        <w:rPr>
          <w:rFonts w:ascii="Times New Roman" w:hAnsi="Times New Roman" w:cs="Times New Roman"/>
          <w:color w:val="auto"/>
        </w:rPr>
        <w:t xml:space="preserve">, presentada por la Titular del Ejecutivo Estatal; de la </w:t>
      </w:r>
      <w:r w:rsidRPr="006E437B">
        <w:rPr>
          <w:rFonts w:ascii="Times New Roman" w:hAnsi="Times New Roman" w:cs="Times New Roman"/>
          <w:bCs/>
          <w:color w:val="auto"/>
        </w:rPr>
        <w:t xml:space="preserve">Iniciativa </w:t>
      </w:r>
      <w:r w:rsidRPr="006E437B">
        <w:rPr>
          <w:rFonts w:ascii="Times New Roman" w:hAnsi="Times New Roman" w:cs="Times New Roman"/>
          <w:color w:val="auto"/>
        </w:rPr>
        <w:t xml:space="preserve">con Proyecto de Decreto por el que se reforman los artículos 1, 2, 3, 5, 8, 10, 16, 18, 21, 22, 23, 44, 45, se adiciona el artículo 22 bis y se deroga el artículo 29 de la </w:t>
      </w:r>
      <w:r w:rsidRPr="006E437B">
        <w:rPr>
          <w:rFonts w:ascii="Times New Roman" w:hAnsi="Times New Roman" w:cs="Times New Roman"/>
          <w:bCs/>
          <w:color w:val="auto"/>
        </w:rPr>
        <w:t>Ley de Vivienda del Estado de México</w:t>
      </w:r>
      <w:r w:rsidRPr="006E437B">
        <w:rPr>
          <w:rFonts w:ascii="Times New Roman" w:hAnsi="Times New Roman" w:cs="Times New Roman"/>
          <w:color w:val="auto"/>
        </w:rPr>
        <w:t xml:space="preserve">, presentada por el Diputado Octavio Martínez Vargas, en nombre del Grupo Parlamentario de Partido morena; y de la </w:t>
      </w:r>
      <w:r w:rsidRPr="006E437B">
        <w:rPr>
          <w:rFonts w:ascii="Times New Roman" w:hAnsi="Times New Roman" w:cs="Times New Roman"/>
          <w:bCs/>
          <w:color w:val="auto"/>
        </w:rPr>
        <w:t xml:space="preserve">Iniciativa </w:t>
      </w:r>
      <w:r w:rsidRPr="006E437B">
        <w:rPr>
          <w:rFonts w:ascii="Times New Roman" w:hAnsi="Times New Roman" w:cs="Times New Roman"/>
          <w:color w:val="auto"/>
        </w:rPr>
        <w:t xml:space="preserve">con Proyecto de Decreto por el que se reforman los artículos 10, 13, 14 y 16; y se adiciona el artículo 28 Bis a la </w:t>
      </w:r>
      <w:r w:rsidRPr="006E437B">
        <w:rPr>
          <w:rFonts w:ascii="Times New Roman" w:hAnsi="Times New Roman" w:cs="Times New Roman"/>
          <w:bCs/>
          <w:color w:val="auto"/>
        </w:rPr>
        <w:t xml:space="preserve">Ley de Vivienda del Estado de México </w:t>
      </w:r>
      <w:r w:rsidRPr="006E437B">
        <w:rPr>
          <w:rFonts w:ascii="Times New Roman" w:hAnsi="Times New Roman" w:cs="Times New Roman"/>
          <w:color w:val="auto"/>
        </w:rPr>
        <w:t xml:space="preserve">y se adicionan fracciones al artículo 3 de la </w:t>
      </w:r>
      <w:r w:rsidRPr="006E437B">
        <w:rPr>
          <w:rFonts w:ascii="Times New Roman" w:hAnsi="Times New Roman" w:cs="Times New Roman"/>
          <w:bCs/>
          <w:color w:val="auto"/>
        </w:rPr>
        <w:t>Ley que Crea el Organismo Público Descentralizado de Carácter Estatal Denominado Instituto Mexiquense de la Vivienda Social</w:t>
      </w:r>
      <w:r w:rsidRPr="006E437B">
        <w:rPr>
          <w:rFonts w:ascii="Times New Roman" w:hAnsi="Times New Roman" w:cs="Times New Roman"/>
          <w:color w:val="auto"/>
        </w:rPr>
        <w:t>, presentada por el Grupo Parlamentario del Partido Verde Ecologista de México; todas para simplificar y actualizar las reglas para autorizaciones y desarrollos urbanos, así como en materia de vivienda, formulado por la Comisión Legislativa de Desarrollo Urbano.</w:t>
      </w:r>
    </w:p>
    <w:p w:rsidR="00817FAD" w:rsidRPr="006E437B" w:rsidRDefault="00817FAD" w:rsidP="00141629">
      <w:pPr>
        <w:pStyle w:val="Default"/>
        <w:jc w:val="both"/>
        <w:rPr>
          <w:rFonts w:ascii="Times New Roman" w:hAnsi="Times New Roman" w:cs="Times New Roman"/>
          <w:color w:val="auto"/>
        </w:rPr>
      </w:pPr>
    </w:p>
    <w:p w:rsidR="00817FAD" w:rsidRPr="006E437B" w:rsidRDefault="00817FAD" w:rsidP="00141629">
      <w:pPr>
        <w:pStyle w:val="Default"/>
        <w:jc w:val="both"/>
        <w:rPr>
          <w:rFonts w:ascii="Times New Roman" w:hAnsi="Times New Roman" w:cs="Times New Roman"/>
          <w:color w:val="auto"/>
        </w:rPr>
      </w:pPr>
      <w:r w:rsidRPr="006E437B">
        <w:rPr>
          <w:rFonts w:ascii="Times New Roman" w:hAnsi="Times New Roman" w:cs="Times New Roman"/>
          <w:color w:val="auto"/>
        </w:rPr>
        <w:t>Para hablar sobre el dictamen, hace uso de la palabra el diputado Héctor Raúl García González.</w:t>
      </w:r>
    </w:p>
    <w:p w:rsidR="00817FAD" w:rsidRPr="006E437B" w:rsidRDefault="00817FAD" w:rsidP="00141629">
      <w:pPr>
        <w:pStyle w:val="Default"/>
        <w:jc w:val="both"/>
        <w:rPr>
          <w:rFonts w:ascii="Times New Roman" w:hAnsi="Times New Roman" w:cs="Times New Roman"/>
          <w:color w:val="auto"/>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 xml:space="preserve">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 </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5.- La diputada Jennifer Nathalie González López hace uso de la palabra, para dar lectura al</w:t>
      </w:r>
      <w:r w:rsidRPr="006E437B">
        <w:rPr>
          <w:rFonts w:ascii="Times New Roman" w:hAnsi="Times New Roman" w:cs="Times New Roman"/>
          <w:sz w:val="24"/>
          <w:szCs w:val="24"/>
        </w:rPr>
        <w:t xml:space="preserve"> </w:t>
      </w:r>
      <w:r w:rsidRPr="006E437B">
        <w:rPr>
          <w:rFonts w:ascii="Times New Roman" w:hAnsi="Times New Roman" w:cs="Times New Roman"/>
          <w:bCs/>
          <w:sz w:val="24"/>
          <w:szCs w:val="24"/>
        </w:rPr>
        <w:t xml:space="preserve">Dictamen </w:t>
      </w:r>
      <w:r w:rsidRPr="006E437B">
        <w:rPr>
          <w:rFonts w:ascii="Times New Roman" w:hAnsi="Times New Roman" w:cs="Times New Roman"/>
          <w:sz w:val="24"/>
          <w:szCs w:val="24"/>
        </w:rPr>
        <w:t xml:space="preserve">de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“Mariana Lima Buendía” con Proyecto de Decreto por el que se reforma la fracción II, al artículo 50 de la </w:t>
      </w:r>
      <w:r w:rsidRPr="006E437B">
        <w:rPr>
          <w:rFonts w:ascii="Times New Roman" w:hAnsi="Times New Roman" w:cs="Times New Roman"/>
          <w:bCs/>
          <w:sz w:val="24"/>
          <w:szCs w:val="24"/>
        </w:rPr>
        <w:t xml:space="preserve">Ley de Acceso de las Mujeres a una Vida Libre de Violencia del Estado de México </w:t>
      </w:r>
      <w:r w:rsidRPr="006E437B">
        <w:rPr>
          <w:rFonts w:ascii="Times New Roman" w:hAnsi="Times New Roman" w:cs="Times New Roman"/>
          <w:sz w:val="24"/>
          <w:szCs w:val="24"/>
        </w:rPr>
        <w:t xml:space="preserve">y se adiciona la fracción XXXIV del artículo 353 del </w:t>
      </w:r>
      <w:r w:rsidRPr="006E437B">
        <w:rPr>
          <w:rFonts w:ascii="Times New Roman" w:hAnsi="Times New Roman" w:cs="Times New Roman"/>
          <w:bCs/>
          <w:sz w:val="24"/>
          <w:szCs w:val="24"/>
        </w:rPr>
        <w:t>Código Penal del Estado de México</w:t>
      </w:r>
      <w:r w:rsidRPr="006E437B">
        <w:rPr>
          <w:rFonts w:ascii="Times New Roman" w:hAnsi="Times New Roman" w:cs="Times New Roman"/>
          <w:sz w:val="24"/>
          <w:szCs w:val="24"/>
        </w:rPr>
        <w:t xml:space="preserve">, en materia de investigación de delitos con perspectiva de género y Negación de Justicia por Razones de Género, presentada por la propia diputada, en nombre del Grupo Parlamentario del Partido morena, formulado por las Comisiones Unidas de Procuración y Administración de Justicia, y Para la Igualdad de Género. </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 xml:space="preserve">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w:t>
      </w:r>
      <w:r w:rsidRPr="006E437B">
        <w:rPr>
          <w:rFonts w:ascii="Times New Roman" w:eastAsia="Times New Roman" w:hAnsi="Times New Roman" w:cs="Times New Roman"/>
          <w:sz w:val="24"/>
          <w:szCs w:val="24"/>
          <w:lang w:eastAsia="es-MX"/>
        </w:rPr>
        <w:lastRenderedPageBreak/>
        <w:t xml:space="preserve">se tienen también por aprobados en lo particular y la Presidencia solicita a la Secretaría provea el cumplimiento de la resolución de la Legislatura, para los efectos procedentes. </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6.- La diputada Itzel Guadalupe Pérez Correa hace uso de la palabra, para dar lectura al</w:t>
      </w:r>
      <w:r w:rsidRPr="006E437B">
        <w:rPr>
          <w:rFonts w:ascii="Times New Roman" w:hAnsi="Times New Roman" w:cs="Times New Roman"/>
          <w:sz w:val="24"/>
          <w:szCs w:val="24"/>
        </w:rPr>
        <w:t xml:space="preserve"> </w:t>
      </w:r>
      <w:r w:rsidRPr="006E437B">
        <w:rPr>
          <w:rFonts w:ascii="Times New Roman" w:hAnsi="Times New Roman" w:cs="Times New Roman"/>
          <w:bCs/>
          <w:sz w:val="24"/>
          <w:szCs w:val="24"/>
        </w:rPr>
        <w:t xml:space="preserve">Dictamen </w:t>
      </w:r>
      <w:r w:rsidRPr="006E437B">
        <w:rPr>
          <w:rFonts w:ascii="Times New Roman" w:hAnsi="Times New Roman" w:cs="Times New Roman"/>
          <w:sz w:val="24"/>
          <w:szCs w:val="24"/>
        </w:rPr>
        <w:t xml:space="preserve">de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con Proyecto de Decreto por la que se reforman diversas disposiciones del </w:t>
      </w:r>
      <w:r w:rsidRPr="006E437B">
        <w:rPr>
          <w:rFonts w:ascii="Times New Roman" w:hAnsi="Times New Roman" w:cs="Times New Roman"/>
          <w:bCs/>
          <w:sz w:val="24"/>
          <w:szCs w:val="24"/>
        </w:rPr>
        <w:t>Código Administrativo del Estado de México</w:t>
      </w:r>
      <w:r w:rsidRPr="006E437B">
        <w:rPr>
          <w:rFonts w:ascii="Times New Roman" w:hAnsi="Times New Roman" w:cs="Times New Roman"/>
          <w:sz w:val="24"/>
          <w:szCs w:val="24"/>
        </w:rPr>
        <w:t xml:space="preserve">, en materia de áreas verdes urbanas, presentada por el Grupo Parlamentario del Partido Verde Ecologista de México, formulado por la Comisión Legislativa de Protección Ambiental y Cambio Climático. </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7.- La diputada Maricela Beltrán Sánchez hace uso de la palabra, para dar lectura al</w:t>
      </w:r>
      <w:r w:rsidRPr="006E437B">
        <w:rPr>
          <w:rFonts w:ascii="Times New Roman" w:hAnsi="Times New Roman" w:cs="Times New Roman"/>
          <w:sz w:val="24"/>
          <w:szCs w:val="24"/>
        </w:rPr>
        <w:t xml:space="preserve"> </w:t>
      </w:r>
      <w:r w:rsidRPr="006E437B">
        <w:rPr>
          <w:rFonts w:ascii="Times New Roman" w:hAnsi="Times New Roman" w:cs="Times New Roman"/>
          <w:bCs/>
          <w:sz w:val="24"/>
          <w:szCs w:val="24"/>
        </w:rPr>
        <w:t xml:space="preserve">Dictamen </w:t>
      </w:r>
      <w:r w:rsidRPr="006E437B">
        <w:rPr>
          <w:rFonts w:ascii="Times New Roman" w:hAnsi="Times New Roman" w:cs="Times New Roman"/>
          <w:sz w:val="24"/>
          <w:szCs w:val="24"/>
        </w:rPr>
        <w:t xml:space="preserve">de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con Proyecto de Decreto por la que se declara la técnica artesanal para la elaboración de “Pan de Pulque” del municipio de Villa Guerrero, Estado de México como </w:t>
      </w:r>
      <w:r w:rsidRPr="006E437B">
        <w:rPr>
          <w:rFonts w:ascii="Times New Roman" w:hAnsi="Times New Roman" w:cs="Times New Roman"/>
          <w:bCs/>
          <w:sz w:val="24"/>
          <w:szCs w:val="24"/>
        </w:rPr>
        <w:t>patrimonio cultural inmaterial del Estado de México</w:t>
      </w:r>
      <w:r w:rsidRPr="006E437B">
        <w:rPr>
          <w:rFonts w:ascii="Times New Roman" w:hAnsi="Times New Roman" w:cs="Times New Roman"/>
          <w:sz w:val="24"/>
          <w:szCs w:val="24"/>
        </w:rPr>
        <w:t>, presentada por el Grupo Parlamentario del Partido Movimiento Ciudadano, formulado por la Comisión Legislativa de Gobernación y Puntos Constitucionales.</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 xml:space="preserve">8.- El diputado Carlos Zurita Trejo hace uso de la palabra, para dar lectura a la Iniciativa </w:t>
      </w:r>
      <w:r w:rsidRPr="006E437B">
        <w:rPr>
          <w:rFonts w:ascii="Times New Roman" w:hAnsi="Times New Roman" w:cs="Times New Roman"/>
          <w:sz w:val="24"/>
          <w:szCs w:val="24"/>
        </w:rPr>
        <w:t xml:space="preserve">de Decreto por el que se autoriza al Poder Ejecutivo del Estado, </w:t>
      </w:r>
      <w:r w:rsidRPr="006E437B">
        <w:rPr>
          <w:rFonts w:ascii="Times New Roman" w:hAnsi="Times New Roman" w:cs="Times New Roman"/>
          <w:bCs/>
          <w:sz w:val="24"/>
          <w:szCs w:val="24"/>
        </w:rPr>
        <w:t>a desincorporar del patrimonio del Gobierno del Estado un inmueble</w:t>
      </w:r>
      <w:r w:rsidRPr="006E437B">
        <w:rPr>
          <w:rFonts w:ascii="Times New Roman" w:hAnsi="Times New Roman" w:cs="Times New Roman"/>
          <w:sz w:val="24"/>
          <w:szCs w:val="24"/>
        </w:rPr>
        <w:t>, ubicado en el municipio de Ixtapaluca, Estado de México, para donarlo a título gratuito, a favor del organismo público descentralizado denominado Instituto Mexicano del Seguro Social (IMSS), para la construcción de una Unidad de Medicina Familiar, presentada por la Titular del Ejecutivo Estatal. (De urgente y obvia resolución). Se solicita la dispensa del trámite de dictamen.</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 aprobada la dispensa del trámite de dictamen, por unanimidad de votos.</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w:t>
      </w:r>
      <w:r w:rsidRPr="006E437B">
        <w:rPr>
          <w:rFonts w:ascii="Times New Roman" w:eastAsia="Times New Roman" w:hAnsi="Times New Roman" w:cs="Times New Roman"/>
          <w:sz w:val="24"/>
          <w:szCs w:val="24"/>
          <w:lang w:eastAsia="es-MX"/>
        </w:rPr>
        <w:lastRenderedPageBreak/>
        <w:t>aprobada en lo particular; y la Presidencia solicita a la Secretaría provea el cumplimiento de la resolución de la Legislatura, para los efectos procedentes.</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 xml:space="preserve">9.- </w:t>
      </w:r>
      <w:r w:rsidRPr="006E437B">
        <w:rPr>
          <w:rFonts w:ascii="Times New Roman" w:hAnsi="Times New Roman" w:cs="Times New Roman"/>
          <w:sz w:val="24"/>
          <w:szCs w:val="24"/>
        </w:rPr>
        <w:t xml:space="preserve">La diputada Selina Trujillo Arizmendi hace uso de la palabra, para dar lectura a la </w:t>
      </w:r>
      <w:r w:rsidRPr="006E437B">
        <w:rPr>
          <w:rFonts w:ascii="Times New Roman" w:hAnsi="Times New Roman" w:cs="Times New Roman"/>
          <w:bCs/>
          <w:sz w:val="24"/>
          <w:szCs w:val="24"/>
        </w:rPr>
        <w:t xml:space="preserve">Iniciativa </w:t>
      </w:r>
      <w:r w:rsidRPr="006E437B">
        <w:rPr>
          <w:rFonts w:ascii="Times New Roman" w:hAnsi="Times New Roman" w:cs="Times New Roman"/>
          <w:sz w:val="24"/>
          <w:szCs w:val="24"/>
        </w:rPr>
        <w:t xml:space="preserve">de Decreto, por la que se autoriza al organismo público descentralizado denominado Tecnológico de Estudios Superiores del Oriente del Estado de México </w:t>
      </w:r>
      <w:r w:rsidRPr="006E437B">
        <w:rPr>
          <w:rFonts w:ascii="Times New Roman" w:hAnsi="Times New Roman" w:cs="Times New Roman"/>
          <w:bCs/>
          <w:sz w:val="24"/>
          <w:szCs w:val="24"/>
        </w:rPr>
        <w:t xml:space="preserve">a desincorporar diversos predios de su patrimonio </w:t>
      </w:r>
      <w:r w:rsidRPr="006E437B">
        <w:rPr>
          <w:rFonts w:ascii="Times New Roman" w:hAnsi="Times New Roman" w:cs="Times New Roman"/>
          <w:sz w:val="24"/>
          <w:szCs w:val="24"/>
        </w:rPr>
        <w:t>y enajenarlos a título gratuito a las instancias federales, estatales o municipales correspondientes, presentada por la Titular del Ejecutivo Estatal. (De urgente y obvia resolución). Se solicita la dispensa del trámite de dictamen.</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 aprobada la dispensa del trámite de dictamen, por unanimidad de votos.</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Para hechos hace uso de la palabra la diputada María José Pérez Domínguez.</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 diputada Selina Trujillo Arizmendi solicita un Minuto de Silencio por el recuerdo de las víctimas de la e</w:t>
      </w:r>
      <w:r w:rsidRPr="006E437B">
        <w:rPr>
          <w:rFonts w:ascii="Times New Roman" w:hAnsi="Times New Roman" w:cs="Times New Roman"/>
          <w:sz w:val="24"/>
          <w:szCs w:val="24"/>
        </w:rPr>
        <w:t>xplosión de una pipa de gas LP en Iztapalapa</w:t>
      </w:r>
      <w:r w:rsidRPr="006E437B">
        <w:rPr>
          <w:rFonts w:ascii="Times New Roman" w:eastAsia="Times New Roman" w:hAnsi="Times New Roman" w:cs="Times New Roman"/>
          <w:sz w:val="24"/>
          <w:szCs w:val="24"/>
          <w:lang w:eastAsia="es-MX"/>
        </w:rPr>
        <w:t>.</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 diputada Leticia Mejía García solicita un Minuto de Silencio por los acontecimientos en el Municipio de Temascalcingo.</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Para hechos hace uso de la palabra el diputado Valentín Martínez Castillo.</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Se guarda un Minuto de Silencio.</w:t>
      </w: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 xml:space="preserve">Para hechos hace uso de la palabra el diputado Octavio Martínez Vargas. </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 xml:space="preserve">10.- La Presidencia señala que de acuerdo al Informe Anual de Actividades 2025-2026 </w:t>
      </w:r>
      <w:r w:rsidRPr="006E437B">
        <w:rPr>
          <w:rFonts w:ascii="Times New Roman" w:hAnsi="Times New Roman" w:cs="Times New Roman"/>
          <w:sz w:val="24"/>
          <w:szCs w:val="24"/>
        </w:rPr>
        <w:t>de la Contraloría Interna del Poder Judicial del Estado de México, suscrito por el Dr. Jaime Santana Turral, Titular de la Contraloría Interna del Poder Judicial del Estado de México, informa que en términos del artículo 173 de la Ley Orgánica del Poder Judicial del Estado de México, se tiene por cumplido lo establecido en el citado precepto.</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11.- La Secretaría, por instrucciones de la Presidencia, da lectura al Comunicado del Presidente Municipal Constitucional de Zinacantepec</w:t>
      </w:r>
      <w:r w:rsidRPr="006E437B">
        <w:rPr>
          <w:rFonts w:ascii="Times New Roman" w:hAnsi="Times New Roman" w:cs="Times New Roman"/>
          <w:sz w:val="24"/>
          <w:szCs w:val="24"/>
        </w:rPr>
        <w:t>, en relación con salida de trabajo al extranjero. (Bogotá, Colombia, del 25 al 28 de agosto de 2026).</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Presidencia señala que la Legislatura se tiene por enterada.</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lastRenderedPageBreak/>
        <w:t>12.- La Secretaría, por instrucciones de la Presidencia, da lectura al Informe del Presidente Municipal Constitucional de Metepec</w:t>
      </w:r>
      <w:r w:rsidRPr="006E437B">
        <w:rPr>
          <w:rFonts w:ascii="Times New Roman" w:hAnsi="Times New Roman" w:cs="Times New Roman"/>
          <w:sz w:val="24"/>
          <w:szCs w:val="24"/>
        </w:rPr>
        <w:t>, en relación con salida de trabajo al extranjero. (Ciudad San Salvador, El Salvador del 17 al 20 de agosto de 2026).</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Presidencia señala que la Legislatura se tiene por enterada.</w:t>
      </w:r>
    </w:p>
    <w:p w:rsidR="00817FAD" w:rsidRPr="006E437B" w:rsidRDefault="00817FAD" w:rsidP="00141629">
      <w:pPr>
        <w:spacing w:after="0" w:line="240" w:lineRule="auto"/>
        <w:jc w:val="both"/>
        <w:rPr>
          <w:rFonts w:ascii="Times New Roman" w:hAnsi="Times New Roman" w:cs="Times New Roman"/>
          <w:bCs/>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Cs/>
          <w:sz w:val="24"/>
          <w:szCs w:val="24"/>
        </w:rPr>
        <w:t>13.- La Secretaría, por instrucciones de la Presidencia, da lectura al Informe del Presidente Municipal Constitucional de Zinacantepec</w:t>
      </w:r>
      <w:r w:rsidRPr="006E437B">
        <w:rPr>
          <w:rFonts w:ascii="Times New Roman" w:hAnsi="Times New Roman" w:cs="Times New Roman"/>
          <w:sz w:val="24"/>
          <w:szCs w:val="24"/>
        </w:rPr>
        <w:t>, en relación con salida de trabajo al extranjero. (Bogotá, Colombia, del 25 al 28 de agosto de 2026).</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Presidencia señala que la Legislatura se tiene por enterada.</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bCs/>
          <w:sz w:val="24"/>
          <w:szCs w:val="24"/>
        </w:rPr>
      </w:pPr>
      <w:r w:rsidRPr="006E437B">
        <w:rPr>
          <w:rFonts w:ascii="Times New Roman" w:hAnsi="Times New Roman" w:cs="Times New Roman"/>
          <w:bCs/>
          <w:sz w:val="24"/>
          <w:szCs w:val="24"/>
        </w:rPr>
        <w:t xml:space="preserve">14.- La Vicepresidencia, por instrucciones de la Presidencia, hace uso de la palabra, para dar lectura al Acuerdo </w:t>
      </w:r>
      <w:r w:rsidRPr="006E437B">
        <w:rPr>
          <w:rFonts w:ascii="Times New Roman" w:hAnsi="Times New Roman" w:cs="Times New Roman"/>
          <w:sz w:val="24"/>
          <w:szCs w:val="24"/>
        </w:rPr>
        <w:t>con motivo de la integración de Comisiones Legislativas y Comités Permanentes.</w:t>
      </w:r>
    </w:p>
    <w:p w:rsidR="00817FAD" w:rsidRPr="006E437B" w:rsidRDefault="00817FAD" w:rsidP="00141629">
      <w:pPr>
        <w:spacing w:after="0" w:line="240" w:lineRule="auto"/>
        <w:jc w:val="both"/>
        <w:rPr>
          <w:rFonts w:ascii="Times New Roman" w:hAnsi="Times New Roman" w:cs="Times New Roman"/>
          <w:sz w:val="24"/>
          <w:szCs w:val="24"/>
        </w:rPr>
      </w:pPr>
    </w:p>
    <w:p w:rsidR="00817FAD" w:rsidRPr="006E437B" w:rsidRDefault="00817FAD"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w:t>
      </w:r>
    </w:p>
    <w:p w:rsidR="00817FAD" w:rsidRPr="006E437B" w:rsidRDefault="00817FAD" w:rsidP="00141629">
      <w:pPr>
        <w:pStyle w:val="Sinespaciado"/>
        <w:jc w:val="both"/>
        <w:rPr>
          <w:rStyle w:val="normaltextrun"/>
          <w:rFonts w:ascii="Times New Roman" w:hAnsi="Times New Roman" w:cs="Times New Roman"/>
          <w:sz w:val="24"/>
          <w:szCs w:val="24"/>
        </w:rPr>
      </w:pPr>
      <w:r w:rsidRPr="006E437B">
        <w:rPr>
          <w:rStyle w:val="normaltextrun"/>
          <w:rFonts w:ascii="Times New Roman" w:hAnsi="Times New Roman" w:cs="Times New Roman"/>
          <w:sz w:val="24"/>
          <w:szCs w:val="24"/>
        </w:rPr>
        <w:t>La Presidencia solicita a la Secretaría, registre la asistencia a la Sesión, informando esta última, que ha quedado registrada la asistencia de las, le y los diputados.</w:t>
      </w:r>
    </w:p>
    <w:p w:rsidR="00817FAD" w:rsidRPr="006E437B" w:rsidRDefault="00817FAD" w:rsidP="00141629">
      <w:pPr>
        <w:pStyle w:val="Sinespaciado"/>
        <w:jc w:val="both"/>
        <w:rPr>
          <w:rStyle w:val="normaltextrun"/>
          <w:rFonts w:ascii="Times New Roman" w:hAnsi="Times New Roman" w:cs="Times New Roman"/>
          <w:sz w:val="24"/>
          <w:szCs w:val="24"/>
        </w:rPr>
      </w:pPr>
    </w:p>
    <w:p w:rsidR="00817FAD" w:rsidRPr="006E437B" w:rsidRDefault="00817FAD"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15.- Agotados los asuntos en cartera, la Presidencia levanta la Sesión siendo las quince horas con veintidós minutos del día de la fecha y solicita permanecer atentos a la convocatoria de la próxima sesión.</w:t>
      </w:r>
    </w:p>
    <w:p w:rsidR="00817FAD" w:rsidRPr="006E437B" w:rsidRDefault="00817FAD"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4823"/>
        <w:gridCol w:w="4582"/>
      </w:tblGrid>
      <w:tr w:rsidR="00817FAD" w:rsidRPr="006E437B" w:rsidTr="00A355A9">
        <w:tc>
          <w:tcPr>
            <w:tcW w:w="5387" w:type="dxa"/>
          </w:tcPr>
          <w:p w:rsidR="00817FAD" w:rsidRPr="006E437B" w:rsidRDefault="00817FAD"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SECRETARIA</w:t>
            </w:r>
          </w:p>
          <w:p w:rsidR="00817FAD" w:rsidRPr="006E437B" w:rsidRDefault="00817FAD" w:rsidP="00141629">
            <w:pPr>
              <w:spacing w:after="0" w:line="240" w:lineRule="auto"/>
              <w:jc w:val="center"/>
              <w:rPr>
                <w:rFonts w:ascii="Times New Roman" w:hAnsi="Times New Roman" w:cs="Times New Roman"/>
                <w:b/>
                <w:bCs/>
                <w:sz w:val="24"/>
                <w:szCs w:val="24"/>
              </w:rPr>
            </w:pPr>
          </w:p>
          <w:p w:rsidR="00817FAD" w:rsidRPr="006E437B" w:rsidRDefault="00817FAD" w:rsidP="00141629">
            <w:pPr>
              <w:spacing w:after="0" w:line="240" w:lineRule="auto"/>
              <w:jc w:val="center"/>
              <w:rPr>
                <w:rFonts w:ascii="Times New Roman" w:hAnsi="Times New Roman" w:cs="Times New Roman"/>
                <w:b/>
                <w:bCs/>
                <w:sz w:val="24"/>
                <w:szCs w:val="24"/>
              </w:rPr>
            </w:pPr>
            <w:r w:rsidRPr="006E437B">
              <w:rPr>
                <w:rFonts w:ascii="Times New Roman" w:hAnsi="Times New Roman" w:cs="Times New Roman"/>
                <w:b/>
                <w:bCs/>
                <w:sz w:val="24"/>
                <w:szCs w:val="24"/>
              </w:rPr>
              <w:t>DIP. YESICA YANET ROJAS HERNÁNDEZ</w:t>
            </w:r>
          </w:p>
        </w:tc>
        <w:tc>
          <w:tcPr>
            <w:tcW w:w="5103" w:type="dxa"/>
          </w:tcPr>
          <w:p w:rsidR="00817FAD" w:rsidRPr="006E437B" w:rsidRDefault="00817FAD"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SECRETARIA</w:t>
            </w:r>
          </w:p>
          <w:p w:rsidR="00817FAD" w:rsidRPr="006E437B" w:rsidRDefault="00817FAD" w:rsidP="00141629">
            <w:pPr>
              <w:spacing w:after="0" w:line="240" w:lineRule="auto"/>
              <w:jc w:val="center"/>
              <w:rPr>
                <w:rFonts w:ascii="Times New Roman" w:hAnsi="Times New Roman" w:cs="Times New Roman"/>
                <w:b/>
                <w:bCs/>
                <w:sz w:val="24"/>
                <w:szCs w:val="24"/>
              </w:rPr>
            </w:pPr>
          </w:p>
          <w:p w:rsidR="00817FAD" w:rsidRPr="006E437B" w:rsidRDefault="00817FAD" w:rsidP="00141629">
            <w:pPr>
              <w:spacing w:after="0" w:line="240" w:lineRule="auto"/>
              <w:jc w:val="center"/>
              <w:rPr>
                <w:rFonts w:ascii="Times New Roman" w:hAnsi="Times New Roman" w:cs="Times New Roman"/>
                <w:b/>
                <w:bCs/>
                <w:sz w:val="24"/>
                <w:szCs w:val="24"/>
              </w:rPr>
            </w:pPr>
            <w:r w:rsidRPr="006E437B">
              <w:rPr>
                <w:rFonts w:ascii="Times New Roman" w:hAnsi="Times New Roman" w:cs="Times New Roman"/>
                <w:b/>
                <w:bCs/>
                <w:sz w:val="24"/>
                <w:szCs w:val="24"/>
              </w:rPr>
              <w:t>DIP. ARLETH STEPHANIE GRIMALDO OSORIO</w:t>
            </w:r>
          </w:p>
        </w:tc>
      </w:tr>
      <w:tr w:rsidR="00817FAD" w:rsidRPr="006E437B" w:rsidTr="00A355A9">
        <w:tc>
          <w:tcPr>
            <w:tcW w:w="5387" w:type="dxa"/>
          </w:tcPr>
          <w:p w:rsidR="00817FAD" w:rsidRPr="006E437B" w:rsidRDefault="00817FAD" w:rsidP="00141629">
            <w:pPr>
              <w:spacing w:after="0" w:line="240" w:lineRule="auto"/>
              <w:jc w:val="center"/>
              <w:rPr>
                <w:rFonts w:ascii="Times New Roman" w:hAnsi="Times New Roman" w:cs="Times New Roman"/>
                <w:b/>
                <w:bCs/>
                <w:sz w:val="24"/>
                <w:szCs w:val="24"/>
              </w:rPr>
            </w:pPr>
          </w:p>
          <w:p w:rsidR="00817FAD" w:rsidRPr="006E437B" w:rsidRDefault="00817FAD" w:rsidP="00141629">
            <w:pPr>
              <w:spacing w:after="0" w:line="240" w:lineRule="auto"/>
              <w:jc w:val="center"/>
              <w:rPr>
                <w:rFonts w:ascii="Times New Roman" w:hAnsi="Times New Roman" w:cs="Times New Roman"/>
                <w:b/>
                <w:bCs/>
                <w:sz w:val="24"/>
                <w:szCs w:val="24"/>
              </w:rPr>
            </w:pPr>
            <w:r w:rsidRPr="006E437B">
              <w:rPr>
                <w:rFonts w:ascii="Times New Roman" w:hAnsi="Times New Roman" w:cs="Times New Roman"/>
                <w:b/>
                <w:bCs/>
                <w:sz w:val="24"/>
                <w:szCs w:val="24"/>
              </w:rPr>
              <w:t>SECRETARIO</w:t>
            </w:r>
          </w:p>
          <w:p w:rsidR="00817FAD" w:rsidRPr="006E437B" w:rsidRDefault="00817FAD" w:rsidP="00141629">
            <w:pPr>
              <w:spacing w:after="0" w:line="240" w:lineRule="auto"/>
              <w:jc w:val="center"/>
              <w:rPr>
                <w:rFonts w:ascii="Times New Roman" w:hAnsi="Times New Roman" w:cs="Times New Roman"/>
                <w:b/>
                <w:bCs/>
                <w:sz w:val="24"/>
                <w:szCs w:val="24"/>
              </w:rPr>
            </w:pPr>
          </w:p>
          <w:p w:rsidR="00817FAD" w:rsidRPr="006E437B" w:rsidRDefault="00817FAD" w:rsidP="00141629">
            <w:pPr>
              <w:spacing w:after="0" w:line="240" w:lineRule="auto"/>
              <w:jc w:val="center"/>
              <w:rPr>
                <w:rFonts w:ascii="Times New Roman" w:hAnsi="Times New Roman" w:cs="Times New Roman"/>
                <w:b/>
                <w:bCs/>
                <w:sz w:val="24"/>
                <w:szCs w:val="24"/>
              </w:rPr>
            </w:pPr>
            <w:r w:rsidRPr="006E437B">
              <w:rPr>
                <w:rFonts w:ascii="Times New Roman" w:hAnsi="Times New Roman" w:cs="Times New Roman"/>
                <w:b/>
                <w:bCs/>
                <w:sz w:val="24"/>
                <w:szCs w:val="24"/>
              </w:rPr>
              <w:t>DIP.</w:t>
            </w:r>
            <w:r w:rsidRPr="006E437B">
              <w:rPr>
                <w:rFonts w:ascii="Times New Roman" w:hAnsi="Times New Roman" w:cs="Times New Roman"/>
                <w:sz w:val="24"/>
                <w:szCs w:val="24"/>
              </w:rPr>
              <w:t xml:space="preserve"> </w:t>
            </w:r>
            <w:r w:rsidRPr="006E437B">
              <w:rPr>
                <w:rFonts w:ascii="Times New Roman" w:hAnsi="Times New Roman" w:cs="Times New Roman"/>
                <w:b/>
                <w:bCs/>
                <w:sz w:val="24"/>
                <w:szCs w:val="24"/>
              </w:rPr>
              <w:t>MARIANO CAMACHO SAN MARTÍN</w:t>
            </w:r>
          </w:p>
        </w:tc>
        <w:tc>
          <w:tcPr>
            <w:tcW w:w="5103" w:type="dxa"/>
          </w:tcPr>
          <w:p w:rsidR="00817FAD" w:rsidRPr="006E437B" w:rsidRDefault="00817FAD" w:rsidP="00141629">
            <w:pPr>
              <w:spacing w:after="0" w:line="240" w:lineRule="auto"/>
              <w:jc w:val="center"/>
              <w:rPr>
                <w:rFonts w:ascii="Times New Roman" w:hAnsi="Times New Roman" w:cs="Times New Roman"/>
                <w:b/>
                <w:sz w:val="24"/>
                <w:szCs w:val="24"/>
              </w:rPr>
            </w:pPr>
          </w:p>
          <w:p w:rsidR="00817FAD" w:rsidRPr="006E437B" w:rsidRDefault="00817FAD"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SECRETARIA</w:t>
            </w:r>
          </w:p>
          <w:p w:rsidR="00817FAD" w:rsidRPr="006E437B" w:rsidRDefault="00817FAD" w:rsidP="00141629">
            <w:pPr>
              <w:spacing w:after="0" w:line="240" w:lineRule="auto"/>
              <w:jc w:val="center"/>
              <w:rPr>
                <w:rFonts w:ascii="Times New Roman" w:hAnsi="Times New Roman" w:cs="Times New Roman"/>
                <w:b/>
                <w:bCs/>
                <w:sz w:val="24"/>
                <w:szCs w:val="24"/>
              </w:rPr>
            </w:pPr>
          </w:p>
          <w:p w:rsidR="00817FAD" w:rsidRPr="006E437B" w:rsidRDefault="00817FAD" w:rsidP="00141629">
            <w:pPr>
              <w:spacing w:after="0" w:line="240" w:lineRule="auto"/>
              <w:jc w:val="center"/>
              <w:rPr>
                <w:rFonts w:ascii="Times New Roman" w:hAnsi="Times New Roman" w:cs="Times New Roman"/>
                <w:b/>
                <w:bCs/>
                <w:sz w:val="24"/>
                <w:szCs w:val="24"/>
              </w:rPr>
            </w:pPr>
            <w:r w:rsidRPr="006E437B">
              <w:rPr>
                <w:rFonts w:ascii="Times New Roman" w:hAnsi="Times New Roman" w:cs="Times New Roman"/>
                <w:b/>
                <w:bCs/>
                <w:sz w:val="24"/>
                <w:szCs w:val="24"/>
              </w:rPr>
              <w:t>DIP. ROCÍO ALEXIA DÁVILA SÁNCHEZ</w:t>
            </w:r>
          </w:p>
        </w:tc>
      </w:tr>
    </w:tbl>
    <w:p w:rsidR="00817FAD" w:rsidRPr="006E437B" w:rsidRDefault="00817FAD" w:rsidP="00141629">
      <w:pPr>
        <w:spacing w:after="0" w:line="240" w:lineRule="auto"/>
        <w:jc w:val="center"/>
        <w:rPr>
          <w:rFonts w:ascii="Times New Roman" w:eastAsia="Times New Roman" w:hAnsi="Times New Roman" w:cs="Times New Roman"/>
          <w:b/>
          <w:sz w:val="24"/>
          <w:szCs w:val="24"/>
          <w:lang w:eastAsia="es-ES"/>
        </w:rPr>
      </w:pPr>
    </w:p>
    <w:p w:rsidR="00817FAD" w:rsidRPr="006E437B" w:rsidRDefault="00817FAD"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SECRETARIA</w:t>
      </w:r>
    </w:p>
    <w:p w:rsidR="00817FAD" w:rsidRPr="006E437B" w:rsidRDefault="00817FAD" w:rsidP="00141629">
      <w:pPr>
        <w:spacing w:after="0" w:line="240" w:lineRule="auto"/>
        <w:jc w:val="center"/>
        <w:rPr>
          <w:rFonts w:ascii="Times New Roman" w:hAnsi="Times New Roman" w:cs="Times New Roman"/>
          <w:b/>
          <w:bCs/>
          <w:sz w:val="24"/>
          <w:szCs w:val="24"/>
        </w:rPr>
      </w:pPr>
    </w:p>
    <w:p w:rsidR="00817FAD" w:rsidRPr="006E437B" w:rsidRDefault="00817FAD"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bCs/>
          <w:sz w:val="24"/>
          <w:szCs w:val="24"/>
        </w:rPr>
        <w:t>DIP. MARICELA BELTRÁN SÁNCHEZ</w:t>
      </w:r>
    </w:p>
    <w:p w:rsidR="00535F6F" w:rsidRPr="006E437B" w:rsidRDefault="00535F6F" w:rsidP="00141629">
      <w:pPr>
        <w:pStyle w:val="Sinespaciado"/>
        <w:jc w:val="both"/>
        <w:rPr>
          <w:rFonts w:ascii="Times New Roman" w:hAnsi="Times New Roman" w:cs="Times New Roman"/>
          <w:sz w:val="24"/>
          <w:szCs w:val="24"/>
        </w:rPr>
      </w:pPr>
    </w:p>
    <w:p w:rsidR="00535F6F" w:rsidRPr="006E437B" w:rsidRDefault="00535F6F"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535F6F" w:rsidRPr="006E437B" w:rsidRDefault="00535F6F" w:rsidP="00141629">
      <w:pPr>
        <w:pStyle w:val="Sinespaciado"/>
        <w:jc w:val="both"/>
        <w:rPr>
          <w:rFonts w:ascii="Times New Roman" w:hAnsi="Times New Roman" w:cs="Times New Roman"/>
          <w:sz w:val="24"/>
          <w:szCs w:val="24"/>
        </w:rPr>
      </w:pPr>
    </w:p>
    <w:p w:rsidR="007519D4" w:rsidRPr="006E437B" w:rsidRDefault="009E634D"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PRESIDENTE DIP. VLADIMIR HERNÁNDEZ VILLEGAS </w:t>
      </w:r>
      <w:r w:rsidR="007519D4" w:rsidRPr="006E437B">
        <w:rPr>
          <w:rFonts w:ascii="Times New Roman" w:hAnsi="Times New Roman" w:cs="Times New Roman"/>
          <w:sz w:val="24"/>
          <w:szCs w:val="24"/>
        </w:rPr>
        <w:t>Quienes estén por la aprobatoria del acta, sírvase a levantar la mano ¿En contra? ¿En abstención?</w:t>
      </w:r>
    </w:p>
    <w:p w:rsidR="004757FA" w:rsidRPr="006E437B" w:rsidRDefault="007519D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lastRenderedPageBreak/>
        <w:t>SECRETARIA DIP. MARI</w:t>
      </w:r>
      <w:r w:rsidR="00A80E08" w:rsidRPr="006E437B">
        <w:rPr>
          <w:rFonts w:ascii="Times New Roman" w:hAnsi="Times New Roman" w:cs="Times New Roman"/>
          <w:sz w:val="24"/>
          <w:szCs w:val="24"/>
        </w:rPr>
        <w:t>C</w:t>
      </w:r>
      <w:r w:rsidRPr="006E437B">
        <w:rPr>
          <w:rFonts w:ascii="Times New Roman" w:hAnsi="Times New Roman" w:cs="Times New Roman"/>
          <w:sz w:val="24"/>
          <w:szCs w:val="24"/>
        </w:rPr>
        <w:t>ELA BELTRÁN SÁNCHEZ. El acta ha sido aprobada por unanimidad de votos.</w:t>
      </w:r>
    </w:p>
    <w:p w:rsidR="001035CD" w:rsidRPr="006E437B" w:rsidRDefault="0046022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Considerando e</w:t>
      </w:r>
      <w:r w:rsidR="001035CD" w:rsidRPr="006E437B">
        <w:rPr>
          <w:rFonts w:ascii="Times New Roman" w:hAnsi="Times New Roman" w:cs="Times New Roman"/>
          <w:sz w:val="24"/>
          <w:szCs w:val="24"/>
        </w:rPr>
        <w:t xml:space="preserve">l punto 2, </w:t>
      </w:r>
      <w:r w:rsidR="00421139" w:rsidRPr="006E437B">
        <w:rPr>
          <w:rFonts w:ascii="Times New Roman" w:hAnsi="Times New Roman" w:cs="Times New Roman"/>
          <w:sz w:val="24"/>
          <w:szCs w:val="24"/>
        </w:rPr>
        <w:t>l</w:t>
      </w:r>
      <w:r w:rsidR="001035CD" w:rsidRPr="006E437B">
        <w:rPr>
          <w:rFonts w:ascii="Times New Roman" w:hAnsi="Times New Roman" w:cs="Times New Roman"/>
          <w:sz w:val="24"/>
          <w:szCs w:val="24"/>
        </w:rPr>
        <w:t xml:space="preserve">a diputada </w:t>
      </w:r>
      <w:r w:rsidR="001035CD" w:rsidRPr="006E437B">
        <w:rPr>
          <w:rFonts w:ascii="Times New Roman" w:hAnsi="Times New Roman" w:cs="Times New Roman"/>
          <w:kern w:val="2"/>
          <w:sz w:val="24"/>
          <w:szCs w:val="24"/>
        </w:rPr>
        <w:t>Arleth Stephanie Grimaldo Osorio</w:t>
      </w:r>
      <w:r w:rsidR="001035CD" w:rsidRPr="006E437B">
        <w:rPr>
          <w:rFonts w:ascii="Times New Roman" w:hAnsi="Times New Roman" w:cs="Times New Roman"/>
          <w:sz w:val="24"/>
          <w:szCs w:val="24"/>
        </w:rPr>
        <w:t xml:space="preserve">, </w:t>
      </w:r>
      <w:r w:rsidR="00072032" w:rsidRPr="006E437B">
        <w:rPr>
          <w:rFonts w:ascii="Times New Roman" w:hAnsi="Times New Roman" w:cs="Times New Roman"/>
          <w:sz w:val="24"/>
          <w:szCs w:val="24"/>
        </w:rPr>
        <w:t xml:space="preserve">presenta </w:t>
      </w:r>
      <w:r w:rsidR="001035CD" w:rsidRPr="006E437B">
        <w:rPr>
          <w:rFonts w:ascii="Times New Roman" w:hAnsi="Times New Roman" w:cs="Times New Roman"/>
          <w:sz w:val="24"/>
          <w:szCs w:val="24"/>
        </w:rPr>
        <w:t xml:space="preserve">en nombre del Grupo Parlamentario del Partido morena, Iniciativa con Proyecto de Decreto por el que se reforman el artículo 9, el párrafo tercero del artículo 228, el párrafo segundo del artículo 229 y el artículo 2.34 del Código Penal del Estado de México; se adiciona la fracción VII del artículo 2.130 </w:t>
      </w:r>
      <w:r w:rsidR="00D26031" w:rsidRPr="006E437B">
        <w:rPr>
          <w:rFonts w:ascii="Times New Roman" w:hAnsi="Times New Roman" w:cs="Times New Roman"/>
          <w:sz w:val="24"/>
          <w:szCs w:val="24"/>
        </w:rPr>
        <w:t>recorriéndose</w:t>
      </w:r>
      <w:r w:rsidR="001035CD" w:rsidRPr="006E437B">
        <w:rPr>
          <w:rFonts w:ascii="Times New Roman" w:hAnsi="Times New Roman" w:cs="Times New Roman"/>
          <w:sz w:val="24"/>
          <w:szCs w:val="24"/>
        </w:rPr>
        <w:t xml:space="preserve"> los subsecuentes; adiciona un párrafo al artículo 2.134; y se adiciona el artículo 2.135 Bis al Código para la Biodiversidad del Estado de México; se adicionan dos párrafos al artículo 5.6; se adiciona la fracción V al artículo 5.57 al Código Administrativo del Estado de México, en materia de sanciones en delitos de incendios forestales y protección de áreas naturales protegidas</w:t>
      </w:r>
      <w:r w:rsidR="00D26031" w:rsidRPr="006E437B">
        <w:rPr>
          <w:rFonts w:ascii="Times New Roman" w:hAnsi="Times New Roman" w:cs="Times New Roman"/>
          <w:sz w:val="24"/>
          <w:szCs w:val="24"/>
        </w:rPr>
        <w:t>, a</w:t>
      </w:r>
      <w:r w:rsidR="001035CD" w:rsidRPr="006E437B">
        <w:rPr>
          <w:rFonts w:ascii="Times New Roman" w:hAnsi="Times New Roman" w:cs="Times New Roman"/>
          <w:sz w:val="24"/>
          <w:szCs w:val="24"/>
        </w:rPr>
        <w:t>delante diputada.</w:t>
      </w:r>
    </w:p>
    <w:p w:rsidR="001035CD" w:rsidRPr="006E437B" w:rsidRDefault="001035CD" w:rsidP="00141629">
      <w:pPr>
        <w:pStyle w:val="Sinespaciado"/>
        <w:jc w:val="both"/>
        <w:rPr>
          <w:rFonts w:ascii="Times New Roman" w:hAnsi="Times New Roman" w:cs="Times New Roman"/>
          <w:sz w:val="24"/>
          <w:szCs w:val="24"/>
        </w:rPr>
      </w:pPr>
      <w:r w:rsidRPr="006E437B">
        <w:rPr>
          <w:rFonts w:ascii="Times New Roman" w:hAnsi="Times New Roman" w:cs="Times New Roman"/>
          <w:kern w:val="2"/>
          <w:sz w:val="24"/>
          <w:szCs w:val="24"/>
        </w:rPr>
        <w:t xml:space="preserve">DIP. ARLETH STEPHANIE GRIMALDO OSORIO. </w:t>
      </w:r>
      <w:r w:rsidRPr="006E437B">
        <w:rPr>
          <w:rFonts w:ascii="Times New Roman" w:hAnsi="Times New Roman" w:cs="Times New Roman"/>
          <w:sz w:val="24"/>
          <w:szCs w:val="24"/>
        </w:rPr>
        <w:t xml:space="preserve">Muy buenos días a todas y a todos, a mis compañeras y compañeros diputados, a los medios de comunicación, quienes nos ven a través de las redes sociales y también, con su permiso de la </w:t>
      </w:r>
      <w:r w:rsidR="006630FA" w:rsidRPr="006E437B">
        <w:rPr>
          <w:rFonts w:ascii="Times New Roman" w:hAnsi="Times New Roman" w:cs="Times New Roman"/>
          <w:sz w:val="24"/>
          <w:szCs w:val="24"/>
        </w:rPr>
        <w:t>Mesa</w:t>
      </w:r>
      <w:r w:rsidRPr="006E437B">
        <w:rPr>
          <w:rFonts w:ascii="Times New Roman" w:hAnsi="Times New Roman" w:cs="Times New Roman"/>
          <w:sz w:val="24"/>
          <w:szCs w:val="24"/>
        </w:rPr>
        <w:t>.</w:t>
      </w:r>
    </w:p>
    <w:p w:rsidR="001035CD" w:rsidRPr="006E437B" w:rsidRDefault="001035CD"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De acuerdo con datos del Reporte Semanal Nacional de Incendios Forestales</w:t>
      </w:r>
      <w:r w:rsidR="00226A80" w:rsidRPr="006E437B">
        <w:rPr>
          <w:rFonts w:ascii="Times New Roman" w:hAnsi="Times New Roman" w:cs="Times New Roman"/>
          <w:sz w:val="24"/>
          <w:szCs w:val="24"/>
        </w:rPr>
        <w:t>,</w:t>
      </w:r>
      <w:r w:rsidRPr="006E437B">
        <w:rPr>
          <w:rFonts w:ascii="Times New Roman" w:hAnsi="Times New Roman" w:cs="Times New Roman"/>
          <w:sz w:val="24"/>
          <w:szCs w:val="24"/>
        </w:rPr>
        <w:t xml:space="preserve"> de la Comisión Nacional Forestal (CONAFOR), el Estado de México se ha ubicado de manera recurrente entre las entidades con mayor número de incendios forestales a nivel nacional. Tan s</w:t>
      </w:r>
      <w:r w:rsidR="00D26031" w:rsidRPr="006E437B">
        <w:rPr>
          <w:rFonts w:ascii="Times New Roman" w:hAnsi="Times New Roman" w:cs="Times New Roman"/>
          <w:sz w:val="24"/>
          <w:szCs w:val="24"/>
        </w:rPr>
        <w:t>ó</w:t>
      </w:r>
      <w:r w:rsidRPr="006E437B">
        <w:rPr>
          <w:rFonts w:ascii="Times New Roman" w:hAnsi="Times New Roman" w:cs="Times New Roman"/>
          <w:sz w:val="24"/>
          <w:szCs w:val="24"/>
        </w:rPr>
        <w:t xml:space="preserve">lo en el año 2026, la </w:t>
      </w:r>
      <w:r w:rsidR="00D26031" w:rsidRPr="006E437B">
        <w:rPr>
          <w:rFonts w:ascii="Times New Roman" w:hAnsi="Times New Roman" w:cs="Times New Roman"/>
          <w:sz w:val="24"/>
          <w:szCs w:val="24"/>
        </w:rPr>
        <w:t xml:space="preserve">Entidad </w:t>
      </w:r>
      <w:r w:rsidRPr="006E437B">
        <w:rPr>
          <w:rFonts w:ascii="Times New Roman" w:hAnsi="Times New Roman" w:cs="Times New Roman"/>
          <w:sz w:val="24"/>
          <w:szCs w:val="24"/>
        </w:rPr>
        <w:t>ocupa los primeros lugares en numerosos incendios, con 329 incendios registrados y miles de hectáreas afectadas, lo que evidencia una tendencia creciente y preocupante.</w:t>
      </w:r>
    </w:p>
    <w:p w:rsidR="003134D8" w:rsidRPr="006E437B" w:rsidRDefault="001035CD"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Compañeras y compañeros, hoy vengo a proponer algo que debería de ser una ley básica en el planeta, que ninguna tierra que haya sido quemada pueda cambiar su uso de suelo nunca.</w:t>
      </w:r>
    </w:p>
    <w:p w:rsidR="003134D8" w:rsidRPr="006E437B" w:rsidRDefault="001035CD"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Llevo tiempo reflexionando sobre esto. Todas y todos sabemos que cuando un bosque se quema, no siempre es un accidente</w:t>
      </w:r>
      <w:r w:rsidR="003134D8" w:rsidRPr="006E437B">
        <w:rPr>
          <w:rFonts w:ascii="Times New Roman" w:hAnsi="Times New Roman" w:cs="Times New Roman"/>
          <w:sz w:val="24"/>
          <w:szCs w:val="24"/>
        </w:rPr>
        <w:t>,</w:t>
      </w:r>
      <w:r w:rsidRPr="006E437B">
        <w:rPr>
          <w:rFonts w:ascii="Times New Roman" w:hAnsi="Times New Roman" w:cs="Times New Roman"/>
          <w:sz w:val="24"/>
          <w:szCs w:val="24"/>
        </w:rPr>
        <w:t xml:space="preserve"> muchas veces el fuego es el camino más corto y más fácil para cambiar árboles por dinero, para cambiar bosques por hoteles, por carreteras o fraccionamientos y si después del incendio</w:t>
      </w:r>
      <w:r w:rsidR="003134D8" w:rsidRPr="006E437B">
        <w:rPr>
          <w:rFonts w:ascii="Times New Roman" w:hAnsi="Times New Roman" w:cs="Times New Roman"/>
          <w:sz w:val="24"/>
          <w:szCs w:val="24"/>
        </w:rPr>
        <w:t>,</w:t>
      </w:r>
      <w:r w:rsidRPr="006E437B">
        <w:rPr>
          <w:rFonts w:ascii="Times New Roman" w:hAnsi="Times New Roman" w:cs="Times New Roman"/>
          <w:sz w:val="24"/>
          <w:szCs w:val="24"/>
        </w:rPr>
        <w:t xml:space="preserve"> esa tierra se puede vender, testificar o construir, entonces el fuego deja de ser una tragedia y se convierte en negocio. Yo les pregunto ¿Qué pasaría si se cambiara la regla? Si existiera una ley que prohibiera el cambio de uso de suelo y el incentivo se acabaría, si una tierra se quema, no se puede construir ahí, no se puede vender ni hoy, ni mañana, ni cuando la noticia se olvide. Lo que se tiene que hacer es reforestar, cuidar y restaurar.</w:t>
      </w:r>
    </w:p>
    <w:p w:rsidR="001035CD" w:rsidRPr="006E437B" w:rsidRDefault="001035CD"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Así es como los incendios dejarían de ser rentables</w:t>
      </w:r>
      <w:r w:rsidR="00C01751" w:rsidRPr="006E437B">
        <w:rPr>
          <w:rFonts w:ascii="Times New Roman" w:hAnsi="Times New Roman" w:cs="Times New Roman"/>
          <w:sz w:val="24"/>
          <w:szCs w:val="24"/>
        </w:rPr>
        <w:t>,</w:t>
      </w:r>
      <w:r w:rsidRPr="006E437B">
        <w:rPr>
          <w:rFonts w:ascii="Times New Roman" w:hAnsi="Times New Roman" w:cs="Times New Roman"/>
          <w:sz w:val="24"/>
          <w:szCs w:val="24"/>
        </w:rPr>
        <w:t xml:space="preserve"> porque esta ley nos muestra que el tipo de gobierno que somos</w:t>
      </w:r>
      <w:r w:rsidR="00C01751" w:rsidRPr="006E437B">
        <w:rPr>
          <w:rFonts w:ascii="Times New Roman" w:hAnsi="Times New Roman" w:cs="Times New Roman"/>
          <w:sz w:val="24"/>
          <w:szCs w:val="24"/>
        </w:rPr>
        <w:t>,</w:t>
      </w:r>
      <w:r w:rsidRPr="006E437B">
        <w:rPr>
          <w:rFonts w:ascii="Times New Roman" w:hAnsi="Times New Roman" w:cs="Times New Roman"/>
          <w:sz w:val="24"/>
          <w:szCs w:val="24"/>
        </w:rPr>
        <w:t xml:space="preserve"> uno que vela por la vida y por el pueblo. El problema no es el fuego, es la corrupción que viene después. Permisos que aparecen de la nada</w:t>
      </w:r>
      <w:r w:rsidR="00C01751" w:rsidRPr="006E437B">
        <w:rPr>
          <w:rFonts w:ascii="Times New Roman" w:hAnsi="Times New Roman" w:cs="Times New Roman"/>
          <w:sz w:val="24"/>
          <w:szCs w:val="24"/>
        </w:rPr>
        <w:t>,</w:t>
      </w:r>
      <w:r w:rsidRPr="006E437B">
        <w:rPr>
          <w:rFonts w:ascii="Times New Roman" w:hAnsi="Times New Roman" w:cs="Times New Roman"/>
          <w:sz w:val="24"/>
          <w:szCs w:val="24"/>
        </w:rPr>
        <w:t xml:space="preserve"> regulaciones que se doblan e intereses que pesan más que los bosques </w:t>
      </w:r>
      <w:r w:rsidR="00C01751" w:rsidRPr="006E437B">
        <w:rPr>
          <w:rFonts w:ascii="Times New Roman" w:hAnsi="Times New Roman" w:cs="Times New Roman"/>
          <w:sz w:val="24"/>
          <w:szCs w:val="24"/>
        </w:rPr>
        <w:t xml:space="preserve">y </w:t>
      </w:r>
      <w:r w:rsidRPr="006E437B">
        <w:rPr>
          <w:rFonts w:ascii="Times New Roman" w:hAnsi="Times New Roman" w:cs="Times New Roman"/>
          <w:sz w:val="24"/>
          <w:szCs w:val="24"/>
        </w:rPr>
        <w:t xml:space="preserve">al final, lo que se quema no es solo un ecosistema se quema nuestra confianza en las reglas y la oportunidad de vivir bien, respirar bien </w:t>
      </w:r>
      <w:r w:rsidR="00C01751" w:rsidRPr="006E437B">
        <w:rPr>
          <w:rFonts w:ascii="Times New Roman" w:hAnsi="Times New Roman" w:cs="Times New Roman"/>
          <w:sz w:val="24"/>
          <w:szCs w:val="24"/>
        </w:rPr>
        <w:t>porque,</w:t>
      </w:r>
      <w:r w:rsidRPr="006E437B">
        <w:rPr>
          <w:rFonts w:ascii="Times New Roman" w:hAnsi="Times New Roman" w:cs="Times New Roman"/>
          <w:sz w:val="24"/>
          <w:szCs w:val="24"/>
        </w:rPr>
        <w:t xml:space="preserve"> aunque ustedes no lo crean, en unos años más tarde, las guerras y las peleas políticas con otros países</w:t>
      </w:r>
      <w:r w:rsidR="00C01751" w:rsidRPr="006E437B">
        <w:rPr>
          <w:rFonts w:ascii="Times New Roman" w:hAnsi="Times New Roman" w:cs="Times New Roman"/>
          <w:sz w:val="24"/>
          <w:szCs w:val="24"/>
        </w:rPr>
        <w:t>,</w:t>
      </w:r>
      <w:r w:rsidRPr="006E437B">
        <w:rPr>
          <w:rFonts w:ascii="Times New Roman" w:hAnsi="Times New Roman" w:cs="Times New Roman"/>
          <w:sz w:val="24"/>
          <w:szCs w:val="24"/>
        </w:rPr>
        <w:t xml:space="preserve"> no solo será de agua, sino también de bosques. Sin bosques no hay oxígeno, no hay agua, no hay alimentos y no hay vida.</w:t>
      </w:r>
    </w:p>
    <w:p w:rsidR="001035CD" w:rsidRPr="006E437B" w:rsidRDefault="001035CD"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eso lo digo simple y claro con toda la convicción</w:t>
      </w:r>
      <w:r w:rsidR="00C01751"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C01751" w:rsidRPr="006E437B">
        <w:rPr>
          <w:rFonts w:ascii="Times New Roman" w:hAnsi="Times New Roman" w:cs="Times New Roman"/>
          <w:sz w:val="24"/>
          <w:szCs w:val="24"/>
        </w:rPr>
        <w:t xml:space="preserve">si </w:t>
      </w:r>
      <w:r w:rsidRPr="006E437B">
        <w:rPr>
          <w:rFonts w:ascii="Times New Roman" w:hAnsi="Times New Roman" w:cs="Times New Roman"/>
          <w:sz w:val="24"/>
          <w:szCs w:val="24"/>
        </w:rPr>
        <w:t>una tierra se quema, su uso de suelo no debería de cambiar ni en diez años, ni en 50, ni nunca. Porque si el fuego no abre la puerta al negocio, muchos incendios dejarán de suceder</w:t>
      </w:r>
      <w:r w:rsidR="006D3F86" w:rsidRPr="006E437B">
        <w:rPr>
          <w:rFonts w:ascii="Times New Roman" w:hAnsi="Times New Roman" w:cs="Times New Roman"/>
          <w:sz w:val="24"/>
          <w:szCs w:val="24"/>
        </w:rPr>
        <w:t>,</w:t>
      </w:r>
      <w:r w:rsidRPr="006E437B">
        <w:rPr>
          <w:rFonts w:ascii="Times New Roman" w:hAnsi="Times New Roman" w:cs="Times New Roman"/>
          <w:sz w:val="24"/>
          <w:szCs w:val="24"/>
        </w:rPr>
        <w:t xml:space="preserve"> los bosques no necesitan discursos bonitos, necesitan reglas firmes, puntuales y exigentes para que nadie las pueda comprar.</w:t>
      </w:r>
    </w:p>
    <w:p w:rsidR="00F44908" w:rsidRPr="006E437B" w:rsidRDefault="001035CD"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Por esto, el día de hoy presento ante esta Legislatura Iniciativa con Proyecto de Decreto por el que se reforma el artículo 9, el párrafo tercero del artículo 228, el párrafo segundo del artículo 229 y el artículo 2.34 del Código Penal del Estado de México; se adiciona la fracción VII </w:t>
      </w:r>
      <w:r w:rsidR="006D3F86" w:rsidRPr="006E437B">
        <w:rPr>
          <w:rFonts w:ascii="Times New Roman" w:hAnsi="Times New Roman" w:cs="Times New Roman"/>
          <w:sz w:val="24"/>
          <w:szCs w:val="24"/>
        </w:rPr>
        <w:t>a</w:t>
      </w:r>
      <w:r w:rsidRPr="006E437B">
        <w:rPr>
          <w:rFonts w:ascii="Times New Roman" w:hAnsi="Times New Roman" w:cs="Times New Roman"/>
          <w:sz w:val="24"/>
          <w:szCs w:val="24"/>
        </w:rPr>
        <w:t>l artículo 2.130</w:t>
      </w:r>
      <w:r w:rsidR="00B214B9" w:rsidRPr="006E437B">
        <w:rPr>
          <w:rFonts w:ascii="Times New Roman" w:hAnsi="Times New Roman" w:cs="Times New Roman"/>
          <w:sz w:val="24"/>
          <w:szCs w:val="24"/>
        </w:rPr>
        <w:t xml:space="preserve"> </w:t>
      </w:r>
      <w:r w:rsidR="002F4CFD" w:rsidRPr="006E437B">
        <w:rPr>
          <w:rFonts w:ascii="Times New Roman" w:hAnsi="Times New Roman" w:cs="Times New Roman"/>
          <w:sz w:val="24"/>
          <w:szCs w:val="24"/>
        </w:rPr>
        <w:t>recorriendo</w:t>
      </w:r>
      <w:r w:rsidR="00071D3D" w:rsidRPr="006E437B">
        <w:rPr>
          <w:rFonts w:ascii="Times New Roman" w:hAnsi="Times New Roman" w:cs="Times New Roman"/>
          <w:sz w:val="24"/>
          <w:szCs w:val="24"/>
        </w:rPr>
        <w:t xml:space="preserve"> la subsecuente</w:t>
      </w:r>
      <w:r w:rsidR="006D3F86"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se adiciona un párrafo al artículo 2.134 y se adiciona el artículo 2.135 </w:t>
      </w:r>
      <w:r w:rsidR="006D3F86" w:rsidRPr="006E437B">
        <w:rPr>
          <w:rFonts w:ascii="Times New Roman" w:hAnsi="Times New Roman" w:cs="Times New Roman"/>
          <w:sz w:val="24"/>
          <w:szCs w:val="24"/>
        </w:rPr>
        <w:t xml:space="preserve">Bis </w:t>
      </w:r>
      <w:r w:rsidR="00071D3D" w:rsidRPr="006E437B">
        <w:rPr>
          <w:rFonts w:ascii="Times New Roman" w:hAnsi="Times New Roman" w:cs="Times New Roman"/>
          <w:sz w:val="24"/>
          <w:szCs w:val="24"/>
        </w:rPr>
        <w:t xml:space="preserve">del Código para la Biodiversidad del Estado de México; se adicionan </w:t>
      </w:r>
      <w:r w:rsidR="006A725B" w:rsidRPr="006E437B">
        <w:rPr>
          <w:rFonts w:ascii="Times New Roman" w:hAnsi="Times New Roman" w:cs="Times New Roman"/>
          <w:sz w:val="24"/>
          <w:szCs w:val="24"/>
        </w:rPr>
        <w:t>2</w:t>
      </w:r>
      <w:r w:rsidR="00071D3D" w:rsidRPr="006E437B">
        <w:rPr>
          <w:rFonts w:ascii="Times New Roman" w:hAnsi="Times New Roman" w:cs="Times New Roman"/>
          <w:sz w:val="24"/>
          <w:szCs w:val="24"/>
        </w:rPr>
        <w:t xml:space="preserve"> párrafos al artículo 5.6 y se adiciona la fracción V al artículo 5.57 al Código Administrativo del Estado de México en materia de sanciones en delitos de incendios forestales y protección de áreas naturales </w:t>
      </w:r>
      <w:r w:rsidR="00071D3D" w:rsidRPr="006E437B">
        <w:rPr>
          <w:rFonts w:ascii="Times New Roman" w:hAnsi="Times New Roman" w:cs="Times New Roman"/>
          <w:sz w:val="24"/>
          <w:szCs w:val="24"/>
        </w:rPr>
        <w:lastRenderedPageBreak/>
        <w:t>protegidas, no estamos protegiendo árboles, estamos protegiendo la vida, el agua y el futuro de nuestras hijas e hijos</w:t>
      </w:r>
      <w:r w:rsidR="006A725B"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un bosque que se quema no se </w:t>
      </w:r>
      <w:r w:rsidR="006A725B" w:rsidRPr="006E437B">
        <w:rPr>
          <w:rFonts w:ascii="Times New Roman" w:hAnsi="Times New Roman" w:cs="Times New Roman"/>
          <w:sz w:val="24"/>
          <w:szCs w:val="24"/>
        </w:rPr>
        <w:t>negocia,</w:t>
      </w:r>
      <w:r w:rsidR="00071D3D" w:rsidRPr="006E437B">
        <w:rPr>
          <w:rFonts w:ascii="Times New Roman" w:hAnsi="Times New Roman" w:cs="Times New Roman"/>
          <w:sz w:val="24"/>
          <w:szCs w:val="24"/>
        </w:rPr>
        <w:t xml:space="preserve"> se restaura y se protege</w:t>
      </w:r>
      <w:r w:rsidR="006A725B" w:rsidRPr="006E437B">
        <w:rPr>
          <w:rFonts w:ascii="Times New Roman" w:hAnsi="Times New Roman" w:cs="Times New Roman"/>
          <w:sz w:val="24"/>
          <w:szCs w:val="24"/>
        </w:rPr>
        <w:t>.</w:t>
      </w:r>
    </w:p>
    <w:p w:rsidR="00071D3D" w:rsidRPr="006E437B" w:rsidRDefault="006A725B" w:rsidP="00141629">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 xml:space="preserve">Es </w:t>
      </w:r>
      <w:r w:rsidR="00071D3D" w:rsidRPr="006E437B">
        <w:rPr>
          <w:rFonts w:ascii="Times New Roman" w:hAnsi="Times New Roman" w:cs="Times New Roman"/>
          <w:sz w:val="24"/>
          <w:szCs w:val="24"/>
        </w:rPr>
        <w:t>cuanto.</w:t>
      </w:r>
    </w:p>
    <w:p w:rsidR="00F44908" w:rsidRPr="006E437B" w:rsidRDefault="00F44908" w:rsidP="00141629">
      <w:pPr>
        <w:pStyle w:val="Sinespaciado"/>
        <w:jc w:val="both"/>
        <w:rPr>
          <w:rFonts w:ascii="Times New Roman" w:hAnsi="Times New Roman" w:cs="Times New Roman"/>
          <w:sz w:val="24"/>
          <w:szCs w:val="24"/>
        </w:rPr>
      </w:pPr>
    </w:p>
    <w:p w:rsidR="00603D93" w:rsidRPr="006E437B" w:rsidRDefault="00603D93"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603D93" w:rsidRPr="006E437B" w:rsidRDefault="00603D93" w:rsidP="00141629">
      <w:pPr>
        <w:pStyle w:val="Sinespaciado"/>
        <w:jc w:val="both"/>
        <w:rPr>
          <w:rFonts w:ascii="Times New Roman" w:hAnsi="Times New Roman" w:cs="Times New Roman"/>
          <w:sz w:val="24"/>
          <w:szCs w:val="24"/>
        </w:rPr>
      </w:pPr>
    </w:p>
    <w:p w:rsidR="00641DCC" w:rsidRPr="006E437B" w:rsidRDefault="00E91665" w:rsidP="00141629">
      <w:pPr>
        <w:spacing w:after="0" w:line="240" w:lineRule="auto"/>
        <w:jc w:val="center"/>
        <w:rPr>
          <w:rFonts w:ascii="Times New Roman" w:eastAsia="Century Gothic" w:hAnsi="Times New Roman" w:cs="Times New Roman"/>
          <w:b/>
          <w:sz w:val="24"/>
          <w:szCs w:val="24"/>
        </w:rPr>
      </w:pPr>
      <w:r w:rsidRPr="006E437B">
        <w:rPr>
          <w:rFonts w:ascii="Times New Roman" w:eastAsia="Century Gothic" w:hAnsi="Times New Roman" w:cs="Times New Roman"/>
          <w:b/>
          <w:sz w:val="24"/>
          <w:szCs w:val="24"/>
        </w:rPr>
        <w:t>DIP. ARLETH STEPHANIE GRIMALDO OSORIO</w:t>
      </w:r>
    </w:p>
    <w:p w:rsidR="00641DCC" w:rsidRPr="006E437B" w:rsidRDefault="00641DCC" w:rsidP="00141629">
      <w:pPr>
        <w:spacing w:after="0" w:line="240" w:lineRule="auto"/>
        <w:jc w:val="center"/>
        <w:rPr>
          <w:rFonts w:ascii="Times New Roman" w:eastAsia="Century Gothic" w:hAnsi="Times New Roman" w:cs="Times New Roman"/>
          <w:b/>
          <w:sz w:val="24"/>
          <w:szCs w:val="24"/>
        </w:rPr>
      </w:pPr>
      <w:r w:rsidRPr="006E437B">
        <w:rPr>
          <w:rFonts w:ascii="Times New Roman" w:hAnsi="Times New Roman" w:cs="Times New Roman"/>
          <w:sz w:val="24"/>
          <w:szCs w:val="24"/>
        </w:rPr>
        <w:t>DIPUTADA LOCAL DISTRITO XXXVII</w:t>
      </w:r>
    </w:p>
    <w:p w:rsidR="00641DCC" w:rsidRPr="006E437B" w:rsidRDefault="00641DCC" w:rsidP="00141629">
      <w:pPr>
        <w:spacing w:after="0" w:line="240" w:lineRule="auto"/>
        <w:jc w:val="center"/>
        <w:rPr>
          <w:rFonts w:ascii="Times New Roman" w:eastAsia="Century Gothic" w:hAnsi="Times New Roman" w:cs="Times New Roman"/>
          <w:b/>
          <w:sz w:val="24"/>
          <w:szCs w:val="24"/>
        </w:rPr>
      </w:pPr>
    </w:p>
    <w:p w:rsidR="00641DCC" w:rsidRPr="006E437B" w:rsidRDefault="00641DCC" w:rsidP="00141629">
      <w:pPr>
        <w:spacing w:after="0" w:line="240" w:lineRule="auto"/>
        <w:jc w:val="center"/>
        <w:rPr>
          <w:rFonts w:ascii="Times New Roman" w:hAnsi="Times New Roman" w:cs="Times New Roman"/>
          <w:sz w:val="24"/>
          <w:szCs w:val="24"/>
        </w:rPr>
      </w:pPr>
      <w:r w:rsidRPr="006E437B">
        <w:rPr>
          <w:rFonts w:ascii="Times New Roman" w:eastAsia="Century Gothic" w:hAnsi="Times New Roman" w:cs="Times New Roman"/>
          <w:sz w:val="24"/>
          <w:szCs w:val="24"/>
        </w:rPr>
        <w:t>“2026. Año del Humanismo Mexicano en el Estado de México”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right"/>
        <w:rPr>
          <w:rFonts w:ascii="Times New Roman" w:hAnsi="Times New Roman" w:cs="Times New Roman"/>
          <w:sz w:val="24"/>
          <w:szCs w:val="24"/>
        </w:rPr>
      </w:pPr>
      <w:r w:rsidRPr="006E437B">
        <w:rPr>
          <w:rFonts w:ascii="Times New Roman" w:eastAsia="Arial" w:hAnsi="Times New Roman" w:cs="Times New Roman"/>
          <w:sz w:val="24"/>
          <w:szCs w:val="24"/>
        </w:rPr>
        <w:t xml:space="preserve">Toluca de Lerdo, Estado de México, a </w:t>
      </w:r>
      <w:r w:rsidRPr="006E437B">
        <w:rPr>
          <w:rFonts w:ascii="Times New Roman" w:eastAsia="Arial" w:hAnsi="Times New Roman" w:cs="Times New Roman"/>
          <w:sz w:val="24"/>
          <w:szCs w:val="24"/>
        </w:rPr>
        <w:tab/>
        <w:t>_ de abril de 2026</w:t>
      </w:r>
    </w:p>
    <w:p w:rsidR="00641DCC" w:rsidRPr="006E437B" w:rsidRDefault="00641DCC" w:rsidP="00141629">
      <w:pPr>
        <w:spacing w:after="0" w:line="240" w:lineRule="auto"/>
        <w:jc w:val="right"/>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DIPUTADO VLADIMIR HERNÁNDEZ VILLEGAS</w:t>
      </w: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PRESIDENTE DE LA MESA DIRECTIVA DE LA H. LXII</w:t>
      </w: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LEGISLATURA DEL ESTADO LIBRE Y SOBERANO DE MÉXICO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P R E S E N T E</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Diputada </w:t>
      </w:r>
      <w:r w:rsidRPr="006E437B">
        <w:rPr>
          <w:rFonts w:ascii="Times New Roman" w:eastAsia="Arial" w:hAnsi="Times New Roman" w:cs="Times New Roman"/>
          <w:b/>
          <w:sz w:val="24"/>
          <w:szCs w:val="24"/>
        </w:rPr>
        <w:t>Arleth Stephanie Grimaldo Osorio</w:t>
      </w:r>
      <w:r w:rsidRPr="006E437B">
        <w:rPr>
          <w:rFonts w:ascii="Times New Roman" w:eastAsia="Arial" w:hAnsi="Times New Roman" w:cs="Times New Roman"/>
          <w:sz w:val="24"/>
          <w:szCs w:val="24"/>
        </w:rPr>
        <w:t xml:space="preserve">, integrante del Grupo Parlamentario de Morena en la LXII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presente </w:t>
      </w:r>
      <w:r w:rsidRPr="006E437B">
        <w:rPr>
          <w:rFonts w:ascii="Times New Roman" w:eastAsia="Arial" w:hAnsi="Times New Roman" w:cs="Times New Roman"/>
          <w:b/>
          <w:sz w:val="24"/>
          <w:szCs w:val="24"/>
        </w:rPr>
        <w:t>Iniciativa con Proyecto de Decreto Por el que se reforman el artículo 9, el párrafo tercero del artículo 228, el párrafo segundo del artículo 229 y el artículo 234 del Código Penal Del Estado De México;</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b/>
          <w:sz w:val="24"/>
          <w:szCs w:val="24"/>
        </w:rPr>
        <w:t>Se adiciona la fracción VII al artículo 2.130 recorriéndose la subsecuente; Se adiciona un párrafo al artículo 2.134; y se adiciona el artículo 2.135 BIS al Código Para La Biodiversidad Del Estado De México;</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b/>
          <w:sz w:val="24"/>
          <w:szCs w:val="24"/>
        </w:rPr>
        <w:t>Se adicionan dos párrafos al artículo 5.6; Se adiciona la fracción V al artículo 5.57 al Código Administrativo Del Estado De México.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EXPOSICIÓN DE MOTIVOS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En los últimos años, el Estado de México ha experimentado un incremento alarmante en la incidencia de incendios forestales, muchos de ellos provocados de manera intencional. Esta problemática no solo representa un grave daño al medio ambiente, sino que constituye una amenaza directa a la vida, la integridad y el patrimonio de las personas.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Los incendios forestales representan una problemática ambiental de gran magnitud debido a los efectos negativos que generan sobre los recursos naturales, la calidad del aire, los suelos y los ecosistemas forestales. Asimismo, estos eventos no sólo afectan a la flora y fauna silvestre, sino que también representan un riesgo directo para las personas, especialmente cuando los incendios se propagan hacia zonas habitacionales o áreas urbanas cercanas a regiones forestales.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De acuerdo con datos del Reporte Semanal Nacional de Incendios Forestales de la Comisión Nacional Forestal (CONAFOR), el Estado de México se ha ubicado de manera recurrente entre las entidades con mayor número de incendios forestales a nivel nacional. Tan solo en el año 2026, la </w:t>
      </w:r>
      <w:r w:rsidRPr="006E437B">
        <w:rPr>
          <w:rFonts w:ascii="Times New Roman" w:eastAsia="Arial" w:hAnsi="Times New Roman" w:cs="Times New Roman"/>
          <w:sz w:val="24"/>
          <w:szCs w:val="24"/>
        </w:rPr>
        <w:lastRenderedPageBreak/>
        <w:t>entidad ocupa los primeros lugares en número de siniestros, con 329 incendios registrados y miles de hectáreas afectadas, lo que evidencia una tendencia creciente y preocupante.</w:t>
      </w:r>
    </w:p>
    <w:p w:rsidR="00641DCC" w:rsidRPr="006E437B" w:rsidRDefault="00641DCC" w:rsidP="00141629">
      <w:pPr>
        <w:spacing w:after="0" w:line="240" w:lineRule="auto"/>
        <w:jc w:val="both"/>
        <w:rPr>
          <w:rFonts w:ascii="Times New Roman" w:eastAsia="Arial" w:hAnsi="Times New Roman" w:cs="Times New Roman"/>
          <w:sz w:val="24"/>
          <w:szCs w:val="24"/>
        </w:rPr>
      </w:pPr>
    </w:p>
    <w:tbl>
      <w:tblPr>
        <w:tblW w:w="0" w:type="auto"/>
        <w:jc w:val="center"/>
        <w:tblLook w:val="04A0" w:firstRow="1" w:lastRow="0" w:firstColumn="1" w:lastColumn="0" w:noHBand="0" w:noVBand="1"/>
      </w:tblPr>
      <w:tblGrid>
        <w:gridCol w:w="8222"/>
      </w:tblGrid>
      <w:tr w:rsidR="00641DCC" w:rsidRPr="006E437B" w:rsidTr="00A355A9">
        <w:trPr>
          <w:jc w:val="center"/>
        </w:trPr>
        <w:tc>
          <w:tcPr>
            <w:tcW w:w="8222" w:type="dxa"/>
          </w:tcPr>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noProof/>
                <w:sz w:val="24"/>
                <w:szCs w:val="24"/>
              </w:rPr>
              <w:drawing>
                <wp:inline distT="0" distB="0" distL="0" distR="0" wp14:anchorId="3C49674A" wp14:editId="670C48EA">
                  <wp:extent cx="4857008" cy="2851785"/>
                  <wp:effectExtent l="0" t="0" r="1270" b="5715"/>
                  <wp:docPr id="216" name="Picture 216"/>
                  <wp:cNvGraphicFramePr/>
                  <a:graphic xmlns:a="http://schemas.openxmlformats.org/drawingml/2006/main">
                    <a:graphicData uri="http://schemas.openxmlformats.org/drawingml/2006/picture">
                      <pic:pic xmlns:pic="http://schemas.openxmlformats.org/drawingml/2006/picture">
                        <pic:nvPicPr>
                          <pic:cNvPr id="216" name="Picture 216"/>
                          <pic:cNvPicPr/>
                        </pic:nvPicPr>
                        <pic:blipFill>
                          <a:blip r:embed="rId8"/>
                          <a:stretch>
                            <a:fillRect/>
                          </a:stretch>
                        </pic:blipFill>
                        <pic:spPr>
                          <a:xfrm>
                            <a:off x="0" y="0"/>
                            <a:ext cx="4927282" cy="2893046"/>
                          </a:xfrm>
                          <a:prstGeom prst="rect">
                            <a:avLst/>
                          </a:prstGeom>
                        </pic:spPr>
                      </pic:pic>
                    </a:graphicData>
                  </a:graphic>
                </wp:inline>
              </w:drawing>
            </w:r>
          </w:p>
          <w:p w:rsidR="00641DCC" w:rsidRPr="006E437B" w:rsidRDefault="00641DCC" w:rsidP="00141629">
            <w:pPr>
              <w:spacing w:after="0" w:line="240" w:lineRule="auto"/>
              <w:jc w:val="both"/>
              <w:rPr>
                <w:rFonts w:ascii="Times New Roman" w:hAnsi="Times New Roman" w:cs="Times New Roman"/>
                <w:sz w:val="24"/>
                <w:szCs w:val="24"/>
              </w:rPr>
            </w:pPr>
          </w:p>
        </w:tc>
      </w:tr>
    </w:tbl>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Por otra parte, según información publicada en el portal del gobierno, la Secretaría de Medio Ambiente y Recursos Naturales (SEMARNAT) informa que en México más de la mitad de los incendios forestales son provocados de manera intencional. Asimismo, señala que aproximadamente el 99% de estos eventos tienen su origen en actividades humanas, mientras que solo una pequeña proporción se debe a causas naturales, lo que permite advertir que una parte significativa de estos eventos no son accidentales, sino producto de conductas humanas dolosas.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Estos datos reflejan que los incendios forestales no constituyen hechos aislados, sino fenómenos recurrentes que requieren la adopción de medidas más estrictas para prevenir su ocurrencia y sancionar adecuadamente a quienes los provocan.</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Uno de los aspectos más preocupantes relacionados con los incendios forestales es el riesgo que representan para la vida humana. Cuando un incendio forestal se propaga hacia zonas habitacionales, puede provocar daños irreversibles, incluyendo la pérdida de viviendas, infraestructura pública y, en casos extremos, la pérdida de vidas humanas.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En el Estado de México, la expansión urbana hacia zonas forestales ha incrementado la vulnerabilidad de numerosas comunidades que se encuentran asentadas en áreas cercanas a bosques o terrenos naturales. Esta situación aumenta significativamente el riesgo de que un incendio forestal se convierta en una emergencia de gran escala, afectando no sólo a los ecosistemas, sino también a la población.</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Uno de los fenómenos más preocupantes asociados a los incendios forestales es su relación con el cambio de uso de suelo. En diversos casos, los incendios han sido provocados de manera intencional con el propósito de eliminar la cobertura vegetal y facilitar el desarrollo urbano o la modificación del uso del suelo para fines comerciales o habitacionales.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El cambio de uso de suelo posterior a un incendio representa una amenaza significativa para la conservación ambiental, ya que incentiva prácticas ilegales que buscan transformar terrenos forestales en zonas urbanizables.</w:t>
      </w: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 </w:t>
      </w: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El Estado de México cuenta con diversas áreas naturales que requieren protección permanente, por lo que resulta indispensable establecer mecanismos jurídicos que impidan el cambio de uso de suelo en terrenos afectados por incendios forestales.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La presente iniciativa encuentra sustento jurídico, en el artículo 4° de la Constitución Política de los Estados Unidos Mexicanos que reconoce el derecho de toda persona a un medio ambiente sano para su desarrollo y bienestar. Este derecho implica la obligación del Estado de adoptar medidas preventivas y correctivas para evitar daños ambientales que puedan afectar la salud y la calidad de vida de la población.</w:t>
      </w:r>
    </w:p>
    <w:p w:rsidR="00641DCC" w:rsidRPr="006E437B" w:rsidRDefault="00641DCC" w:rsidP="00141629">
      <w:pPr>
        <w:spacing w:after="0" w:line="240" w:lineRule="auto"/>
        <w:jc w:val="both"/>
        <w:rPr>
          <w:rFonts w:ascii="Times New Roman" w:eastAsia="Arial"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En virtud de lo anteriormente expuesto, resulta evidente la necesidad de fortalecer el marco jurídico del Estado de México para prevenir incendios forestales, proteger las Áreas Naturales Protegidas y garantizar el uso sustentable del suelo.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La presente iniciativa propone reformas integrales que permitirán elevar el delito de incendio forestal a la categoría de delito grave, prohibir el cambio de uso de suelo en terrenos afectados por incendios y garantizar la protección permanente de las Áreas Naturales Protegidas.</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Por lo anterior propongo:</w:t>
      </w:r>
    </w:p>
    <w:p w:rsidR="00641DCC" w:rsidRPr="006E437B" w:rsidRDefault="00641DCC" w:rsidP="00141629">
      <w:pPr>
        <w:spacing w:after="0" w:line="240" w:lineRule="auto"/>
        <w:rPr>
          <w:rFonts w:ascii="Times New Roman" w:hAnsi="Times New Roman" w:cs="Times New Roman"/>
          <w:sz w:val="24"/>
          <w:szCs w:val="24"/>
        </w:rPr>
      </w:pPr>
    </w:p>
    <w:tbl>
      <w:tblPr>
        <w:tblW w:w="9446" w:type="dxa"/>
        <w:jc w:val="center"/>
        <w:tblCellMar>
          <w:top w:w="7" w:type="dxa"/>
        </w:tblCellMar>
        <w:tblLook w:val="04A0" w:firstRow="1" w:lastRow="0" w:firstColumn="1" w:lastColumn="0" w:noHBand="0" w:noVBand="1"/>
      </w:tblPr>
      <w:tblGrid>
        <w:gridCol w:w="4722"/>
        <w:gridCol w:w="4724"/>
      </w:tblGrid>
      <w:tr w:rsidR="006E437B" w:rsidRPr="006E437B" w:rsidTr="00A355A9">
        <w:trPr>
          <w:trHeight w:val="269"/>
          <w:jc w:val="center"/>
        </w:trPr>
        <w:tc>
          <w:tcPr>
            <w:tcW w:w="9446" w:type="dxa"/>
            <w:gridSpan w:val="2"/>
            <w:tcBorders>
              <w:top w:val="single" w:sz="4" w:space="0" w:color="000000"/>
              <w:left w:val="single" w:sz="4" w:space="0" w:color="000000"/>
              <w:bottom w:val="single" w:sz="4" w:space="0" w:color="000000"/>
              <w:right w:val="single" w:sz="4" w:space="0" w:color="000000"/>
            </w:tcBorders>
          </w:tcPr>
          <w:p w:rsidR="00641DCC" w:rsidRPr="006E437B" w:rsidRDefault="00641DCC" w:rsidP="00141629">
            <w:pPr>
              <w:spacing w:after="0" w:line="240" w:lineRule="auto"/>
              <w:jc w:val="center"/>
              <w:rPr>
                <w:rFonts w:ascii="Times New Roman" w:hAnsi="Times New Roman" w:cs="Times New Roman"/>
                <w:sz w:val="24"/>
                <w:szCs w:val="24"/>
              </w:rPr>
            </w:pPr>
            <w:r w:rsidRPr="006E437B">
              <w:rPr>
                <w:rFonts w:ascii="Times New Roman" w:eastAsia="Arial" w:hAnsi="Times New Roman" w:cs="Times New Roman"/>
                <w:b/>
                <w:sz w:val="24"/>
                <w:szCs w:val="24"/>
              </w:rPr>
              <w:t xml:space="preserve">CÓDIGO PENAL DEL ESTADO DE MÉXICO </w:t>
            </w:r>
          </w:p>
        </w:tc>
      </w:tr>
      <w:tr w:rsidR="006E437B" w:rsidRPr="006E437B" w:rsidTr="00A355A9">
        <w:trPr>
          <w:trHeight w:val="267"/>
          <w:jc w:val="center"/>
        </w:trPr>
        <w:tc>
          <w:tcPr>
            <w:tcW w:w="4722" w:type="dxa"/>
            <w:tcBorders>
              <w:top w:val="single" w:sz="4" w:space="0" w:color="000000"/>
              <w:left w:val="single" w:sz="4" w:space="0" w:color="000000"/>
              <w:bottom w:val="single" w:sz="4" w:space="0" w:color="000000"/>
              <w:right w:val="single" w:sz="4" w:space="0" w:color="000000"/>
            </w:tcBorders>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sz w:val="24"/>
                <w:szCs w:val="24"/>
              </w:rPr>
              <w:t>TEXTO ACTUAL</w:t>
            </w:r>
          </w:p>
        </w:tc>
        <w:tc>
          <w:tcPr>
            <w:tcW w:w="4724" w:type="dxa"/>
            <w:tcBorders>
              <w:top w:val="single" w:sz="4" w:space="0" w:color="000000"/>
              <w:left w:val="single" w:sz="4" w:space="0" w:color="000000"/>
              <w:bottom w:val="single" w:sz="4" w:space="0" w:color="000000"/>
              <w:right w:val="single" w:sz="4" w:space="0" w:color="000000"/>
            </w:tcBorders>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sz w:val="24"/>
                <w:szCs w:val="24"/>
              </w:rPr>
              <w:t>PROPUESTA</w:t>
            </w:r>
          </w:p>
        </w:tc>
      </w:tr>
      <w:tr w:rsidR="006E437B" w:rsidRPr="006E437B" w:rsidTr="00A355A9">
        <w:trPr>
          <w:trHeight w:val="3668"/>
          <w:jc w:val="center"/>
        </w:trPr>
        <w:tc>
          <w:tcPr>
            <w:tcW w:w="4722" w:type="dxa"/>
            <w:tcBorders>
              <w:top w:val="single" w:sz="4" w:space="0" w:color="000000"/>
              <w:left w:val="single" w:sz="4" w:space="0" w:color="000000"/>
              <w:bottom w:val="single" w:sz="4" w:space="0" w:color="000000"/>
              <w:right w:val="single" w:sz="4" w:space="0" w:color="000000"/>
            </w:tcBorders>
          </w:tcPr>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9.- </w:t>
            </w:r>
            <w:r w:rsidRPr="006E437B">
              <w:rPr>
                <w:rFonts w:ascii="Times New Roman" w:eastAsia="Arial" w:hAnsi="Times New Roman" w:cs="Times New Roman"/>
                <w:sz w:val="24"/>
                <w:szCs w:val="24"/>
              </w:rPr>
              <w:t>Se califican como delitos graves para todos los efectos legales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F61BDF" w:rsidRPr="006E437B" w:rsidRDefault="00F61BDF"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228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Cuando la conducta prevista en la fracción III se realice dentro de un Área Natural Protegida, la pena será de cinco a doce años de prisión y de ciento cincuenta a trescientas Unidades de Medida y Actualización.</w:t>
            </w:r>
          </w:p>
          <w:p w:rsidR="00641DCC" w:rsidRPr="006E437B" w:rsidRDefault="00641DCC" w:rsidP="00141629">
            <w:pPr>
              <w:spacing w:after="0" w:line="240" w:lineRule="auto"/>
              <w:rPr>
                <w:rFonts w:ascii="Times New Roman" w:eastAsia="Arial" w:hAnsi="Times New Roman" w:cs="Times New Roman"/>
                <w:b/>
                <w:sz w:val="24"/>
                <w:szCs w:val="24"/>
              </w:rPr>
            </w:pPr>
          </w:p>
          <w:p w:rsidR="00641DCC" w:rsidRPr="006E437B" w:rsidRDefault="00641DCC" w:rsidP="00141629">
            <w:pPr>
              <w:spacing w:after="0" w:line="240" w:lineRule="auto"/>
              <w:rPr>
                <w:rFonts w:ascii="Times New Roman" w:eastAsia="Arial" w:hAnsi="Times New Roman" w:cs="Times New Roman"/>
                <w:b/>
                <w:sz w:val="24"/>
                <w:szCs w:val="24"/>
              </w:rPr>
            </w:pPr>
          </w:p>
          <w:p w:rsidR="00641DCC" w:rsidRPr="006E437B" w:rsidRDefault="00641DCC" w:rsidP="00141629">
            <w:pPr>
              <w:spacing w:after="0" w:line="240" w:lineRule="auto"/>
              <w:rPr>
                <w:rFonts w:ascii="Times New Roman" w:eastAsia="Arial" w:hAnsi="Times New Roman" w:cs="Times New Roman"/>
                <w:b/>
                <w:sz w:val="24"/>
                <w:szCs w:val="24"/>
              </w:rPr>
            </w:pPr>
          </w:p>
          <w:p w:rsidR="00641DCC" w:rsidRPr="006E437B" w:rsidRDefault="00641DCC" w:rsidP="00141629">
            <w:pPr>
              <w:spacing w:after="0" w:line="240" w:lineRule="auto"/>
              <w:rPr>
                <w:rFonts w:ascii="Times New Roman" w:eastAsia="Arial" w:hAnsi="Times New Roman" w:cs="Times New Roman"/>
                <w:b/>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229…</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lastRenderedPageBreak/>
              <w:t>Se aplicará la misma pena a la persona servidora pública que autorice, facilite o consienta el cambio de uso de suelo en un Área Natural Protegida, reserva ecológica o zona de valor ambiental, sin que exista causa de excepción debidamente justificada conforme a la Ley General de Desarrollo Forestal Sustentable o legislación aplicable.</w:t>
            </w: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141629">
            <w:pPr>
              <w:spacing w:after="0" w:line="240" w:lineRule="auto"/>
              <w:jc w:val="both"/>
              <w:rPr>
                <w:rFonts w:ascii="Times New Roman" w:hAnsi="Times New Roman" w:cs="Times New Roman"/>
                <w:sz w:val="24"/>
                <w:szCs w:val="24"/>
              </w:rPr>
            </w:pPr>
          </w:p>
          <w:p w:rsidR="004F7B34" w:rsidRPr="006E437B" w:rsidRDefault="004F7B34" w:rsidP="004F7B34">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234.- …</w:t>
            </w:r>
          </w:p>
          <w:p w:rsidR="004F7B34" w:rsidRPr="006E437B" w:rsidRDefault="004F7B34" w:rsidP="004F7B34">
            <w:pPr>
              <w:spacing w:after="0" w:line="240" w:lineRule="auto"/>
              <w:rPr>
                <w:rFonts w:ascii="Times New Roman" w:hAnsi="Times New Roman" w:cs="Times New Roman"/>
                <w:sz w:val="24"/>
                <w:szCs w:val="24"/>
              </w:rPr>
            </w:pPr>
          </w:p>
          <w:p w:rsidR="004F7B34" w:rsidRPr="006E437B" w:rsidRDefault="004F7B34" w:rsidP="004F7B34">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Se perseguirán de oficio las conductas establecidas en el artículo 228, fracciones IX y X del presente Código.</w:t>
            </w:r>
          </w:p>
        </w:tc>
        <w:tc>
          <w:tcPr>
            <w:tcW w:w="4724" w:type="dxa"/>
            <w:tcBorders>
              <w:top w:val="single" w:sz="4" w:space="0" w:color="000000"/>
              <w:left w:val="single" w:sz="4" w:space="0" w:color="000000"/>
              <w:bottom w:val="single" w:sz="4" w:space="0" w:color="000000"/>
              <w:right w:val="single" w:sz="4" w:space="0" w:color="000000"/>
            </w:tcBorders>
          </w:tcPr>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9.- </w:t>
            </w:r>
            <w:r w:rsidRPr="006E437B">
              <w:rPr>
                <w:rFonts w:ascii="Times New Roman" w:eastAsia="Arial" w:hAnsi="Times New Roman" w:cs="Times New Roman"/>
                <w:sz w:val="24"/>
                <w:szCs w:val="24"/>
              </w:rPr>
              <w:t>Se califican como delitos graves para todos los efectos legales…</w:t>
            </w:r>
            <w:r w:rsidRPr="006E437B">
              <w:rPr>
                <w:rFonts w:ascii="Times New Roman" w:eastAsia="Arial" w:hAnsi="Times New Roman" w:cs="Times New Roman"/>
                <w:b/>
                <w:sz w:val="24"/>
                <w:szCs w:val="24"/>
              </w:rPr>
              <w:t xml:space="preserve"> </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b/>
                <w:sz w:val="24"/>
                <w:szCs w:val="24"/>
              </w:rPr>
              <w:t>el de incendio forestal, señalado en el artículo 228 , párrafo tercero , fracción III.</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228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eastAsia="Arial"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Cuando la conducta prevista en la fracción III se realice dentro de un Área Natural Protegida</w:t>
            </w:r>
            <w:r w:rsidRPr="006E437B">
              <w:rPr>
                <w:rFonts w:ascii="Times New Roman" w:eastAsia="Arial" w:hAnsi="Times New Roman" w:cs="Times New Roman"/>
                <w:b/>
                <w:sz w:val="24"/>
                <w:szCs w:val="24"/>
              </w:rPr>
              <w:t>, exista riesgo a la vida humana o se presuma que el incendio tuvo como finalidad el cambio de uso de suelo, la pena será de diez a quince años de prisión y de tres mil a seis mil Unidades de Medida y Actualización.</w:t>
            </w:r>
          </w:p>
          <w:p w:rsidR="00641DCC" w:rsidRPr="006E437B" w:rsidRDefault="00641DCC" w:rsidP="00141629">
            <w:pPr>
              <w:spacing w:after="0" w:line="240" w:lineRule="auto"/>
              <w:rPr>
                <w:rFonts w:ascii="Times New Roman" w:eastAsia="Arial" w:hAnsi="Times New Roman" w:cs="Times New Roman"/>
                <w:b/>
                <w:sz w:val="24"/>
                <w:szCs w:val="24"/>
              </w:rPr>
            </w:pPr>
          </w:p>
          <w:p w:rsidR="00641DCC" w:rsidRPr="006E437B" w:rsidRDefault="00641DCC" w:rsidP="00141629">
            <w:pPr>
              <w:spacing w:after="0" w:line="240" w:lineRule="auto"/>
              <w:rPr>
                <w:rFonts w:ascii="Times New Roman" w:eastAsia="Arial" w:hAnsi="Times New Roman" w:cs="Times New Roman"/>
                <w:b/>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229…</w:t>
            </w:r>
          </w:p>
          <w:p w:rsidR="00641DCC" w:rsidRPr="006E437B" w:rsidRDefault="00641DCC" w:rsidP="00141629">
            <w:pPr>
              <w:spacing w:after="0" w:line="240" w:lineRule="auto"/>
              <w:rPr>
                <w:rFonts w:ascii="Times New Roman" w:hAnsi="Times New Roman" w:cs="Times New Roman"/>
                <w:sz w:val="24"/>
                <w:szCs w:val="24"/>
              </w:rPr>
            </w:pPr>
          </w:p>
          <w:p w:rsidR="00F919F9" w:rsidRPr="006E437B" w:rsidRDefault="00641DCC" w:rsidP="00141629">
            <w:pPr>
              <w:spacing w:after="0" w:line="240" w:lineRule="auto"/>
              <w:jc w:val="both"/>
              <w:rPr>
                <w:rFonts w:ascii="Times New Roman" w:eastAsia="Arial" w:hAnsi="Times New Roman" w:cs="Times New Roman"/>
                <w:b/>
                <w:sz w:val="24"/>
                <w:szCs w:val="24"/>
              </w:rPr>
            </w:pPr>
            <w:r w:rsidRPr="006E437B">
              <w:rPr>
                <w:rFonts w:ascii="Times New Roman" w:eastAsia="Arial" w:hAnsi="Times New Roman" w:cs="Times New Roman"/>
                <w:sz w:val="24"/>
                <w:szCs w:val="24"/>
              </w:rPr>
              <w:lastRenderedPageBreak/>
              <w:t>A la persona servidora pública que autorice, facilite o consienta el cambio de uso de suelo en un Área Natural Protegida, reserva ecológica ,zona de valor ambiental,</w:t>
            </w:r>
            <w:r w:rsidRPr="006E437B">
              <w:rPr>
                <w:rFonts w:ascii="Times New Roman" w:eastAsia="Arial" w:hAnsi="Times New Roman" w:cs="Times New Roman"/>
                <w:b/>
                <w:sz w:val="24"/>
                <w:szCs w:val="24"/>
              </w:rPr>
              <w:t xml:space="preserve"> o en cualquier terreno que haya sido objeto de un incendio forestal dentro de los treinta años anteriores ,</w:t>
            </w:r>
            <w:r w:rsidRPr="006E437B">
              <w:rPr>
                <w:rFonts w:ascii="Times New Roman" w:eastAsia="Arial" w:hAnsi="Times New Roman" w:cs="Times New Roman"/>
                <w:sz w:val="24"/>
                <w:szCs w:val="24"/>
              </w:rPr>
              <w:t xml:space="preserve"> sin que exista causa de excepción debidamente justificada conforme a la Ley General de Desarrollo Forestal Sustentable o legislación aplicable, </w:t>
            </w:r>
            <w:r w:rsidRPr="006E437B">
              <w:rPr>
                <w:rFonts w:ascii="Times New Roman" w:eastAsia="Arial" w:hAnsi="Times New Roman" w:cs="Times New Roman"/>
                <w:b/>
                <w:sz w:val="24"/>
                <w:szCs w:val="24"/>
              </w:rPr>
              <w:t>se le impondrán de quince a veinte años de prisión y de cuatro mil a cinco mil quinientas Unidades de Medida y Actualización;</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b/>
                <w:sz w:val="24"/>
                <w:szCs w:val="24"/>
              </w:rPr>
              <w:t>además de la pena señalada, será destituido del cargo y se le inhabilitará para desempeñar empleos, cargos o comisiones en el servicio público hasta por la duración de la pena de impuesta</w:t>
            </w:r>
          </w:p>
          <w:p w:rsidR="00F919F9" w:rsidRPr="006E437B" w:rsidRDefault="00F919F9" w:rsidP="00141629">
            <w:pPr>
              <w:spacing w:after="0" w:line="240" w:lineRule="auto"/>
              <w:jc w:val="both"/>
              <w:rPr>
                <w:rFonts w:ascii="Times New Roman" w:eastAsia="Arial" w:hAnsi="Times New Roman" w:cs="Times New Roman"/>
                <w:b/>
                <w:sz w:val="24"/>
                <w:szCs w:val="24"/>
              </w:rPr>
            </w:pPr>
          </w:p>
          <w:p w:rsidR="00641DCC" w:rsidRPr="006E437B" w:rsidRDefault="00641DCC" w:rsidP="00141629">
            <w:pPr>
              <w:spacing w:after="0" w:line="240" w:lineRule="auto"/>
              <w:jc w:val="both"/>
              <w:rPr>
                <w:rFonts w:ascii="Times New Roman" w:hAnsi="Times New Roman" w:cs="Times New Roman"/>
                <w:sz w:val="24"/>
                <w:szCs w:val="24"/>
              </w:rPr>
            </w:pPr>
          </w:p>
          <w:p w:rsidR="004F7B34" w:rsidRPr="006E437B" w:rsidRDefault="004F7B34" w:rsidP="004F7B34">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234.-</w:t>
            </w:r>
          </w:p>
          <w:p w:rsidR="004F7B34" w:rsidRPr="006E437B" w:rsidRDefault="004F7B34" w:rsidP="004F7B34">
            <w:pPr>
              <w:spacing w:after="0" w:line="240" w:lineRule="auto"/>
              <w:rPr>
                <w:rFonts w:ascii="Times New Roman" w:hAnsi="Times New Roman" w:cs="Times New Roman"/>
                <w:sz w:val="24"/>
                <w:szCs w:val="24"/>
              </w:rPr>
            </w:pPr>
          </w:p>
          <w:p w:rsidR="00F919F9" w:rsidRPr="006E437B" w:rsidRDefault="004F7B34" w:rsidP="004F7B34">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Se perseguirán de oficio las conductas establecidas en el artículo 228, fracciones </w:t>
            </w:r>
            <w:r w:rsidRPr="006E437B">
              <w:rPr>
                <w:rFonts w:ascii="Times New Roman" w:eastAsia="Arial" w:hAnsi="Times New Roman" w:cs="Times New Roman"/>
                <w:b/>
                <w:sz w:val="24"/>
                <w:szCs w:val="24"/>
              </w:rPr>
              <w:t>III</w:t>
            </w:r>
            <w:r w:rsidRPr="006E437B">
              <w:rPr>
                <w:rFonts w:ascii="Times New Roman" w:eastAsia="Arial" w:hAnsi="Times New Roman" w:cs="Times New Roman"/>
                <w:sz w:val="24"/>
                <w:szCs w:val="24"/>
              </w:rPr>
              <w:t>, IX y X del presente Código.</w:t>
            </w:r>
          </w:p>
        </w:tc>
      </w:tr>
    </w:tbl>
    <w:p w:rsidR="00641DCC" w:rsidRPr="006E437B" w:rsidRDefault="00641DCC" w:rsidP="00F844D9">
      <w:pPr>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4697"/>
        <w:gridCol w:w="4698"/>
      </w:tblGrid>
      <w:tr w:rsidR="00641DCC" w:rsidRPr="006E437B" w:rsidTr="004F7B34">
        <w:tc>
          <w:tcPr>
            <w:tcW w:w="9395" w:type="dxa"/>
            <w:gridSpan w:val="2"/>
            <w:tcBorders>
              <w:top w:val="single" w:sz="4" w:space="0" w:color="auto"/>
              <w:left w:val="single" w:sz="4" w:space="0" w:color="auto"/>
              <w:bottom w:val="single" w:sz="4" w:space="0" w:color="auto"/>
              <w:right w:val="single" w:sz="4" w:space="0" w:color="auto"/>
            </w:tcBorders>
          </w:tcPr>
          <w:p w:rsidR="00641DCC" w:rsidRPr="006E437B" w:rsidRDefault="00641DCC" w:rsidP="00141629">
            <w:pPr>
              <w:spacing w:after="0" w:line="240" w:lineRule="auto"/>
              <w:jc w:val="center"/>
              <w:rPr>
                <w:rFonts w:ascii="Times New Roman" w:hAnsi="Times New Roman" w:cs="Times New Roman"/>
                <w:sz w:val="24"/>
                <w:szCs w:val="24"/>
              </w:rPr>
            </w:pPr>
            <w:r w:rsidRPr="006E437B">
              <w:rPr>
                <w:rFonts w:ascii="Times New Roman" w:eastAsia="Arial" w:hAnsi="Times New Roman" w:cs="Times New Roman"/>
                <w:b/>
                <w:sz w:val="24"/>
                <w:szCs w:val="24"/>
              </w:rPr>
              <w:t xml:space="preserve">CÓDIGO PARA LA BIODIVERSIDAD DEL ESTADO DE MÉXICO </w:t>
            </w:r>
          </w:p>
        </w:tc>
      </w:tr>
      <w:tr w:rsidR="00641DCC" w:rsidRPr="006E437B" w:rsidTr="004F7B34">
        <w:tc>
          <w:tcPr>
            <w:tcW w:w="4697" w:type="dxa"/>
            <w:tcBorders>
              <w:top w:val="single" w:sz="4" w:space="0" w:color="auto"/>
              <w:left w:val="single" w:sz="4" w:space="0" w:color="auto"/>
              <w:bottom w:val="single" w:sz="4" w:space="0" w:color="auto"/>
              <w:right w:val="single" w:sz="4" w:space="0" w:color="auto"/>
            </w:tcBorders>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sz w:val="24"/>
                <w:szCs w:val="24"/>
              </w:rPr>
              <w:t>TEXTO ACTUAL</w:t>
            </w:r>
          </w:p>
        </w:tc>
        <w:tc>
          <w:tcPr>
            <w:tcW w:w="4698" w:type="dxa"/>
            <w:tcBorders>
              <w:top w:val="single" w:sz="4" w:space="0" w:color="auto"/>
              <w:left w:val="single" w:sz="4" w:space="0" w:color="auto"/>
              <w:bottom w:val="single" w:sz="4" w:space="0" w:color="auto"/>
              <w:right w:val="single" w:sz="4" w:space="0" w:color="auto"/>
            </w:tcBorders>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sz w:val="24"/>
                <w:szCs w:val="24"/>
              </w:rPr>
              <w:t xml:space="preserve">PROPUESTA </w:t>
            </w:r>
          </w:p>
        </w:tc>
      </w:tr>
      <w:tr w:rsidR="00641DCC" w:rsidRPr="006E437B" w:rsidTr="004F7B34">
        <w:tc>
          <w:tcPr>
            <w:tcW w:w="4697" w:type="dxa"/>
            <w:tcBorders>
              <w:top w:val="single" w:sz="4" w:space="0" w:color="auto"/>
              <w:left w:val="single" w:sz="4" w:space="0" w:color="auto"/>
              <w:bottom w:val="single" w:sz="4" w:space="0" w:color="auto"/>
              <w:right w:val="single" w:sz="4" w:space="0" w:color="auto"/>
            </w:tcBorders>
          </w:tcPr>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2.130.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A</w:t>
            </w:r>
            <w:r w:rsidRPr="006E437B">
              <w:rPr>
                <w:rFonts w:ascii="Times New Roman" w:eastAsia="Arial" w:hAnsi="Times New Roman" w:cs="Times New Roman"/>
                <w:b/>
                <w:sz w:val="24"/>
                <w:szCs w:val="24"/>
              </w:rPr>
              <w:t xml:space="preserve"> VI…</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SIN CORRELATIVO</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2.134.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 xml:space="preserve">SIN CORRELATIVO </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501330" w:rsidRPr="006E437B" w:rsidRDefault="00501330"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2.135 ...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 xml:space="preserve">SIN CORRELATIVO </w:t>
            </w:r>
          </w:p>
          <w:p w:rsidR="00641DCC" w:rsidRPr="006E437B" w:rsidRDefault="00641DCC" w:rsidP="00141629">
            <w:pPr>
              <w:spacing w:after="0" w:line="240" w:lineRule="auto"/>
              <w:rPr>
                <w:rFonts w:ascii="Times New Roman" w:eastAsia="Arial" w:hAnsi="Times New Roman" w:cs="Times New Roman"/>
                <w:sz w:val="24"/>
                <w:szCs w:val="24"/>
              </w:rPr>
            </w:pPr>
          </w:p>
        </w:tc>
        <w:tc>
          <w:tcPr>
            <w:tcW w:w="4698" w:type="dxa"/>
            <w:tcBorders>
              <w:top w:val="single" w:sz="4" w:space="0" w:color="auto"/>
              <w:left w:val="single" w:sz="4" w:space="0" w:color="auto"/>
              <w:bottom w:val="single" w:sz="4" w:space="0" w:color="auto"/>
              <w:right w:val="single" w:sz="4" w:space="0" w:color="auto"/>
            </w:tcBorders>
          </w:tcPr>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2.130.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A</w:t>
            </w:r>
            <w:r w:rsidRPr="006E437B">
              <w:rPr>
                <w:rFonts w:ascii="Times New Roman" w:eastAsia="Arial" w:hAnsi="Times New Roman" w:cs="Times New Roman"/>
                <w:b/>
                <w:sz w:val="24"/>
                <w:szCs w:val="24"/>
              </w:rPr>
              <w:t xml:space="preserve"> VI…</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VII. En los suelos afectados por incendios forestales deberán implementarse obligatoriamente medidas de restauración, recuperación y conservación, quedando prohibido cualquier cambio de uso de suelo que contravenga su vocación ecológica.</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2.134.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Para dar cumplimiento a lo anterior, las autoridades deberán abstenerse de autorizar cambios de uso de suelo en terrenos afectados por incendios forestales, así como en Áreas Naturales Protegidas, reservas ecológicas o zonas de valor </w:t>
            </w:r>
            <w:r w:rsidRPr="006E437B">
              <w:rPr>
                <w:rFonts w:ascii="Times New Roman" w:eastAsia="Arial" w:hAnsi="Times New Roman" w:cs="Times New Roman"/>
                <w:b/>
                <w:sz w:val="24"/>
                <w:szCs w:val="24"/>
              </w:rPr>
              <w:lastRenderedPageBreak/>
              <w:t>ambiental, cuando ello contravenga su vocación ecológica.</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2.135…</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2.135 BIS.</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En los casos en que se solicite autorización de cambio de uso de suelo en terrenos ubicados en zonas forestales, Áreas Naturales Protegidas, reservas ecológicas, zonas de valor ambiental o en predios que hayan sido afectados por incendios forestales, la autoridad competente deberá observar lo siguiente:</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numPr>
                <w:ilvl w:val="0"/>
                <w:numId w:val="2"/>
              </w:num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Se dará preferencia para el otorgamiento de autorizaciones a los propietarios, poseedores, núcleos agrarios, pueblos autóctonos y demás personas interesadas que acrediten la titularidad o posesión legítima, continua y anterior al evento de incendio, así como el manejo, conservación o aprovechamiento sustentable del predio conforme a su vocación ecológica; </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numPr>
                <w:ilvl w:val="0"/>
                <w:numId w:val="2"/>
              </w:num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No se autorizarán cambios de uso de suelo cuando se advierta que la adquisición del predio fue realizada con posterioridad al incendio o en un periodo inmediato anterior al mismo, y existan indicios de que el cambio de uso de suelo tenga fines especulativos, urbanos o de desarrollo inmobiliario; </w:t>
            </w:r>
          </w:p>
          <w:p w:rsidR="00641DCC" w:rsidRPr="006E437B" w:rsidRDefault="00641DCC" w:rsidP="00141629">
            <w:pPr>
              <w:pStyle w:val="Prrafodelista"/>
              <w:spacing w:after="0" w:line="240" w:lineRule="auto"/>
              <w:ind w:left="0"/>
              <w:rPr>
                <w:rFonts w:ascii="Times New Roman" w:hAnsi="Times New Roman" w:cs="Times New Roman"/>
                <w:color w:val="auto"/>
                <w:sz w:val="24"/>
                <w:szCs w:val="24"/>
              </w:rPr>
            </w:pPr>
          </w:p>
          <w:p w:rsidR="00641DCC" w:rsidRPr="006E437B" w:rsidRDefault="00641DCC" w:rsidP="00141629">
            <w:pPr>
              <w:numPr>
                <w:ilvl w:val="0"/>
                <w:numId w:val="2"/>
              </w:num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En ningún caso se permitirá el cambio de uso de suelo para fines habitacionales, comerciales, industriales o de servicios en terrenos afectados por incendios forestales o ubicados en áreas naturales protegidas; </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numPr>
                <w:ilvl w:val="0"/>
                <w:numId w:val="2"/>
              </w:num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Las autorizaciones excepcionales únicamente podrán otorgarse para proyectos de restauración ecológica, conservación ambiental o aprovechamiento sustentable, siempre que la infraestructura sea de bajo impacto y acorde con criterios ecológicos; </w:t>
            </w:r>
          </w:p>
          <w:p w:rsidR="00641DCC" w:rsidRPr="006E437B" w:rsidRDefault="00641DCC" w:rsidP="00141629">
            <w:pPr>
              <w:spacing w:after="0" w:line="240" w:lineRule="auto"/>
              <w:rPr>
                <w:rFonts w:ascii="Times New Roman" w:eastAsia="Arial" w:hAnsi="Times New Roman" w:cs="Times New Roman"/>
                <w:sz w:val="24"/>
                <w:szCs w:val="24"/>
              </w:rPr>
            </w:pPr>
          </w:p>
          <w:p w:rsidR="00641DCC" w:rsidRPr="006E437B" w:rsidRDefault="00641DCC" w:rsidP="00141629">
            <w:pPr>
              <w:pStyle w:val="Prrafodelista"/>
              <w:numPr>
                <w:ilvl w:val="0"/>
                <w:numId w:val="2"/>
              </w:numPr>
              <w:spacing w:after="0" w:line="240" w:lineRule="auto"/>
              <w:jc w:val="both"/>
              <w:rPr>
                <w:rFonts w:ascii="Times New Roman" w:eastAsia="Arial" w:hAnsi="Times New Roman" w:cs="Times New Roman"/>
                <w:color w:val="auto"/>
                <w:sz w:val="24"/>
                <w:szCs w:val="24"/>
              </w:rPr>
            </w:pPr>
            <w:r w:rsidRPr="006E437B">
              <w:rPr>
                <w:rFonts w:ascii="Times New Roman" w:eastAsia="Arial" w:hAnsi="Times New Roman" w:cs="Times New Roman"/>
                <w:b/>
                <w:color w:val="auto"/>
                <w:sz w:val="24"/>
                <w:szCs w:val="24"/>
              </w:rPr>
              <w:t>La autoridad deberá realizar un análisis integral que considere la temporalidad de la posesión, el historial del predio, la vocación natural del suelo y la inexistencia de prácticas que hayan propiciado su deterioro o incendio.</w:t>
            </w:r>
          </w:p>
        </w:tc>
      </w:tr>
    </w:tbl>
    <w:p w:rsidR="00641DCC" w:rsidRPr="006E437B" w:rsidRDefault="00641DCC" w:rsidP="00141629">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4698"/>
      </w:tblGrid>
      <w:tr w:rsidR="00641DCC" w:rsidRPr="006E437B" w:rsidTr="00501330">
        <w:tc>
          <w:tcPr>
            <w:tcW w:w="9395" w:type="dxa"/>
            <w:gridSpan w:val="2"/>
          </w:tcPr>
          <w:p w:rsidR="00641DCC" w:rsidRPr="006E437B" w:rsidRDefault="00641DCC" w:rsidP="00141629">
            <w:pPr>
              <w:spacing w:after="0" w:line="240" w:lineRule="auto"/>
              <w:jc w:val="center"/>
              <w:rPr>
                <w:rFonts w:ascii="Times New Roman" w:hAnsi="Times New Roman" w:cs="Times New Roman"/>
                <w:sz w:val="24"/>
                <w:szCs w:val="24"/>
              </w:rPr>
            </w:pPr>
            <w:r w:rsidRPr="006E437B">
              <w:rPr>
                <w:rFonts w:ascii="Times New Roman" w:eastAsia="Arial" w:hAnsi="Times New Roman" w:cs="Times New Roman"/>
                <w:b/>
                <w:sz w:val="24"/>
                <w:szCs w:val="24"/>
              </w:rPr>
              <w:t>CÓDIGO ADMINISTRATIVO DEL ESTADO DE MÉXICO</w:t>
            </w:r>
          </w:p>
        </w:tc>
      </w:tr>
      <w:tr w:rsidR="00641DCC" w:rsidRPr="006E437B" w:rsidTr="00501330">
        <w:tc>
          <w:tcPr>
            <w:tcW w:w="4697" w:type="dxa"/>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sz w:val="24"/>
                <w:szCs w:val="24"/>
              </w:rPr>
              <w:t>TEXTO ACTUAL</w:t>
            </w:r>
          </w:p>
        </w:tc>
        <w:tc>
          <w:tcPr>
            <w:tcW w:w="4698" w:type="dxa"/>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sz w:val="24"/>
                <w:szCs w:val="24"/>
              </w:rPr>
              <w:t>PROPUESTA</w:t>
            </w:r>
          </w:p>
        </w:tc>
      </w:tr>
      <w:tr w:rsidR="00641DCC" w:rsidRPr="006E437B" w:rsidTr="00501330">
        <w:tc>
          <w:tcPr>
            <w:tcW w:w="4697" w:type="dxa"/>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5.6 ...</w:t>
            </w: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SIN CORRELATIVO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SIN CORRELATIVO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pStyle w:val="Default"/>
              <w:rPr>
                <w:rFonts w:ascii="Times New Roman" w:hAnsi="Times New Roman" w:cs="Times New Roman"/>
                <w:b/>
                <w:bCs/>
                <w:color w:val="auto"/>
              </w:rPr>
            </w:pPr>
            <w:r w:rsidRPr="006E437B">
              <w:rPr>
                <w:rFonts w:ascii="Times New Roman" w:hAnsi="Times New Roman" w:cs="Times New Roman"/>
                <w:b/>
                <w:bCs/>
                <w:color w:val="auto"/>
              </w:rPr>
              <w:t>…</w:t>
            </w:r>
          </w:p>
          <w:p w:rsidR="00641DCC" w:rsidRPr="006E437B" w:rsidRDefault="00641DCC" w:rsidP="00141629">
            <w:pPr>
              <w:pStyle w:val="Default"/>
              <w:rPr>
                <w:rFonts w:ascii="Times New Roman" w:hAnsi="Times New Roman" w:cs="Times New Roman"/>
                <w:color w:val="auto"/>
              </w:rPr>
            </w:pPr>
          </w:p>
          <w:p w:rsidR="00641DCC" w:rsidRPr="006E437B" w:rsidRDefault="00641DCC" w:rsidP="00141629">
            <w:pPr>
              <w:spacing w:after="0" w:line="240" w:lineRule="auto"/>
              <w:rPr>
                <w:rFonts w:ascii="Times New Roman" w:hAnsi="Times New Roman" w:cs="Times New Roman"/>
                <w:b/>
                <w:bCs/>
                <w:sz w:val="24"/>
                <w:szCs w:val="24"/>
              </w:rPr>
            </w:pPr>
            <w:r w:rsidRPr="006E437B">
              <w:rPr>
                <w:rFonts w:ascii="Times New Roman" w:hAnsi="Times New Roman" w:cs="Times New Roman"/>
                <w:b/>
                <w:bCs/>
                <w:sz w:val="24"/>
                <w:szCs w:val="24"/>
              </w:rPr>
              <w:t>Artículo 5.57.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pStyle w:val="Default"/>
              <w:rPr>
                <w:rFonts w:ascii="Times New Roman" w:hAnsi="Times New Roman" w:cs="Times New Roman"/>
                <w:color w:val="auto"/>
              </w:rPr>
            </w:pPr>
            <w:r w:rsidRPr="006E437B">
              <w:rPr>
                <w:rFonts w:ascii="Times New Roman" w:hAnsi="Times New Roman" w:cs="Times New Roman"/>
                <w:b/>
                <w:bCs/>
                <w:color w:val="auto"/>
              </w:rPr>
              <w:t>I A IV.</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eastAsia="Arial" w:hAnsi="Times New Roman" w:cs="Times New Roman"/>
                <w:b/>
                <w:sz w:val="24"/>
                <w:szCs w:val="24"/>
              </w:rPr>
            </w:pPr>
            <w:r w:rsidRPr="006E437B">
              <w:rPr>
                <w:rFonts w:ascii="Times New Roman" w:eastAsia="Arial" w:hAnsi="Times New Roman" w:cs="Times New Roman"/>
                <w:b/>
                <w:sz w:val="24"/>
                <w:szCs w:val="24"/>
              </w:rPr>
              <w:t>SIN CORRELATIVO</w:t>
            </w:r>
          </w:p>
          <w:p w:rsidR="006D4C31" w:rsidRPr="006E437B" w:rsidRDefault="006D4C31" w:rsidP="00141629">
            <w:pPr>
              <w:spacing w:after="0" w:line="240" w:lineRule="auto"/>
              <w:rPr>
                <w:rFonts w:ascii="Times New Roman" w:hAnsi="Times New Roman" w:cs="Times New Roman"/>
                <w:sz w:val="24"/>
                <w:szCs w:val="24"/>
              </w:rPr>
            </w:pPr>
          </w:p>
          <w:p w:rsidR="006D4C31" w:rsidRPr="006E437B" w:rsidRDefault="006D4C31" w:rsidP="00141629">
            <w:pPr>
              <w:spacing w:after="0" w:line="240" w:lineRule="auto"/>
              <w:rPr>
                <w:rFonts w:ascii="Times New Roman" w:hAnsi="Times New Roman" w:cs="Times New Roman"/>
                <w:sz w:val="24"/>
                <w:szCs w:val="24"/>
              </w:rPr>
            </w:pPr>
          </w:p>
          <w:p w:rsidR="006D4C31" w:rsidRPr="006E437B" w:rsidRDefault="006D4C31" w:rsidP="00141629">
            <w:pPr>
              <w:spacing w:after="0" w:line="240" w:lineRule="auto"/>
              <w:rPr>
                <w:rFonts w:ascii="Times New Roman" w:hAnsi="Times New Roman" w:cs="Times New Roman"/>
                <w:sz w:val="24"/>
                <w:szCs w:val="24"/>
              </w:rPr>
            </w:pPr>
          </w:p>
          <w:p w:rsidR="006D4C31" w:rsidRPr="006E437B" w:rsidRDefault="006D4C31" w:rsidP="00141629">
            <w:pPr>
              <w:spacing w:after="0" w:line="240" w:lineRule="auto"/>
              <w:rPr>
                <w:rFonts w:ascii="Times New Roman" w:hAnsi="Times New Roman" w:cs="Times New Roman"/>
                <w:sz w:val="24"/>
                <w:szCs w:val="24"/>
              </w:rPr>
            </w:pPr>
          </w:p>
          <w:p w:rsidR="006D4C31" w:rsidRPr="006E437B" w:rsidRDefault="006D4C31" w:rsidP="00141629">
            <w:pPr>
              <w:spacing w:after="0" w:line="240" w:lineRule="auto"/>
              <w:rPr>
                <w:rFonts w:ascii="Times New Roman" w:hAnsi="Times New Roman" w:cs="Times New Roman"/>
                <w:sz w:val="24"/>
                <w:szCs w:val="24"/>
              </w:rPr>
            </w:pPr>
          </w:p>
          <w:p w:rsidR="006D4C31" w:rsidRPr="006E437B" w:rsidRDefault="006D4C31" w:rsidP="00141629">
            <w:pPr>
              <w:spacing w:after="0" w:line="240" w:lineRule="auto"/>
              <w:rPr>
                <w:rFonts w:ascii="Times New Roman" w:hAnsi="Times New Roman" w:cs="Times New Roman"/>
                <w:sz w:val="24"/>
                <w:szCs w:val="24"/>
              </w:rPr>
            </w:pPr>
          </w:p>
          <w:p w:rsidR="006D4C31" w:rsidRPr="006E437B" w:rsidRDefault="006D4C31" w:rsidP="006D4C31">
            <w:pPr>
              <w:spacing w:after="0" w:line="240" w:lineRule="auto"/>
              <w:rPr>
                <w:rFonts w:ascii="Times New Roman" w:hAnsi="Times New Roman" w:cs="Times New Roman"/>
                <w:b/>
                <w:bCs/>
                <w:sz w:val="24"/>
                <w:szCs w:val="24"/>
              </w:rPr>
            </w:pPr>
            <w:r w:rsidRPr="006E437B">
              <w:rPr>
                <w:rFonts w:ascii="Times New Roman" w:hAnsi="Times New Roman" w:cs="Times New Roman"/>
                <w:b/>
                <w:bCs/>
                <w:sz w:val="24"/>
                <w:szCs w:val="24"/>
              </w:rPr>
              <w:t>…</w:t>
            </w:r>
          </w:p>
          <w:p w:rsidR="006D4C31" w:rsidRPr="006E437B" w:rsidRDefault="006D4C31" w:rsidP="00141629">
            <w:pPr>
              <w:spacing w:after="0" w:line="240" w:lineRule="auto"/>
              <w:rPr>
                <w:rFonts w:ascii="Times New Roman" w:hAnsi="Times New Roman" w:cs="Times New Roman"/>
                <w:sz w:val="24"/>
                <w:szCs w:val="24"/>
              </w:rPr>
            </w:pPr>
          </w:p>
        </w:tc>
        <w:tc>
          <w:tcPr>
            <w:tcW w:w="4698" w:type="dxa"/>
          </w:tcPr>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lastRenderedPageBreak/>
              <w:t>Artículo 5.6 ...</w:t>
            </w: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En ningún caso podrá autorizarse el cambio de uso de suelo en terrenos afectados por incendios forestales cuando ello implique urbanización, construcción habitacional, comercial, industrial, educativa o cualquier aprovechamiento incompatible con su vocación ecológica.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Como excepción a lo dispuesto en el párrafo anterior, únicamente podrá autorizarse infraestructura destinada a proyectos ecológicos de impacto mínimo, sin cimentaciones permanentes de concreto, a favor de propietarios o poseedores que acrediten un arraigo y titularidad legal ininterrumpida mayor a veinte años previos al incendio, siempre que dichas actividades no impliquen procesos de urbanización, no contravengan la vocación natural del suelo y cuenten con la autorización ambiental correspondiente</w:t>
            </w:r>
          </w:p>
          <w:p w:rsidR="00641DCC" w:rsidRPr="006E437B" w:rsidRDefault="00641DCC" w:rsidP="00141629">
            <w:pPr>
              <w:pStyle w:val="Default"/>
              <w:jc w:val="both"/>
              <w:rPr>
                <w:rFonts w:ascii="Times New Roman" w:hAnsi="Times New Roman" w:cs="Times New Roman"/>
                <w:color w:val="auto"/>
              </w:rPr>
            </w:pPr>
          </w:p>
          <w:p w:rsidR="00641DCC" w:rsidRPr="006E437B" w:rsidRDefault="00641DCC" w:rsidP="00141629">
            <w:pPr>
              <w:pStyle w:val="Default"/>
              <w:rPr>
                <w:rFonts w:ascii="Times New Roman" w:hAnsi="Times New Roman" w:cs="Times New Roman"/>
                <w:b/>
                <w:bCs/>
                <w:color w:val="auto"/>
              </w:rPr>
            </w:pPr>
            <w:r w:rsidRPr="006E437B">
              <w:rPr>
                <w:rFonts w:ascii="Times New Roman" w:hAnsi="Times New Roman" w:cs="Times New Roman"/>
                <w:b/>
                <w:bCs/>
                <w:color w:val="auto"/>
              </w:rPr>
              <w:t>…</w:t>
            </w:r>
          </w:p>
          <w:p w:rsidR="00641DCC" w:rsidRPr="006E437B" w:rsidRDefault="00641DCC" w:rsidP="00141629">
            <w:pPr>
              <w:pStyle w:val="Default"/>
              <w:rPr>
                <w:rFonts w:ascii="Times New Roman" w:hAnsi="Times New Roman" w:cs="Times New Roman"/>
                <w:color w:val="auto"/>
              </w:rPr>
            </w:pPr>
          </w:p>
          <w:p w:rsidR="00641DCC" w:rsidRPr="006E437B" w:rsidRDefault="00641DCC" w:rsidP="00141629">
            <w:pPr>
              <w:spacing w:after="0" w:line="240" w:lineRule="auto"/>
              <w:rPr>
                <w:rFonts w:ascii="Times New Roman" w:hAnsi="Times New Roman" w:cs="Times New Roman"/>
                <w:b/>
                <w:bCs/>
                <w:sz w:val="24"/>
                <w:szCs w:val="24"/>
              </w:rPr>
            </w:pPr>
            <w:r w:rsidRPr="006E437B">
              <w:rPr>
                <w:rFonts w:ascii="Times New Roman" w:hAnsi="Times New Roman" w:cs="Times New Roman"/>
                <w:b/>
                <w:bCs/>
                <w:sz w:val="24"/>
                <w:szCs w:val="24"/>
              </w:rPr>
              <w:t>Artículo 5.57.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pStyle w:val="Default"/>
              <w:rPr>
                <w:rFonts w:ascii="Times New Roman" w:hAnsi="Times New Roman" w:cs="Times New Roman"/>
                <w:color w:val="auto"/>
              </w:rPr>
            </w:pPr>
            <w:r w:rsidRPr="006E437B">
              <w:rPr>
                <w:rFonts w:ascii="Times New Roman" w:hAnsi="Times New Roman" w:cs="Times New Roman"/>
                <w:b/>
                <w:bCs/>
                <w:color w:val="auto"/>
              </w:rPr>
              <w:t>I A IV.</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V. No se trate de terrenos afectados por incendios forestales, </w:t>
            </w:r>
            <w:r w:rsidRPr="006E437B">
              <w:rPr>
                <w:rFonts w:ascii="Times New Roman" w:hAnsi="Times New Roman" w:cs="Times New Roman"/>
                <w:color w:val="auto"/>
              </w:rPr>
              <w:t xml:space="preserve">Áreas </w:t>
            </w:r>
            <w:r w:rsidRPr="006E437B">
              <w:rPr>
                <w:rFonts w:ascii="Times New Roman" w:hAnsi="Times New Roman" w:cs="Times New Roman"/>
                <w:b/>
                <w:bCs/>
                <w:color w:val="auto"/>
              </w:rPr>
              <w:t xml:space="preserve">Naturales Protegidas, reservas ecológicas o zonas de valor ambiental respecto de los cuales se pretenda cambio de uso de suelo para fines </w:t>
            </w:r>
            <w:r w:rsidRPr="006E437B">
              <w:rPr>
                <w:rFonts w:ascii="Times New Roman" w:hAnsi="Times New Roman" w:cs="Times New Roman"/>
                <w:b/>
                <w:bCs/>
                <w:color w:val="auto"/>
              </w:rPr>
              <w:lastRenderedPageBreak/>
              <w:t xml:space="preserve">urbanos, habitacionales, comerciales, industriales o educativos. </w:t>
            </w:r>
          </w:p>
          <w:p w:rsidR="00641DCC" w:rsidRPr="006E437B" w:rsidRDefault="00641DCC" w:rsidP="00141629">
            <w:pPr>
              <w:spacing w:after="0" w:line="240" w:lineRule="auto"/>
              <w:rPr>
                <w:rFonts w:ascii="Times New Roman" w:hAnsi="Times New Roman" w:cs="Times New Roman"/>
                <w:b/>
                <w:bCs/>
                <w:sz w:val="24"/>
                <w:szCs w:val="24"/>
              </w:rPr>
            </w:pPr>
          </w:p>
          <w:p w:rsidR="00641DCC" w:rsidRPr="006E437B" w:rsidRDefault="00641DCC" w:rsidP="00141629">
            <w:pPr>
              <w:spacing w:after="0" w:line="240" w:lineRule="auto"/>
              <w:rPr>
                <w:rFonts w:ascii="Times New Roman" w:hAnsi="Times New Roman" w:cs="Times New Roman"/>
                <w:b/>
                <w:bCs/>
                <w:sz w:val="24"/>
                <w:szCs w:val="24"/>
              </w:rPr>
            </w:pPr>
            <w:r w:rsidRPr="006E437B">
              <w:rPr>
                <w:rFonts w:ascii="Times New Roman" w:hAnsi="Times New Roman" w:cs="Times New Roman"/>
                <w:b/>
                <w:bCs/>
                <w:sz w:val="24"/>
                <w:szCs w:val="24"/>
              </w:rPr>
              <w:t>…</w:t>
            </w:r>
          </w:p>
          <w:p w:rsidR="00641DCC" w:rsidRPr="006E437B" w:rsidRDefault="00641DCC" w:rsidP="00141629">
            <w:pPr>
              <w:spacing w:after="0" w:line="240" w:lineRule="auto"/>
              <w:rPr>
                <w:rFonts w:ascii="Times New Roman" w:hAnsi="Times New Roman" w:cs="Times New Roman"/>
                <w:sz w:val="24"/>
                <w:szCs w:val="24"/>
              </w:rPr>
            </w:pPr>
          </w:p>
        </w:tc>
      </w:tr>
    </w:tbl>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center"/>
        <w:rPr>
          <w:rFonts w:ascii="Times New Roman" w:hAnsi="Times New Roman" w:cs="Times New Roman"/>
          <w:sz w:val="24"/>
          <w:szCs w:val="24"/>
        </w:rPr>
      </w:pPr>
      <w:r w:rsidRPr="006E437B">
        <w:rPr>
          <w:rFonts w:ascii="Times New Roman" w:eastAsia="Arial" w:hAnsi="Times New Roman" w:cs="Times New Roman"/>
          <w:b/>
          <w:sz w:val="24"/>
          <w:szCs w:val="24"/>
        </w:rPr>
        <w:t>PROYECTO DE DECRETO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DECRETO NÚMERO ______</w:t>
      </w:r>
    </w:p>
    <w:p w:rsidR="00641DCC" w:rsidRPr="006E437B" w:rsidRDefault="00641DCC" w:rsidP="00141629">
      <w:pPr>
        <w:spacing w:after="0" w:line="240" w:lineRule="auto"/>
        <w:rPr>
          <w:rFonts w:ascii="Times New Roman" w:eastAsia="Arial" w:hAnsi="Times New Roman" w:cs="Times New Roman"/>
          <w:b/>
          <w:sz w:val="24"/>
          <w:szCs w:val="24"/>
        </w:rPr>
      </w:pPr>
      <w:r w:rsidRPr="006E437B">
        <w:rPr>
          <w:rFonts w:ascii="Times New Roman" w:eastAsia="Arial" w:hAnsi="Times New Roman" w:cs="Times New Roman"/>
          <w:b/>
          <w:sz w:val="24"/>
          <w:szCs w:val="24"/>
        </w:rPr>
        <w:t>LA H. “LXII” LEGISLATURA DEL ESTADO DE MÉXICO</w:t>
      </w: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DECRETA:</w:t>
      </w:r>
      <w:r w:rsidRPr="006E437B">
        <w:rPr>
          <w:rFonts w:ascii="Times New Roman" w:eastAsia="Arial" w:hAnsi="Times New Roman" w:cs="Times New Roman"/>
          <w:sz w:val="24"/>
          <w:szCs w:val="24"/>
          <w:vertAlign w:val="subscript"/>
        </w:rPr>
        <w:t xml:space="preserve">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PRIMERO. -</w:t>
      </w:r>
      <w:r w:rsidRPr="006E437B">
        <w:rPr>
          <w:rFonts w:ascii="Times New Roman" w:eastAsia="Arial" w:hAnsi="Times New Roman" w:cs="Times New Roman"/>
          <w:sz w:val="24"/>
          <w:szCs w:val="24"/>
        </w:rPr>
        <w:t xml:space="preserve"> Se reforman el artículo </w:t>
      </w:r>
      <w:r w:rsidRPr="006E437B">
        <w:rPr>
          <w:rFonts w:ascii="Times New Roman" w:eastAsia="Arial" w:hAnsi="Times New Roman" w:cs="Times New Roman"/>
          <w:b/>
          <w:sz w:val="24"/>
          <w:szCs w:val="24"/>
        </w:rPr>
        <w:t xml:space="preserve">9, el párrafo tercero del artículo 228, el párrafo segundo del artículo 229 </w:t>
      </w:r>
      <w:r w:rsidRPr="006E437B">
        <w:rPr>
          <w:rFonts w:ascii="Times New Roman" w:eastAsia="Arial" w:hAnsi="Times New Roman" w:cs="Times New Roman"/>
          <w:sz w:val="24"/>
          <w:szCs w:val="24"/>
        </w:rPr>
        <w:t xml:space="preserve">y el artículo </w:t>
      </w:r>
      <w:r w:rsidRPr="006E437B">
        <w:rPr>
          <w:rFonts w:ascii="Times New Roman" w:eastAsia="Arial" w:hAnsi="Times New Roman" w:cs="Times New Roman"/>
          <w:b/>
          <w:sz w:val="24"/>
          <w:szCs w:val="24"/>
        </w:rPr>
        <w:t>234</w:t>
      </w:r>
      <w:r w:rsidRPr="006E437B">
        <w:rPr>
          <w:rFonts w:ascii="Times New Roman" w:eastAsia="Arial" w:hAnsi="Times New Roman" w:cs="Times New Roman"/>
          <w:sz w:val="24"/>
          <w:szCs w:val="24"/>
        </w:rPr>
        <w:t xml:space="preserve"> del Código Penal Del Estado De México, para quedar como sigue:</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9.- </w:t>
      </w:r>
      <w:r w:rsidRPr="006E437B">
        <w:rPr>
          <w:rFonts w:ascii="Times New Roman" w:eastAsia="Arial" w:hAnsi="Times New Roman" w:cs="Times New Roman"/>
          <w:sz w:val="24"/>
          <w:szCs w:val="24"/>
        </w:rPr>
        <w:t>Se califican como delitos graves para todos los efectos legales…</w:t>
      </w:r>
      <w:r w:rsidRPr="006E437B">
        <w:rPr>
          <w:rFonts w:ascii="Times New Roman" w:eastAsia="Arial" w:hAnsi="Times New Roman" w:cs="Times New Roman"/>
          <w:b/>
          <w:sz w:val="24"/>
          <w:szCs w:val="24"/>
        </w:rPr>
        <w:t xml:space="preserve"> el de incendio forestal, señalado en el artículo 228, párrafo tercero, fracción III.</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228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Cuando la conducta prevista en la fracción III se realice dentro de un Área Natural Protegida</w:t>
      </w:r>
      <w:r w:rsidRPr="006E437B">
        <w:rPr>
          <w:rFonts w:ascii="Times New Roman" w:eastAsia="Arial" w:hAnsi="Times New Roman" w:cs="Times New Roman"/>
          <w:b/>
          <w:sz w:val="24"/>
          <w:szCs w:val="24"/>
        </w:rPr>
        <w:t>, exista riesgo a la vida humana o se presuma que el incendio tuvo como finalidad el cambio de uso de suelo, la pena será de diez a quince años de prisión y de tres mil a seis mil Unidades de Medida y Actualización.</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229…</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A la persona servidora pública que autorice, facilite o consienta el cambio de uso de suelo en un Área Natural Protegida, reserva ecológica ,zona de valor ambiental, </w:t>
      </w:r>
      <w:r w:rsidRPr="006E437B">
        <w:rPr>
          <w:rFonts w:ascii="Times New Roman" w:eastAsia="Arial" w:hAnsi="Times New Roman" w:cs="Times New Roman"/>
          <w:b/>
          <w:sz w:val="24"/>
          <w:szCs w:val="24"/>
        </w:rPr>
        <w:t>o en cualquier terreno que haya sido objeto de un incendio forestal dentro de los treinta años anteriores ,</w:t>
      </w:r>
      <w:r w:rsidRPr="006E437B">
        <w:rPr>
          <w:rFonts w:ascii="Times New Roman" w:eastAsia="Arial" w:hAnsi="Times New Roman" w:cs="Times New Roman"/>
          <w:sz w:val="24"/>
          <w:szCs w:val="24"/>
        </w:rPr>
        <w:t xml:space="preserve"> sin que exista causa de excepción debidamente justificada conforme a la Ley General de Desarrollo Forestal Sustentable o legislación aplicable, </w:t>
      </w:r>
      <w:r w:rsidRPr="006E437B">
        <w:rPr>
          <w:rFonts w:ascii="Times New Roman" w:eastAsia="Arial" w:hAnsi="Times New Roman" w:cs="Times New Roman"/>
          <w:b/>
          <w:sz w:val="24"/>
          <w:szCs w:val="24"/>
        </w:rPr>
        <w:t>se le impondrán de quince a veinte años de prisión y de cuatro mil a cinco mil quinientas Unidades de Medida y Actualización;</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b/>
          <w:sz w:val="24"/>
          <w:szCs w:val="24"/>
        </w:rPr>
        <w:t>además de la pena señalada, será destituido del cargo y se le inhabilitará para desempeñar empleos, cargos o comisiones en el servicio público hasta por la duración de la pena de prisión impuesta</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rPr>
          <w:rFonts w:ascii="Times New Roman" w:hAnsi="Times New Roman" w:cs="Times New Roman"/>
          <w:sz w:val="24"/>
          <w:szCs w:val="24"/>
        </w:rPr>
      </w:pPr>
      <w:r w:rsidRPr="006E437B">
        <w:rPr>
          <w:rFonts w:ascii="Times New Roman" w:eastAsia="Arial" w:hAnsi="Times New Roman" w:cs="Times New Roman"/>
          <w:b/>
          <w:sz w:val="24"/>
          <w:szCs w:val="24"/>
        </w:rPr>
        <w:t>Artículo 234.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Se perseguirán de oficio las conductas establecidas en el artículo 228, fracciones </w:t>
      </w:r>
      <w:r w:rsidRPr="006E437B">
        <w:rPr>
          <w:rFonts w:ascii="Times New Roman" w:eastAsia="Arial" w:hAnsi="Times New Roman" w:cs="Times New Roman"/>
          <w:b/>
          <w:sz w:val="24"/>
          <w:szCs w:val="24"/>
        </w:rPr>
        <w:t>III</w:t>
      </w:r>
      <w:r w:rsidRPr="006E437B">
        <w:rPr>
          <w:rFonts w:ascii="Times New Roman" w:eastAsia="Arial" w:hAnsi="Times New Roman" w:cs="Times New Roman"/>
          <w:sz w:val="24"/>
          <w:szCs w:val="24"/>
        </w:rPr>
        <w:t>, IX y X del presente Código</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SEGUNDO. - </w:t>
      </w:r>
      <w:r w:rsidRPr="006E437B">
        <w:rPr>
          <w:rFonts w:ascii="Times New Roman" w:eastAsia="Arial" w:hAnsi="Times New Roman" w:cs="Times New Roman"/>
          <w:sz w:val="24"/>
          <w:szCs w:val="24"/>
        </w:rPr>
        <w:t xml:space="preserve">Se adiciona la </w:t>
      </w:r>
      <w:r w:rsidRPr="006E437B">
        <w:rPr>
          <w:rFonts w:ascii="Times New Roman" w:eastAsia="Arial" w:hAnsi="Times New Roman" w:cs="Times New Roman"/>
          <w:b/>
          <w:sz w:val="24"/>
          <w:szCs w:val="24"/>
        </w:rPr>
        <w:t>fracción VII</w:t>
      </w:r>
      <w:r w:rsidRPr="006E437B">
        <w:rPr>
          <w:rFonts w:ascii="Times New Roman" w:eastAsia="Arial" w:hAnsi="Times New Roman" w:cs="Times New Roman"/>
          <w:sz w:val="24"/>
          <w:szCs w:val="24"/>
        </w:rPr>
        <w:t xml:space="preserve"> al artículo </w:t>
      </w:r>
      <w:r w:rsidRPr="006E437B">
        <w:rPr>
          <w:rFonts w:ascii="Times New Roman" w:eastAsia="Arial" w:hAnsi="Times New Roman" w:cs="Times New Roman"/>
          <w:b/>
          <w:sz w:val="24"/>
          <w:szCs w:val="24"/>
        </w:rPr>
        <w:t>2.130</w:t>
      </w:r>
      <w:r w:rsidRPr="006E437B">
        <w:rPr>
          <w:rFonts w:ascii="Times New Roman" w:eastAsia="Arial" w:hAnsi="Times New Roman" w:cs="Times New Roman"/>
          <w:sz w:val="24"/>
          <w:szCs w:val="24"/>
        </w:rPr>
        <w:t xml:space="preserve"> recorriéndose la subsecuente; Se adiciona un párrafo al artículo </w:t>
      </w:r>
      <w:r w:rsidRPr="006E437B">
        <w:rPr>
          <w:rFonts w:ascii="Times New Roman" w:eastAsia="Arial" w:hAnsi="Times New Roman" w:cs="Times New Roman"/>
          <w:b/>
          <w:sz w:val="24"/>
          <w:szCs w:val="24"/>
        </w:rPr>
        <w:t>2.134</w:t>
      </w:r>
      <w:r w:rsidRPr="006E437B">
        <w:rPr>
          <w:rFonts w:ascii="Times New Roman" w:eastAsia="Arial" w:hAnsi="Times New Roman" w:cs="Times New Roman"/>
          <w:sz w:val="24"/>
          <w:szCs w:val="24"/>
        </w:rPr>
        <w:t xml:space="preserve">; y se adiciona el artículo </w:t>
      </w:r>
      <w:r w:rsidRPr="006E437B">
        <w:rPr>
          <w:rFonts w:ascii="Times New Roman" w:eastAsia="Arial" w:hAnsi="Times New Roman" w:cs="Times New Roman"/>
          <w:b/>
          <w:sz w:val="24"/>
          <w:szCs w:val="24"/>
        </w:rPr>
        <w:t>2.135 BIS</w:t>
      </w:r>
      <w:r w:rsidRPr="006E437B">
        <w:rPr>
          <w:rFonts w:ascii="Times New Roman" w:eastAsia="Arial" w:hAnsi="Times New Roman" w:cs="Times New Roman"/>
          <w:sz w:val="24"/>
          <w:szCs w:val="24"/>
        </w:rPr>
        <w:t xml:space="preserve"> al</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sz w:val="24"/>
          <w:szCs w:val="24"/>
        </w:rPr>
        <w:t>Código Para La Biodiversidad Del Estado De México, para quedar como sigue:</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2.130.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lastRenderedPageBreak/>
        <w:t xml:space="preserve">I. </w:t>
      </w:r>
      <w:r w:rsidRPr="006E437B">
        <w:rPr>
          <w:rFonts w:ascii="Times New Roman" w:eastAsia="Arial" w:hAnsi="Times New Roman" w:cs="Times New Roman"/>
          <w:sz w:val="24"/>
          <w:szCs w:val="24"/>
        </w:rPr>
        <w:t>A</w:t>
      </w:r>
      <w:r w:rsidRPr="006E437B">
        <w:rPr>
          <w:rFonts w:ascii="Times New Roman" w:eastAsia="Arial" w:hAnsi="Times New Roman" w:cs="Times New Roman"/>
          <w:b/>
          <w:sz w:val="24"/>
          <w:szCs w:val="24"/>
        </w:rPr>
        <w:t xml:space="preserve"> VI…</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VII. En los suelos afectados por incendios forestales deberán implementarse obligatoriamente medidas de restauración, recuperación y conservación, quedando prohibido cualquier cambio de uso de suelo que contravenga su vocación ecológica.</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2.134. …</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Para dar cumplimiento a lo anterior, las autoridades deberán abstenerse de autorizar cambios de uso de suelo en terrenos afectados por incendios forestales, así como en Áreas Naturales Protegidas, reservas ecológicas o zonas de valor ambiental, cuando ello contravenga su vocación ecológica.</w:t>
      </w:r>
    </w:p>
    <w:p w:rsidR="00641DCC" w:rsidRPr="006E437B" w:rsidRDefault="00641DCC" w:rsidP="00141629">
      <w:pPr>
        <w:spacing w:after="0" w:line="240" w:lineRule="auto"/>
        <w:jc w:val="both"/>
        <w:rPr>
          <w:rFonts w:ascii="Times New Roman" w:eastAsia="Arial" w:hAnsi="Times New Roman" w:cs="Times New Roman"/>
          <w:b/>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2.135…</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2.135 BIS.</w:t>
      </w:r>
    </w:p>
    <w:p w:rsidR="00641DCC" w:rsidRPr="006E437B" w:rsidRDefault="00641DCC" w:rsidP="00141629">
      <w:pPr>
        <w:spacing w:after="0" w:line="240" w:lineRule="auto"/>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En los casos en que se solicite autorización de cambio de uso de suelo en terrenos ubicados en zonas forestales, Áreas Naturales Protegidas, reservas ecológicas, zonas de valor ambiental o en predios que hayan sido afectados por incendios forestales, la autoridad competente deberá observar lo siguiente:</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numPr>
          <w:ilvl w:val="0"/>
          <w:numId w:val="1"/>
        </w:numPr>
        <w:spacing w:after="0" w:line="240" w:lineRule="auto"/>
        <w:ind w:left="0"/>
        <w:jc w:val="both"/>
        <w:rPr>
          <w:rFonts w:ascii="Times New Roman" w:hAnsi="Times New Roman" w:cs="Times New Roman"/>
          <w:sz w:val="24"/>
          <w:szCs w:val="24"/>
        </w:rPr>
      </w:pPr>
      <w:r w:rsidRPr="006E437B">
        <w:rPr>
          <w:rFonts w:ascii="Times New Roman" w:eastAsia="Arial" w:hAnsi="Times New Roman" w:cs="Times New Roman"/>
          <w:b/>
          <w:sz w:val="24"/>
          <w:szCs w:val="24"/>
        </w:rPr>
        <w:t>Se dará preferencia para el otorgamiento de autorizaciones a los propietarios, poseedores, núcleos agrarios, pueblos autóctonos y demás personas interesadas que acrediten la titularidad o posesión legítima, continua y anterior al evento de incendio, así como el manejo, conservación o aprovechamiento sustentable del predio conforme a su vocación ecológica;</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numPr>
          <w:ilvl w:val="0"/>
          <w:numId w:val="1"/>
        </w:numPr>
        <w:spacing w:after="0" w:line="240" w:lineRule="auto"/>
        <w:ind w:left="0"/>
        <w:jc w:val="both"/>
        <w:rPr>
          <w:rFonts w:ascii="Times New Roman" w:hAnsi="Times New Roman" w:cs="Times New Roman"/>
          <w:sz w:val="24"/>
          <w:szCs w:val="24"/>
        </w:rPr>
      </w:pPr>
      <w:r w:rsidRPr="006E437B">
        <w:rPr>
          <w:rFonts w:ascii="Times New Roman" w:eastAsia="Arial" w:hAnsi="Times New Roman" w:cs="Times New Roman"/>
          <w:b/>
          <w:sz w:val="24"/>
          <w:szCs w:val="24"/>
        </w:rPr>
        <w:t>No se autorizarán cambios de uso de suelo cuando se advierta que la adquisición del predio fue realizada con posterioridad al incendio o en un periodo inmediato anterior al mismo, y existan indicios de que el cambio de uso de suelo tenga fines especulativos, urbanos o de desarrollo inmobiliario;</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numPr>
          <w:ilvl w:val="0"/>
          <w:numId w:val="1"/>
        </w:numPr>
        <w:spacing w:after="0" w:line="240" w:lineRule="auto"/>
        <w:ind w:left="0"/>
        <w:jc w:val="both"/>
        <w:rPr>
          <w:rFonts w:ascii="Times New Roman" w:hAnsi="Times New Roman" w:cs="Times New Roman"/>
          <w:sz w:val="24"/>
          <w:szCs w:val="24"/>
        </w:rPr>
      </w:pPr>
      <w:r w:rsidRPr="006E437B">
        <w:rPr>
          <w:rFonts w:ascii="Times New Roman" w:eastAsia="Arial" w:hAnsi="Times New Roman" w:cs="Times New Roman"/>
          <w:b/>
          <w:sz w:val="24"/>
          <w:szCs w:val="24"/>
        </w:rPr>
        <w:t>En ningún caso se permitirá el cambio de uso de suelo para fines habitacionales, comerciales, industriales o de servicios en terrenos afectados por incendios forestales o ubicados en áreas naturales protegidas;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numPr>
          <w:ilvl w:val="0"/>
          <w:numId w:val="1"/>
        </w:numPr>
        <w:spacing w:after="0" w:line="240" w:lineRule="auto"/>
        <w:ind w:left="0"/>
        <w:jc w:val="both"/>
        <w:rPr>
          <w:rFonts w:ascii="Times New Roman" w:hAnsi="Times New Roman" w:cs="Times New Roman"/>
          <w:sz w:val="24"/>
          <w:szCs w:val="24"/>
        </w:rPr>
      </w:pPr>
      <w:r w:rsidRPr="006E437B">
        <w:rPr>
          <w:rFonts w:ascii="Times New Roman" w:eastAsia="Arial" w:hAnsi="Times New Roman" w:cs="Times New Roman"/>
          <w:b/>
          <w:sz w:val="24"/>
          <w:szCs w:val="24"/>
        </w:rPr>
        <w:t>Las autorizaciones excepcionales únicamente podrán otorgarse para proyectos de restauración ecológica, conservación ambiental o aprovechamiento sustentable, siempre que la infraestructura sea de bajo impacto y acorde con criterios ecológicos;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numPr>
          <w:ilvl w:val="0"/>
          <w:numId w:val="1"/>
        </w:numPr>
        <w:spacing w:after="0" w:line="240" w:lineRule="auto"/>
        <w:ind w:left="0"/>
        <w:jc w:val="both"/>
        <w:rPr>
          <w:rFonts w:ascii="Times New Roman" w:hAnsi="Times New Roman" w:cs="Times New Roman"/>
          <w:sz w:val="24"/>
          <w:szCs w:val="24"/>
        </w:rPr>
      </w:pPr>
      <w:r w:rsidRPr="006E437B">
        <w:rPr>
          <w:rFonts w:ascii="Times New Roman" w:eastAsia="Arial" w:hAnsi="Times New Roman" w:cs="Times New Roman"/>
          <w:b/>
          <w:sz w:val="24"/>
          <w:szCs w:val="24"/>
        </w:rPr>
        <w:t>La autoridad deberá realizar un análisis integral que considere la temporalidad de la posesión, el historial del predio, la vocación natural del suelo y la inexistencia de prácticas que hayan propiciado su deterioro o incendio.</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TERCERO. - </w:t>
      </w:r>
      <w:r w:rsidRPr="006E437B">
        <w:rPr>
          <w:rFonts w:ascii="Times New Roman" w:eastAsia="Arial" w:hAnsi="Times New Roman" w:cs="Times New Roman"/>
          <w:sz w:val="24"/>
          <w:szCs w:val="24"/>
        </w:rPr>
        <w:t xml:space="preserve">Se adicionan dos párrafos al artículo </w:t>
      </w:r>
      <w:r w:rsidRPr="006E437B">
        <w:rPr>
          <w:rFonts w:ascii="Times New Roman" w:eastAsia="Arial" w:hAnsi="Times New Roman" w:cs="Times New Roman"/>
          <w:b/>
          <w:sz w:val="24"/>
          <w:szCs w:val="24"/>
        </w:rPr>
        <w:t>5.6</w:t>
      </w:r>
      <w:r w:rsidRPr="006E437B">
        <w:rPr>
          <w:rFonts w:ascii="Times New Roman" w:eastAsia="Arial" w:hAnsi="Times New Roman" w:cs="Times New Roman"/>
          <w:sz w:val="24"/>
          <w:szCs w:val="24"/>
        </w:rPr>
        <w:t xml:space="preserve">; Se adiciona la </w:t>
      </w:r>
      <w:r w:rsidRPr="006E437B">
        <w:rPr>
          <w:rFonts w:ascii="Times New Roman" w:eastAsia="Arial" w:hAnsi="Times New Roman" w:cs="Times New Roman"/>
          <w:b/>
          <w:sz w:val="24"/>
          <w:szCs w:val="24"/>
        </w:rPr>
        <w:t>fracción V</w:t>
      </w:r>
      <w:r w:rsidRPr="006E437B">
        <w:rPr>
          <w:rFonts w:ascii="Times New Roman" w:eastAsia="Arial" w:hAnsi="Times New Roman" w:cs="Times New Roman"/>
          <w:sz w:val="24"/>
          <w:szCs w:val="24"/>
        </w:rPr>
        <w:t xml:space="preserve"> al artículo </w:t>
      </w:r>
      <w:r w:rsidRPr="006E437B">
        <w:rPr>
          <w:rFonts w:ascii="Times New Roman" w:eastAsia="Arial" w:hAnsi="Times New Roman" w:cs="Times New Roman"/>
          <w:b/>
          <w:sz w:val="24"/>
          <w:szCs w:val="24"/>
        </w:rPr>
        <w:t>5.57</w:t>
      </w:r>
      <w:r w:rsidRPr="006E437B">
        <w:rPr>
          <w:rFonts w:ascii="Times New Roman" w:eastAsia="Arial" w:hAnsi="Times New Roman" w:cs="Times New Roman"/>
          <w:sz w:val="24"/>
          <w:szCs w:val="24"/>
        </w:rPr>
        <w:t xml:space="preserve"> al</w:t>
      </w:r>
      <w:r w:rsidRPr="006E437B">
        <w:rPr>
          <w:rFonts w:ascii="Times New Roman" w:eastAsia="Times New Roman" w:hAnsi="Times New Roman" w:cs="Times New Roman"/>
          <w:sz w:val="24"/>
          <w:szCs w:val="24"/>
        </w:rPr>
        <w:t xml:space="preserve"> </w:t>
      </w:r>
      <w:r w:rsidRPr="006E437B">
        <w:rPr>
          <w:rFonts w:ascii="Times New Roman" w:eastAsia="Arial" w:hAnsi="Times New Roman" w:cs="Times New Roman"/>
          <w:sz w:val="24"/>
          <w:szCs w:val="24"/>
        </w:rPr>
        <w:t>Código Administrativo Del Estado De México, para quedar como sigue:</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5.6 ...</w:t>
      </w: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lastRenderedPageBreak/>
        <w:t>…</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jc w:val="both"/>
        <w:rPr>
          <w:rFonts w:ascii="Times New Roman" w:eastAsia="Arial" w:hAnsi="Times New Roman" w:cs="Times New Roman"/>
          <w:b/>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En ningún caso podrá autorizarse el cambio de uso de suelo en terrenos afectados por incendios forestales cuando ello implique urbanización, construcción habitacional, comercial, industrial, educativa o cualquier aprovechamiento incompatible con su vocación ecológica.</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Como excepción a lo dispuesto en el párrafo anterior, únicamente podrá autorizarse infraestructura destinada a proyectos ecológicos de impacto mínimo, sin cimentaciones permanentes de concreto, a favor de propietarios o poseedores que acrediten un arraigo y titularidad legal ininterrumpida mayor a veinte años previos al incendio, siempre que dichas actividades no impliquen procesos de urbanización, no contravengan la vocación natural del suelo y cuenten con la autorización ambiental correspondiente</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5.57. …</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A</w:t>
      </w:r>
      <w:r w:rsidRPr="006E437B">
        <w:rPr>
          <w:rFonts w:ascii="Times New Roman" w:eastAsia="Arial" w:hAnsi="Times New Roman" w:cs="Times New Roman"/>
          <w:b/>
          <w:sz w:val="24"/>
          <w:szCs w:val="24"/>
        </w:rPr>
        <w:t xml:space="preserve"> IV.</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V.</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No se trate de terrenos afectados por incendios forestales,</w:t>
      </w:r>
      <w:r w:rsidRPr="006E437B">
        <w:rPr>
          <w:rFonts w:ascii="Times New Roman" w:eastAsia="Arial" w:hAnsi="Times New Roman" w:cs="Times New Roman"/>
          <w:sz w:val="24"/>
          <w:szCs w:val="24"/>
        </w:rPr>
        <w:t xml:space="preserve"> Áreas</w:t>
      </w:r>
      <w:r w:rsidRPr="006E437B">
        <w:rPr>
          <w:rFonts w:ascii="Times New Roman" w:eastAsia="Arial" w:hAnsi="Times New Roman" w:cs="Times New Roman"/>
          <w:b/>
          <w:sz w:val="24"/>
          <w:szCs w:val="24"/>
        </w:rPr>
        <w:t xml:space="preserve"> Naturales Protegidas, reservas ecológicas o zonas de valor ambiental respecto de los cuales se pretenda cambio de uso de suelo para fines urbanos, habitacionales, comerciales, industriales o educativos.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A96065">
      <w:pPr>
        <w:spacing w:after="0" w:line="240" w:lineRule="auto"/>
        <w:jc w:val="center"/>
        <w:rPr>
          <w:rFonts w:ascii="Times New Roman" w:hAnsi="Times New Roman" w:cs="Times New Roman"/>
          <w:sz w:val="24"/>
          <w:szCs w:val="24"/>
        </w:rPr>
      </w:pPr>
      <w:r w:rsidRPr="006E437B">
        <w:rPr>
          <w:rFonts w:ascii="Times New Roman" w:eastAsia="Arial" w:hAnsi="Times New Roman" w:cs="Times New Roman"/>
          <w:b/>
          <w:sz w:val="24"/>
          <w:szCs w:val="24"/>
        </w:rPr>
        <w:t>TRANSITORIOS</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PRIMERO. - Publíquese el presente Decreto en el periódico oficial “Gaceta del Gobierno”.</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SEGUNDO. - El presente Decreto entrará en vigor al día siguiente de su publicación.</w:t>
      </w:r>
    </w:p>
    <w:p w:rsidR="00641DCC" w:rsidRPr="006E437B" w:rsidRDefault="00641DCC" w:rsidP="00141629">
      <w:pPr>
        <w:spacing w:after="0" w:line="240" w:lineRule="auto"/>
        <w:jc w:val="both"/>
        <w:rPr>
          <w:rFonts w:ascii="Times New Roman" w:hAnsi="Times New Roman" w:cs="Times New Roman"/>
          <w:sz w:val="24"/>
          <w:szCs w:val="24"/>
        </w:rPr>
      </w:pPr>
    </w:p>
    <w:p w:rsidR="00641DCC" w:rsidRPr="006E437B" w:rsidRDefault="00641DCC"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b/>
          <w:sz w:val="24"/>
          <w:szCs w:val="24"/>
        </w:rPr>
        <w:t>Dado en el Palacio del Poder Legislativo, en la ciudad de Toluca de Lerdo, a los _____ días del mes de _________________ del año dos mil veintiséis.</w:t>
      </w:r>
    </w:p>
    <w:p w:rsidR="00603D93" w:rsidRPr="006E437B" w:rsidRDefault="00603D93" w:rsidP="00141629">
      <w:pPr>
        <w:pStyle w:val="Sinespaciado"/>
        <w:jc w:val="both"/>
        <w:rPr>
          <w:rFonts w:ascii="Times New Roman" w:hAnsi="Times New Roman" w:cs="Times New Roman"/>
          <w:sz w:val="24"/>
          <w:szCs w:val="24"/>
        </w:rPr>
      </w:pPr>
    </w:p>
    <w:p w:rsidR="00603D93" w:rsidRPr="006E437B" w:rsidRDefault="00603D93"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F44908" w:rsidRPr="006E437B" w:rsidRDefault="00F44908" w:rsidP="00141629">
      <w:pPr>
        <w:pStyle w:val="Sinespaciado"/>
        <w:jc w:val="both"/>
        <w:rPr>
          <w:rFonts w:ascii="Times New Roman" w:hAnsi="Times New Roman" w:cs="Times New Roman"/>
          <w:sz w:val="24"/>
          <w:szCs w:val="24"/>
        </w:rPr>
      </w:pPr>
    </w:p>
    <w:p w:rsidR="00D8008E" w:rsidRPr="006E437B" w:rsidRDefault="00071D3D" w:rsidP="00141629">
      <w:pPr>
        <w:spacing w:after="0" w:line="240" w:lineRule="auto"/>
        <w:jc w:val="both"/>
        <w:rPr>
          <w:rFonts w:ascii="Times New Roman" w:hAnsi="Times New Roman" w:cs="Times New Roman"/>
          <w:kern w:val="2"/>
          <w:sz w:val="24"/>
          <w:szCs w:val="24"/>
        </w:rPr>
      </w:pPr>
      <w:r w:rsidRPr="006E437B">
        <w:rPr>
          <w:rFonts w:ascii="Times New Roman" w:hAnsi="Times New Roman" w:cs="Times New Roman"/>
          <w:sz w:val="24"/>
          <w:szCs w:val="24"/>
        </w:rPr>
        <w:t xml:space="preserve">PRESIDENTE </w:t>
      </w:r>
      <w:r w:rsidRPr="006E437B">
        <w:rPr>
          <w:rFonts w:ascii="Times New Roman" w:hAnsi="Times New Roman" w:cs="Times New Roman"/>
          <w:kern w:val="2"/>
          <w:sz w:val="24"/>
          <w:szCs w:val="24"/>
        </w:rPr>
        <w:t>DIP. VLADIMIR HERNÁNDEZ VILLEGAS. Muchas gracias diputada</w:t>
      </w:r>
      <w:r w:rsidR="00D8008E" w:rsidRPr="006E437B">
        <w:rPr>
          <w:rFonts w:ascii="Times New Roman" w:hAnsi="Times New Roman" w:cs="Times New Roman"/>
          <w:kern w:val="2"/>
          <w:sz w:val="24"/>
          <w:szCs w:val="24"/>
        </w:rPr>
        <w:t>.</w:t>
      </w:r>
    </w:p>
    <w:p w:rsidR="00071D3D" w:rsidRPr="006E437B" w:rsidRDefault="00913CB7" w:rsidP="00913CB7">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 xml:space="preserve">Se </w:t>
      </w:r>
      <w:r w:rsidR="00071D3D" w:rsidRPr="006E437B">
        <w:rPr>
          <w:rFonts w:ascii="Times New Roman" w:hAnsi="Times New Roman" w:cs="Times New Roman"/>
          <w:sz w:val="24"/>
          <w:szCs w:val="24"/>
        </w:rPr>
        <w:t xml:space="preserve">registra la iniciativa y se remite a las </w:t>
      </w:r>
      <w:r w:rsidR="00D8008E" w:rsidRPr="006E437B">
        <w:rPr>
          <w:rFonts w:ascii="Times New Roman" w:hAnsi="Times New Roman" w:cs="Times New Roman"/>
          <w:sz w:val="24"/>
          <w:szCs w:val="24"/>
        </w:rPr>
        <w:t xml:space="preserve">Comisiones Legislativas </w:t>
      </w:r>
      <w:r w:rsidR="00071D3D" w:rsidRPr="006E437B">
        <w:rPr>
          <w:rFonts w:ascii="Times New Roman" w:hAnsi="Times New Roman" w:cs="Times New Roman"/>
          <w:sz w:val="24"/>
          <w:szCs w:val="24"/>
        </w:rPr>
        <w:t>de Procuración y Administración de Justicia</w:t>
      </w:r>
      <w:r w:rsidR="00FC3E24"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y de Protección Ambiental y Cambio Climático</w:t>
      </w:r>
      <w:r w:rsidR="00FC3E24"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para su estudio y dictamen.</w:t>
      </w:r>
    </w:p>
    <w:p w:rsidR="00071D3D" w:rsidRPr="006E437B" w:rsidRDefault="00071D3D" w:rsidP="00141629">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 xml:space="preserve">Para atender el punto 3 la </w:t>
      </w:r>
      <w:r w:rsidR="00603D93" w:rsidRPr="006E437B">
        <w:rPr>
          <w:rFonts w:ascii="Times New Roman" w:hAnsi="Times New Roman" w:cs="Times New Roman"/>
          <w:sz w:val="24"/>
          <w:szCs w:val="24"/>
        </w:rPr>
        <w:t xml:space="preserve">diputada </w:t>
      </w:r>
      <w:r w:rsidRPr="006E437B">
        <w:rPr>
          <w:rFonts w:ascii="Times New Roman" w:hAnsi="Times New Roman" w:cs="Times New Roman"/>
          <w:sz w:val="24"/>
          <w:szCs w:val="24"/>
        </w:rPr>
        <w:t>Jennifer Nathalie González López presenta</w:t>
      </w:r>
      <w:r w:rsidR="00680F07" w:rsidRPr="006E437B">
        <w:rPr>
          <w:rFonts w:ascii="Times New Roman" w:hAnsi="Times New Roman" w:cs="Times New Roman"/>
          <w:sz w:val="24"/>
          <w:szCs w:val="24"/>
        </w:rPr>
        <w:t>,</w:t>
      </w:r>
      <w:r w:rsidRPr="006E437B">
        <w:rPr>
          <w:rFonts w:ascii="Times New Roman" w:hAnsi="Times New Roman" w:cs="Times New Roman"/>
          <w:sz w:val="24"/>
          <w:szCs w:val="24"/>
        </w:rPr>
        <w:t xml:space="preserve"> en nombre del Grupo Parlamentario del Partido </w:t>
      </w:r>
      <w:r w:rsidR="00D8008E" w:rsidRPr="006E437B">
        <w:rPr>
          <w:rFonts w:ascii="Times New Roman" w:hAnsi="Times New Roman" w:cs="Times New Roman"/>
          <w:sz w:val="24"/>
          <w:szCs w:val="24"/>
        </w:rPr>
        <w:t xml:space="preserve">morena, </w:t>
      </w:r>
      <w:r w:rsidR="000F1E2E" w:rsidRPr="006E437B">
        <w:rPr>
          <w:rFonts w:ascii="Times New Roman" w:hAnsi="Times New Roman" w:cs="Times New Roman"/>
          <w:sz w:val="24"/>
          <w:szCs w:val="24"/>
        </w:rPr>
        <w:t xml:space="preserve">Iniciativa </w:t>
      </w:r>
      <w:r w:rsidRPr="006E437B">
        <w:rPr>
          <w:rFonts w:ascii="Times New Roman" w:hAnsi="Times New Roman" w:cs="Times New Roman"/>
          <w:sz w:val="24"/>
          <w:szCs w:val="24"/>
        </w:rPr>
        <w:t>con Proyecto de Decreto por el que se reforman y adicionan diversas disposiciones de la Ley de Educación del Estado de México y del Código Administrativo del Estado de México en materia de Acceso al Agua Potable en Planteles de Educación Básica</w:t>
      </w:r>
      <w:r w:rsidR="00D8008E" w:rsidRPr="006E437B">
        <w:rPr>
          <w:rFonts w:ascii="Times New Roman" w:hAnsi="Times New Roman" w:cs="Times New Roman"/>
          <w:sz w:val="24"/>
          <w:szCs w:val="24"/>
        </w:rPr>
        <w:t>, a</w:t>
      </w:r>
      <w:r w:rsidRPr="006E437B">
        <w:rPr>
          <w:rFonts w:ascii="Times New Roman" w:hAnsi="Times New Roman" w:cs="Times New Roman"/>
          <w:sz w:val="24"/>
          <w:szCs w:val="24"/>
        </w:rPr>
        <w:t>delante diputada.</w:t>
      </w:r>
    </w:p>
    <w:p w:rsidR="009F214C" w:rsidRPr="006E437B" w:rsidRDefault="00071D3D"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lastRenderedPageBreak/>
        <w:t xml:space="preserve">DIP. JENNIFER NATHALIE GONZÁLEZ LÓPEZ. Muy buenas tardes tengan todas y todos ustedes el día de hoy y con su venia Señor </w:t>
      </w:r>
      <w:r w:rsidR="00516391" w:rsidRPr="006E437B">
        <w:rPr>
          <w:rFonts w:ascii="Times New Roman" w:hAnsi="Times New Roman" w:cs="Times New Roman"/>
          <w:sz w:val="24"/>
          <w:szCs w:val="24"/>
        </w:rPr>
        <w:t xml:space="preserve">Presidente </w:t>
      </w:r>
      <w:r w:rsidRPr="006E437B">
        <w:rPr>
          <w:rFonts w:ascii="Times New Roman" w:hAnsi="Times New Roman" w:cs="Times New Roman"/>
          <w:sz w:val="24"/>
          <w:szCs w:val="24"/>
        </w:rPr>
        <w:t>diputado Vladimir</w:t>
      </w:r>
      <w:r w:rsidR="00516391" w:rsidRPr="006E437B">
        <w:rPr>
          <w:rFonts w:ascii="Times New Roman" w:hAnsi="Times New Roman" w:cs="Times New Roman"/>
          <w:sz w:val="24"/>
          <w:szCs w:val="24"/>
        </w:rPr>
        <w:t>,</w:t>
      </w:r>
      <w:r w:rsidRPr="006E437B">
        <w:rPr>
          <w:rFonts w:ascii="Times New Roman" w:hAnsi="Times New Roman" w:cs="Times New Roman"/>
          <w:sz w:val="24"/>
          <w:szCs w:val="24"/>
        </w:rPr>
        <w:t xml:space="preserve"> compañeras, compañeros, compañere</w:t>
      </w:r>
      <w:r w:rsidR="009F214C" w:rsidRPr="006E437B">
        <w:rPr>
          <w:rFonts w:ascii="Times New Roman" w:hAnsi="Times New Roman" w:cs="Times New Roman"/>
          <w:sz w:val="24"/>
          <w:szCs w:val="24"/>
        </w:rPr>
        <w:t>.</w:t>
      </w:r>
    </w:p>
    <w:p w:rsidR="00693692" w:rsidRPr="006E437B" w:rsidRDefault="009F214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w:t>
      </w:r>
      <w:r w:rsidR="00071D3D" w:rsidRPr="006E437B">
        <w:rPr>
          <w:rFonts w:ascii="Times New Roman" w:hAnsi="Times New Roman" w:cs="Times New Roman"/>
          <w:sz w:val="24"/>
          <w:szCs w:val="24"/>
        </w:rPr>
        <w:t>uando hablemos del derecho a la educación</w:t>
      </w:r>
      <w:r w:rsidR="00516391"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no podemos hablar únicamente de las aulas, de los libros, de la calidad de la educación de las maestras, de los maestros; también tenemos que hablar de las condiciones en que nuestras niñas, nuestros niños, nuestra niñez y nuestra adolescencia</w:t>
      </w:r>
      <w:r w:rsidR="00516391"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estudian todos los días y una de esas condiciones es elemental</w:t>
      </w:r>
      <w:r w:rsidR="00516391"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tener agua potable en las escuelas, el agua para poder beber, el agua para poder ir a lavarse las manos, el agua que está en los baños, el agua para mantener las condiciones de higiene adecuadas en los planteles, el agua para las plantas, agua para que una niña o un niño o un adolescente pueda permanecer en la escuela en condiciones de salud digna y de bienestar y cuando hablamos de las escuelas, hablamos diariamente de dimensiones enormes y de una multifactorialidad en el ciclo del 2024 al 2025 en el Estado de México, registró </w:t>
      </w:r>
      <w:r w:rsidR="009D2196" w:rsidRPr="006E437B">
        <w:rPr>
          <w:rFonts w:ascii="Times New Roman" w:hAnsi="Times New Roman" w:cs="Times New Roman"/>
          <w:sz w:val="24"/>
          <w:szCs w:val="24"/>
        </w:rPr>
        <w:t>4</w:t>
      </w:r>
      <w:r w:rsidR="00071D3D" w:rsidRPr="006E437B">
        <w:rPr>
          <w:rFonts w:ascii="Times New Roman" w:hAnsi="Times New Roman" w:cs="Times New Roman"/>
          <w:sz w:val="24"/>
          <w:szCs w:val="24"/>
        </w:rPr>
        <w:t xml:space="preserve"> millones </w:t>
      </w:r>
      <w:r w:rsidR="009D2196" w:rsidRPr="006E437B">
        <w:rPr>
          <w:rFonts w:ascii="Times New Roman" w:hAnsi="Times New Roman" w:cs="Times New Roman"/>
          <w:sz w:val="24"/>
          <w:szCs w:val="24"/>
        </w:rPr>
        <w:t>167</w:t>
      </w:r>
      <w:r w:rsidR="00071D3D" w:rsidRPr="006E437B">
        <w:rPr>
          <w:rFonts w:ascii="Times New Roman" w:hAnsi="Times New Roman" w:cs="Times New Roman"/>
          <w:sz w:val="24"/>
          <w:szCs w:val="24"/>
        </w:rPr>
        <w:t xml:space="preserve"> mil </w:t>
      </w:r>
      <w:r w:rsidR="009D2196" w:rsidRPr="006E437B">
        <w:rPr>
          <w:rFonts w:ascii="Times New Roman" w:hAnsi="Times New Roman" w:cs="Times New Roman"/>
          <w:sz w:val="24"/>
          <w:szCs w:val="24"/>
        </w:rPr>
        <w:t>922</w:t>
      </w:r>
      <w:r w:rsidR="00071D3D" w:rsidRPr="006E437B">
        <w:rPr>
          <w:rFonts w:ascii="Times New Roman" w:hAnsi="Times New Roman" w:cs="Times New Roman"/>
          <w:sz w:val="24"/>
          <w:szCs w:val="24"/>
        </w:rPr>
        <w:t xml:space="preserve"> estudiantes y tan s</w:t>
      </w:r>
      <w:r w:rsidR="009D2196" w:rsidRPr="006E437B">
        <w:rPr>
          <w:rFonts w:ascii="Times New Roman" w:hAnsi="Times New Roman" w:cs="Times New Roman"/>
          <w:sz w:val="24"/>
          <w:szCs w:val="24"/>
        </w:rPr>
        <w:t>ó</w:t>
      </w:r>
      <w:r w:rsidR="00071D3D" w:rsidRPr="006E437B">
        <w:rPr>
          <w:rFonts w:ascii="Times New Roman" w:hAnsi="Times New Roman" w:cs="Times New Roman"/>
          <w:sz w:val="24"/>
          <w:szCs w:val="24"/>
        </w:rPr>
        <w:t>lo en la educación básica</w:t>
      </w:r>
      <w:r w:rsidR="0017454A"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considerando la educación inicial, preescolar, primaria y secundaria hablamos de más de </w:t>
      </w:r>
      <w:r w:rsidR="0017454A" w:rsidRPr="006E437B">
        <w:rPr>
          <w:rFonts w:ascii="Times New Roman" w:hAnsi="Times New Roman" w:cs="Times New Roman"/>
          <w:sz w:val="24"/>
          <w:szCs w:val="24"/>
        </w:rPr>
        <w:t>2</w:t>
      </w:r>
      <w:r w:rsidR="00071D3D" w:rsidRPr="006E437B">
        <w:rPr>
          <w:rFonts w:ascii="Times New Roman" w:hAnsi="Times New Roman" w:cs="Times New Roman"/>
          <w:sz w:val="24"/>
          <w:szCs w:val="24"/>
        </w:rPr>
        <w:t xml:space="preserve"> millones </w:t>
      </w:r>
      <w:r w:rsidR="0017454A" w:rsidRPr="006E437B">
        <w:rPr>
          <w:rFonts w:ascii="Times New Roman" w:hAnsi="Times New Roman" w:cs="Times New Roman"/>
          <w:sz w:val="24"/>
          <w:szCs w:val="24"/>
        </w:rPr>
        <w:t>877</w:t>
      </w:r>
      <w:r w:rsidR="00071D3D" w:rsidRPr="006E437B">
        <w:rPr>
          <w:rFonts w:ascii="Times New Roman" w:hAnsi="Times New Roman" w:cs="Times New Roman"/>
          <w:sz w:val="24"/>
          <w:szCs w:val="24"/>
        </w:rPr>
        <w:t xml:space="preserve"> mil niñas y niños y adolescentes</w:t>
      </w:r>
      <w:r w:rsidR="0017454A"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casi </w:t>
      </w:r>
      <w:r w:rsidR="0017454A" w:rsidRPr="006E437B">
        <w:rPr>
          <w:rFonts w:ascii="Times New Roman" w:hAnsi="Times New Roman" w:cs="Times New Roman"/>
          <w:sz w:val="24"/>
          <w:szCs w:val="24"/>
        </w:rPr>
        <w:t>3</w:t>
      </w:r>
      <w:r w:rsidR="00071D3D" w:rsidRPr="006E437B">
        <w:rPr>
          <w:rFonts w:ascii="Times New Roman" w:hAnsi="Times New Roman" w:cs="Times New Roman"/>
          <w:sz w:val="24"/>
          <w:szCs w:val="24"/>
        </w:rPr>
        <w:t xml:space="preserve"> millones de estudiantes que todos los días entran a una escuela para aprender, crecer, construir un futuro y detrás de cada uno de estas historias</w:t>
      </w:r>
      <w:r w:rsidR="0017454A"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una familia y una expectativa de futuro</w:t>
      </w:r>
      <w:r w:rsidR="0017454A"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por eso hablar del agua potable en los planteles no es hablar solamente de infraestructura; es hablar de las condiciones básicas que millones de estudiantes deben y que pueden detener para tener un espacio digno y saludable para salir adelante</w:t>
      </w:r>
      <w:r w:rsidR="00693692"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porque una escuela sin agua suficiente</w:t>
      </w:r>
      <w:r w:rsidR="00693692"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no puede ofrecer condiciones plenamente dignas para aprender y ese es un derecho humano ya adquirido que es del interés superior de la niñez</w:t>
      </w:r>
      <w:r w:rsidR="00693692"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el derecho a la salud, el derecho a la educación también</w:t>
      </w:r>
      <w:r w:rsidR="00693692" w:rsidRPr="006E437B">
        <w:rPr>
          <w:rFonts w:ascii="Times New Roman" w:hAnsi="Times New Roman" w:cs="Times New Roman"/>
          <w:sz w:val="24"/>
          <w:szCs w:val="24"/>
        </w:rPr>
        <w:t>.</w:t>
      </w:r>
    </w:p>
    <w:p w:rsidR="00CF1EC0" w:rsidRPr="006E437B" w:rsidRDefault="00693692"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00071D3D" w:rsidRPr="006E437B">
        <w:rPr>
          <w:rFonts w:ascii="Times New Roman" w:hAnsi="Times New Roman" w:cs="Times New Roman"/>
          <w:sz w:val="24"/>
          <w:szCs w:val="24"/>
        </w:rPr>
        <w:t>reto es lograr que estos derechos se encuentran en la vida cotidiana de nuestras escuelas y precisamente ese es el propósito de la iniciativa que hoy presento y no estamos proponiendo crear un nuevo derecho</w:t>
      </w:r>
      <w:r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ni estamos creando algo extraordinario que no debería de haber sido antes</w:t>
      </w:r>
      <w:r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sino estamos proponiendo fortalecer las condiciones para que sea un efectivo derecho del cual ya existe y del cual tenemos que eficientar en muchas de las escuelas</w:t>
      </w:r>
      <w:r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la evidencia que sustenta esta iniciativa</w:t>
      </w:r>
      <w:r w:rsidR="001F6BC2" w:rsidRPr="006E437B">
        <w:rPr>
          <w:rFonts w:ascii="Times New Roman" w:hAnsi="Times New Roman" w:cs="Times New Roman"/>
          <w:sz w:val="24"/>
          <w:szCs w:val="24"/>
        </w:rPr>
        <w:t>,</w:t>
      </w:r>
      <w:r w:rsidR="00071D3D" w:rsidRPr="006E437B">
        <w:rPr>
          <w:rFonts w:ascii="Times New Roman" w:hAnsi="Times New Roman" w:cs="Times New Roman"/>
          <w:sz w:val="24"/>
          <w:szCs w:val="24"/>
        </w:rPr>
        <w:t xml:space="preserve"> nos recuerda que el acceso al agua potable tiene efectos directos en la salud, la higiene, la hidratación y las condiciones de los aprendizajes de la niñez; también debemos de recordar algo que es </w:t>
      </w:r>
      <w:r w:rsidR="001F6BC2" w:rsidRPr="006E437B">
        <w:rPr>
          <w:rFonts w:ascii="Times New Roman" w:hAnsi="Times New Roman" w:cs="Times New Roman"/>
          <w:sz w:val="24"/>
          <w:szCs w:val="24"/>
        </w:rPr>
        <w:t xml:space="preserve">que </w:t>
      </w:r>
      <w:r w:rsidR="002404C4" w:rsidRPr="006E437B">
        <w:rPr>
          <w:rFonts w:ascii="Times New Roman" w:hAnsi="Times New Roman" w:cs="Times New Roman"/>
          <w:sz w:val="24"/>
          <w:szCs w:val="24"/>
        </w:rPr>
        <w:t>en el</w:t>
      </w:r>
      <w:r w:rsidR="00CF1EC0" w:rsidRPr="006E437B">
        <w:rPr>
          <w:rFonts w:ascii="Times New Roman" w:hAnsi="Times New Roman" w:cs="Times New Roman"/>
          <w:sz w:val="24"/>
          <w:szCs w:val="24"/>
        </w:rPr>
        <w:t xml:space="preserve"> Estado de México, ya se realizan esfuerzos para fortalecer la infraestructura hídrica en nuestros planteles educativos.</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El Gobierno del Estado ha impulsado, entre otras acciones, </w:t>
      </w:r>
      <w:r w:rsidR="001F6BC2" w:rsidRPr="006E437B">
        <w:rPr>
          <w:rFonts w:ascii="Times New Roman" w:hAnsi="Times New Roman" w:cs="Times New Roman"/>
          <w:sz w:val="24"/>
          <w:szCs w:val="24"/>
        </w:rPr>
        <w:t xml:space="preserve">Sistemas </w:t>
      </w:r>
      <w:r w:rsidRPr="006E437B">
        <w:rPr>
          <w:rFonts w:ascii="Times New Roman" w:hAnsi="Times New Roman" w:cs="Times New Roman"/>
          <w:sz w:val="24"/>
          <w:szCs w:val="24"/>
        </w:rPr>
        <w:t xml:space="preserve">de </w:t>
      </w:r>
      <w:r w:rsidR="001F6BC2" w:rsidRPr="006E437B">
        <w:rPr>
          <w:rFonts w:ascii="Times New Roman" w:hAnsi="Times New Roman" w:cs="Times New Roman"/>
          <w:sz w:val="24"/>
          <w:szCs w:val="24"/>
        </w:rPr>
        <w:t xml:space="preserve">Captación </w:t>
      </w:r>
      <w:r w:rsidRPr="006E437B">
        <w:rPr>
          <w:rFonts w:ascii="Times New Roman" w:hAnsi="Times New Roman" w:cs="Times New Roman"/>
          <w:sz w:val="24"/>
          <w:szCs w:val="24"/>
        </w:rPr>
        <w:t xml:space="preserve">de </w:t>
      </w:r>
      <w:r w:rsidR="001F6BC2" w:rsidRPr="006E437B">
        <w:rPr>
          <w:rFonts w:ascii="Times New Roman" w:hAnsi="Times New Roman" w:cs="Times New Roman"/>
          <w:sz w:val="24"/>
          <w:szCs w:val="24"/>
        </w:rPr>
        <w:t xml:space="preserve">Lluvias </w:t>
      </w:r>
      <w:r w:rsidRPr="006E437B">
        <w:rPr>
          <w:rFonts w:ascii="Times New Roman" w:hAnsi="Times New Roman" w:cs="Times New Roman"/>
          <w:sz w:val="24"/>
          <w:szCs w:val="24"/>
        </w:rPr>
        <w:t xml:space="preserve">en centros escolares como la es la alternativa para mejorar la disponibilidad en el aprovechamiento del recurso, la política hídrica estatal contempla expresamente los </w:t>
      </w:r>
      <w:r w:rsidR="001F6BC2" w:rsidRPr="006E437B">
        <w:rPr>
          <w:rFonts w:ascii="Times New Roman" w:hAnsi="Times New Roman" w:cs="Times New Roman"/>
          <w:sz w:val="24"/>
          <w:szCs w:val="24"/>
        </w:rPr>
        <w:t xml:space="preserve">Sistemas </w:t>
      </w:r>
      <w:r w:rsidRPr="006E437B">
        <w:rPr>
          <w:rFonts w:ascii="Times New Roman" w:hAnsi="Times New Roman" w:cs="Times New Roman"/>
          <w:sz w:val="24"/>
          <w:szCs w:val="24"/>
        </w:rPr>
        <w:t xml:space="preserve">de </w:t>
      </w:r>
      <w:r w:rsidR="001F6BC2" w:rsidRPr="006E437B">
        <w:rPr>
          <w:rFonts w:ascii="Times New Roman" w:hAnsi="Times New Roman" w:cs="Times New Roman"/>
          <w:sz w:val="24"/>
          <w:szCs w:val="24"/>
        </w:rPr>
        <w:t xml:space="preserve">Captación Pluvial </w:t>
      </w:r>
      <w:r w:rsidRPr="006E437B">
        <w:rPr>
          <w:rFonts w:ascii="Times New Roman" w:hAnsi="Times New Roman" w:cs="Times New Roman"/>
          <w:sz w:val="24"/>
          <w:szCs w:val="24"/>
        </w:rPr>
        <w:t>en las escuelas y edificios públicos, así como el saneamiento del agua de las infraestructuras.</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Esta Iniciativa no busca sustituir esos esfuerzos</w:t>
      </w:r>
      <w:r w:rsidR="001F6BC2" w:rsidRPr="006E437B">
        <w:rPr>
          <w:rFonts w:ascii="Times New Roman" w:hAnsi="Times New Roman" w:cs="Times New Roman"/>
          <w:sz w:val="24"/>
          <w:szCs w:val="24"/>
        </w:rPr>
        <w:t>;</w:t>
      </w:r>
      <w:r w:rsidRPr="006E437B">
        <w:rPr>
          <w:rFonts w:ascii="Times New Roman" w:hAnsi="Times New Roman" w:cs="Times New Roman"/>
          <w:sz w:val="24"/>
          <w:szCs w:val="24"/>
        </w:rPr>
        <w:t xml:space="preserve"> sino busca adicionar a los que ya se hacen y encontrar un respaldo normativo y claro, con una mayor articulación para que entre autoridades educativas y sanitarias y municipales puedan tener una política pública establecida, constante para las necesidades reales y que la ley pueda contribuir a darle continuidad a la coordinación con un mayor alcance.</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Al mismo tiempo, </w:t>
      </w:r>
      <w:r w:rsidR="004D11CA" w:rsidRPr="006E437B">
        <w:rPr>
          <w:rFonts w:ascii="Times New Roman" w:hAnsi="Times New Roman" w:cs="Times New Roman"/>
          <w:sz w:val="24"/>
          <w:szCs w:val="24"/>
        </w:rPr>
        <w:t>la coordinación de nuestros planteles es</w:t>
      </w:r>
      <w:r w:rsidRPr="006E437B">
        <w:rPr>
          <w:rFonts w:ascii="Times New Roman" w:hAnsi="Times New Roman" w:cs="Times New Roman"/>
          <w:sz w:val="24"/>
          <w:szCs w:val="24"/>
        </w:rPr>
        <w:t xml:space="preserve"> distintas en diferentes regiones del Estado, hay escuelas urbanas y rurales, en Huixquilucan tenemos más del 20% que no tienen acceso al agua potable y así en muchos municipios de igual manera.</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Estás escuelas ubicadas en comunidades situadas en zonas en distintos niveles de marginación y con realidades de infraestructura diferentes, esta propia iniciativa plantea reducir esas brechas y priorizar a quienes enfrentan </w:t>
      </w:r>
      <w:r w:rsidR="004D11CA" w:rsidRPr="006E437B">
        <w:rPr>
          <w:rFonts w:ascii="Times New Roman" w:hAnsi="Times New Roman" w:cs="Times New Roman"/>
          <w:sz w:val="24"/>
          <w:szCs w:val="24"/>
        </w:rPr>
        <w:t>una mayor condición</w:t>
      </w:r>
      <w:r w:rsidRPr="006E437B">
        <w:rPr>
          <w:rFonts w:ascii="Times New Roman" w:hAnsi="Times New Roman" w:cs="Times New Roman"/>
          <w:sz w:val="24"/>
          <w:szCs w:val="24"/>
        </w:rPr>
        <w:t xml:space="preserve"> de rezago.</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El código postal de una niña o de un niño no debe de determinar si tiene o no agua potable en la escuela</w:t>
      </w:r>
      <w:r w:rsidR="004D11CA" w:rsidRPr="006E437B">
        <w:rPr>
          <w:rFonts w:ascii="Times New Roman" w:hAnsi="Times New Roman" w:cs="Times New Roman"/>
          <w:sz w:val="24"/>
          <w:szCs w:val="24"/>
        </w:rPr>
        <w:t>,</w:t>
      </w:r>
      <w:r w:rsidRPr="006E437B">
        <w:rPr>
          <w:rFonts w:ascii="Times New Roman" w:hAnsi="Times New Roman" w:cs="Times New Roman"/>
          <w:sz w:val="24"/>
          <w:szCs w:val="24"/>
        </w:rPr>
        <w:t xml:space="preserve"> proponemos adicionar en el artículo 111 Bis de la Ley del Estado de México para </w:t>
      </w:r>
      <w:r w:rsidRPr="006E437B">
        <w:rPr>
          <w:rFonts w:ascii="Times New Roman" w:hAnsi="Times New Roman" w:cs="Times New Roman"/>
          <w:sz w:val="24"/>
          <w:szCs w:val="24"/>
        </w:rPr>
        <w:lastRenderedPageBreak/>
        <w:t>establecer expresamente que las autoridades educativas estatales y municipales, dentro de sus atribuciones, promuevan las acciones necesarias para que los planteles de educación básica</w:t>
      </w:r>
      <w:r w:rsidR="004D11CA" w:rsidRPr="006E437B">
        <w:rPr>
          <w:rFonts w:ascii="Times New Roman" w:hAnsi="Times New Roman" w:cs="Times New Roman"/>
          <w:sz w:val="24"/>
          <w:szCs w:val="24"/>
        </w:rPr>
        <w:t>,</w:t>
      </w:r>
      <w:r w:rsidRPr="006E437B">
        <w:rPr>
          <w:rFonts w:ascii="Times New Roman" w:hAnsi="Times New Roman" w:cs="Times New Roman"/>
          <w:sz w:val="24"/>
          <w:szCs w:val="24"/>
        </w:rPr>
        <w:t xml:space="preserve"> cuenten con agua potable para consumo humano en condiciones de disponibilidad, continuidad, salubridad, accesibilidad y funcionalidad y proponemos algo igualmente importante que es la coordinación</w:t>
      </w:r>
      <w:r w:rsidR="004D11CA" w:rsidRPr="006E437B">
        <w:rPr>
          <w:rFonts w:ascii="Times New Roman" w:hAnsi="Times New Roman" w:cs="Times New Roman"/>
          <w:sz w:val="24"/>
          <w:szCs w:val="24"/>
        </w:rPr>
        <w:t>,</w:t>
      </w:r>
      <w:r w:rsidRPr="006E437B">
        <w:rPr>
          <w:rFonts w:ascii="Times New Roman" w:hAnsi="Times New Roman" w:cs="Times New Roman"/>
          <w:sz w:val="24"/>
          <w:szCs w:val="24"/>
        </w:rPr>
        <w:t xml:space="preserve"> porque el problema del agua en las escuelas no puede abandonarse desde una sola institución</w:t>
      </w:r>
      <w:r w:rsidR="00266830" w:rsidRPr="006E437B">
        <w:rPr>
          <w:rFonts w:ascii="Times New Roman" w:hAnsi="Times New Roman" w:cs="Times New Roman"/>
          <w:sz w:val="24"/>
          <w:szCs w:val="24"/>
        </w:rPr>
        <w:t>,</w:t>
      </w:r>
      <w:r w:rsidRPr="006E437B">
        <w:rPr>
          <w:rFonts w:ascii="Times New Roman" w:hAnsi="Times New Roman" w:cs="Times New Roman"/>
          <w:sz w:val="24"/>
          <w:szCs w:val="24"/>
        </w:rPr>
        <w:t xml:space="preserve"> requiere la participación de autoridades educativas, sanitarias, municipales y de los organismos operadores de cada una dentro del ámbito de sus propias atribuciones.</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Por ello, también planteamos adicionar al artículo 2.10 Bis al Código Administrativo del Estado de México para que el Consejo de Salud del Estado de México pueda proponer criterios de coordinación institucional que coadyuven con la protección de la salud de las niñas, niños y adolescentes, mediante acciones relacionadas con la disponibilidad, la salubridad del agua potable en los planteles de la educación básica y de esta manera</w:t>
      </w:r>
      <w:r w:rsidR="00266830" w:rsidRPr="006E437B">
        <w:rPr>
          <w:rFonts w:ascii="Times New Roman" w:hAnsi="Times New Roman" w:cs="Times New Roman"/>
          <w:sz w:val="24"/>
          <w:szCs w:val="24"/>
        </w:rPr>
        <w:t>,</w:t>
      </w:r>
      <w:r w:rsidRPr="006E437B">
        <w:rPr>
          <w:rFonts w:ascii="Times New Roman" w:hAnsi="Times New Roman" w:cs="Times New Roman"/>
          <w:sz w:val="24"/>
          <w:szCs w:val="24"/>
        </w:rPr>
        <w:t xml:space="preserve"> les presentaré esta iniciativa que propone una armonización normativa entre la Ley de Educación del Estado de México y el Código Administrativo del Estado de México, con el objetivo de vincular de manera expresa el derecho humano al agua por la prestación de servicios educativos en los planteles de educación básica y en congruencia con el </w:t>
      </w:r>
      <w:r w:rsidR="00CD744B" w:rsidRPr="006E437B">
        <w:rPr>
          <w:rFonts w:ascii="Times New Roman" w:hAnsi="Times New Roman" w:cs="Times New Roman"/>
          <w:sz w:val="24"/>
          <w:szCs w:val="24"/>
        </w:rPr>
        <w:t>Marco Constitucional</w:t>
      </w:r>
      <w:r w:rsidRPr="006E437B">
        <w:rPr>
          <w:rFonts w:ascii="Times New Roman" w:hAnsi="Times New Roman" w:cs="Times New Roman"/>
          <w:sz w:val="24"/>
          <w:szCs w:val="24"/>
        </w:rPr>
        <w:t xml:space="preserve"> </w:t>
      </w:r>
      <w:r w:rsidR="00CD744B" w:rsidRPr="006E437B">
        <w:rPr>
          <w:rFonts w:ascii="Times New Roman" w:hAnsi="Times New Roman" w:cs="Times New Roman"/>
          <w:sz w:val="24"/>
          <w:szCs w:val="24"/>
        </w:rPr>
        <w:t xml:space="preserve">Legal </w:t>
      </w:r>
      <w:r w:rsidRPr="006E437B">
        <w:rPr>
          <w:rFonts w:ascii="Times New Roman" w:hAnsi="Times New Roman" w:cs="Times New Roman"/>
          <w:sz w:val="24"/>
          <w:szCs w:val="24"/>
        </w:rPr>
        <w:t>y programático vigente.</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Dicha armonización se sustenta en la necesidad de articular disposiciones ya existentes en materia de educación, salud e infraestructura, a efecto de consolidar una obligación jurídica</w:t>
      </w:r>
      <w:r w:rsidR="00CD744B" w:rsidRPr="006E437B">
        <w:rPr>
          <w:rFonts w:ascii="Times New Roman" w:hAnsi="Times New Roman" w:cs="Times New Roman"/>
          <w:sz w:val="24"/>
          <w:szCs w:val="24"/>
        </w:rPr>
        <w:t>,</w:t>
      </w:r>
      <w:r w:rsidRPr="006E437B">
        <w:rPr>
          <w:rFonts w:ascii="Times New Roman" w:hAnsi="Times New Roman" w:cs="Times New Roman"/>
          <w:sz w:val="24"/>
          <w:szCs w:val="24"/>
        </w:rPr>
        <w:t xml:space="preserve"> clara que permita fortalecer el acceso efectivo del agua potable en el entorno escolar sin la modificación de la estructura general del ordenamiento ni generar nuevas cargas fuera de los ámbitos de atribuciones ya vigentes.</w:t>
      </w:r>
    </w:p>
    <w:p w:rsidR="00CF1EC0"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No se </w:t>
      </w:r>
      <w:r w:rsidR="00CB206A" w:rsidRPr="006E437B">
        <w:rPr>
          <w:rFonts w:ascii="Times New Roman" w:hAnsi="Times New Roman" w:cs="Times New Roman"/>
          <w:sz w:val="24"/>
          <w:szCs w:val="24"/>
        </w:rPr>
        <w:t>trata,</w:t>
      </w:r>
      <w:r w:rsidRPr="006E437B">
        <w:rPr>
          <w:rFonts w:ascii="Times New Roman" w:hAnsi="Times New Roman" w:cs="Times New Roman"/>
          <w:sz w:val="24"/>
          <w:szCs w:val="24"/>
        </w:rPr>
        <w:t xml:space="preserve"> por tanto, de crear nuevas estructuras administrativas, se trata de articular mejor las capacidades institucionales que ya existen y dar una mayor claridad jurídica a la atención y a la coordinación cotidiana y aquí se encuentra uno de los elementos centrales de esta propuesta.</w:t>
      </w:r>
    </w:p>
    <w:p w:rsidR="00EC7004" w:rsidRPr="006E437B" w:rsidRDefault="00CF1EC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La armonización normativa</w:t>
      </w:r>
      <w:r w:rsidR="00CB206A" w:rsidRPr="006E437B">
        <w:rPr>
          <w:rFonts w:ascii="Times New Roman" w:hAnsi="Times New Roman" w:cs="Times New Roman"/>
          <w:sz w:val="24"/>
          <w:szCs w:val="24"/>
        </w:rPr>
        <w:t>,</w:t>
      </w:r>
      <w:r w:rsidRPr="006E437B">
        <w:rPr>
          <w:rFonts w:ascii="Times New Roman" w:hAnsi="Times New Roman" w:cs="Times New Roman"/>
          <w:sz w:val="24"/>
          <w:szCs w:val="24"/>
        </w:rPr>
        <w:t xml:space="preserve"> permite transitar de un esquema en el que el acceso del agua de las escuelas</w:t>
      </w:r>
      <w:r w:rsidR="00CB206A" w:rsidRPr="006E437B">
        <w:rPr>
          <w:rFonts w:ascii="Times New Roman" w:hAnsi="Times New Roman" w:cs="Times New Roman"/>
          <w:sz w:val="24"/>
          <w:szCs w:val="24"/>
        </w:rPr>
        <w:t>,</w:t>
      </w:r>
      <w:r w:rsidRPr="006E437B">
        <w:rPr>
          <w:rFonts w:ascii="Times New Roman" w:hAnsi="Times New Roman" w:cs="Times New Roman"/>
          <w:sz w:val="24"/>
          <w:szCs w:val="24"/>
        </w:rPr>
        <w:t xml:space="preserve"> depend</w:t>
      </w:r>
      <w:r w:rsidR="00CB206A" w:rsidRPr="006E437B">
        <w:rPr>
          <w:rFonts w:ascii="Times New Roman" w:hAnsi="Times New Roman" w:cs="Times New Roman"/>
          <w:sz w:val="24"/>
          <w:szCs w:val="24"/>
        </w:rPr>
        <w:t>a</w:t>
      </w:r>
      <w:r w:rsidRPr="006E437B">
        <w:rPr>
          <w:rFonts w:ascii="Times New Roman" w:hAnsi="Times New Roman" w:cs="Times New Roman"/>
          <w:sz w:val="24"/>
          <w:szCs w:val="24"/>
        </w:rPr>
        <w:t xml:space="preserve"> de las acciones programáticas a un modelo en el que dicho acceso se configura con una obligación jurídica, explícita, articulada y verificable dentro del </w:t>
      </w:r>
      <w:r w:rsidR="00CB206A" w:rsidRPr="006E437B">
        <w:rPr>
          <w:rFonts w:ascii="Times New Roman" w:hAnsi="Times New Roman" w:cs="Times New Roman"/>
          <w:sz w:val="24"/>
          <w:szCs w:val="24"/>
        </w:rPr>
        <w:t xml:space="preserve">Sistema Educativo Estatal </w:t>
      </w:r>
      <w:r w:rsidRPr="006E437B">
        <w:rPr>
          <w:rFonts w:ascii="Times New Roman" w:hAnsi="Times New Roman" w:cs="Times New Roman"/>
          <w:sz w:val="24"/>
          <w:szCs w:val="24"/>
        </w:rPr>
        <w:t>de esta forma</w:t>
      </w:r>
      <w:r w:rsidR="00CB206A" w:rsidRPr="006E437B">
        <w:rPr>
          <w:rFonts w:ascii="Times New Roman" w:hAnsi="Times New Roman" w:cs="Times New Roman"/>
          <w:sz w:val="24"/>
          <w:szCs w:val="24"/>
        </w:rPr>
        <w:t>,</w:t>
      </w:r>
      <w:r w:rsidRPr="006E437B">
        <w:rPr>
          <w:rFonts w:ascii="Times New Roman" w:hAnsi="Times New Roman" w:cs="Times New Roman"/>
          <w:sz w:val="24"/>
          <w:szCs w:val="24"/>
        </w:rPr>
        <w:t xml:space="preserve"> tiene además beneficios concretos en distintos ámbitos</w:t>
      </w:r>
      <w:r w:rsidR="00CB206A"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7C623C" w:rsidRPr="006E437B">
        <w:rPr>
          <w:rFonts w:ascii="Times New Roman" w:hAnsi="Times New Roman" w:cs="Times New Roman"/>
          <w:sz w:val="24"/>
          <w:szCs w:val="24"/>
        </w:rPr>
        <w:t xml:space="preserve">salud </w:t>
      </w:r>
      <w:r w:rsidR="00EC7004" w:rsidRPr="006E437B">
        <w:rPr>
          <w:rFonts w:ascii="Times New Roman" w:hAnsi="Times New Roman" w:cs="Times New Roman"/>
          <w:sz w:val="24"/>
          <w:szCs w:val="24"/>
        </w:rPr>
        <w:t>pública, educación, equidad, inclusión, eficiencia institucional y derechos humanos, porque la salud pública fortalece las condiciones de la hidratación, la higiene y la prevención de los riesgos sanitarios, la educación, la equidad e inclusión, la eficiencia institucional y en materia de los derechos humanos, porque ésta es una prioridad con una dimensión muy concreta y en el Estado de México, 184 mil 332 estudiantes de Educación Básica</w:t>
      </w:r>
      <w:r w:rsidR="00CB206A" w:rsidRPr="006E437B">
        <w:rPr>
          <w:rFonts w:ascii="Times New Roman" w:hAnsi="Times New Roman" w:cs="Times New Roman"/>
          <w:sz w:val="24"/>
          <w:szCs w:val="24"/>
        </w:rPr>
        <w:t>,</w:t>
      </w:r>
      <w:r w:rsidR="00EC7004" w:rsidRPr="006E437B">
        <w:rPr>
          <w:rFonts w:ascii="Times New Roman" w:hAnsi="Times New Roman" w:cs="Times New Roman"/>
          <w:sz w:val="24"/>
          <w:szCs w:val="24"/>
        </w:rPr>
        <w:t xml:space="preserve"> asisten a clases en zonas de marginación distribuidos en 2 mil 598 escuelas ubicadas en 14 municipios considerados en alta vulnerabilidad.</w:t>
      </w:r>
    </w:p>
    <w:p w:rsidR="002B4AF7"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ello, esta implementación que proponemos será progresiva y dará prioridad de los planteles que enfrentan mayores condiciones de rezago, de conformidad con la disponibilidad de la presupuestaria y programas vigentes que establece el propio proyecto de decreto. Se trata de orientar y fortalecer nuestros esfuerzos hasta donde quienes más lo necesiten y así por eso, respetar los derechos humanos que no deben quedarse escritos solamente en nuestras constituciones y en nuestras leyes, deben de convertirse en realidades concretas que cada niña y cada niño, pueda abrir una llave en su escuela, encontrar agua potable, elemental o tener un bebedero limpio y salubre y precisamente porque este es un elemento vital que debemos de garantizarlo</w:t>
      </w:r>
      <w:r w:rsidR="002B4AF7" w:rsidRPr="006E437B">
        <w:rPr>
          <w:rFonts w:ascii="Times New Roman" w:hAnsi="Times New Roman" w:cs="Times New Roman"/>
          <w:sz w:val="24"/>
          <w:szCs w:val="24"/>
        </w:rPr>
        <w:t>.</w:t>
      </w:r>
    </w:p>
    <w:p w:rsidR="00EC7004" w:rsidRPr="006E437B" w:rsidRDefault="002B4AF7"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Estoy </w:t>
      </w:r>
      <w:r w:rsidR="00EC7004" w:rsidRPr="006E437B">
        <w:rPr>
          <w:rFonts w:ascii="Times New Roman" w:hAnsi="Times New Roman" w:cs="Times New Roman"/>
          <w:sz w:val="24"/>
          <w:szCs w:val="24"/>
        </w:rPr>
        <w:t>convencida que con este análisis permitirá continuar el fortalecimiento del Marco Jurídico Estatal para garantizar condiciones dignas, seguras, saludables en nuestros planteles de educación básica.</w:t>
      </w:r>
    </w:p>
    <w:p w:rsidR="00CA1E3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esta razón, solicito respetuosamente a la presente iniciativa, sea turnada a las comisiones legislativas correspondientes para su análisis, discusión y en su caso, dictaminación, conforme al procedimiento aplicable</w:t>
      </w:r>
      <w:r w:rsidR="00CA1E34" w:rsidRPr="006E437B">
        <w:rPr>
          <w:rFonts w:ascii="Times New Roman" w:hAnsi="Times New Roman" w:cs="Times New Roman"/>
          <w:sz w:val="24"/>
          <w:szCs w:val="24"/>
        </w:rPr>
        <w:t>.</w:t>
      </w:r>
    </w:p>
    <w:p w:rsidR="00EC7004" w:rsidRPr="006E437B" w:rsidRDefault="00CA1E34" w:rsidP="00141629">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 xml:space="preserve">Muchísimas </w:t>
      </w:r>
      <w:r w:rsidR="00EC7004" w:rsidRPr="006E437B">
        <w:rPr>
          <w:rFonts w:ascii="Times New Roman" w:hAnsi="Times New Roman" w:cs="Times New Roman"/>
          <w:sz w:val="24"/>
          <w:szCs w:val="24"/>
        </w:rPr>
        <w:t>gracias</w:t>
      </w:r>
      <w:r w:rsidRPr="006E437B">
        <w:rPr>
          <w:rFonts w:ascii="Times New Roman" w:hAnsi="Times New Roman" w:cs="Times New Roman"/>
          <w:sz w:val="24"/>
          <w:szCs w:val="24"/>
        </w:rPr>
        <w:t>, e</w:t>
      </w:r>
      <w:r w:rsidR="00EC7004" w:rsidRPr="006E437B">
        <w:rPr>
          <w:rFonts w:ascii="Times New Roman" w:hAnsi="Times New Roman" w:cs="Times New Roman"/>
          <w:sz w:val="24"/>
          <w:szCs w:val="24"/>
        </w:rPr>
        <w:t>s cuanto.</w:t>
      </w:r>
    </w:p>
    <w:p w:rsidR="00603D93" w:rsidRPr="006E437B" w:rsidRDefault="00603D93" w:rsidP="00141629">
      <w:pPr>
        <w:pStyle w:val="Sinespaciado"/>
        <w:jc w:val="both"/>
        <w:rPr>
          <w:rFonts w:ascii="Times New Roman" w:hAnsi="Times New Roman" w:cs="Times New Roman"/>
          <w:sz w:val="24"/>
          <w:szCs w:val="24"/>
        </w:rPr>
      </w:pPr>
    </w:p>
    <w:p w:rsidR="00603D93" w:rsidRPr="006E437B" w:rsidRDefault="00603D93"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603D93" w:rsidRPr="006E437B" w:rsidRDefault="00603D93" w:rsidP="00141629">
      <w:pPr>
        <w:pStyle w:val="Sinespaciado"/>
        <w:jc w:val="both"/>
        <w:rPr>
          <w:rFonts w:ascii="Times New Roman" w:hAnsi="Times New Roman" w:cs="Times New Roman"/>
          <w:sz w:val="24"/>
          <w:szCs w:val="24"/>
        </w:rPr>
      </w:pPr>
    </w:p>
    <w:p w:rsidR="006D3DC9" w:rsidRPr="006E437B" w:rsidRDefault="006D3DC9" w:rsidP="00141629">
      <w:pPr>
        <w:spacing w:after="0" w:line="240" w:lineRule="auto"/>
        <w:ind w:right="74"/>
        <w:jc w:val="center"/>
        <w:rPr>
          <w:rFonts w:ascii="Times New Roman" w:hAnsi="Times New Roman" w:cs="Times New Roman"/>
          <w:b/>
          <w:bCs/>
          <w:sz w:val="24"/>
          <w:szCs w:val="24"/>
        </w:rPr>
      </w:pPr>
      <w:bookmarkStart w:id="1" w:name="_Hlk242102611"/>
      <w:r w:rsidRPr="006E437B">
        <w:rPr>
          <w:rFonts w:ascii="Times New Roman" w:hAnsi="Times New Roman" w:cs="Times New Roman"/>
          <w:b/>
          <w:bCs/>
          <w:sz w:val="24"/>
          <w:szCs w:val="24"/>
        </w:rPr>
        <w:t>DIP. JENNIFER NATHALIE GONZÁLEZ LÓPEZ</w:t>
      </w:r>
    </w:p>
    <w:p w:rsidR="006D3DC9" w:rsidRPr="006E437B" w:rsidRDefault="006D3DC9" w:rsidP="00141629">
      <w:pPr>
        <w:spacing w:after="0" w:line="240" w:lineRule="auto"/>
        <w:ind w:right="74"/>
        <w:jc w:val="center"/>
        <w:rPr>
          <w:rFonts w:ascii="Times New Roman" w:hAnsi="Times New Roman" w:cs="Times New Roman"/>
          <w:sz w:val="24"/>
          <w:szCs w:val="24"/>
        </w:rPr>
      </w:pPr>
      <w:r w:rsidRPr="006E437B">
        <w:rPr>
          <w:rFonts w:ascii="Times New Roman" w:hAnsi="Times New Roman" w:cs="Times New Roman"/>
          <w:sz w:val="24"/>
          <w:szCs w:val="24"/>
        </w:rPr>
        <w:t>Presidenta de la Comisión de Salud, Asistencia, y Bienestar Social</w:t>
      </w:r>
    </w:p>
    <w:p w:rsidR="006D3DC9" w:rsidRPr="006E437B" w:rsidRDefault="006D3DC9" w:rsidP="00141629">
      <w:pPr>
        <w:spacing w:after="0" w:line="240" w:lineRule="auto"/>
        <w:ind w:right="74"/>
        <w:jc w:val="center"/>
        <w:rPr>
          <w:rFonts w:ascii="Times New Roman" w:hAnsi="Times New Roman" w:cs="Times New Roman"/>
          <w:b/>
          <w:bCs/>
          <w:sz w:val="24"/>
          <w:szCs w:val="24"/>
        </w:rPr>
      </w:pPr>
      <w:r w:rsidRPr="006E437B">
        <w:rPr>
          <w:rFonts w:ascii="Times New Roman" w:hAnsi="Times New Roman" w:cs="Times New Roman"/>
          <w:b/>
          <w:bCs/>
          <w:sz w:val="24"/>
          <w:szCs w:val="24"/>
        </w:rPr>
        <w:t>GRUPO PARLAMENTARIO MORENA</w:t>
      </w:r>
    </w:p>
    <w:p w:rsidR="006D3DC9" w:rsidRPr="006E437B" w:rsidRDefault="006D3DC9" w:rsidP="00141629">
      <w:pPr>
        <w:spacing w:after="0" w:line="240" w:lineRule="auto"/>
        <w:ind w:right="74"/>
        <w:jc w:val="center"/>
        <w:rPr>
          <w:rFonts w:ascii="Times New Roman" w:eastAsia="Century Gothic" w:hAnsi="Times New Roman" w:cs="Times New Roman"/>
          <w:sz w:val="24"/>
          <w:szCs w:val="24"/>
        </w:rPr>
      </w:pPr>
    </w:p>
    <w:p w:rsidR="006D3DC9" w:rsidRPr="006E437B" w:rsidRDefault="006D3DC9" w:rsidP="00141629">
      <w:pPr>
        <w:spacing w:after="0" w:line="240" w:lineRule="auto"/>
        <w:ind w:right="74"/>
        <w:jc w:val="center"/>
        <w:rPr>
          <w:rFonts w:ascii="Times New Roman" w:hAnsi="Times New Roman" w:cs="Times New Roman"/>
          <w:sz w:val="24"/>
          <w:szCs w:val="24"/>
        </w:rPr>
      </w:pPr>
      <w:r w:rsidRPr="006E437B">
        <w:rPr>
          <w:rFonts w:ascii="Times New Roman" w:eastAsia="Century Gothic" w:hAnsi="Times New Roman" w:cs="Times New Roman"/>
          <w:sz w:val="24"/>
          <w:szCs w:val="24"/>
        </w:rPr>
        <w:t>“2026 Año del Humanismo Mexicano en el Estado de México”</w:t>
      </w:r>
    </w:p>
    <w:p w:rsidR="006D3DC9" w:rsidRPr="006E437B" w:rsidRDefault="006D3DC9" w:rsidP="00141629">
      <w:pPr>
        <w:spacing w:after="0" w:line="240" w:lineRule="auto"/>
        <w:jc w:val="right"/>
        <w:rPr>
          <w:rFonts w:ascii="Times New Roman" w:hAnsi="Times New Roman" w:cs="Times New Roman"/>
          <w:sz w:val="24"/>
          <w:szCs w:val="24"/>
        </w:rPr>
      </w:pPr>
    </w:p>
    <w:p w:rsidR="006D3DC9" w:rsidRPr="006E437B" w:rsidRDefault="006D3DC9" w:rsidP="00141629">
      <w:pPr>
        <w:spacing w:after="0" w:line="240" w:lineRule="auto"/>
        <w:jc w:val="right"/>
        <w:rPr>
          <w:rFonts w:ascii="Times New Roman" w:hAnsi="Times New Roman" w:cs="Times New Roman"/>
          <w:sz w:val="24"/>
          <w:szCs w:val="24"/>
        </w:rPr>
      </w:pPr>
      <w:r w:rsidRPr="006E437B">
        <w:rPr>
          <w:rFonts w:ascii="Times New Roman" w:hAnsi="Times New Roman" w:cs="Times New Roman"/>
          <w:sz w:val="24"/>
          <w:szCs w:val="24"/>
        </w:rPr>
        <w:t>Toluca de Lerdo, Estado de México, a 6 de mayo de 2026</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DIPUTADO VLADIMIR HERNÁNDEZ VILLEGAS</w:t>
      </w: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PRESIDENTE DE LA DIRECTIVA DE LA H. LXII LEGISLATURA</w:t>
      </w: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DEL ESTADO LIBRE Y SOBERANO DE MÉXICO</w:t>
      </w: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P R E S E N T E</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sz w:val="24"/>
          <w:szCs w:val="24"/>
        </w:rPr>
        <w:t xml:space="preserve">La que suscribe, </w:t>
      </w:r>
      <w:r w:rsidRPr="006E437B">
        <w:rPr>
          <w:rFonts w:ascii="Times New Roman" w:hAnsi="Times New Roman" w:cs="Times New Roman"/>
          <w:b/>
          <w:sz w:val="24"/>
          <w:szCs w:val="24"/>
        </w:rPr>
        <w:t>Diputada</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Doctora Jennifer Nathalie González López,</w:t>
      </w:r>
      <w:r w:rsidRPr="006E437B">
        <w:rPr>
          <w:rFonts w:ascii="Times New Roman" w:hAnsi="Times New Roman" w:cs="Times New Roman"/>
          <w:sz w:val="24"/>
          <w:szCs w:val="24"/>
        </w:rPr>
        <w:t xml:space="preserve"> integrante del Grupo Parlamentario de Morena en la H. LXII Legislatura del Estado de México, en ejercicio de las facultades que me confieren los artículos 57 y 61, fracción I, de la Constitución Política del Estado Libre y Soberano de México; 38, fracción IV, y 83 de la Ley Orgánica del Poder Legislativo del Estado Libre y Soberano de México; así como 72 del Reglamento del Poder Legislativo del Estado Libre y Soberano de México, me permito someter a la consideración de esta Honorable Soberanía la presente: </w:t>
      </w:r>
      <w:r w:rsidRPr="006E437B">
        <w:rPr>
          <w:rFonts w:ascii="Times New Roman" w:hAnsi="Times New Roman" w:cs="Times New Roman"/>
          <w:b/>
          <w:sz w:val="24"/>
          <w:szCs w:val="24"/>
        </w:rPr>
        <w:t>INICIATIVA CON PROYECTO DE DECRETO POR EL QUE SE REFORMAN Y ADICIONAN DIVERSAS DISPOSICIONES DE LA LEY DE EDUCACIÓN DEL ESTADO DE MÉXICO Y DEL CÓDIGO ADMINISTRATIVO DEL ESTADO DE MÉXICO, EN MATERIA DE ACCESO A AGUA POTABLE EN PLANTELES DE EDUCACIÓN BÁSICA.</w:t>
      </w:r>
    </w:p>
    <w:p w:rsidR="006D3DC9" w:rsidRPr="006E437B" w:rsidRDefault="006D3DC9" w:rsidP="00141629">
      <w:pPr>
        <w:spacing w:after="0" w:line="240" w:lineRule="auto"/>
        <w:ind w:left="-5"/>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 anterior, en observancia del principio del interés superior de la niñez, así como de los derechos humanos a la salud, a la educación y al acceso al agua, reconocidos en la Constitución Política de los Estados Unidos Mexicanos y en los tratados internacionales de los que el Estado mexicano es parte, con el objeto de fortalecer el marco jurídico estatal para garantizar el acceso efectivo, continuo, suficiente y salubre al agua potable en los planteles de educación básica del Estado de México, mediante la coordinación de las autoridades competentes en el ámbito de sus atribuciones, al tenor de la siguiente:</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pStyle w:val="Ttulo1"/>
        <w:keepNext w:val="0"/>
        <w:keepLines w:val="0"/>
        <w:spacing w:line="240" w:lineRule="auto"/>
        <w:ind w:left="0" w:right="51" w:hanging="11"/>
        <w:rPr>
          <w:rFonts w:ascii="Times New Roman" w:hAnsi="Times New Roman" w:cs="Times New Roman"/>
          <w:color w:val="auto"/>
          <w:szCs w:val="24"/>
        </w:rPr>
      </w:pPr>
      <w:r w:rsidRPr="006E437B">
        <w:rPr>
          <w:rFonts w:ascii="Times New Roman" w:hAnsi="Times New Roman" w:cs="Times New Roman"/>
          <w:color w:val="auto"/>
          <w:szCs w:val="24"/>
        </w:rPr>
        <w:t>E X P O S I C I Ó N  D E  M O T I V O S</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El acceso al agua potable constituye un derecho humano reconocido en el artículo 4° de la Constitución Política de los Estados Unidos Mexicanos, el cual establece que toda persona tiene derecho al acceso, disposición y saneamiento de agua para consumo personal y doméstico en forma suficiente, salubre, aceptable y asequible, correspondiendo al Estado garantizar dicho derecho</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el ámbito educativo, este derecho adquiere una dimensión reforzada, al vincularse directamente con el ejercicio efectivo de otros derechos fundamentales, como la educación, la salud, la igualdad sustantiva y el interés superior de la niñez. En este sentido, las condiciones materiales en las que se presta el servicio educativo deben garantizar entornos dignos, seguros y saludables para el desarrollo integral de niñas, niños y adolescentes.</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eastAsia="Tahoma" w:hAnsi="Times New Roman" w:cs="Times New Roman"/>
          <w:sz w:val="24"/>
          <w:szCs w:val="24"/>
        </w:rPr>
      </w:pPr>
      <w:r w:rsidRPr="006E437B">
        <w:rPr>
          <w:rFonts w:ascii="Times New Roman" w:hAnsi="Times New Roman" w:cs="Times New Roman"/>
          <w:sz w:val="24"/>
          <w:szCs w:val="24"/>
        </w:rPr>
        <w:lastRenderedPageBreak/>
        <w:t>La magnitud del sistema educativo en el Estado de México dimensiona la relevancia de la presente iniciativa. De acuerdo con el Atlas de los Servicios Educativos de la Secretaría de Educación Pública, para el ciclo escolar 2021–2022 la entidad registró 4,251,599 estudiantes, de los cuales aproximadamente el 73.8% corresponde a educación básica, lo que implica que millones de niñas, niños y adolescentes desarrollan diariamente sus actividades escolares en planteles que deben cumplir condiciones mínimas de infraestructura y servicios</w:t>
      </w:r>
      <w:r w:rsidRPr="006E437B">
        <w:rPr>
          <w:rFonts w:ascii="Times New Roman" w:hAnsi="Times New Roman" w:cs="Times New Roman"/>
          <w:sz w:val="24"/>
          <w:szCs w:val="24"/>
          <w:vertAlign w:val="superscript"/>
        </w:rPr>
        <w:t>2</w:t>
      </w:r>
      <w:r w:rsidRPr="006E437B">
        <w:rPr>
          <w:rFonts w:ascii="Times New Roman" w:hAnsi="Times New Roman" w:cs="Times New Roman"/>
          <w:sz w:val="24"/>
          <w:szCs w:val="24"/>
        </w:rPr>
        <w:t>.</w:t>
      </w:r>
    </w:p>
    <w:p w:rsidR="006D3DC9" w:rsidRPr="006E437B" w:rsidRDefault="006D3DC9" w:rsidP="00141629">
      <w:pPr>
        <w:spacing w:after="0" w:line="240" w:lineRule="auto"/>
        <w:ind w:left="-5"/>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contexto, el Plan de Desarrollo del Estado de México 2023-2029 reconoce, en su Eje 2 “Bienestar ambiental y acceso universal al agua”, la necesidad de fortalecer la gestión del recurso hídrico y ampliar su cobertura, destacando los retos asociados a la creciente demanda y a la optimización de su aprovechamiento</w:t>
      </w:r>
      <w:r w:rsidRPr="006E437B">
        <w:rPr>
          <w:rFonts w:ascii="Times New Roman" w:hAnsi="Times New Roman" w:cs="Times New Roman"/>
          <w:sz w:val="24"/>
          <w:szCs w:val="24"/>
          <w:vertAlign w:val="superscript"/>
        </w:rPr>
        <w:t>3</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Asimismo, el Gobierno del Estado ha impulsado acciones orientadas a mejorar la disponibilidad de agua en espacios públicos, incluyendo el ámbito escolar. Entre estas, destaca la implementación de programas como los sistemas de captación pluvial en planteles educativos, lo que refleja un esfuerzo institucional relevante para atender esta problemática</w:t>
      </w:r>
      <w:r w:rsidRPr="006E437B">
        <w:rPr>
          <w:rFonts w:ascii="Times New Roman" w:hAnsi="Times New Roman" w:cs="Times New Roman"/>
          <w:sz w:val="24"/>
          <w:szCs w:val="24"/>
          <w:vertAlign w:val="superscript"/>
        </w:rPr>
        <w:t>4</w:t>
      </w:r>
      <w:r w:rsidRPr="006E437B">
        <w:rPr>
          <w:rFonts w:ascii="Times New Roman" w:hAnsi="Times New Roman" w:cs="Times New Roman"/>
          <w:sz w:val="24"/>
          <w:szCs w:val="24"/>
        </w:rPr>
        <w:t>. No obstante, diversos diagnósticos técnicos nacionales e internacionales coinciden en señalar que persisten áreas de oportunidad en la disponibilidad efectiva, continua y suficiente de agua potable en centros educativos, particularmente en zonas rurales, comunidades indígenas y contextos urbanos con alta marginación.</w:t>
      </w:r>
    </w:p>
    <w:p w:rsidR="006D3DC9" w:rsidRPr="006E437B" w:rsidRDefault="006D3DC9" w:rsidP="00141629">
      <w:pPr>
        <w:spacing w:after="0" w:line="240" w:lineRule="auto"/>
        <w:ind w:left="-5"/>
        <w:rPr>
          <w:rFonts w:ascii="Times New Roman" w:hAnsi="Times New Roman" w:cs="Times New Roman"/>
          <w:szCs w:val="24"/>
        </w:rPr>
      </w:pPr>
    </w:p>
    <w:p w:rsidR="006D3DC9" w:rsidRPr="006E437B" w:rsidRDefault="006D3DC9" w:rsidP="00141629">
      <w:pPr>
        <w:spacing w:after="0" w:line="240" w:lineRule="auto"/>
        <w:jc w:val="both"/>
        <w:rPr>
          <w:rFonts w:ascii="Times New Roman" w:hAnsi="Times New Roman" w:cs="Times New Roman"/>
          <w:sz w:val="20"/>
          <w:szCs w:val="24"/>
        </w:rPr>
      </w:pPr>
      <w:r w:rsidRPr="006E437B">
        <w:rPr>
          <w:rStyle w:val="footnotemark"/>
          <w:rFonts w:ascii="Times New Roman" w:hAnsi="Times New Roman" w:cs="Times New Roman"/>
          <w:color w:val="auto"/>
          <w:sz w:val="20"/>
          <w:szCs w:val="24"/>
        </w:rPr>
        <w:t xml:space="preserve">1 </w:t>
      </w:r>
      <w:r w:rsidRPr="006E437B">
        <w:rPr>
          <w:rFonts w:ascii="Times New Roman" w:hAnsi="Times New Roman" w:cs="Times New Roman"/>
          <w:sz w:val="20"/>
          <w:szCs w:val="24"/>
        </w:rPr>
        <w:t xml:space="preserve">Constitución Política de los Estados Unidos Mexicanos, artículo 4o., párrafo sexto, que reconoce el derecho humano al acceso, disposición y saneamiento de agua para consumo personal y doméstico en forma suficiente, salubre, aceptable y asequible, estableciendo la obligación del Estado de garantizar dicho derecho. Diario Oficial de la Federación </w:t>
      </w: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2</w:t>
      </w:r>
      <w:r w:rsidRPr="006E437B">
        <w:rPr>
          <w:rFonts w:ascii="Times New Roman" w:hAnsi="Times New Roman" w:cs="Times New Roman"/>
          <w:sz w:val="20"/>
          <w:szCs w:val="24"/>
        </w:rPr>
        <w:t xml:space="preserve"> Secretaría de Educación Pública, Atlas de los Servicios Educativos de la República Mexicana y Atlas de los Servicios Educativos del Estado de México, ciclo escolar 2021–2022, en el que se reporta una matrícula total de 4,251,599 estudiantes en la entidad, de los cuales aproximadamente el 73.8% corresponde a educación básica, integrando niveles de educación inicial, preescolar, primaria y secundaria</w:t>
      </w:r>
    </w:p>
    <w:p w:rsidR="006D3DC9" w:rsidRPr="006E437B" w:rsidRDefault="006D3DC9" w:rsidP="00141629">
      <w:pPr>
        <w:pStyle w:val="footnotedescription"/>
        <w:spacing w:line="240" w:lineRule="auto"/>
        <w:jc w:val="left"/>
        <w:rPr>
          <w:rFonts w:ascii="Times New Roman" w:hAnsi="Times New Roman" w:cs="Times New Roman"/>
          <w:color w:val="auto"/>
          <w:sz w:val="20"/>
          <w:szCs w:val="24"/>
        </w:rPr>
      </w:pPr>
      <w:r w:rsidRPr="006E437B">
        <w:rPr>
          <w:rStyle w:val="footnotemark"/>
          <w:rFonts w:ascii="Times New Roman" w:hAnsi="Times New Roman" w:cs="Times New Roman"/>
          <w:color w:val="auto"/>
          <w:sz w:val="20"/>
          <w:szCs w:val="24"/>
        </w:rPr>
        <w:t xml:space="preserve">3 </w:t>
      </w:r>
      <w:r w:rsidRPr="006E437B">
        <w:rPr>
          <w:rFonts w:ascii="Times New Roman" w:hAnsi="Times New Roman" w:cs="Times New Roman"/>
          <w:color w:val="auto"/>
          <w:sz w:val="20"/>
          <w:szCs w:val="24"/>
        </w:rPr>
        <w:t>Gobierno del Estado de México, Plan de Desarrollo del Estado de México 2023-2029, Eje 2 “Bienestar ambiental y acceso universal al agua”, en el que se reconoce la creciente demanda del recurso hídrico y la necesidad de fortalecer su gestión, disponibilidad y cobertura en beneficio de la población.</w:t>
      </w: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4</w:t>
      </w:r>
      <w:r w:rsidRPr="006E437B">
        <w:rPr>
          <w:rFonts w:ascii="Times New Roman" w:hAnsi="Times New Roman" w:cs="Times New Roman"/>
          <w:sz w:val="20"/>
          <w:szCs w:val="24"/>
        </w:rPr>
        <w:t xml:space="preserve"> Gobierno del Estado de México, Segundo Informe de Gobierno de la Maestra Delfina Gómez Álvarez, apartado relativo a infraestructura hídrica y programas escolares, en el que se reporta la implementación del programa “Escuelas de Lluvia” en 28 de los 125 municipios, así como la instalación de sistema de capacitación pluvial en planteles educativos como parte de las estrategias para el aprovechamiento del agua.</w:t>
      </w:r>
    </w:p>
    <w:p w:rsidR="006D3DC9" w:rsidRPr="006E437B" w:rsidRDefault="006D3DC9" w:rsidP="00141629">
      <w:pPr>
        <w:spacing w:after="0" w:line="240" w:lineRule="auto"/>
        <w:ind w:left="-5"/>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 nivel internacional, el Programa Conjunto de Monitoreo de la Organización Mundial de la Salud y UNICEF (JMP) reporta que, si bien se han logrado avances, 447 millones de niñas y niños en el mundo aún carecen de acceso a servicios básicos de agua en sus escuelas, lo que impacta directamente en su salud, asistencia y rendimiento académico</w:t>
      </w:r>
      <w:r w:rsidRPr="006E437B">
        <w:rPr>
          <w:rFonts w:ascii="Times New Roman" w:hAnsi="Times New Roman" w:cs="Times New Roman"/>
          <w:sz w:val="24"/>
          <w:szCs w:val="24"/>
          <w:vertAlign w:val="superscript"/>
        </w:rPr>
        <w:t>5</w:t>
      </w:r>
      <w:r w:rsidRPr="006E437B">
        <w:rPr>
          <w:rFonts w:ascii="Times New Roman" w:hAnsi="Times New Roman" w:cs="Times New Roman"/>
          <w:sz w:val="24"/>
          <w:szCs w:val="24"/>
        </w:rPr>
        <w:t>. De igual forma, el Centro para el Control y la Prevención de Enfermedades (CDC) ha señalado que el acceso adecuado al agua en las escuelas contribuye a mejorar la hidratación del alumnado, favorece la función cognitiva y constituye una alternativa saludable frente al consumo de bebidas azucaradas, además de incidir en la prevención de enfermedades como la caries dental</w:t>
      </w:r>
      <w:r w:rsidRPr="006E437B">
        <w:rPr>
          <w:rFonts w:ascii="Times New Roman" w:hAnsi="Times New Roman" w:cs="Times New Roman"/>
          <w:sz w:val="24"/>
          <w:szCs w:val="24"/>
          <w:vertAlign w:val="superscript"/>
        </w:rPr>
        <w:t>6</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Desde la perspectiva de salud pública, la disponibilidad de agua potable guarda una relación directa con la prevención de enfermedades gastrointestinales y otros padecimientos asociados a condiciones deficientes de higiene. De acuerdo con datos de la Secretaría de Salud, en 2024 se registraron más de 1.2 millones de casos de infecciones intestinales en población de 1 a 14 años en México, grupo etario que coincide con la población en educación básica</w:t>
      </w:r>
      <w:r w:rsidRPr="006E437B">
        <w:rPr>
          <w:rFonts w:ascii="Times New Roman" w:hAnsi="Times New Roman" w:cs="Times New Roman"/>
          <w:sz w:val="24"/>
          <w:szCs w:val="24"/>
          <w:vertAlign w:val="superscript"/>
        </w:rPr>
        <w:t>7</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evidencia disponible, tanto en el ámbito nacional como internacional, permite advertir que las condiciones de acceso al agua potable en entornos escolares inciden de manera directa en la salud, el bienestar y el rendimiento académico de niñas, niños y adolescentes, por lo que resulta indispensable fortalecer las condiciones de acceso a agua segura en los planteles de educación básica.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Desde una perspectiva de equidad, resulta fundamental reconocer que las diferencias en las condiciones de infraestructura entre escuelas urbanas, suburbanas y rurales, así como en comunidades indígenas, hacen necesario establecer estándares mínimos que orienten la actuación de las autoridades competentes, con el propósito de reducir desigualdades y garantizar condiciones equitativas para el aprendizaje.</w:t>
      </w:r>
    </w:p>
    <w:p w:rsidR="006D3DC9" w:rsidRPr="006E437B" w:rsidRDefault="006D3DC9" w:rsidP="00141629">
      <w:pPr>
        <w:spacing w:after="0" w:line="240" w:lineRule="auto"/>
        <w:ind w:left="-5"/>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0"/>
          <w:szCs w:val="24"/>
        </w:rPr>
      </w:pPr>
      <w:r w:rsidRPr="006E437B">
        <w:rPr>
          <w:rStyle w:val="footnotemark"/>
          <w:rFonts w:ascii="Times New Roman" w:hAnsi="Times New Roman" w:cs="Times New Roman"/>
          <w:color w:val="auto"/>
          <w:sz w:val="20"/>
          <w:szCs w:val="24"/>
        </w:rPr>
        <w:t xml:space="preserve">5 </w:t>
      </w:r>
      <w:r w:rsidRPr="006E437B">
        <w:rPr>
          <w:rFonts w:ascii="Times New Roman" w:hAnsi="Times New Roman" w:cs="Times New Roman"/>
          <w:sz w:val="20"/>
          <w:szCs w:val="24"/>
        </w:rPr>
        <w:t xml:space="preserve">Organización Mundial de la Salud (WHO) y Fondo de las Naciones Unidas para la Infancia (UNICEF), Progress on Drinking Water, Sanitation and Hygiene in Schools 2015–2023: Special Focus on Menstrual Health, Joint Monitoring Programme (JMP), 2024, en el que se reporta que aproximadamente 447 millones de niñas y niños en el mundo carecen de acceso a servicios básicos de agua potable en sus escuelas, destacando el impacto en salud, asistencia escolar, dignidad e inclusión. </w:t>
      </w: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6</w:t>
      </w:r>
      <w:r w:rsidRPr="006E437B">
        <w:rPr>
          <w:rFonts w:ascii="Times New Roman" w:hAnsi="Times New Roman" w:cs="Times New Roman"/>
          <w:sz w:val="20"/>
          <w:szCs w:val="24"/>
        </w:rPr>
        <w:t xml:space="preserve"> Centers for Disease Control and Prevention (CDC), Water Access in Schools, en el que se señala que el acceso adecuado al agua potable en centros educativos favorece la hidratación, mejora la función cognitiva, promueve hábitos saludables y contribuye a la prevención de enfermedades, incluyendo caries dentales asociadas al consumo de bebidas azucaradas.</w:t>
      </w: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7</w:t>
      </w:r>
      <w:r w:rsidRPr="006E437B">
        <w:rPr>
          <w:rFonts w:ascii="Times New Roman" w:hAnsi="Times New Roman" w:cs="Times New Roman"/>
          <w:sz w:val="20"/>
          <w:szCs w:val="24"/>
        </w:rPr>
        <w:t xml:space="preserve"> Secretaría de Salud, Gobierno de México, Anuario de Morbilidad 2024, Dirección General de Epidemiología, en el que se reportan 1,209,206 casos de infecciones intestinales en población de 1 a 14 años en México, grupo etario que corresponde mayoritariamente a niñas, niños y adolescentes en educación básica.</w:t>
      </w:r>
    </w:p>
    <w:p w:rsidR="006D3DC9" w:rsidRPr="006E437B" w:rsidRDefault="006D3DC9" w:rsidP="00141629">
      <w:pPr>
        <w:spacing w:after="0" w:line="240" w:lineRule="auto"/>
        <w:ind w:left="-5"/>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Asimismo, el acceso al agua potable en los planteles escolares tiene implicaciones relevantes en materia de inclusión y perspectiva de género. Organismos internacionales han señalado que los servicios de agua, saneamiento e higiene en escuelas son determinantes para garantizar la asistencia regular de niñas y adolescentes, particularmente en lo relativo a la gestión de la higiene menstrual, así como para asegurar condiciones de accesibilidad para personas con discapacidad.</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el ámbito jurídico local, si bien existen disposiciones en materia de servicios de agua potable y condiciones de infraestructura educativa, no se cuenta con una regulación específica que desarrolle de manera expresa y operativa la vinculación entre el derecho al agua y su garantía en los planteles de educación básica. En este sentido, la presente iniciativa tiene por objeto fortalecer el marco jurídico estatal, mediante la incorporación de disposiciones que permitan consolidar dicha garantía como una obligación explícita dentro del sistema educativo, articulando las competencias de las autoridades educativas, sanitarias y municipales, en el ámbito de sus respectivas atribuciones.</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propuesta normativa promueve que los planteles de educación básica cuenten con acceso real a agua potable en condiciones de continuidad, salubridad, accesibilidad y funcionalidad, considerando tanto la disponibilidad del servicio como el mantenimiento de la infraestructura necesaria para su adecuado funcionamiento, así como la implementación de medidas de apoyo cuando el suministro ordinario se vea interrumpido.</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Cabe destacar que la presente iniciativa se construye bajo un enfoque de coordinación institucional, sin implicar la creación de nuevas estructuras administrativas, sino aprovechando las capacidades existentes para dar cumplimiento a una obligación que deriva directamente del reconocimiento constitucional del derecho al agua.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lastRenderedPageBreak/>
        <w:t>Con ello, se busca avanzar en la materialización de un derecho humano ya reconocido en el orden jurídico mexicano, transformándolo en una obligación concreta, verificable y progresiva dentro del sistema educativo estatal, en beneficio de millones de niñas, niños y adolescentes que diariamente ejercen su derecho a la educación en el Estado de México.</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información disponible en materia de infraestructura educativa evidencia condiciones diferenciadas en la disponibilidad de servicios básicos, particularmente al agua potable, presenta diferencias significativas entre las distintas regiones del Estado de México, lo que incide directamente en las condiciones de salud, higiene y aprendizaje de la población estudiantil.</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A efecto de ilustrar dicha problemática, se presenta el siguiente mapa:</w:t>
      </w:r>
    </w:p>
    <w:p w:rsidR="006D3DC9" w:rsidRPr="006E437B" w:rsidRDefault="006D3DC9" w:rsidP="00141629">
      <w:pPr>
        <w:spacing w:after="0" w:line="240" w:lineRule="auto"/>
        <w:rPr>
          <w:rFonts w:ascii="Times New Roman" w:hAnsi="Times New Roman" w:cs="Times New Roman"/>
          <w:szCs w:val="24"/>
        </w:rPr>
      </w:pPr>
    </w:p>
    <w:tbl>
      <w:tblPr>
        <w:tblW w:w="0" w:type="auto"/>
        <w:jc w:val="center"/>
        <w:tblLook w:val="04A0" w:firstRow="1" w:lastRow="0" w:firstColumn="1" w:lastColumn="0" w:noHBand="0" w:noVBand="1"/>
      </w:tblPr>
      <w:tblGrid>
        <w:gridCol w:w="7371"/>
      </w:tblGrid>
      <w:tr w:rsidR="006D3DC9" w:rsidRPr="006E437B" w:rsidTr="00470AD7">
        <w:trPr>
          <w:jc w:val="center"/>
        </w:trPr>
        <w:tc>
          <w:tcPr>
            <w:tcW w:w="7371" w:type="dxa"/>
          </w:tcPr>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jc w:val="center"/>
              <w:rPr>
                <w:rFonts w:ascii="Times New Roman" w:hAnsi="Times New Roman" w:cs="Times New Roman"/>
                <w:szCs w:val="24"/>
              </w:rPr>
            </w:pPr>
            <w:r w:rsidRPr="006E437B">
              <w:rPr>
                <w:rFonts w:ascii="Times New Roman" w:hAnsi="Times New Roman" w:cs="Times New Roman"/>
                <w:noProof/>
                <w:szCs w:val="24"/>
              </w:rPr>
              <w:drawing>
                <wp:inline distT="0" distB="0" distL="0" distR="0" wp14:anchorId="49B2DB4E" wp14:editId="6D9421F0">
                  <wp:extent cx="3728466" cy="4101600"/>
                  <wp:effectExtent l="0" t="0" r="5715" b="0"/>
                  <wp:docPr id="505" name="Picture 505"/>
                  <wp:cNvGraphicFramePr/>
                  <a:graphic xmlns:a="http://schemas.openxmlformats.org/drawingml/2006/main">
                    <a:graphicData uri="http://schemas.openxmlformats.org/drawingml/2006/picture">
                      <pic:pic xmlns:pic="http://schemas.openxmlformats.org/drawingml/2006/picture">
                        <pic:nvPicPr>
                          <pic:cNvPr id="505" name="Picture 505"/>
                          <pic:cNvPicPr/>
                        </pic:nvPicPr>
                        <pic:blipFill>
                          <a:blip r:embed="rId9"/>
                          <a:stretch>
                            <a:fillRect/>
                          </a:stretch>
                        </pic:blipFill>
                        <pic:spPr>
                          <a:xfrm>
                            <a:off x="0" y="0"/>
                            <a:ext cx="3748228" cy="4123340"/>
                          </a:xfrm>
                          <a:prstGeom prst="rect">
                            <a:avLst/>
                          </a:prstGeom>
                        </pic:spPr>
                      </pic:pic>
                    </a:graphicData>
                  </a:graphic>
                </wp:inline>
              </w:drawing>
            </w:r>
          </w:p>
          <w:p w:rsidR="006D3DC9" w:rsidRPr="006E437B" w:rsidRDefault="006D3DC9" w:rsidP="00141629">
            <w:pPr>
              <w:spacing w:after="0" w:line="240" w:lineRule="auto"/>
              <w:rPr>
                <w:rFonts w:ascii="Times New Roman" w:hAnsi="Times New Roman" w:cs="Times New Roman"/>
                <w:szCs w:val="24"/>
              </w:rPr>
            </w:pPr>
          </w:p>
        </w:tc>
      </w:tr>
    </w:tbl>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right="855"/>
        <w:jc w:val="both"/>
        <w:rPr>
          <w:rFonts w:ascii="Times New Roman" w:hAnsi="Times New Roman" w:cs="Times New Roman"/>
          <w:sz w:val="24"/>
          <w:szCs w:val="24"/>
        </w:rPr>
      </w:pPr>
      <w:r w:rsidRPr="006E437B">
        <w:rPr>
          <w:rFonts w:ascii="Times New Roman" w:hAnsi="Times New Roman" w:cs="Times New Roman"/>
          <w:sz w:val="24"/>
          <w:szCs w:val="24"/>
        </w:rPr>
        <w:t>De manera complementaria, el análisis de la disponibilidad y calidad del recurso hídrico en el Estado de México permite dimensionar las condiciones estructurales que inciden en el acceso al agua potable en distintos territorios, tal como se observa en el siguiente mapa:</w:t>
      </w:r>
    </w:p>
    <w:p w:rsidR="006D3DC9" w:rsidRPr="006E437B" w:rsidRDefault="006D3DC9" w:rsidP="00141629">
      <w:pPr>
        <w:spacing w:after="0" w:line="240" w:lineRule="auto"/>
        <w:rPr>
          <w:rFonts w:ascii="Times New Roman" w:hAnsi="Times New Roman" w:cs="Times New Roman"/>
          <w:szCs w:val="24"/>
        </w:rPr>
      </w:pPr>
    </w:p>
    <w:tbl>
      <w:tblPr>
        <w:tblW w:w="0" w:type="auto"/>
        <w:jc w:val="center"/>
        <w:tblLook w:val="04A0" w:firstRow="1" w:lastRow="0" w:firstColumn="1" w:lastColumn="0" w:noHBand="0" w:noVBand="1"/>
      </w:tblPr>
      <w:tblGrid>
        <w:gridCol w:w="6379"/>
      </w:tblGrid>
      <w:tr w:rsidR="006D3DC9" w:rsidRPr="006E437B" w:rsidTr="00470AD7">
        <w:trPr>
          <w:jc w:val="center"/>
        </w:trPr>
        <w:tc>
          <w:tcPr>
            <w:tcW w:w="6379" w:type="dxa"/>
          </w:tcPr>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jc w:val="center"/>
              <w:rPr>
                <w:rFonts w:ascii="Times New Roman" w:hAnsi="Times New Roman" w:cs="Times New Roman"/>
                <w:szCs w:val="24"/>
              </w:rPr>
            </w:pPr>
            <w:r w:rsidRPr="006E437B">
              <w:rPr>
                <w:rFonts w:ascii="Times New Roman" w:hAnsi="Times New Roman" w:cs="Times New Roman"/>
                <w:noProof/>
                <w:szCs w:val="24"/>
              </w:rPr>
              <w:lastRenderedPageBreak/>
              <w:drawing>
                <wp:inline distT="0" distB="0" distL="0" distR="0" wp14:anchorId="66E6F5E3" wp14:editId="4573EF7D">
                  <wp:extent cx="3708772" cy="4096970"/>
                  <wp:effectExtent l="0" t="0" r="6350" b="0"/>
                  <wp:docPr id="560" name="Picture 560"/>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10"/>
                          <a:stretch>
                            <a:fillRect/>
                          </a:stretch>
                        </pic:blipFill>
                        <pic:spPr>
                          <a:xfrm>
                            <a:off x="0" y="0"/>
                            <a:ext cx="3743948" cy="4135828"/>
                          </a:xfrm>
                          <a:prstGeom prst="rect">
                            <a:avLst/>
                          </a:prstGeom>
                        </pic:spPr>
                      </pic:pic>
                    </a:graphicData>
                  </a:graphic>
                </wp:inline>
              </w:drawing>
            </w:r>
            <w:r w:rsidRPr="006E437B">
              <w:rPr>
                <w:rFonts w:ascii="Times New Roman" w:hAnsi="Times New Roman" w:cs="Times New Roman"/>
                <w:sz w:val="14"/>
                <w:szCs w:val="24"/>
              </w:rPr>
              <w:t>8</w:t>
            </w:r>
          </w:p>
          <w:p w:rsidR="006D3DC9" w:rsidRPr="006E437B" w:rsidRDefault="006D3DC9" w:rsidP="00141629">
            <w:pPr>
              <w:spacing w:after="0" w:line="240" w:lineRule="auto"/>
              <w:rPr>
                <w:rFonts w:ascii="Times New Roman" w:hAnsi="Times New Roman" w:cs="Times New Roman"/>
                <w:szCs w:val="24"/>
              </w:rPr>
            </w:pPr>
          </w:p>
        </w:tc>
      </w:tr>
    </w:tbl>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contexto, la evidencia territorial presentada permite identificar áreas de oportunidad en el acceso a servicios básicos en los planteles educativos, para fortalecer la toma de decisiones públicas, particularmente en lo relativo a la disponibilidad y calidad del agua potable. Si bien el Gobierno del Estado de México ha impulsado acciones relevantes para fortalecer la infraestructura hídrica y ampliar la cobertura del servicio, los retos asociados a la heterogeneidad territorial hacen necesario consolidar mecanismos normativos que permitan articular de manera más efectiva estos esfuerzos, bajo un enfoque de coordinación institucional y progresividad de los derechos humanos.</w:t>
      </w:r>
    </w:p>
    <w:p w:rsidR="006D3DC9" w:rsidRPr="006E437B" w:rsidRDefault="006D3DC9" w:rsidP="00141629">
      <w:pPr>
        <w:spacing w:after="0" w:line="240" w:lineRule="auto"/>
        <w:ind w:left="-5"/>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8</w:t>
      </w:r>
      <w:r w:rsidRPr="006E437B">
        <w:rPr>
          <w:rFonts w:ascii="Times New Roman" w:hAnsi="Times New Roman" w:cs="Times New Roman"/>
          <w:sz w:val="20"/>
          <w:szCs w:val="24"/>
        </w:rPr>
        <w:t xml:space="preserve"> Gobierno del Estado de México, Comisión del Agua del Estado de México (CAEM), Programa Hídrico Integral del Estado de México 2024–2029, con base en información de la Comisión Nacional del Agua (CONAGUA), 2023.</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sentido, la presente iniciativa no parte de un vacío institucional, sino que busca fortalecer y dar operatividad a las acciones ya emprendidas, mediante la incorporación de disposiciones que permitan garantizar de manera más consistente, verificable y sostenible el acceso al agua potable en los planteles de educación básica, en beneficio de niñas, niños y adolescentes en todo el territorio estatal.</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 xml:space="preserve">OBJETIVO DE LA INICIATIVA </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La presente iniciativa tiene por objeto fortalecer el marco jurídico del Estado de México en materia de garantía del derecho humano al agua en el ámbito educativo, mediante la reforma y adición de diversas disposiciones de la Ley de Educación del Estado de México y del Código Administrativo del Estado de México, a efecto de asegurar que los planteles de educación básica cuenten con </w:t>
      </w:r>
      <w:r w:rsidRPr="006E437B">
        <w:rPr>
          <w:rFonts w:ascii="Times New Roman" w:hAnsi="Times New Roman" w:cs="Times New Roman"/>
          <w:sz w:val="24"/>
          <w:szCs w:val="24"/>
        </w:rPr>
        <w:lastRenderedPageBreak/>
        <w:t>acceso efectivo, continuo, suficiente y salubre al agua potable como condición mínima para el ejercicio del derecho a la educación en condiciones de equidad, inclusión y dignidad.</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En este sentido, la iniciativa tiene como finalidades específicas:</w:t>
      </w:r>
    </w:p>
    <w:p w:rsidR="006D3DC9" w:rsidRPr="006E437B" w:rsidRDefault="006D3DC9" w:rsidP="00141629">
      <w:pPr>
        <w:numPr>
          <w:ilvl w:val="0"/>
          <w:numId w:val="3"/>
        </w:numPr>
        <w:spacing w:after="0" w:line="240" w:lineRule="auto"/>
        <w:ind w:hanging="10"/>
        <w:jc w:val="both"/>
        <w:rPr>
          <w:rFonts w:ascii="Times New Roman" w:hAnsi="Times New Roman" w:cs="Times New Roman"/>
          <w:b/>
          <w:sz w:val="24"/>
          <w:szCs w:val="24"/>
        </w:rPr>
      </w:pPr>
      <w:r w:rsidRPr="006E437B">
        <w:rPr>
          <w:rFonts w:ascii="Times New Roman" w:hAnsi="Times New Roman" w:cs="Times New Roman"/>
          <w:b/>
          <w:i/>
          <w:sz w:val="24"/>
          <w:szCs w:val="24"/>
        </w:rPr>
        <w:t>Consolidar en la legislación estatal el reconocimiento del acceso al agua potable en los centros escolares como un elemento indispensable para la prestación del servicio educativo, en congruencia con el interés superior de la niñez y el principio de progresividad de los derechos humanos.</w:t>
      </w:r>
    </w:p>
    <w:p w:rsidR="006D3DC9" w:rsidRPr="006E437B" w:rsidRDefault="006D3DC9" w:rsidP="00141629">
      <w:pPr>
        <w:numPr>
          <w:ilvl w:val="0"/>
          <w:numId w:val="3"/>
        </w:numPr>
        <w:spacing w:after="0" w:line="240" w:lineRule="auto"/>
        <w:ind w:hanging="10"/>
        <w:jc w:val="both"/>
        <w:rPr>
          <w:rFonts w:ascii="Times New Roman" w:hAnsi="Times New Roman" w:cs="Times New Roman"/>
          <w:b/>
          <w:sz w:val="24"/>
          <w:szCs w:val="24"/>
        </w:rPr>
      </w:pPr>
      <w:r w:rsidRPr="006E437B">
        <w:rPr>
          <w:rFonts w:ascii="Times New Roman" w:hAnsi="Times New Roman" w:cs="Times New Roman"/>
          <w:b/>
          <w:i/>
          <w:sz w:val="24"/>
          <w:szCs w:val="24"/>
        </w:rPr>
        <w:t>Establecer parámetros normativos que orienten la actuación de las autoridades competentes para garantizar la disponibilidad, continuidad, calidad, accesibilidad y funcionalidad del agua potable en los planteles de educación básica, conforme a los estándares constitucionales, legales y sanitarios aplicables.</w:t>
      </w:r>
    </w:p>
    <w:p w:rsidR="006D3DC9" w:rsidRPr="006E437B" w:rsidRDefault="006D3DC9" w:rsidP="00141629">
      <w:pPr>
        <w:numPr>
          <w:ilvl w:val="0"/>
          <w:numId w:val="3"/>
        </w:numPr>
        <w:spacing w:after="0" w:line="240" w:lineRule="auto"/>
        <w:ind w:hanging="10"/>
        <w:jc w:val="both"/>
        <w:rPr>
          <w:rFonts w:ascii="Times New Roman" w:hAnsi="Times New Roman" w:cs="Times New Roman"/>
          <w:b/>
          <w:sz w:val="24"/>
          <w:szCs w:val="24"/>
        </w:rPr>
      </w:pPr>
      <w:r w:rsidRPr="006E437B">
        <w:rPr>
          <w:rFonts w:ascii="Times New Roman" w:hAnsi="Times New Roman" w:cs="Times New Roman"/>
          <w:b/>
          <w:i/>
          <w:sz w:val="24"/>
          <w:szCs w:val="24"/>
        </w:rPr>
        <w:t>Fortalecer la articulación institucional entre las autoridades educativas, sanitarias y municipales, en el ámbito de sus respectivas atribuciones, a fin de asegurar el suministro de agua potable en los centros escolares mediante esquemas de coordinación y concurrencia administrativa.</w:t>
      </w:r>
    </w:p>
    <w:p w:rsidR="006D3DC9" w:rsidRPr="006E437B" w:rsidRDefault="006D3DC9" w:rsidP="00141629">
      <w:pPr>
        <w:numPr>
          <w:ilvl w:val="0"/>
          <w:numId w:val="3"/>
        </w:numPr>
        <w:spacing w:after="0" w:line="240" w:lineRule="auto"/>
        <w:ind w:hanging="10"/>
        <w:jc w:val="both"/>
        <w:rPr>
          <w:rFonts w:ascii="Times New Roman" w:hAnsi="Times New Roman" w:cs="Times New Roman"/>
          <w:b/>
          <w:sz w:val="24"/>
          <w:szCs w:val="24"/>
        </w:rPr>
      </w:pPr>
      <w:r w:rsidRPr="006E437B">
        <w:rPr>
          <w:rFonts w:ascii="Times New Roman" w:hAnsi="Times New Roman" w:cs="Times New Roman"/>
          <w:b/>
          <w:i/>
          <w:sz w:val="24"/>
          <w:szCs w:val="24"/>
        </w:rPr>
        <w:t>Vincular el acceso al agua potable con las condiciones de infraestructura y servicios básicos de los planteles educativos, como parte de los elementos que garantizan entornos adecuados para el aprendizaje, la salud y el desarrollo integral de niñas, niños y adolescentes.</w:t>
      </w:r>
    </w:p>
    <w:p w:rsidR="006D3DC9" w:rsidRPr="006E437B" w:rsidRDefault="006D3DC9" w:rsidP="00141629">
      <w:pPr>
        <w:numPr>
          <w:ilvl w:val="0"/>
          <w:numId w:val="3"/>
        </w:numPr>
        <w:spacing w:after="0" w:line="240" w:lineRule="auto"/>
        <w:ind w:hanging="10"/>
        <w:jc w:val="both"/>
        <w:rPr>
          <w:rFonts w:ascii="Times New Roman" w:hAnsi="Times New Roman" w:cs="Times New Roman"/>
          <w:b/>
          <w:sz w:val="24"/>
          <w:szCs w:val="24"/>
        </w:rPr>
      </w:pPr>
      <w:r w:rsidRPr="006E437B">
        <w:rPr>
          <w:rFonts w:ascii="Times New Roman" w:hAnsi="Times New Roman" w:cs="Times New Roman"/>
          <w:b/>
          <w:i/>
          <w:sz w:val="24"/>
          <w:szCs w:val="24"/>
        </w:rPr>
        <w:t>Contribuir a la reducción de brechas de desigualdad en el acceso a servicios básicos en el sistema educativo estatal, particularmente en contextos rurales, comunidades indígenas y zonas urbanas con mayores niveles de marginación.</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MARCO JURÍDICO Y JUSTIFICACIÓN</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A) CONTEXTO INTERNACIONAL</w:t>
      </w: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El acceso al agua potable, al saneamiento en condiciones adecuadas de higiene ha sido reconocido progresivamente como un derecho humano fundamental en el sistema internacional de derechos humanos, estrechamente vinculado con el derecho a la salud, a la educación y a un nivel de vida adecuado.</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El Comité de Derechos Económicos, Sociales y Culturales de las Naciones Unidas, a través de su Observación General No. 15, ha establecido que el derecho al agua comprende el acceso a agua suficiente, salubre, aceptable, físicamente accesible y asequible para uso personal y doméstico</w:t>
      </w:r>
      <w:r w:rsidRPr="006E437B">
        <w:rPr>
          <w:rFonts w:ascii="Times New Roman" w:hAnsi="Times New Roman" w:cs="Times New Roman"/>
          <w:sz w:val="24"/>
          <w:szCs w:val="24"/>
          <w:vertAlign w:val="superscript"/>
        </w:rPr>
        <w:t>9</w:t>
      </w:r>
      <w:r w:rsidRPr="006E437B">
        <w:rPr>
          <w:rFonts w:ascii="Times New Roman" w:hAnsi="Times New Roman" w:cs="Times New Roman"/>
          <w:sz w:val="24"/>
          <w:szCs w:val="24"/>
        </w:rPr>
        <w:t>. Este estándar ha sido retomado por organismos internacionales especializados como la Organización Mundial de la Salud (OMS) y el Fondo de las Naciones Unidas para la Infancia (UNICEF), particularmente en el ámbito de agua, saneamiento e higiene en escuelas (WASH).</w:t>
      </w:r>
    </w:p>
    <w:p w:rsidR="006D3DC9" w:rsidRPr="006E437B" w:rsidRDefault="006D3DC9" w:rsidP="00141629">
      <w:pPr>
        <w:spacing w:after="0" w:line="240" w:lineRule="auto"/>
        <w:jc w:val="both"/>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sentido, el Programa Conjunto de Monitoreo (JMP) de la OMS y UNICEF ha señalado que la disponibilidad de agua potable en entornos escolares constituye un factor determinante para garantizar condiciones adecuadas de aprendizaje, asistencia escolar, salud pública e inclusión, destacando que la ausencia de estos servicios impacta de manera desproporcionada a poblaciones en situación de vulnerabilidad, particularmente niñas, niños y adolescentes</w:t>
      </w:r>
      <w:r w:rsidRPr="006E437B">
        <w:rPr>
          <w:rFonts w:ascii="Times New Roman" w:hAnsi="Times New Roman" w:cs="Times New Roman"/>
          <w:sz w:val="24"/>
          <w:szCs w:val="24"/>
          <w:vertAlign w:val="superscript"/>
        </w:rPr>
        <w:t>10</w:t>
      </w:r>
      <w:r w:rsidRPr="006E437B">
        <w:rPr>
          <w:rFonts w:ascii="Times New Roman" w:hAnsi="Times New Roman" w:cs="Times New Roman"/>
          <w:sz w:val="24"/>
          <w:szCs w:val="24"/>
        </w:rPr>
        <w:t>.</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Estos estándares internacionales constituyen parámetros interpretativos relevantes para los Estados en la implementación progresiva del derecho humano al agua, especialmente en espacios públicos como los centros educativos, donde convergen derechos fundamentales interdependientes.</w:t>
      </w:r>
    </w:p>
    <w:p w:rsidR="006D3DC9" w:rsidRPr="006E437B" w:rsidRDefault="006D3DC9" w:rsidP="00141629">
      <w:pPr>
        <w:spacing w:after="0" w:line="240" w:lineRule="auto"/>
        <w:ind w:left="-5"/>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lastRenderedPageBreak/>
        <w:t>9</w:t>
      </w:r>
      <w:r w:rsidRPr="006E437B">
        <w:rPr>
          <w:rFonts w:ascii="Times New Roman" w:hAnsi="Times New Roman" w:cs="Times New Roman"/>
          <w:sz w:val="20"/>
          <w:szCs w:val="24"/>
        </w:rPr>
        <w:t xml:space="preserve"> Comité de Derechos Económicos, Sociales y Culturales de las Naciones Unidas, Observación General No. 15 (2002), El derecho al agua (artículos 11 y 12 del Pacto Internacional de Derechos Económicos, Sociales y Culturales).</w:t>
      </w: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10</w:t>
      </w:r>
      <w:r w:rsidRPr="006E437B">
        <w:rPr>
          <w:rFonts w:ascii="Times New Roman" w:hAnsi="Times New Roman" w:cs="Times New Roman"/>
          <w:sz w:val="20"/>
          <w:szCs w:val="24"/>
        </w:rPr>
        <w:t xml:space="preserve"> Organización Mundial de la Salud (WHO) y Fondo de las Naciones Unidas para la Infancia (UNICEF), Progress on Drinking Water, Sanitation and Hygiene in Schools 2015-2023, Joint Monitoring Programme (JMP), 2024.</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B) CONTEXTO NACIONAL</w:t>
      </w: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el orden jurídico mexicano, el artículo 4° de la Constitución Política de los Estados Unidos Mexicanos reconoce expresamente el derecho humano al acceso, disposición y saneamiento de agua para consumo personal y doméstico en forma suficiente, salubre, aceptable y asequible, estableciendo la obligación del Estado de garantizar este derecho</w:t>
      </w:r>
      <w:r w:rsidRPr="006E437B">
        <w:rPr>
          <w:rFonts w:ascii="Times New Roman" w:hAnsi="Times New Roman" w:cs="Times New Roman"/>
          <w:sz w:val="24"/>
          <w:szCs w:val="24"/>
          <w:vertAlign w:val="superscript"/>
        </w:rPr>
        <w:t>11</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Asimismo, el propio texto constitucional incorpora el principio del interés superior de la niñez como criterio rector en la toma de decisiones del Estado, lo que implica que todas las políticas públicas y disposiciones normativas deben priorizar el bienestar y desarrollo integral de niñas, niños y adolescentes.</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el ámbito educativo, la Ley General de Educación establece que el Estado debe garantizar el derecho a la educación en condiciones de equidad, inclusión y excelencia, asegurando que los servicios educativos cuenten con las condiciones necesarias para su adecuada prestación, incluyendo infraestructura y servicios básicos</w:t>
      </w:r>
      <w:r w:rsidRPr="006E437B">
        <w:rPr>
          <w:rFonts w:ascii="Times New Roman" w:hAnsi="Times New Roman" w:cs="Times New Roman"/>
          <w:sz w:val="24"/>
          <w:szCs w:val="24"/>
          <w:vertAlign w:val="superscript"/>
        </w:rPr>
        <w:t>12</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su parte, la Ley General de Salud y la normativa sanitaria aplicable, incluyendo la Norma Oficial Mexicana NOM-127-SSA1-2021, establecen los parámetros de calidad del agua para uso y consumo humano, así como los criterios de control sanitario que garantizan su salubridad</w:t>
      </w:r>
      <w:r w:rsidRPr="006E437B">
        <w:rPr>
          <w:rFonts w:ascii="Times New Roman" w:hAnsi="Times New Roman" w:cs="Times New Roman"/>
          <w:sz w:val="24"/>
          <w:szCs w:val="24"/>
          <w:vertAlign w:val="superscript"/>
        </w:rPr>
        <w:t>13</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De esta manera, el marco jurídico nacional reconoce el derecho al agua y establece estándares técnicos para su calidad, así como principios rectores para la prestación del servicio educativo; sin embargo, no desarrolla de manera específica su exigibilidad dentro del entorno escolar.</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sz w:val="24"/>
          <w:szCs w:val="24"/>
        </w:rPr>
        <w:t>C) CONTEXTO ESTATAL: ESTADO DE MÉXICO</w:t>
      </w: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Constitución Política del Estado Libre y Soberano de México reconoce el derecho de toda persona al acceso y disposición de agua en condiciones suficientes, salubres y asequibles, en concordancia con el marco constitucional federal</w:t>
      </w:r>
      <w:r w:rsidRPr="006E437B">
        <w:rPr>
          <w:rFonts w:ascii="Times New Roman" w:hAnsi="Times New Roman" w:cs="Times New Roman"/>
          <w:sz w:val="24"/>
          <w:szCs w:val="24"/>
          <w:vertAlign w:val="superscript"/>
        </w:rPr>
        <w:t>14</w:t>
      </w:r>
      <w:r w:rsidRPr="006E437B">
        <w:rPr>
          <w:rFonts w:ascii="Times New Roman" w:hAnsi="Times New Roman" w:cs="Times New Roman"/>
          <w:sz w:val="24"/>
          <w:szCs w:val="24"/>
        </w:rPr>
        <w:t>.</w:t>
      </w:r>
    </w:p>
    <w:p w:rsidR="006D3DC9" w:rsidRPr="006E437B" w:rsidRDefault="006D3DC9" w:rsidP="00141629">
      <w:pPr>
        <w:spacing w:after="0" w:line="240" w:lineRule="auto"/>
        <w:ind w:left="-5"/>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11</w:t>
      </w:r>
      <w:r w:rsidRPr="006E437B">
        <w:rPr>
          <w:rFonts w:ascii="Times New Roman" w:hAnsi="Times New Roman" w:cs="Times New Roman"/>
          <w:sz w:val="20"/>
          <w:szCs w:val="24"/>
        </w:rPr>
        <w:t xml:space="preserve"> Constitución Política de los Estados Unidos Mexicanos, artículo 4o, párrafo sexto, Diario Oficial de la Federación.</w:t>
      </w: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12</w:t>
      </w:r>
      <w:r w:rsidRPr="006E437B">
        <w:rPr>
          <w:rFonts w:ascii="Times New Roman" w:hAnsi="Times New Roman" w:cs="Times New Roman"/>
          <w:sz w:val="20"/>
          <w:szCs w:val="24"/>
        </w:rPr>
        <w:t xml:space="preserve"> Ley General de Educación, artículos relativos al interés superior de la niñez, condiciones de prestación del servicio educativo y criterios de equidad, inclusión y excelencia, Cámara de Diputados del H. Congreso de la Unión.</w:t>
      </w: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13</w:t>
      </w:r>
      <w:r w:rsidRPr="006E437B">
        <w:rPr>
          <w:rFonts w:ascii="Times New Roman" w:hAnsi="Times New Roman" w:cs="Times New Roman"/>
          <w:sz w:val="20"/>
          <w:szCs w:val="24"/>
        </w:rPr>
        <w:t xml:space="preserve"> Norma Oficial Mexicana NOM-127-SSA1-2021, Agua para uso y consumo humano. Límites permisibles de la calidad del agua, Secretaria de Salud.</w:t>
      </w: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 xml:space="preserve">14 </w:t>
      </w:r>
      <w:r w:rsidRPr="006E437B">
        <w:rPr>
          <w:rFonts w:ascii="Times New Roman" w:hAnsi="Times New Roman" w:cs="Times New Roman"/>
          <w:sz w:val="20"/>
          <w:szCs w:val="24"/>
        </w:rPr>
        <w:t xml:space="preserve">Constitución Política del Estado Libre y Soberano de México, disposiciones relativas al derecho al agua </w:t>
      </w:r>
    </w:p>
    <w:p w:rsidR="006D3DC9" w:rsidRPr="006E437B" w:rsidRDefault="006D3DC9" w:rsidP="00141629">
      <w:pPr>
        <w:spacing w:after="0" w:line="240" w:lineRule="auto"/>
        <w:ind w:left="-5"/>
        <w:rPr>
          <w:rFonts w:ascii="Times New Roman" w:hAnsi="Times New Roman" w:cs="Times New Roman"/>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materia educativa, la Ley de Educación del Estado de México dispone que la educación debe impartirse bajo criterios de excelencia, equidad e inclusión, y que los planteles educativos deben cumplir condiciones de calidad, seguridad, funcionalidad, accesibilidad e higiene, como elementos indispensables para el desarrollo integral del alumnado</w:t>
      </w:r>
      <w:r w:rsidRPr="006E437B">
        <w:rPr>
          <w:rFonts w:ascii="Times New Roman" w:hAnsi="Times New Roman" w:cs="Times New Roman"/>
          <w:sz w:val="24"/>
          <w:szCs w:val="24"/>
          <w:vertAlign w:val="superscript"/>
        </w:rPr>
        <w:t>15</w:t>
      </w:r>
      <w:r w:rsidRPr="006E437B">
        <w:rPr>
          <w:rFonts w:ascii="Times New Roman" w:hAnsi="Times New Roman" w:cs="Times New Roman"/>
          <w:sz w:val="24"/>
          <w:szCs w:val="24"/>
        </w:rPr>
        <w:t>.</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su parte, el Código Administrativo del Estado de México regula los servicios públicos relacionados con el suministro de agua potable, estableciendo las bases para su prestación, operación y mantenimiento, así como la participación de los municipios y organismos operadores en la gestión del recurso hídrico</w:t>
      </w:r>
      <w:r w:rsidRPr="006E437B">
        <w:rPr>
          <w:rFonts w:ascii="Times New Roman" w:hAnsi="Times New Roman" w:cs="Times New Roman"/>
          <w:sz w:val="24"/>
          <w:szCs w:val="24"/>
          <w:vertAlign w:val="superscript"/>
        </w:rPr>
        <w:t>16</w:t>
      </w:r>
      <w:r w:rsidRPr="006E437B">
        <w:rPr>
          <w:rFonts w:ascii="Times New Roman" w:hAnsi="Times New Roman" w:cs="Times New Roman"/>
          <w:sz w:val="24"/>
          <w:szCs w:val="24"/>
        </w:rPr>
        <w:t>.</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lastRenderedPageBreak/>
        <w:t>Asimismo, la Ley del Agua para el Estado de México y Municipios establece el marco jurídico para la explotación, uso, aprovechamiento, control y suministro del agua, definiendo competencias concurrentes entre autoridades estatales y municipales, así como los mecanismos de coordinación para su gestión</w:t>
      </w:r>
      <w:r w:rsidRPr="006E437B">
        <w:rPr>
          <w:rFonts w:ascii="Times New Roman" w:hAnsi="Times New Roman" w:cs="Times New Roman"/>
          <w:sz w:val="24"/>
          <w:szCs w:val="24"/>
          <w:vertAlign w:val="superscript"/>
        </w:rPr>
        <w:t>17</w:t>
      </w:r>
      <w:r w:rsidRPr="006E437B">
        <w:rPr>
          <w:rFonts w:ascii="Times New Roman" w:hAnsi="Times New Roman" w:cs="Times New Roman"/>
          <w:sz w:val="24"/>
          <w:szCs w:val="24"/>
        </w:rPr>
        <w:t>.</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contexto, el orden jurídico estatal reconoce el derecho al agua y regula su prestación desde una perspectiva de servicio público; sin embargo, no existe una disposición específica que vincule de manera expresa dicho derecho con la prestación del servicio educativo en los planteles de educación básica.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sz w:val="24"/>
          <w:szCs w:val="24"/>
        </w:rPr>
        <w:t>JUSTIFICACIÓN DE LA INICIATIVA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presente iniciativa se sustenta en la necesidad de fortalecer el marco jurídico estatal mediante la articulación normativa entre el derecho humano al agua y el sistema educativo, a fin de garantizar su cumplimiento efectivo en los planteles de educación básica. Si bien el derecho al agua se encuentra plenamente reconocido en el orden constitucional y existe regulación sectorial en materia hídrica y sanitaria, la ausencia de una previsión normativa específica representa un área de mejora en el ámbito diseño normativo vigente.</w:t>
      </w:r>
    </w:p>
    <w:p w:rsidR="006D3DC9" w:rsidRPr="006E437B" w:rsidRDefault="006D3DC9" w:rsidP="00141629">
      <w:pPr>
        <w:spacing w:after="0" w:line="240" w:lineRule="auto"/>
        <w:ind w:left="-5"/>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 xml:space="preserve">15 </w:t>
      </w:r>
      <w:r w:rsidRPr="006E437B">
        <w:rPr>
          <w:rFonts w:ascii="Times New Roman" w:hAnsi="Times New Roman" w:cs="Times New Roman"/>
          <w:sz w:val="20"/>
          <w:szCs w:val="24"/>
        </w:rPr>
        <w:t>Ley de Educación del Estado de México, disposiciones relativas a condiciones de infraestructura, higiene, accesibilidad y calidad de los planteles educativos.</w:t>
      </w: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16</w:t>
      </w:r>
      <w:r w:rsidRPr="006E437B">
        <w:rPr>
          <w:rFonts w:ascii="Times New Roman" w:hAnsi="Times New Roman" w:cs="Times New Roman"/>
          <w:sz w:val="20"/>
          <w:szCs w:val="24"/>
        </w:rPr>
        <w:t xml:space="preserve"> Código Administrativo del Estado de México, Libro Sexto (agua, obra pública e infraestructura), disposiciones relativas al servicio de agua potable.</w:t>
      </w:r>
    </w:p>
    <w:p w:rsidR="006D3DC9" w:rsidRPr="006E437B" w:rsidRDefault="006D3DC9" w:rsidP="00141629">
      <w:pPr>
        <w:spacing w:after="0" w:line="240" w:lineRule="auto"/>
        <w:ind w:left="-5"/>
        <w:jc w:val="both"/>
        <w:rPr>
          <w:rFonts w:ascii="Times New Roman" w:hAnsi="Times New Roman" w:cs="Times New Roman"/>
          <w:sz w:val="20"/>
          <w:szCs w:val="24"/>
        </w:rPr>
      </w:pPr>
      <w:r w:rsidRPr="006E437B">
        <w:rPr>
          <w:rFonts w:ascii="Times New Roman" w:hAnsi="Times New Roman" w:cs="Times New Roman"/>
          <w:sz w:val="20"/>
          <w:szCs w:val="24"/>
          <w:vertAlign w:val="superscript"/>
        </w:rPr>
        <w:t>17</w:t>
      </w:r>
      <w:r w:rsidRPr="006E437B">
        <w:rPr>
          <w:rFonts w:ascii="Times New Roman" w:hAnsi="Times New Roman" w:cs="Times New Roman"/>
          <w:sz w:val="20"/>
          <w:szCs w:val="24"/>
        </w:rPr>
        <w:t xml:space="preserve"> Ley del Agua para el Estado de México y Municipios, disposiciones sobre uso, aprovechamiento y suministro del recurso hídrico.</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sentido, la reforma propuesta no implica la creación de un derecho nuevo, sino que tiene por objeto impulsar en la practica un derecho ya reconocido, mediante la incorporación de disposiciones que establezcan obligaciones claras para las autoridades competentes en el ámbito de sus atribuciones.</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Asimismo, la iniciativa se sustenta en un enfoque de coordinación interinstitucional, que permite articular las competencias de las autoridades educativas, sanitarias y municipales, sin implicar la creación de nuevas estructuras administrativas. De igual forma, la reforma responde al principio de progresividad de los derechos humanos, al fortalecer los mecanismos normativos que permiten su cumplimiento efectivo, en concordancia con el interés superior de la niñez y los objetivos de desarrollo social del Estado de México.</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incorporación de una obligación expresa en la legislación estatal permitirá que el acceso al agua potable en los planteles de educación básica deje de depender exclusivamente de acciones programáticas o administrativas y se consolide como un mandato jurídico verificable dentro del sistema educativo estatal, susceptible de seguimiento a través de los instrumentos de planeación y evaluación institucional.</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Finalmente, la iniciativa contribuye a establecer condiciones mínimas homogéneas en los centros educativos, orientadas a reducir brechas territoriales, fortalecer la equidad en el acceso a servicios básicos y garantizar entornos adecuados para el aprendizaje, la salud y el desarrollo integral de niñas, niños y adolescentes.</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lastRenderedPageBreak/>
        <w:t>Lo anterior pone de manifiesto que la ausencia de una previsión normativa específica no es un aspecto menor, sino un área de oportunidad relevante, para fortalecer la garantía de un derecho humano fundamental en el entorno escolar.</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PROPUESTA NORMATIVA Y BENEFICIOS ESPERADOS</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presente iniciativa propone una armonización normativa entre la Ley de Educación del Estado de México y el Código Administrativo del Estado de México, con el objeto de vincular de manera expresa el derecho humano al agua con la prestación del servicio educativo en los planteles de educación básica, en congruencia con el marco constitucional, legal y programático vigente.</w:t>
      </w:r>
    </w:p>
    <w:p w:rsidR="006D3DC9" w:rsidRPr="006E437B" w:rsidRDefault="006D3DC9" w:rsidP="00141629">
      <w:pPr>
        <w:spacing w:after="0" w:line="240" w:lineRule="auto"/>
        <w:jc w:val="both"/>
        <w:rPr>
          <w:rFonts w:ascii="Times New Roman" w:hAnsi="Times New Roman" w:cs="Times New Roman"/>
          <w:sz w:val="28"/>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Dicha armonización se sustenta en la necesidad de articular disposiciones ya existentes en materia de educación, salud e infraestructura, a efecto de consolidar una obligación jurídica clara que permita garantizar el acceso efectivo al agua potable en el entorno escolar, sin modificar la estructura general de los ordenamientos ni generar nuevas cargas fuera del ámbito de las atribuciones vigentes. En este sentido, la reforma plantea: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numPr>
          <w:ilvl w:val="0"/>
          <w:numId w:val="4"/>
        </w:numPr>
        <w:spacing w:after="0" w:line="240" w:lineRule="auto"/>
        <w:ind w:hanging="10"/>
        <w:jc w:val="both"/>
        <w:rPr>
          <w:rFonts w:ascii="Times New Roman" w:hAnsi="Times New Roman" w:cs="Times New Roman"/>
          <w:sz w:val="24"/>
          <w:szCs w:val="24"/>
        </w:rPr>
      </w:pPr>
      <w:r w:rsidRPr="006E437B">
        <w:rPr>
          <w:rFonts w:ascii="Times New Roman" w:hAnsi="Times New Roman" w:cs="Times New Roman"/>
          <w:i/>
          <w:sz w:val="24"/>
          <w:szCs w:val="24"/>
        </w:rPr>
        <w:t>Incorporar en la legislación educativa estatal una disposición expresa que reconozca el acceso al agua potable como parte de las condiciones mínimas para la prestación del servicio educativo, en congruencia con los criterios de equidad, inclusión, salud e interés superior de la niñez</w:t>
      </w:r>
      <w:r w:rsidRPr="006E437B">
        <w:rPr>
          <w:rFonts w:ascii="Times New Roman" w:hAnsi="Times New Roman" w:cs="Times New Roman"/>
          <w:i/>
          <w:sz w:val="24"/>
          <w:szCs w:val="24"/>
          <w:vertAlign w:val="superscript"/>
        </w:rPr>
        <w:t>18</w:t>
      </w:r>
      <w:r w:rsidRPr="006E437B">
        <w:rPr>
          <w:rFonts w:ascii="Times New Roman" w:hAnsi="Times New Roman" w:cs="Times New Roman"/>
          <w:i/>
          <w:sz w:val="24"/>
          <w:szCs w:val="24"/>
        </w:rPr>
        <w:t>.</w:t>
      </w:r>
    </w:p>
    <w:p w:rsidR="006D3DC9" w:rsidRPr="006E437B" w:rsidRDefault="006D3DC9" w:rsidP="00141629">
      <w:pPr>
        <w:numPr>
          <w:ilvl w:val="0"/>
          <w:numId w:val="4"/>
        </w:numPr>
        <w:spacing w:after="0" w:line="240" w:lineRule="auto"/>
        <w:ind w:hanging="10"/>
        <w:jc w:val="both"/>
        <w:rPr>
          <w:rFonts w:ascii="Times New Roman" w:hAnsi="Times New Roman" w:cs="Times New Roman"/>
          <w:sz w:val="24"/>
          <w:szCs w:val="24"/>
        </w:rPr>
      </w:pPr>
      <w:r w:rsidRPr="006E437B">
        <w:rPr>
          <w:rFonts w:ascii="Times New Roman" w:hAnsi="Times New Roman" w:cs="Times New Roman"/>
          <w:i/>
          <w:sz w:val="24"/>
          <w:szCs w:val="24"/>
        </w:rPr>
        <w:t>Precisar que las condiciones de infraestructura y servicios básicos de los planteles educativos comprenden la disponibilidad efectiva de agua potable en condiciones de continuidad, salubridad, accesibilidad y funcionalidad, conforme a los estándares constitucionales y sanitarios aplicables</w:t>
      </w:r>
      <w:r w:rsidRPr="006E437B">
        <w:rPr>
          <w:rFonts w:ascii="Times New Roman" w:hAnsi="Times New Roman" w:cs="Times New Roman"/>
          <w:i/>
          <w:sz w:val="24"/>
          <w:szCs w:val="24"/>
          <w:vertAlign w:val="superscript"/>
        </w:rPr>
        <w:t>19</w:t>
      </w:r>
      <w:r w:rsidRPr="006E437B">
        <w:rPr>
          <w:rFonts w:ascii="Times New Roman" w:hAnsi="Times New Roman" w:cs="Times New Roman"/>
          <w:i/>
          <w:sz w:val="24"/>
          <w:szCs w:val="24"/>
        </w:rPr>
        <w:t>.</w:t>
      </w:r>
    </w:p>
    <w:p w:rsidR="006D3DC9" w:rsidRPr="006E437B" w:rsidRDefault="006D3DC9" w:rsidP="00141629">
      <w:pPr>
        <w:numPr>
          <w:ilvl w:val="0"/>
          <w:numId w:val="4"/>
        </w:numPr>
        <w:spacing w:after="0" w:line="240" w:lineRule="auto"/>
        <w:ind w:hanging="10"/>
        <w:jc w:val="both"/>
        <w:rPr>
          <w:rFonts w:ascii="Times New Roman" w:hAnsi="Times New Roman" w:cs="Times New Roman"/>
          <w:sz w:val="24"/>
          <w:szCs w:val="24"/>
        </w:rPr>
      </w:pPr>
      <w:r w:rsidRPr="006E437B">
        <w:rPr>
          <w:rFonts w:ascii="Times New Roman" w:hAnsi="Times New Roman" w:cs="Times New Roman"/>
          <w:i/>
          <w:sz w:val="24"/>
          <w:szCs w:val="24"/>
        </w:rPr>
        <w:t>Establecer la vinculación normativa con el régimen de prestación de los servicios públicos de agua potable regulados en el Código Administrativo del Estado de México, a efecto de que las autoridades competentes, en el ámbito de sus atribuciones, coadyuven en el suministro del recurso hídrico a los planteles educativos, mediante esquemas de coordinación institucional</w:t>
      </w:r>
      <w:r w:rsidRPr="006E437B">
        <w:rPr>
          <w:rFonts w:ascii="Times New Roman" w:hAnsi="Times New Roman" w:cs="Times New Roman"/>
          <w:i/>
          <w:sz w:val="24"/>
          <w:szCs w:val="24"/>
          <w:vertAlign w:val="superscript"/>
        </w:rPr>
        <w:t>20</w:t>
      </w:r>
      <w:r w:rsidRPr="006E437B">
        <w:rPr>
          <w:rFonts w:ascii="Times New Roman" w:hAnsi="Times New Roman" w:cs="Times New Roman"/>
          <w:i/>
          <w:sz w:val="24"/>
          <w:szCs w:val="24"/>
        </w:rPr>
        <w:t>.</w:t>
      </w: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i/>
          <w:sz w:val="24"/>
          <w:szCs w:val="24"/>
        </w:rPr>
        <w:t>IV. Prever que la implementación de las disposiciones propuestas se realizará mediante mecanismos de coordinación interinstitucional entre autoridades educativas, sanitarias y municipales, en congruencia con los instrumentos de planeación estatal en materia de agua y desarrollo social</w:t>
      </w:r>
      <w:r w:rsidRPr="006E437B">
        <w:rPr>
          <w:rFonts w:ascii="Times New Roman" w:hAnsi="Times New Roman" w:cs="Times New Roman"/>
          <w:i/>
          <w:sz w:val="24"/>
          <w:szCs w:val="24"/>
          <w:vertAlign w:val="superscript"/>
        </w:rPr>
        <w:t>21</w:t>
      </w:r>
      <w:r w:rsidRPr="006E437B">
        <w:rPr>
          <w:rFonts w:ascii="Times New Roman" w:hAnsi="Times New Roman" w:cs="Times New Roman"/>
          <w:i/>
          <w:sz w:val="24"/>
          <w:szCs w:val="24"/>
        </w:rPr>
        <w:t>.</w:t>
      </w: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i/>
          <w:sz w:val="24"/>
          <w:szCs w:val="24"/>
        </w:rPr>
        <w:t>V. Impulsar el aprovechamiento de las capacidades institucionales existentes para garantizar el suministro de agua potable en los planteles escolares, priorizando aquellos ubicados en zonas con mayores condiciones de rezago, en atención a la evidencia diagnóstica disponible sobre desigualdad en infraestructura educativa</w:t>
      </w:r>
      <w:r w:rsidRPr="006E437B">
        <w:rPr>
          <w:rFonts w:ascii="Times New Roman" w:hAnsi="Times New Roman" w:cs="Times New Roman"/>
          <w:i/>
          <w:sz w:val="24"/>
          <w:szCs w:val="24"/>
          <w:vertAlign w:val="superscript"/>
        </w:rPr>
        <w:t>22</w:t>
      </w:r>
      <w:r w:rsidRPr="006E437B">
        <w:rPr>
          <w:rFonts w:ascii="Times New Roman" w:hAnsi="Times New Roman" w:cs="Times New Roman"/>
          <w:i/>
          <w:sz w:val="24"/>
          <w:szCs w:val="24"/>
        </w:rPr>
        <w:t>.</w:t>
      </w:r>
    </w:p>
    <w:p w:rsidR="006D3DC9" w:rsidRPr="006E437B" w:rsidRDefault="006D3DC9" w:rsidP="00141629">
      <w:pPr>
        <w:spacing w:after="0" w:line="240" w:lineRule="auto"/>
        <w:ind w:left="-5"/>
        <w:jc w:val="both"/>
        <w:rPr>
          <w:rFonts w:ascii="Times New Roman" w:hAnsi="Times New Roman" w:cs="Times New Roman"/>
          <w:i/>
          <w:sz w:val="24"/>
          <w:szCs w:val="24"/>
        </w:rPr>
      </w:pP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 xml:space="preserve">18 </w:t>
      </w:r>
      <w:r w:rsidRPr="006E437B">
        <w:rPr>
          <w:rFonts w:ascii="Times New Roman" w:hAnsi="Times New Roman" w:cs="Times New Roman"/>
          <w:sz w:val="20"/>
          <w:szCs w:val="24"/>
        </w:rPr>
        <w:t>Constitución política de los estados unidos mexicanos, artículo 4o., párrafo sexto (derecho humano al agua), en relación con el principio del interés superior de la niñez; así como comité de derechos económicos, sociales y culturales de las naciones unidas, observación general No. 15 (2002), el derecho al agua (arts. 11 y 12 del pacto internacional de derechos económicos, sociales y culturales ), que define los elementos de disponibilidad, calidad, accesibilidad física y asequibilidad como componentes esenciales del derecho.</w:t>
      </w:r>
    </w:p>
    <w:p w:rsidR="006D3DC9" w:rsidRPr="006E437B" w:rsidRDefault="006D3DC9" w:rsidP="00141629">
      <w:pPr>
        <w:pStyle w:val="footnotedescription"/>
        <w:spacing w:line="240" w:lineRule="auto"/>
        <w:ind w:right="5"/>
        <w:rPr>
          <w:rFonts w:ascii="Times New Roman" w:hAnsi="Times New Roman" w:cs="Times New Roman"/>
          <w:color w:val="auto"/>
          <w:sz w:val="20"/>
          <w:szCs w:val="24"/>
        </w:rPr>
      </w:pPr>
      <w:r w:rsidRPr="006E437B">
        <w:rPr>
          <w:rStyle w:val="footnotemark"/>
          <w:rFonts w:ascii="Times New Roman" w:hAnsi="Times New Roman" w:cs="Times New Roman"/>
          <w:color w:val="auto"/>
          <w:sz w:val="20"/>
          <w:szCs w:val="24"/>
        </w:rPr>
        <w:t xml:space="preserve">19 </w:t>
      </w:r>
      <w:r w:rsidRPr="006E437B">
        <w:rPr>
          <w:rFonts w:ascii="Times New Roman" w:hAnsi="Times New Roman" w:cs="Times New Roman"/>
          <w:color w:val="auto"/>
          <w:sz w:val="20"/>
          <w:szCs w:val="24"/>
        </w:rPr>
        <w:t xml:space="preserve">Norma Oficial Mexicana NOM-127-SSA1-2021, Agua para uso y consumo humano. Límites permisibles de calidad, Secretaría de Salud, Diario Oficial de la Federación, que establece los parámetros microbiológicos, físicos y químicos para garantizar la salubridad del agua; en relación con el marco de vigilancia sanitaria a cargo de la Comisión Federal para la Protección contra Riesgos Sanitarios (COFEPRIS). </w:t>
      </w:r>
    </w:p>
    <w:p w:rsidR="006D3DC9" w:rsidRPr="006E437B" w:rsidRDefault="006D3DC9" w:rsidP="00141629">
      <w:pPr>
        <w:pStyle w:val="footnotedescription"/>
        <w:spacing w:line="240" w:lineRule="auto"/>
        <w:ind w:right="4"/>
        <w:rPr>
          <w:rFonts w:ascii="Times New Roman" w:hAnsi="Times New Roman" w:cs="Times New Roman"/>
          <w:color w:val="auto"/>
          <w:sz w:val="20"/>
          <w:szCs w:val="24"/>
        </w:rPr>
      </w:pPr>
      <w:r w:rsidRPr="006E437B">
        <w:rPr>
          <w:rStyle w:val="footnotemark"/>
          <w:rFonts w:ascii="Times New Roman" w:hAnsi="Times New Roman" w:cs="Times New Roman"/>
          <w:color w:val="auto"/>
          <w:sz w:val="20"/>
          <w:szCs w:val="24"/>
        </w:rPr>
        <w:t xml:space="preserve">20 </w:t>
      </w:r>
      <w:r w:rsidRPr="006E437B">
        <w:rPr>
          <w:rFonts w:ascii="Times New Roman" w:hAnsi="Times New Roman" w:cs="Times New Roman"/>
          <w:color w:val="auto"/>
          <w:sz w:val="20"/>
          <w:szCs w:val="24"/>
        </w:rPr>
        <w:t xml:space="preserve">Código Administrativo del Estado de México, Libro Sexto, relativo a la infraestructura y servicios públicos, particularmente las disposiciones en materia de agua potable, drenaje, alcantarillado y saneamiento, que regulan la </w:t>
      </w:r>
      <w:r w:rsidRPr="006E437B">
        <w:rPr>
          <w:rFonts w:ascii="Times New Roman" w:hAnsi="Times New Roman" w:cs="Times New Roman"/>
          <w:color w:val="auto"/>
          <w:sz w:val="20"/>
          <w:szCs w:val="24"/>
        </w:rPr>
        <w:lastRenderedPageBreak/>
        <w:t xml:space="preserve">prestación del servicio público por parte de los municipios y organismos operadores, en términos de las atribuciones concurrentes previstas en el orden jurídico estatal. </w:t>
      </w:r>
    </w:p>
    <w:p w:rsidR="006D3DC9" w:rsidRPr="006E437B" w:rsidRDefault="006D3DC9" w:rsidP="00141629">
      <w:pPr>
        <w:spacing w:after="0" w:line="240" w:lineRule="auto"/>
        <w:jc w:val="both"/>
        <w:rPr>
          <w:rFonts w:ascii="Times New Roman" w:hAnsi="Times New Roman" w:cs="Times New Roman"/>
          <w:sz w:val="20"/>
          <w:szCs w:val="24"/>
        </w:rPr>
      </w:pPr>
      <w:r w:rsidRPr="006E437B">
        <w:rPr>
          <w:rStyle w:val="footnotemark"/>
          <w:rFonts w:ascii="Times New Roman" w:hAnsi="Times New Roman" w:cs="Times New Roman"/>
          <w:color w:val="auto"/>
          <w:sz w:val="20"/>
          <w:szCs w:val="24"/>
        </w:rPr>
        <w:t xml:space="preserve">21 </w:t>
      </w:r>
      <w:r w:rsidRPr="006E437B">
        <w:rPr>
          <w:rFonts w:ascii="Times New Roman" w:hAnsi="Times New Roman" w:cs="Times New Roman"/>
          <w:sz w:val="20"/>
          <w:szCs w:val="24"/>
        </w:rPr>
        <w:t>Gobierno del Estado de México, Plan de Desarrollo del Estado de México 2023–2029, Eje 2 “Bienestar ambiental y acceso universal al agua”, instrumento rector de la planeación democrática estatal, que establece como objetivo el fortalecimiento de la gestión hídrica, el acceso universal al agua y la reducción de brechas territoriales en la prestación de servicios básicos.</w:t>
      </w:r>
    </w:p>
    <w:p w:rsidR="006D3DC9" w:rsidRPr="006E437B" w:rsidRDefault="006D3DC9" w:rsidP="00141629">
      <w:pPr>
        <w:spacing w:after="0" w:line="240" w:lineRule="auto"/>
        <w:ind w:left="-5"/>
        <w:jc w:val="both"/>
        <w:rPr>
          <w:rFonts w:ascii="Times New Roman" w:hAnsi="Times New Roman" w:cs="Times New Roman"/>
          <w:i/>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armonización normativa propuesta permite transitar de un esquema en el que el acceso al agua en las escuelas depende de acciones programáticas, a un modelo en el que dicho acceso se configura como una obligación jurídica explícita, articulada y verificable, dentro del sistema educativo estatal.</w:t>
      </w:r>
    </w:p>
    <w:p w:rsidR="006D3DC9" w:rsidRPr="006E437B" w:rsidRDefault="006D3DC9" w:rsidP="00141629">
      <w:pPr>
        <w:spacing w:after="0" w:line="240" w:lineRule="auto"/>
        <w:ind w:left="-5"/>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sz w:val="24"/>
          <w:szCs w:val="24"/>
        </w:rPr>
        <w:t>BENEFICIOS ESPERADOS</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implementación de la presente iniciativa generará beneficios directos en distintos ámbitos, en congruencia con la evidencia técnica y sanitaria ya expuesta en el cuerpo de la iniciativa.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 Salud pública. -</w:t>
      </w:r>
      <w:r w:rsidRPr="006E437B">
        <w:rPr>
          <w:rFonts w:ascii="Times New Roman" w:hAnsi="Times New Roman" w:cs="Times New Roman"/>
          <w:sz w:val="24"/>
          <w:szCs w:val="24"/>
        </w:rPr>
        <w:t xml:space="preserve"> La disponibilidad de agua potable en los planteles escolares contribuirá a la reducción de riesgos sanitarios asociados a enfermedades de origen hídrico, en atención a la evidencia epidemiológica existente en población infantil y adolescente en México</w:t>
      </w:r>
      <w:r w:rsidRPr="006E437B">
        <w:rPr>
          <w:rFonts w:ascii="Times New Roman" w:hAnsi="Times New Roman" w:cs="Times New Roman"/>
          <w:sz w:val="24"/>
          <w:szCs w:val="24"/>
          <w:vertAlign w:val="superscript"/>
        </w:rPr>
        <w:t>23</w:t>
      </w:r>
      <w:r w:rsidRPr="006E437B">
        <w:rPr>
          <w:rFonts w:ascii="Times New Roman" w:hAnsi="Times New Roman" w:cs="Times New Roman"/>
          <w:sz w:val="24"/>
          <w:szCs w:val="24"/>
        </w:rPr>
        <w:t>. Asimismo, favorecerá la hidratación adecuada del alumnado, lo cual se asocia con mejores condiciones de salud general y prevención de padecimientos vinculados a la deshidratación y a prácticas de consumo no saludables</w:t>
      </w:r>
      <w:r w:rsidRPr="006E437B">
        <w:rPr>
          <w:rFonts w:ascii="Times New Roman" w:hAnsi="Times New Roman" w:cs="Times New Roman"/>
          <w:sz w:val="24"/>
          <w:szCs w:val="24"/>
          <w:vertAlign w:val="superscript"/>
        </w:rPr>
        <w:t>24</w:t>
      </w:r>
      <w:r w:rsidRPr="006E437B">
        <w:rPr>
          <w:rFonts w:ascii="Times New Roman" w:hAnsi="Times New Roman" w:cs="Times New Roman"/>
          <w:sz w:val="24"/>
          <w:szCs w:val="24"/>
        </w:rPr>
        <w:t>.</w:t>
      </w: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 </w:t>
      </w: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b) Educación. -</w:t>
      </w:r>
      <w:r w:rsidRPr="006E437B">
        <w:rPr>
          <w:rFonts w:ascii="Times New Roman" w:hAnsi="Times New Roman" w:cs="Times New Roman"/>
          <w:sz w:val="24"/>
          <w:szCs w:val="24"/>
        </w:rPr>
        <w:t xml:space="preserve"> El acceso efectivo al agua potable incide positivamente en la capacidad de atención, concentración y permanencia escolar, conforme a estudios técnicos de organismos internacionales que vinculan la hidratación con el rendimiento cognitivo y la asistencia escolar</w:t>
      </w:r>
      <w:r w:rsidRPr="006E437B">
        <w:rPr>
          <w:rFonts w:ascii="Times New Roman" w:hAnsi="Times New Roman" w:cs="Times New Roman"/>
          <w:sz w:val="24"/>
          <w:szCs w:val="24"/>
          <w:vertAlign w:val="superscript"/>
        </w:rPr>
        <w:t>25</w:t>
      </w:r>
      <w:r w:rsidRPr="006E437B">
        <w:rPr>
          <w:rFonts w:ascii="Times New Roman" w:hAnsi="Times New Roman" w:cs="Times New Roman"/>
          <w:sz w:val="24"/>
          <w:szCs w:val="24"/>
        </w:rPr>
        <w:t>.</w:t>
      </w:r>
    </w:p>
    <w:p w:rsidR="006D3DC9" w:rsidRPr="006E437B" w:rsidRDefault="006D3DC9" w:rsidP="00C75EF0">
      <w:pPr>
        <w:spacing w:after="0" w:line="240" w:lineRule="auto"/>
        <w:rPr>
          <w:rFonts w:ascii="Times New Roman" w:hAnsi="Times New Roman" w:cs="Times New Roman"/>
          <w:sz w:val="24"/>
          <w:szCs w:val="24"/>
        </w:rPr>
      </w:pPr>
    </w:p>
    <w:p w:rsidR="006D3DC9" w:rsidRPr="006E437B" w:rsidRDefault="006D3DC9" w:rsidP="00141629">
      <w:pPr>
        <w:pStyle w:val="footnotedescription"/>
        <w:spacing w:line="240" w:lineRule="auto"/>
        <w:ind w:right="4"/>
        <w:rPr>
          <w:rFonts w:ascii="Times New Roman" w:hAnsi="Times New Roman" w:cs="Times New Roman"/>
          <w:color w:val="auto"/>
          <w:sz w:val="20"/>
          <w:szCs w:val="24"/>
        </w:rPr>
      </w:pPr>
      <w:r w:rsidRPr="006E437B">
        <w:rPr>
          <w:rStyle w:val="footnotemark"/>
          <w:rFonts w:ascii="Times New Roman" w:hAnsi="Times New Roman" w:cs="Times New Roman"/>
          <w:color w:val="auto"/>
          <w:sz w:val="20"/>
          <w:szCs w:val="24"/>
        </w:rPr>
        <w:t>22</w:t>
      </w:r>
      <w:r w:rsidRPr="006E437B">
        <w:rPr>
          <w:rFonts w:ascii="Times New Roman" w:hAnsi="Times New Roman" w:cs="Times New Roman"/>
          <w:color w:val="auto"/>
          <w:sz w:val="20"/>
          <w:szCs w:val="24"/>
        </w:rPr>
        <w:t xml:space="preserve"> Secretaría de Educación Pública, Atlas de los Servicios Educativos de la República Mexicana y Atlas de los Servicios Educativos del Estado de México, ciclo escolar 2021–2022, en los que se incluyen indicadores de infraestructura escolar, tales como disponibilidad de agua potable y servicios de saneamiento, utilizados para medir condiciones de equidad en el acceso a servicios básicos en planteles educativos. </w:t>
      </w:r>
    </w:p>
    <w:p w:rsidR="006D3DC9" w:rsidRPr="006E437B" w:rsidRDefault="006D3DC9" w:rsidP="00141629">
      <w:pPr>
        <w:spacing w:after="0" w:line="240" w:lineRule="auto"/>
        <w:jc w:val="both"/>
        <w:rPr>
          <w:rFonts w:ascii="Times New Roman" w:hAnsi="Times New Roman" w:cs="Times New Roman"/>
          <w:sz w:val="20"/>
          <w:szCs w:val="24"/>
        </w:rPr>
      </w:pPr>
      <w:r w:rsidRPr="006E437B">
        <w:rPr>
          <w:rStyle w:val="footnotemark"/>
          <w:rFonts w:ascii="Times New Roman" w:hAnsi="Times New Roman" w:cs="Times New Roman"/>
          <w:color w:val="auto"/>
          <w:sz w:val="20"/>
          <w:szCs w:val="24"/>
        </w:rPr>
        <w:t>23</w:t>
      </w:r>
      <w:r w:rsidRPr="006E437B">
        <w:rPr>
          <w:rFonts w:ascii="Times New Roman" w:hAnsi="Times New Roman" w:cs="Times New Roman"/>
          <w:sz w:val="20"/>
          <w:szCs w:val="24"/>
        </w:rPr>
        <w:t xml:space="preserve"> Secretaría de Salud, Gobierno de México, Dirección General de Epidemiología, Anuario de Morbilidad 2024, en el que se reportan 1,209,206 casos de infecciones intestinales en población de 1 a 14 años en México, grupo etario que corresponde mayoritariamente a niñas, niños y adolescentes en educación básica.</w:t>
      </w: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 xml:space="preserve">24 </w:t>
      </w:r>
      <w:r w:rsidRPr="006E437B">
        <w:rPr>
          <w:rFonts w:ascii="Times New Roman" w:hAnsi="Times New Roman" w:cs="Times New Roman"/>
          <w:sz w:val="20"/>
          <w:szCs w:val="24"/>
        </w:rPr>
        <w:t>Centers for Disease Control and Prevention (CDC), Water Access in Schools, evidencia técnica que vincula el acceso al agua potable en entornos escolares con la hidratación, la función cognitiva, la prevención de enfermedades y la reducción del consumo de bebidas azucaradas.</w:t>
      </w: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vertAlign w:val="superscript"/>
        </w:rPr>
        <w:t xml:space="preserve">25 </w:t>
      </w:r>
      <w:r w:rsidRPr="006E437B">
        <w:rPr>
          <w:rFonts w:ascii="Times New Roman" w:hAnsi="Times New Roman" w:cs="Times New Roman"/>
          <w:sz w:val="20"/>
          <w:szCs w:val="24"/>
        </w:rPr>
        <w:t>Organización Mundial de la Salud (WHO) y Fondo de las Naciones Unidas para la Infancia (UNICEF), Progress on Drinking Water, Sanitation and Hygiene in Schools 2015–2023: Special Focus on Menstrual Health, Joint Monitoring Programme</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c) Equidad e inclusión. -</w:t>
      </w:r>
      <w:r w:rsidRPr="006E437B">
        <w:rPr>
          <w:rFonts w:ascii="Times New Roman" w:hAnsi="Times New Roman" w:cs="Times New Roman"/>
          <w:sz w:val="24"/>
          <w:szCs w:val="24"/>
        </w:rPr>
        <w:t xml:space="preserve"> La iniciativa contribuirá a reducir brechas territoriales en el acceso a servicios básicos, particularmente en escuelas ubicadas en zonas rurales, indígenas y urbanas con alta marginación, en concordancia con los diagnósticos de infraestructura educativa señalados en el Atlas de Servicios Educativos.</w:t>
      </w: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Asimismo, fortalece condiciones de inclusión al considerar necesidades diferenciadas en materia de accesibilidad e higiene, particularmente en niñas y adolescentes.</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lastRenderedPageBreak/>
        <w:t>d) Eficiencia institucional. -</w:t>
      </w:r>
      <w:r w:rsidRPr="006E437B">
        <w:rPr>
          <w:rFonts w:ascii="Times New Roman" w:hAnsi="Times New Roman" w:cs="Times New Roman"/>
          <w:sz w:val="24"/>
          <w:szCs w:val="24"/>
        </w:rPr>
        <w:t xml:space="preserve"> La reforma permitirá consolidar una obligación jurídica clara dentro del sistema educativo, facilitando la planeación, coordinación y seguimiento de acciones relacionadas con el suministro de agua potable.</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Cabe destacar que su implementación se plantea bajo un enfoque de aprovechamiento de capacidades institucionales existentes, sin implicar la creación de nuevas estructuras administrativas, lo que fortalece su viabilidad operativa.</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e) Derechos humanos. - </w:t>
      </w:r>
      <w:r w:rsidRPr="006E437B">
        <w:rPr>
          <w:rFonts w:ascii="Times New Roman" w:hAnsi="Times New Roman" w:cs="Times New Roman"/>
          <w:sz w:val="24"/>
          <w:szCs w:val="24"/>
        </w:rPr>
        <w:t>La iniciativa contribuye a hacer efectivo el derecho humano al agua en el ámbito educativo, fortaleciendo su cumplimiento en términos de disponibilidad, accesibilidad y calidad, en congruencia con los estándares internacionales y el principio de progresividad de los derechos humanos.</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CUADRO NORMATIVO PROPUESTO</w:t>
      </w:r>
    </w:p>
    <w:p w:rsidR="006D3DC9" w:rsidRPr="006E437B" w:rsidRDefault="006D3DC9" w:rsidP="00141629">
      <w:pPr>
        <w:spacing w:after="0" w:line="240" w:lineRule="auto"/>
        <w:jc w:val="both"/>
        <w:rPr>
          <w:rFonts w:ascii="Times New Roman" w:hAnsi="Times New Roman" w:cs="Times New Roman"/>
          <w:sz w:val="24"/>
          <w:szCs w:val="24"/>
        </w:rPr>
      </w:pPr>
    </w:p>
    <w:p w:rsidR="006D3DC9" w:rsidRPr="006E437B" w:rsidRDefault="006D3DC9" w:rsidP="00141629">
      <w:pPr>
        <w:spacing w:after="0" w:line="240" w:lineRule="auto"/>
        <w:ind w:right="2"/>
        <w:jc w:val="center"/>
        <w:rPr>
          <w:rFonts w:ascii="Times New Roman" w:hAnsi="Times New Roman" w:cs="Times New Roman"/>
          <w:b/>
          <w:sz w:val="24"/>
          <w:szCs w:val="24"/>
        </w:rPr>
      </w:pPr>
      <w:r w:rsidRPr="006E437B">
        <w:rPr>
          <w:rFonts w:ascii="Times New Roman" w:hAnsi="Times New Roman" w:cs="Times New Roman"/>
          <w:b/>
          <w:sz w:val="24"/>
          <w:szCs w:val="24"/>
        </w:rPr>
        <w:t>Ley de Educación del Estado de México</w:t>
      </w:r>
    </w:p>
    <w:p w:rsidR="006D3DC9" w:rsidRPr="006E437B" w:rsidRDefault="006D3DC9" w:rsidP="00141629">
      <w:pPr>
        <w:spacing w:after="0" w:line="240" w:lineRule="auto"/>
        <w:ind w:right="5"/>
        <w:jc w:val="center"/>
        <w:rPr>
          <w:rFonts w:ascii="Times New Roman" w:hAnsi="Times New Roman" w:cs="Times New Roman"/>
          <w:b/>
          <w:sz w:val="24"/>
          <w:szCs w:val="24"/>
        </w:rPr>
      </w:pPr>
      <w:r w:rsidRPr="006E437B">
        <w:rPr>
          <w:rFonts w:ascii="Times New Roman" w:hAnsi="Times New Roman" w:cs="Times New Roman"/>
          <w:b/>
          <w:sz w:val="24"/>
          <w:szCs w:val="24"/>
        </w:rPr>
        <w:t>Capítulo Único</w:t>
      </w:r>
    </w:p>
    <w:p w:rsidR="006D3DC9" w:rsidRPr="006E437B" w:rsidRDefault="006D3DC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las condiciones de los planteles educativos para garantizar su idoneidad y la seguridad de las niñas, niños, adolescentes y jóvenes”</w:t>
      </w:r>
    </w:p>
    <w:p w:rsidR="006D3DC9" w:rsidRPr="006E437B" w:rsidRDefault="006D3DC9" w:rsidP="00141629">
      <w:pPr>
        <w:spacing w:after="0" w:line="240" w:lineRule="auto"/>
        <w:jc w:val="center"/>
        <w:rPr>
          <w:rFonts w:ascii="Times New Roman" w:hAnsi="Times New Roman" w:cs="Times New Roman"/>
          <w:b/>
          <w:sz w:val="24"/>
          <w:szCs w:val="24"/>
        </w:rPr>
      </w:pPr>
    </w:p>
    <w:tbl>
      <w:tblPr>
        <w:tblW w:w="0" w:type="auto"/>
        <w:jc w:val="center"/>
        <w:tblLook w:val="04A0" w:firstRow="1" w:lastRow="0" w:firstColumn="1" w:lastColumn="0" w:noHBand="0" w:noVBand="1"/>
      </w:tblPr>
      <w:tblGrid>
        <w:gridCol w:w="3131"/>
        <w:gridCol w:w="3132"/>
        <w:gridCol w:w="3132"/>
      </w:tblGrid>
      <w:tr w:rsidR="006D3DC9" w:rsidRPr="006E437B" w:rsidTr="00470AD7">
        <w:trPr>
          <w:jc w:val="center"/>
        </w:trPr>
        <w:tc>
          <w:tcPr>
            <w:tcW w:w="3131" w:type="dxa"/>
          </w:tcPr>
          <w:p w:rsidR="006D3DC9" w:rsidRPr="006E437B" w:rsidRDefault="006D3DC9"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DICE</w:t>
            </w:r>
          </w:p>
        </w:tc>
        <w:tc>
          <w:tcPr>
            <w:tcW w:w="3132" w:type="dxa"/>
          </w:tcPr>
          <w:p w:rsidR="006D3DC9" w:rsidRPr="006E437B" w:rsidRDefault="006D3DC9"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DEBE DECIR</w:t>
            </w:r>
          </w:p>
        </w:tc>
        <w:tc>
          <w:tcPr>
            <w:tcW w:w="3132" w:type="dxa"/>
          </w:tcPr>
          <w:p w:rsidR="006D3DC9" w:rsidRPr="006E437B" w:rsidRDefault="006D3DC9"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ARMONIZACIÓN NORMATIVA / JUSTIFICACIÓN</w:t>
            </w:r>
          </w:p>
        </w:tc>
      </w:tr>
      <w:tr w:rsidR="006D3DC9" w:rsidRPr="006E437B" w:rsidTr="00470AD7">
        <w:trPr>
          <w:jc w:val="center"/>
        </w:trPr>
        <w:tc>
          <w:tcPr>
            <w:tcW w:w="3131" w:type="dxa"/>
          </w:tcPr>
          <w:p w:rsidR="006D3DC9" w:rsidRPr="006E437B" w:rsidRDefault="006D3DC9" w:rsidP="00FB400F">
            <w:pPr>
              <w:pStyle w:val="Default"/>
              <w:jc w:val="both"/>
              <w:rPr>
                <w:rFonts w:ascii="Times New Roman" w:hAnsi="Times New Roman" w:cs="Times New Roman"/>
                <w:color w:val="auto"/>
              </w:rPr>
            </w:pPr>
            <w:r w:rsidRPr="006E437B">
              <w:rPr>
                <w:rFonts w:ascii="Times New Roman" w:hAnsi="Times New Roman" w:cs="Times New Roman"/>
                <w:color w:val="auto"/>
              </w:rPr>
              <w:t>Artículo 111. Se deja texto vigente.</w:t>
            </w:r>
          </w:p>
          <w:p w:rsidR="006D3DC9" w:rsidRPr="006E437B" w:rsidRDefault="006D3DC9" w:rsidP="00141629">
            <w:pPr>
              <w:spacing w:after="0" w:line="240" w:lineRule="auto"/>
              <w:jc w:val="center"/>
              <w:rPr>
                <w:rFonts w:ascii="Times New Roman" w:hAnsi="Times New Roman" w:cs="Times New Roman"/>
                <w:b/>
                <w:sz w:val="24"/>
                <w:szCs w:val="24"/>
              </w:rPr>
            </w:pPr>
          </w:p>
        </w:tc>
        <w:tc>
          <w:tcPr>
            <w:tcW w:w="3132" w:type="dxa"/>
          </w:tcPr>
          <w:p w:rsidR="006D3DC9" w:rsidRPr="006E437B" w:rsidRDefault="006D3DC9" w:rsidP="00141629">
            <w:pPr>
              <w:pStyle w:val="Default"/>
              <w:jc w:val="both"/>
              <w:rPr>
                <w:rFonts w:ascii="Times New Roman" w:hAnsi="Times New Roman" w:cs="Times New Roman"/>
                <w:b/>
                <w:i/>
                <w:iCs/>
                <w:color w:val="auto"/>
              </w:rPr>
            </w:pPr>
            <w:r w:rsidRPr="006E437B">
              <w:rPr>
                <w:rFonts w:ascii="Times New Roman" w:hAnsi="Times New Roman" w:cs="Times New Roman"/>
                <w:b/>
                <w:i/>
                <w:iCs/>
                <w:color w:val="auto"/>
              </w:rPr>
              <w:t>.. Se adiciona el artículo 111 Bis.</w:t>
            </w:r>
          </w:p>
          <w:p w:rsidR="006D3DC9" w:rsidRPr="006E437B" w:rsidRDefault="006D3DC9" w:rsidP="00141629">
            <w:pPr>
              <w:pStyle w:val="Default"/>
              <w:jc w:val="both"/>
              <w:rPr>
                <w:rFonts w:ascii="Times New Roman" w:hAnsi="Times New Roman" w:cs="Times New Roman"/>
                <w:b/>
                <w:color w:val="auto"/>
              </w:rPr>
            </w:pPr>
          </w:p>
          <w:p w:rsidR="006D3DC9" w:rsidRPr="006E437B" w:rsidRDefault="006D3DC9"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i/>
                <w:iCs/>
                <w:sz w:val="24"/>
                <w:szCs w:val="24"/>
              </w:rPr>
              <w:t xml:space="preserve">Artículo 111 Bis. Las autoridades educativas estatal y municipales, en el ámbito de sus respectivas </w:t>
            </w:r>
          </w:p>
        </w:tc>
        <w:tc>
          <w:tcPr>
            <w:tcW w:w="3132" w:type="dxa"/>
          </w:tcPr>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Actualmente el artículo 111 prevé condiciones físicas, equipamiento y servicios básicos para garantizar seguridad, salud, bienestar y desarrollo integral de los </w:t>
            </w:r>
          </w:p>
        </w:tc>
      </w:tr>
    </w:tbl>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jc w:val="both"/>
        <w:rPr>
          <w:rFonts w:ascii="Times New Roman" w:hAnsi="Times New Roman" w:cs="Times New Roman"/>
          <w:sz w:val="20"/>
          <w:szCs w:val="24"/>
        </w:rPr>
      </w:pPr>
      <w:r w:rsidRPr="006E437B">
        <w:rPr>
          <w:rFonts w:ascii="Times New Roman" w:hAnsi="Times New Roman" w:cs="Times New Roman"/>
          <w:sz w:val="20"/>
          <w:szCs w:val="24"/>
        </w:rPr>
        <w:t xml:space="preserve">(JMP), 2024, que establece la relación entre servicios WASH en escuelas, asistencia escolar, dignidad, inclusión y salud, con énfasis en niñas y adolescentes. </w:t>
      </w:r>
    </w:p>
    <w:p w:rsidR="006D3DC9" w:rsidRPr="006E437B" w:rsidRDefault="006D3DC9" w:rsidP="00141629">
      <w:pPr>
        <w:spacing w:after="0" w:line="240" w:lineRule="auto"/>
        <w:rPr>
          <w:rFonts w:ascii="Times New Roman" w:hAnsi="Times New Roman" w:cs="Times New Roman"/>
          <w:szCs w:val="24"/>
        </w:rPr>
      </w:pPr>
    </w:p>
    <w:tbl>
      <w:tblPr>
        <w:tblW w:w="0" w:type="auto"/>
        <w:jc w:val="center"/>
        <w:tblLook w:val="04A0" w:firstRow="1" w:lastRow="0" w:firstColumn="1" w:lastColumn="0" w:noHBand="0" w:noVBand="1"/>
      </w:tblPr>
      <w:tblGrid>
        <w:gridCol w:w="3131"/>
        <w:gridCol w:w="3132"/>
        <w:gridCol w:w="3132"/>
      </w:tblGrid>
      <w:tr w:rsidR="006D3DC9" w:rsidRPr="006E437B" w:rsidTr="00470AD7">
        <w:trPr>
          <w:jc w:val="center"/>
        </w:trPr>
        <w:tc>
          <w:tcPr>
            <w:tcW w:w="3131" w:type="dxa"/>
          </w:tcPr>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Las autoridades educativas estatal y municipales atenderán de manera prioritaria las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escuelas públicas que, por estar en localidades aisladas, zonas urbanas marginadas, rurales y en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pueblos y comunidades indígenas, tengan mayor posibilidad de rezago o abandono escolar,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estableciendo las condiciones físicas, de equipamiento y de </w:t>
            </w:r>
            <w:r w:rsidRPr="006E437B">
              <w:rPr>
                <w:rFonts w:ascii="Times New Roman" w:hAnsi="Times New Roman" w:cs="Times New Roman"/>
                <w:color w:val="auto"/>
              </w:rPr>
              <w:lastRenderedPageBreak/>
              <w:t xml:space="preserve">servicios básicos óptimos que garanticen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 seguridad, la salud, el bienestar y el desarrollo integral de los educandos, para que proporcionen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educación con equidad e inclusión en dichas localidades…</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 partir de los programas que emita la Federación, se garantizará la existencia de baños y de agua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potable para consumo humano con suministro continuo en cada inmueble de uso escolar público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conforme a los lineamientos que emita la Secretaría de Salud en coordinación con la autoridad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educativa federal, así como de espacios para la activación física, la recreación, la práctica del deporte </w:t>
            </w:r>
          </w:p>
          <w:p w:rsidR="006D3DC9" w:rsidRPr="006E437B" w:rsidRDefault="006D3DC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y la educación física </w:t>
            </w:r>
          </w:p>
        </w:tc>
        <w:tc>
          <w:tcPr>
            <w:tcW w:w="3132" w:type="dxa"/>
          </w:tcPr>
          <w:p w:rsidR="006D3DC9" w:rsidRPr="006E437B" w:rsidRDefault="006D3DC9" w:rsidP="00141629">
            <w:pPr>
              <w:pStyle w:val="Default"/>
              <w:jc w:val="both"/>
              <w:rPr>
                <w:rFonts w:ascii="Times New Roman" w:hAnsi="Times New Roman" w:cs="Times New Roman"/>
                <w:b/>
                <w:i/>
                <w:iCs/>
                <w:color w:val="auto"/>
              </w:rPr>
            </w:pPr>
            <w:r w:rsidRPr="006E437B">
              <w:rPr>
                <w:rFonts w:ascii="Times New Roman" w:hAnsi="Times New Roman" w:cs="Times New Roman"/>
                <w:b/>
                <w:i/>
                <w:iCs/>
                <w:color w:val="auto"/>
              </w:rPr>
              <w:lastRenderedPageBreak/>
              <w:t>atribuciones, deberán promover e implementar las acciones necesarias para que los planteles de educación básica cuenten con acceso a agua potable para consumo humano, en condiciones de disponibilidad, continuidad, salubridad, accesibilidad y funcionalidad, como parte de los servicios básicos indispensables para la prestación del servicio educativo.</w:t>
            </w:r>
          </w:p>
          <w:p w:rsidR="006D3DC9" w:rsidRPr="006E437B" w:rsidRDefault="006D3DC9" w:rsidP="00141629">
            <w:pPr>
              <w:pStyle w:val="Default"/>
              <w:jc w:val="both"/>
              <w:rPr>
                <w:rFonts w:ascii="Times New Roman" w:hAnsi="Times New Roman" w:cs="Times New Roman"/>
                <w:b/>
                <w:color w:val="auto"/>
              </w:rPr>
            </w:pPr>
          </w:p>
          <w:p w:rsidR="006D3DC9" w:rsidRPr="006E437B" w:rsidRDefault="006D3DC9" w:rsidP="00141629">
            <w:pPr>
              <w:spacing w:after="0" w:line="240" w:lineRule="auto"/>
              <w:rPr>
                <w:rFonts w:ascii="Times New Roman" w:hAnsi="Times New Roman" w:cs="Times New Roman"/>
                <w:sz w:val="24"/>
                <w:szCs w:val="24"/>
              </w:rPr>
            </w:pPr>
            <w:r w:rsidRPr="006E437B">
              <w:rPr>
                <w:rFonts w:ascii="Times New Roman" w:hAnsi="Times New Roman" w:cs="Times New Roman"/>
                <w:b/>
                <w:i/>
                <w:iCs/>
                <w:sz w:val="24"/>
                <w:szCs w:val="24"/>
              </w:rPr>
              <w:t xml:space="preserve">Para el cumplimiento de lo dispuesto en el presente artículo, las autoridades competentes deberán coordinarse con las instancias sanitarias y municipales que correspondan, a efecto de coadyuvar en el suministro, mantenimiento y condiciones de calidad del agua en los centros escolares, de conformidad con la normatividad aplicable, en congruencia con los instrumentos de planeación estatal </w:t>
            </w:r>
          </w:p>
        </w:tc>
        <w:tc>
          <w:tcPr>
            <w:tcW w:w="3132" w:type="dxa"/>
          </w:tcPr>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lastRenderedPageBreak/>
              <w:t>educandos; asimismo, establece que, a partir de los programas que emita la Federación, se garantizará la existencia de baños y de agua potable para consumo humano con suministro continuo en cada inmueble de uso escolar público</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 adición del artículo 111 Bis permite desarrollar de manera específica el mandato ya contenido en el artículo 111, </w:t>
            </w:r>
            <w:r w:rsidRPr="006E437B">
              <w:rPr>
                <w:rFonts w:ascii="Times New Roman" w:hAnsi="Times New Roman" w:cs="Times New Roman"/>
                <w:color w:val="auto"/>
              </w:rPr>
              <w:lastRenderedPageBreak/>
              <w:t>evitando modificar su texto vigente y fortaleciendo su operatividad.</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La propuesta armoniza el derecho humano al agua con las condiciones materiales de prestación del servicio educativo, bajo un enfoque de interés superior de la niñez, salud escolar, equidad e inclusión.</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Además, se evita crear un nuevo organismo, programa o carga presupuestal directa, al utilizar fórmulas de coordinación institucional y actuación “en el ámbito de sus atribuciones.</w:t>
            </w:r>
          </w:p>
        </w:tc>
      </w:tr>
    </w:tbl>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right="6"/>
        <w:rPr>
          <w:rFonts w:ascii="Times New Roman" w:hAnsi="Times New Roman" w:cs="Times New Roman"/>
          <w:szCs w:val="24"/>
        </w:rPr>
      </w:pPr>
    </w:p>
    <w:p w:rsidR="006D3DC9" w:rsidRPr="006E437B" w:rsidRDefault="006D3DC9" w:rsidP="00141629">
      <w:pPr>
        <w:spacing w:after="0" w:line="240" w:lineRule="auto"/>
        <w:ind w:right="6"/>
        <w:jc w:val="center"/>
        <w:rPr>
          <w:rFonts w:ascii="Times New Roman" w:hAnsi="Times New Roman" w:cs="Times New Roman"/>
          <w:b/>
          <w:sz w:val="24"/>
          <w:szCs w:val="24"/>
        </w:rPr>
      </w:pPr>
      <w:r w:rsidRPr="006E437B">
        <w:rPr>
          <w:rFonts w:ascii="Times New Roman" w:hAnsi="Times New Roman" w:cs="Times New Roman"/>
          <w:b/>
          <w:sz w:val="24"/>
          <w:szCs w:val="24"/>
        </w:rPr>
        <w:t>Código Administrativo del Estado de México.</w:t>
      </w:r>
    </w:p>
    <w:p w:rsidR="006D3DC9" w:rsidRPr="006E437B" w:rsidRDefault="006D3DC9" w:rsidP="00141629">
      <w:pPr>
        <w:spacing w:after="0" w:line="240" w:lineRule="auto"/>
        <w:ind w:right="5"/>
        <w:jc w:val="center"/>
        <w:rPr>
          <w:rFonts w:ascii="Times New Roman" w:hAnsi="Times New Roman" w:cs="Times New Roman"/>
          <w:b/>
          <w:sz w:val="24"/>
          <w:szCs w:val="24"/>
        </w:rPr>
      </w:pPr>
      <w:r w:rsidRPr="006E437B">
        <w:rPr>
          <w:rFonts w:ascii="Times New Roman" w:hAnsi="Times New Roman" w:cs="Times New Roman"/>
          <w:b/>
          <w:sz w:val="24"/>
          <w:szCs w:val="24"/>
        </w:rPr>
        <w:t>Libro Segundo “De la Salud”;</w:t>
      </w:r>
    </w:p>
    <w:p w:rsidR="006D3DC9" w:rsidRPr="006E437B" w:rsidRDefault="006D3DC9" w:rsidP="00141629">
      <w:pPr>
        <w:spacing w:after="0" w:line="240" w:lineRule="auto"/>
        <w:ind w:right="2"/>
        <w:jc w:val="center"/>
        <w:rPr>
          <w:rFonts w:ascii="Times New Roman" w:hAnsi="Times New Roman" w:cs="Times New Roman"/>
          <w:b/>
          <w:sz w:val="24"/>
          <w:szCs w:val="24"/>
        </w:rPr>
      </w:pPr>
      <w:r w:rsidRPr="006E437B">
        <w:rPr>
          <w:rFonts w:ascii="Times New Roman" w:hAnsi="Times New Roman" w:cs="Times New Roman"/>
          <w:b/>
          <w:sz w:val="24"/>
          <w:szCs w:val="24"/>
        </w:rPr>
        <w:t>Título Primero</w:t>
      </w:r>
    </w:p>
    <w:p w:rsidR="006D3DC9" w:rsidRPr="006E437B" w:rsidRDefault="006D3DC9" w:rsidP="00141629">
      <w:pPr>
        <w:spacing w:after="0" w:line="240" w:lineRule="auto"/>
        <w:ind w:right="49"/>
        <w:jc w:val="right"/>
        <w:rPr>
          <w:rFonts w:ascii="Times New Roman" w:hAnsi="Times New Roman" w:cs="Times New Roman"/>
          <w:sz w:val="24"/>
          <w:szCs w:val="24"/>
        </w:rPr>
      </w:pPr>
      <w:r w:rsidRPr="006E437B">
        <w:rPr>
          <w:rFonts w:ascii="Times New Roman" w:hAnsi="Times New Roman" w:cs="Times New Roman"/>
          <w:b/>
          <w:sz w:val="24"/>
          <w:szCs w:val="24"/>
        </w:rPr>
        <w:t>“Disposiciones generales”; Capítulo Quinto “Del Consejo de Salud del Estado de México”.</w:t>
      </w:r>
    </w:p>
    <w:p w:rsidR="006D3DC9" w:rsidRPr="006E437B" w:rsidRDefault="006D3DC9" w:rsidP="00141629">
      <w:pPr>
        <w:spacing w:after="0" w:line="240" w:lineRule="auto"/>
        <w:rPr>
          <w:rFonts w:ascii="Times New Roman" w:hAnsi="Times New Roman" w:cs="Times New Roman"/>
          <w:sz w:val="24"/>
          <w:szCs w:val="24"/>
        </w:rPr>
      </w:pPr>
    </w:p>
    <w:tbl>
      <w:tblPr>
        <w:tblW w:w="0" w:type="auto"/>
        <w:tblLook w:val="04A0" w:firstRow="1" w:lastRow="0" w:firstColumn="1" w:lastColumn="0" w:noHBand="0" w:noVBand="1"/>
      </w:tblPr>
      <w:tblGrid>
        <w:gridCol w:w="3131"/>
        <w:gridCol w:w="3132"/>
        <w:gridCol w:w="3132"/>
      </w:tblGrid>
      <w:tr w:rsidR="006D3DC9" w:rsidRPr="006E437B" w:rsidTr="00470AD7">
        <w:tc>
          <w:tcPr>
            <w:tcW w:w="3131" w:type="dxa"/>
          </w:tcPr>
          <w:p w:rsidR="006D3DC9" w:rsidRPr="006E437B" w:rsidRDefault="006D3DC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DICE</w:t>
            </w:r>
          </w:p>
        </w:tc>
        <w:tc>
          <w:tcPr>
            <w:tcW w:w="3132" w:type="dxa"/>
          </w:tcPr>
          <w:p w:rsidR="006D3DC9" w:rsidRPr="006E437B" w:rsidRDefault="006D3DC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DEBE DECIR</w:t>
            </w:r>
          </w:p>
        </w:tc>
        <w:tc>
          <w:tcPr>
            <w:tcW w:w="3132" w:type="dxa"/>
          </w:tcPr>
          <w:p w:rsidR="006D3DC9" w:rsidRPr="006E437B" w:rsidRDefault="006D3DC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ARMONIZACIÓN NORMATIVA / JUSTIFICACIÓN</w:t>
            </w:r>
          </w:p>
        </w:tc>
      </w:tr>
      <w:tr w:rsidR="006D3DC9" w:rsidRPr="006E437B" w:rsidTr="00470AD7">
        <w:tc>
          <w:tcPr>
            <w:tcW w:w="3131" w:type="dxa"/>
          </w:tcPr>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Artículo 2.10. Se deja texto vigente.</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El Consejo, a fin de garantizar el derecho a la salud de las y los ciudadanos del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Estado, tendrá las funciones siguientes: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I. Contribuir a consolidar el sistema estatal de salud, apoyar a los comités municipales de salud y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lastRenderedPageBreak/>
              <w:t xml:space="preserve">coordinar éstos con los sistemas nacional y estatal de salud;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(se mantienen las fracciones de las </w:t>
            </w: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II hasta la XII.) </w:t>
            </w:r>
          </w:p>
          <w:p w:rsidR="006D3DC9" w:rsidRPr="006E437B" w:rsidRDefault="006D3DC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XII Las demás que sean necesarias para el cumplimiento de su objeto.) </w:t>
            </w:r>
          </w:p>
        </w:tc>
        <w:tc>
          <w:tcPr>
            <w:tcW w:w="3132" w:type="dxa"/>
          </w:tcPr>
          <w:p w:rsidR="006D3DC9" w:rsidRPr="006E437B" w:rsidRDefault="006D3DC9" w:rsidP="00141629">
            <w:pPr>
              <w:pStyle w:val="Default"/>
              <w:jc w:val="both"/>
              <w:rPr>
                <w:rFonts w:ascii="Times New Roman" w:hAnsi="Times New Roman" w:cs="Times New Roman"/>
                <w:b/>
                <w:color w:val="auto"/>
              </w:rPr>
            </w:pPr>
            <w:r w:rsidRPr="006E437B">
              <w:rPr>
                <w:rFonts w:ascii="Times New Roman" w:hAnsi="Times New Roman" w:cs="Times New Roman"/>
                <w:b/>
                <w:i/>
                <w:iCs/>
                <w:color w:val="auto"/>
              </w:rPr>
              <w:lastRenderedPageBreak/>
              <w:t xml:space="preserve">Se adiciona el artículo 2.10 Bis, después del artículo 2.10. </w:t>
            </w:r>
          </w:p>
          <w:p w:rsidR="006D3DC9" w:rsidRPr="006E437B" w:rsidRDefault="006D3DC9" w:rsidP="00141629">
            <w:pPr>
              <w:spacing w:after="0" w:line="240" w:lineRule="auto"/>
              <w:rPr>
                <w:rFonts w:ascii="Times New Roman" w:hAnsi="Times New Roman" w:cs="Times New Roman"/>
                <w:b/>
                <w:sz w:val="24"/>
                <w:szCs w:val="24"/>
              </w:rPr>
            </w:pPr>
          </w:p>
          <w:p w:rsidR="006D3DC9" w:rsidRPr="006E437B" w:rsidRDefault="006D3DC9" w:rsidP="00141629">
            <w:pPr>
              <w:pStyle w:val="Default"/>
              <w:jc w:val="both"/>
              <w:rPr>
                <w:rFonts w:ascii="Times New Roman" w:hAnsi="Times New Roman" w:cs="Times New Roman"/>
                <w:b/>
                <w:color w:val="auto"/>
              </w:rPr>
            </w:pPr>
            <w:r w:rsidRPr="006E437B">
              <w:rPr>
                <w:rFonts w:ascii="Times New Roman" w:hAnsi="Times New Roman" w:cs="Times New Roman"/>
                <w:b/>
                <w:i/>
                <w:iCs/>
                <w:color w:val="auto"/>
              </w:rPr>
              <w:t xml:space="preserve">Artículo 2.10 Bis. El Consejo de Salud del Estado de México, en el ámbito de sus atribuciones y sin perjuicio de las competencias que correspondan a las autoridades educativas, sanitarias, municipales y organismos operadores, </w:t>
            </w:r>
            <w:r w:rsidRPr="006E437B">
              <w:rPr>
                <w:rFonts w:ascii="Times New Roman" w:hAnsi="Times New Roman" w:cs="Times New Roman"/>
                <w:b/>
                <w:i/>
                <w:iCs/>
                <w:color w:val="auto"/>
              </w:rPr>
              <w:lastRenderedPageBreak/>
              <w:t xml:space="preserve">podrá emitir recomendaciones, lineamientos y criterios de coordinación interinstitucional para coadyuvar en la protección de la salud de niñas, niños y adolescentes mediante acciones relacionadas con la disponibilidad y salubridad del agua potable en planteles de educación básica, de conformidad con la normatividad aplicable. </w:t>
            </w:r>
          </w:p>
          <w:p w:rsidR="006D3DC9" w:rsidRPr="006E437B" w:rsidRDefault="006D3DC9" w:rsidP="00141629">
            <w:pPr>
              <w:spacing w:after="0" w:line="240" w:lineRule="auto"/>
              <w:rPr>
                <w:rFonts w:ascii="Times New Roman" w:hAnsi="Times New Roman" w:cs="Times New Roman"/>
                <w:b/>
                <w:sz w:val="24"/>
                <w:szCs w:val="24"/>
              </w:rPr>
            </w:pPr>
          </w:p>
        </w:tc>
        <w:tc>
          <w:tcPr>
            <w:tcW w:w="3132" w:type="dxa"/>
          </w:tcPr>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lastRenderedPageBreak/>
              <w:t xml:space="preserve">El Consejo de Salud del Estado de México tiene funciones de coordinación, apoyo, evaluación, cooperación técnica, lineamientos y unificación de criterios en materia de salud pública. Actualmente no existe una disposición específica que vincule sus funciones de coordinación sanitaria con el acceso, </w:t>
            </w:r>
            <w:r w:rsidRPr="006E437B">
              <w:rPr>
                <w:rFonts w:ascii="Times New Roman" w:hAnsi="Times New Roman" w:cs="Times New Roman"/>
                <w:color w:val="auto"/>
              </w:rPr>
              <w:lastRenderedPageBreak/>
              <w:t>vigilancia preventiva y criterios de salubridad del agua potable en planteles de educación básica.</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Esta ubicación es </w:t>
            </w:r>
            <w:r w:rsidR="00640711" w:rsidRPr="006E437B">
              <w:rPr>
                <w:rFonts w:ascii="Times New Roman" w:hAnsi="Times New Roman" w:cs="Times New Roman"/>
                <w:color w:val="auto"/>
              </w:rPr>
              <w:t>estratégica</w:t>
            </w:r>
            <w:r w:rsidRPr="006E437B">
              <w:rPr>
                <w:rFonts w:ascii="Times New Roman" w:hAnsi="Times New Roman" w:cs="Times New Roman"/>
                <w:color w:val="auto"/>
              </w:rPr>
              <w:t>, porque el Consejo de Salud ya es una instancia permanente de coordinación, consulta y apoyo para la planeación, programación y evaluación de servicios de salud.</w:t>
            </w:r>
          </w:p>
          <w:p w:rsidR="006D3DC9" w:rsidRPr="006E437B" w:rsidRDefault="006D3DC9" w:rsidP="00141629">
            <w:pPr>
              <w:pStyle w:val="Default"/>
              <w:jc w:val="both"/>
              <w:rPr>
                <w:rFonts w:ascii="Times New Roman" w:hAnsi="Times New Roman" w:cs="Times New Roman"/>
                <w:color w:val="auto"/>
              </w:rPr>
            </w:pPr>
          </w:p>
          <w:p w:rsidR="006D3DC9" w:rsidRPr="006E437B" w:rsidRDefault="006D3DC9" w:rsidP="00141629">
            <w:pPr>
              <w:pStyle w:val="Default"/>
              <w:jc w:val="both"/>
              <w:rPr>
                <w:rFonts w:ascii="Times New Roman" w:hAnsi="Times New Roman" w:cs="Times New Roman"/>
                <w:color w:val="auto"/>
              </w:rPr>
            </w:pPr>
            <w:r w:rsidRPr="006E437B">
              <w:rPr>
                <w:rFonts w:ascii="Times New Roman" w:hAnsi="Times New Roman" w:cs="Times New Roman"/>
                <w:color w:val="auto"/>
              </w:rPr>
              <w:t>La adición propuesta no le asigna funciones operativas de suministro, certificación o verificación directa, sino una función de coordinación sanitaria, lo que evita invasión de competencias municipales o de organismos operadores y reduce el riesgo presupuestal.</w:t>
            </w:r>
          </w:p>
          <w:p w:rsidR="006D3DC9" w:rsidRPr="006E437B" w:rsidRDefault="006D3DC9" w:rsidP="00141629">
            <w:pPr>
              <w:pStyle w:val="Default"/>
              <w:jc w:val="both"/>
              <w:rPr>
                <w:rFonts w:ascii="Times New Roman" w:hAnsi="Times New Roman" w:cs="Times New Roman"/>
                <w:color w:val="auto"/>
              </w:rPr>
            </w:pPr>
          </w:p>
        </w:tc>
      </w:tr>
    </w:tbl>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y fundado, en ejercicio de las facultades conferidas por el marco constitucional y legal aplicable, y con el propósito de fortalecer la garantía del derecho humano al agua en el ámbito educativo, así como de consolidar condiciones dignas, seguras y saludables para el desarrollo integral de niñas, niños y adolescentes en el Estado de México, se somete a la consideración de esta Honorable Soberanía la siguiente:</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i/>
          <w:sz w:val="24"/>
          <w:szCs w:val="24"/>
        </w:rPr>
        <w:t>PROYECTO DE DECRETO</w:t>
      </w:r>
    </w:p>
    <w:p w:rsidR="006D3DC9" w:rsidRPr="006E437B" w:rsidRDefault="006D3DC9" w:rsidP="00141629">
      <w:pPr>
        <w:spacing w:after="0" w:line="240" w:lineRule="auto"/>
        <w:rPr>
          <w:rFonts w:ascii="Times New Roman" w:hAnsi="Times New Roman" w:cs="Times New Roman"/>
          <w:sz w:val="24"/>
          <w:szCs w:val="24"/>
        </w:rPr>
      </w:pP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LA H. LXII LEGISLATURA DEL ESTADO DE MÉXICO, EN EJERCICIO DE LAS FACULTADES QUE LE CONFIEREN LA CONSTITUCIÓN POLÍTICA DEL ESTADO LIBRE Y SOBERANO DE MÉXICO Y DEMÁS DISPOSICIONES APLICABLES, DECRETA:</w:t>
      </w:r>
    </w:p>
    <w:p w:rsidR="006D3DC9" w:rsidRPr="006E437B" w:rsidRDefault="006D3DC9" w:rsidP="00141629">
      <w:pPr>
        <w:spacing w:after="0" w:line="240" w:lineRule="auto"/>
        <w:rPr>
          <w:rFonts w:ascii="Times New Roman" w:hAnsi="Times New Roman" w:cs="Times New Roman"/>
          <w:b/>
          <w:sz w:val="24"/>
          <w:szCs w:val="24"/>
        </w:rPr>
      </w:pP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i/>
          <w:sz w:val="24"/>
          <w:szCs w:val="24"/>
        </w:rPr>
        <w:t>ARTÍCULO PRIMERO.</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Se adiciona el artículo 111 Bis a la Ley de Educación del Estado de México, para quedar como sigue: </w:t>
      </w:r>
    </w:p>
    <w:p w:rsidR="006D3DC9" w:rsidRPr="006E437B" w:rsidRDefault="006D3DC9"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i/>
          <w:sz w:val="24"/>
          <w:szCs w:val="24"/>
        </w:rPr>
        <w:t xml:space="preserve">Artículo 111 Bis.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Las autoridades educativas estatal y municipales, en el ámbito de sus respectivas atribuciones, deberán promover las acciones necesarias para que los planteles de educación básica cuenten con acceso a agua potable para consumo humano, en condiciones de disponibilidad, continuidad, salubridad, accesibilidad y funcionalidad, como parte de los servicios básicos indispensables para la prestación del servicio educativo.</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Para el cumplimiento de lo dispuesto en el presente artículo, las autoridades competentes promoverán la coordinación con las instancias sanitarias y municipales que correspondan, a </w:t>
      </w:r>
      <w:r w:rsidRPr="006E437B">
        <w:rPr>
          <w:rFonts w:ascii="Times New Roman" w:hAnsi="Times New Roman" w:cs="Times New Roman"/>
          <w:b/>
          <w:i/>
          <w:sz w:val="24"/>
          <w:szCs w:val="24"/>
        </w:rPr>
        <w:lastRenderedPageBreak/>
        <w:t xml:space="preserve">efecto de coadyuvar en el suministro, mantenimiento y condiciones de calidad del agua en los centros escolares, de conformidad con la normatividad aplicable.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ARTÍCULO SEGUNDO.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Se adiciona el artículo 2.10 Bis al Código Administrativo del Estado de México, para quedar como sigue: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Artículo 2.10 Bis.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El Consejo de Salud del Estado de México, en el ámbito de sus atribuciones y sin perjuicio de las competencias que correspondan a las autoridades educativas, sanitarias, municipales y organismos operadores, podrá proponer criterios de coordinación interinstitucional para coadyuvar en la protección de la salud de niñas, niños y adolescentes mediante acciones relacionadas con la disponibilidad y salubridad del agua potable en planteles de educación básica, de conformidad con la normatividad aplicable.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ARTÍCULOS TRANSITORIOS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PRIMERO: El presente Decreto entrará en vigor al día siguiente de su publicación en el Periódico Oficial “Gaceta del Gobierno”.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SEGUNDO: Las autoridades competentes, en el ámbito de sus respectivas atribuciones, realizarán las acciones necesarias para el cumplimiento del presente Decreto, de conformidad con la disponibilidad presupuestaria y los programas vigentes. </w:t>
      </w:r>
    </w:p>
    <w:p w:rsidR="006D3DC9" w:rsidRPr="006E437B" w:rsidRDefault="006D3DC9"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i/>
          <w:sz w:val="24"/>
          <w:szCs w:val="24"/>
        </w:rPr>
        <w:t xml:space="preserve">Asimismo, promoverán la incorporación de mecanismos de seguimiento, evaluación e indicadores dentro de los instrumentos de planeación y gestión institucional, a efecto de dar cumplimiento progresivo a las disposiciones previstas en el presente Decreto. </w:t>
      </w:r>
    </w:p>
    <w:p w:rsidR="006D3DC9" w:rsidRPr="006E437B" w:rsidRDefault="006D3DC9"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i/>
          <w:sz w:val="24"/>
          <w:szCs w:val="24"/>
        </w:rPr>
        <w:t>TERCERO: La implementación de las disposiciones previstas en el presente Decreto se realizará de manera progresiva, priorizando los planteles de educación básica ubicados en zonas con mayor grado de marginación o rezago social.</w:t>
      </w:r>
    </w:p>
    <w:p w:rsidR="006D3DC9" w:rsidRPr="006E437B" w:rsidRDefault="006D3DC9"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 </w:t>
      </w:r>
    </w:p>
    <w:p w:rsidR="006D3DC9" w:rsidRPr="006E437B" w:rsidRDefault="006D3DC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y fundado, y en ejercicio de las facultades que confiere el marco constitucional y legal aplicable, se somete a la consideración de esta Honorable Soberanía la presente Iniciativa con Proyecto de Decreto, con el propósito de fortalecer el orden jurídico del Estado de México mediante la incorporación de disposiciones que permitan hacer efectivo el derecho humano al agua en el ámbito educativo, consolidando condiciones mínimas de equidad, inclusión, salud y dignidad en los planteles de educación básica, en congruencia con el interés superior de la niñez y el principio de progresividad de los derechos humanos.</w:t>
      </w:r>
    </w:p>
    <w:p w:rsidR="006D3DC9" w:rsidRPr="006E437B" w:rsidRDefault="006D3DC9" w:rsidP="00141629">
      <w:pPr>
        <w:spacing w:after="0" w:line="240" w:lineRule="auto"/>
        <w:rPr>
          <w:rFonts w:ascii="Times New Roman" w:hAnsi="Times New Roman" w:cs="Times New Roman"/>
          <w:szCs w:val="24"/>
        </w:rPr>
      </w:pPr>
    </w:p>
    <w:p w:rsidR="006D3DC9" w:rsidRPr="006E437B" w:rsidRDefault="006D3DC9" w:rsidP="00141629">
      <w:pPr>
        <w:spacing w:after="0" w:line="240" w:lineRule="auto"/>
        <w:ind w:left="791" w:right="782"/>
        <w:jc w:val="center"/>
        <w:rPr>
          <w:rFonts w:ascii="Times New Roman" w:hAnsi="Times New Roman" w:cs="Times New Roman"/>
          <w:b/>
          <w:sz w:val="24"/>
          <w:szCs w:val="24"/>
        </w:rPr>
      </w:pPr>
      <w:r w:rsidRPr="006E437B">
        <w:rPr>
          <w:rFonts w:ascii="Times New Roman" w:hAnsi="Times New Roman" w:cs="Times New Roman"/>
          <w:b/>
          <w:sz w:val="24"/>
          <w:szCs w:val="24"/>
        </w:rPr>
        <w:t>P R E S E N T A N T E</w:t>
      </w:r>
    </w:p>
    <w:p w:rsidR="006D3DC9" w:rsidRPr="006E437B" w:rsidRDefault="006D3DC9" w:rsidP="00141629">
      <w:pPr>
        <w:spacing w:after="0" w:line="240" w:lineRule="auto"/>
        <w:ind w:left="49"/>
        <w:jc w:val="center"/>
        <w:rPr>
          <w:rFonts w:ascii="Times New Roman" w:hAnsi="Times New Roman" w:cs="Times New Roman"/>
          <w:b/>
          <w:sz w:val="24"/>
          <w:szCs w:val="24"/>
        </w:rPr>
      </w:pPr>
      <w:bookmarkStart w:id="2" w:name="_Hlk241239957"/>
    </w:p>
    <w:p w:rsidR="006D3DC9" w:rsidRPr="006E437B" w:rsidRDefault="006D3DC9" w:rsidP="00141629">
      <w:pPr>
        <w:pStyle w:val="Ttulo1"/>
        <w:keepNext w:val="0"/>
        <w:keepLines w:val="0"/>
        <w:spacing w:line="240" w:lineRule="auto"/>
        <w:ind w:left="0" w:right="51" w:hanging="11"/>
        <w:rPr>
          <w:rFonts w:ascii="Times New Roman" w:hAnsi="Times New Roman" w:cs="Times New Roman"/>
          <w:b/>
          <w:color w:val="auto"/>
          <w:szCs w:val="24"/>
        </w:rPr>
      </w:pPr>
      <w:r w:rsidRPr="006E437B">
        <w:rPr>
          <w:rFonts w:ascii="Times New Roman" w:hAnsi="Times New Roman" w:cs="Times New Roman"/>
          <w:b/>
          <w:color w:val="auto"/>
          <w:szCs w:val="24"/>
        </w:rPr>
        <w:t>DIP. DRA. JENNIFER NATHALIE GONZÁLEZ LÓPEZ</w:t>
      </w:r>
    </w:p>
    <w:p w:rsidR="006D3DC9" w:rsidRPr="006E437B" w:rsidRDefault="006D3DC9" w:rsidP="00141629">
      <w:pPr>
        <w:pStyle w:val="Ttulo1"/>
        <w:keepNext w:val="0"/>
        <w:keepLines w:val="0"/>
        <w:spacing w:line="240" w:lineRule="auto"/>
        <w:ind w:left="0" w:right="51" w:hanging="11"/>
        <w:rPr>
          <w:rFonts w:ascii="Times New Roman" w:hAnsi="Times New Roman" w:cs="Times New Roman"/>
          <w:b/>
          <w:color w:val="auto"/>
          <w:szCs w:val="24"/>
        </w:rPr>
      </w:pPr>
      <w:r w:rsidRPr="006E437B">
        <w:rPr>
          <w:rFonts w:ascii="Times New Roman" w:hAnsi="Times New Roman" w:cs="Times New Roman"/>
          <w:b/>
          <w:color w:val="auto"/>
          <w:szCs w:val="24"/>
        </w:rPr>
        <w:t>PRESIDENTE DE LA COMISIÓN DE SALUD, ASISTENCIA Y BIENESTAR SOCIAL</w:t>
      </w:r>
    </w:p>
    <w:p w:rsidR="006D3DC9" w:rsidRPr="006E437B" w:rsidRDefault="006D3DC9" w:rsidP="00141629">
      <w:pPr>
        <w:pStyle w:val="Ttulo1"/>
        <w:keepNext w:val="0"/>
        <w:keepLines w:val="0"/>
        <w:spacing w:line="240" w:lineRule="auto"/>
        <w:ind w:left="0" w:right="51" w:hanging="11"/>
        <w:rPr>
          <w:rFonts w:ascii="Times New Roman" w:hAnsi="Times New Roman" w:cs="Times New Roman"/>
          <w:b/>
          <w:color w:val="auto"/>
          <w:szCs w:val="24"/>
        </w:rPr>
      </w:pPr>
      <w:r w:rsidRPr="006E437B">
        <w:rPr>
          <w:rFonts w:ascii="Times New Roman" w:hAnsi="Times New Roman" w:cs="Times New Roman"/>
          <w:b/>
          <w:color w:val="auto"/>
          <w:szCs w:val="24"/>
        </w:rPr>
        <w:t>DE LA H. LXII LEGISLATURA DEL ESTADO DE MÉXICO</w:t>
      </w:r>
      <w:bookmarkEnd w:id="1"/>
      <w:bookmarkEnd w:id="2"/>
    </w:p>
    <w:p w:rsidR="00603D93" w:rsidRPr="006E437B" w:rsidRDefault="00603D93" w:rsidP="00141629">
      <w:pPr>
        <w:pStyle w:val="Sinespaciado"/>
        <w:jc w:val="both"/>
        <w:rPr>
          <w:rFonts w:ascii="Times New Roman" w:hAnsi="Times New Roman" w:cs="Times New Roman"/>
          <w:sz w:val="24"/>
          <w:szCs w:val="24"/>
        </w:rPr>
      </w:pPr>
    </w:p>
    <w:p w:rsidR="00603D93" w:rsidRPr="006E437B" w:rsidRDefault="00603D93"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603D93" w:rsidRPr="006E437B" w:rsidRDefault="00603D93" w:rsidP="00141629">
      <w:pPr>
        <w:pStyle w:val="Sinespaciado"/>
        <w:jc w:val="both"/>
        <w:rPr>
          <w:rFonts w:ascii="Times New Roman" w:hAnsi="Times New Roman" w:cs="Times New Roman"/>
          <w:sz w:val="24"/>
          <w:szCs w:val="24"/>
        </w:rPr>
      </w:pPr>
    </w:p>
    <w:p w:rsidR="00EC700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diputada</w:t>
      </w:r>
      <w:r w:rsidR="00F21950" w:rsidRPr="006E437B">
        <w:rPr>
          <w:rFonts w:ascii="Times New Roman" w:hAnsi="Times New Roman" w:cs="Times New Roman"/>
          <w:sz w:val="24"/>
          <w:szCs w:val="24"/>
        </w:rPr>
        <w:t>.</w:t>
      </w:r>
    </w:p>
    <w:p w:rsidR="00EC700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registra la iniciativa y se remite a las Comisiones Legislativas de Educación, Cultura, Ciencia, Tecnología e Innovación y de Recursos Hidráulicos para su estudio y dictamen.</w:t>
      </w:r>
    </w:p>
    <w:p w:rsidR="00EC700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cuanto al punto 4, la diputada María José Pérez Domínguez presenta</w:t>
      </w:r>
      <w:r w:rsidR="005C37D9" w:rsidRPr="006E437B">
        <w:rPr>
          <w:rFonts w:ascii="Times New Roman" w:hAnsi="Times New Roman" w:cs="Times New Roman"/>
          <w:sz w:val="24"/>
          <w:szCs w:val="24"/>
        </w:rPr>
        <w:t xml:space="preserve">, </w:t>
      </w:r>
      <w:r w:rsidRPr="006E437B">
        <w:rPr>
          <w:rFonts w:ascii="Times New Roman" w:hAnsi="Times New Roman" w:cs="Times New Roman"/>
          <w:sz w:val="24"/>
          <w:szCs w:val="24"/>
        </w:rPr>
        <w:t xml:space="preserve">en nombre del Grupo Parlamentario del Partido morena, </w:t>
      </w:r>
      <w:r w:rsidR="005C37D9" w:rsidRPr="006E437B">
        <w:rPr>
          <w:rFonts w:ascii="Times New Roman" w:hAnsi="Times New Roman" w:cs="Times New Roman"/>
          <w:sz w:val="24"/>
          <w:szCs w:val="24"/>
        </w:rPr>
        <w:t xml:space="preserve">Iniciativa </w:t>
      </w:r>
      <w:r w:rsidRPr="006E437B">
        <w:rPr>
          <w:rFonts w:ascii="Times New Roman" w:hAnsi="Times New Roman" w:cs="Times New Roman"/>
          <w:sz w:val="24"/>
          <w:szCs w:val="24"/>
        </w:rPr>
        <w:t xml:space="preserve">con </w:t>
      </w:r>
      <w:r w:rsidR="005C37D9" w:rsidRPr="006E437B">
        <w:rPr>
          <w:rFonts w:ascii="Times New Roman" w:hAnsi="Times New Roman" w:cs="Times New Roman"/>
          <w:sz w:val="24"/>
          <w:szCs w:val="24"/>
        </w:rPr>
        <w:t xml:space="preserve">Proyecto </w:t>
      </w:r>
      <w:r w:rsidRPr="006E437B">
        <w:rPr>
          <w:rFonts w:ascii="Times New Roman" w:hAnsi="Times New Roman" w:cs="Times New Roman"/>
          <w:sz w:val="24"/>
          <w:szCs w:val="24"/>
        </w:rPr>
        <w:t xml:space="preserve">de </w:t>
      </w:r>
      <w:r w:rsidR="005C37D9" w:rsidRPr="006E437B">
        <w:rPr>
          <w:rFonts w:ascii="Times New Roman" w:hAnsi="Times New Roman" w:cs="Times New Roman"/>
          <w:sz w:val="24"/>
          <w:szCs w:val="24"/>
        </w:rPr>
        <w:t xml:space="preserve">Decreto </w:t>
      </w:r>
      <w:r w:rsidRPr="006E437B">
        <w:rPr>
          <w:rFonts w:ascii="Times New Roman" w:hAnsi="Times New Roman" w:cs="Times New Roman"/>
          <w:sz w:val="24"/>
          <w:szCs w:val="24"/>
        </w:rPr>
        <w:t xml:space="preserve">por el que se declara </w:t>
      </w:r>
      <w:r w:rsidR="00160907" w:rsidRPr="006E437B">
        <w:rPr>
          <w:rFonts w:ascii="Times New Roman" w:hAnsi="Times New Roman" w:cs="Times New Roman"/>
          <w:sz w:val="24"/>
          <w:szCs w:val="24"/>
        </w:rPr>
        <w:t>“</w:t>
      </w:r>
      <w:r w:rsidRPr="006E437B">
        <w:rPr>
          <w:rFonts w:ascii="Times New Roman" w:hAnsi="Times New Roman" w:cs="Times New Roman"/>
          <w:sz w:val="24"/>
          <w:szCs w:val="24"/>
        </w:rPr>
        <w:t>2027 Bicentenario de la promulgación en Texcoco de la primera Constitución del Estado de México</w:t>
      </w:r>
      <w:r w:rsidR="00F405F5" w:rsidRPr="006E437B">
        <w:rPr>
          <w:rFonts w:ascii="Times New Roman" w:hAnsi="Times New Roman" w:cs="Times New Roman"/>
          <w:sz w:val="24"/>
          <w:szCs w:val="24"/>
        </w:rPr>
        <w:t>”</w:t>
      </w:r>
      <w:r w:rsidRPr="006E437B">
        <w:rPr>
          <w:rFonts w:ascii="Times New Roman" w:hAnsi="Times New Roman" w:cs="Times New Roman"/>
          <w:sz w:val="24"/>
          <w:szCs w:val="24"/>
        </w:rPr>
        <w:t>, adelante diputada.</w:t>
      </w:r>
    </w:p>
    <w:p w:rsidR="00EC700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lastRenderedPageBreak/>
        <w:t>DIP. MARÍA JOSÉ PÉREZ DOMÍNGUEZ. “Nuestra identidad no es un destino heredado; sino una obra colectiva que construimos recordando quiénes fuimos”. Carlos Fuentes.</w:t>
      </w:r>
    </w:p>
    <w:p w:rsidR="00EC700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Con el permiso del diputado Presidente, Vladimir Hernández Villegas, Presidente de la Mesa Directiva de la “LXII” Legislatura del Estado de México.</w:t>
      </w:r>
    </w:p>
    <w:p w:rsidR="00EC7004"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Saludo con mucho gusto a mis compañeras diputadas y diputados, a quienes siguen la actividad de esta Asamblea, a través de medios de comunicación y al público presente, muy buenas tardes a todas y todos.</w:t>
      </w:r>
    </w:p>
    <w:p w:rsidR="00D95058"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Quiero iniciar con una breve semblanza de lo que fue la creación de nuestra Carta Magna </w:t>
      </w:r>
      <w:r w:rsidR="00F86E7F" w:rsidRPr="006E437B">
        <w:rPr>
          <w:rFonts w:ascii="Times New Roman" w:hAnsi="Times New Roman" w:cs="Times New Roman"/>
          <w:sz w:val="24"/>
          <w:szCs w:val="24"/>
        </w:rPr>
        <w:t>Estatal</w:t>
      </w:r>
      <w:r w:rsidRPr="006E437B">
        <w:rPr>
          <w:rFonts w:ascii="Times New Roman" w:hAnsi="Times New Roman" w:cs="Times New Roman"/>
          <w:sz w:val="24"/>
          <w:szCs w:val="24"/>
        </w:rPr>
        <w:t>, el 14 de febrero de 1827, se promulgó en la Casa del Constituyente, ubicada en Texcoco, la primer Constitución del Estado Libre y Soberano de México</w:t>
      </w:r>
      <w:r w:rsidR="00D95058" w:rsidRPr="006E437B">
        <w:rPr>
          <w:rFonts w:ascii="Times New Roman" w:hAnsi="Times New Roman" w:cs="Times New Roman"/>
          <w:sz w:val="24"/>
          <w:szCs w:val="24"/>
        </w:rPr>
        <w:t>.</w:t>
      </w:r>
    </w:p>
    <w:p w:rsidR="00EC7004" w:rsidRPr="006E437B" w:rsidRDefault="00D95058"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Una </w:t>
      </w:r>
      <w:r w:rsidR="00EC7004" w:rsidRPr="006E437B">
        <w:rPr>
          <w:rFonts w:ascii="Times New Roman" w:hAnsi="Times New Roman" w:cs="Times New Roman"/>
          <w:sz w:val="24"/>
          <w:szCs w:val="24"/>
        </w:rPr>
        <w:t xml:space="preserve">Constitución es la norma suprema que da origen y regula la </w:t>
      </w:r>
      <w:r w:rsidR="00C603B4" w:rsidRPr="006E437B">
        <w:rPr>
          <w:rFonts w:ascii="Times New Roman" w:hAnsi="Times New Roman" w:cs="Times New Roman"/>
          <w:sz w:val="24"/>
          <w:szCs w:val="24"/>
        </w:rPr>
        <w:t xml:space="preserve">administración </w:t>
      </w:r>
      <w:r w:rsidR="00EC7004" w:rsidRPr="006E437B">
        <w:rPr>
          <w:rFonts w:ascii="Times New Roman" w:hAnsi="Times New Roman" w:cs="Times New Roman"/>
          <w:sz w:val="24"/>
          <w:szCs w:val="24"/>
        </w:rPr>
        <w:t>y el Gobierno; además es mediante ella que se establecen y reconocen instituciones, se reconocen derechos y las libertades de las y los habitantes de un Estado.</w:t>
      </w:r>
    </w:p>
    <w:p w:rsidR="000239C3" w:rsidRPr="006E437B" w:rsidRDefault="00EC7004"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Hay que recordar que las primeras Cartas Magnas</w:t>
      </w:r>
      <w:r w:rsidR="002C2C36" w:rsidRPr="006E437B">
        <w:rPr>
          <w:rFonts w:ascii="Times New Roman" w:hAnsi="Times New Roman" w:cs="Times New Roman"/>
          <w:sz w:val="24"/>
          <w:szCs w:val="24"/>
        </w:rPr>
        <w:t>,</w:t>
      </w:r>
      <w:r w:rsidRPr="006E437B">
        <w:rPr>
          <w:rFonts w:ascii="Times New Roman" w:hAnsi="Times New Roman" w:cs="Times New Roman"/>
          <w:sz w:val="24"/>
          <w:szCs w:val="24"/>
        </w:rPr>
        <w:t xml:space="preserve"> surgieron para anular los efectos negativos del absolutismo, estableciendo los mismos límites al ejercicio del poder; es decir, generar un sistema de pesos y contrapesos con la finalidad de evitar la concentración de funciones en una sola persona.</w:t>
      </w:r>
      <w:r w:rsidR="006303F3" w:rsidRPr="006E437B">
        <w:rPr>
          <w:rFonts w:ascii="Times New Roman" w:hAnsi="Times New Roman" w:cs="Times New Roman"/>
          <w:sz w:val="24"/>
          <w:szCs w:val="24"/>
        </w:rPr>
        <w:t xml:space="preserve"> </w:t>
      </w:r>
      <w:r w:rsidRPr="006E437B">
        <w:rPr>
          <w:rFonts w:ascii="Times New Roman" w:hAnsi="Times New Roman" w:cs="Times New Roman"/>
          <w:sz w:val="24"/>
          <w:szCs w:val="24"/>
        </w:rPr>
        <w:t>El principio de la división de poderes que sobrevive hasta nuestros días</w:t>
      </w:r>
      <w:r w:rsidR="000239C3" w:rsidRPr="006E437B">
        <w:rPr>
          <w:rFonts w:ascii="Times New Roman" w:hAnsi="Times New Roman" w:cs="Times New Roman"/>
          <w:sz w:val="24"/>
          <w:szCs w:val="24"/>
        </w:rPr>
        <w:t>.</w:t>
      </w:r>
    </w:p>
    <w:p w:rsidR="0096696E" w:rsidRPr="006E437B" w:rsidRDefault="000239C3"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Una </w:t>
      </w:r>
      <w:r w:rsidR="00EC7004" w:rsidRPr="006E437B">
        <w:rPr>
          <w:rFonts w:ascii="Times New Roman" w:hAnsi="Times New Roman" w:cs="Times New Roman"/>
          <w:sz w:val="24"/>
          <w:szCs w:val="24"/>
        </w:rPr>
        <w:t>Constitución en término</w:t>
      </w:r>
      <w:r w:rsidR="002636E5" w:rsidRPr="006E437B">
        <w:rPr>
          <w:rFonts w:ascii="Times New Roman" w:hAnsi="Times New Roman" w:cs="Times New Roman"/>
          <w:sz w:val="24"/>
          <w:szCs w:val="24"/>
        </w:rPr>
        <w:t>s</w:t>
      </w:r>
      <w:r w:rsidR="00EC7004" w:rsidRPr="006E437B">
        <w:rPr>
          <w:rFonts w:ascii="Times New Roman" w:hAnsi="Times New Roman" w:cs="Times New Roman"/>
          <w:sz w:val="24"/>
          <w:szCs w:val="24"/>
        </w:rPr>
        <w:t xml:space="preserve"> coloquiales es un contrato social, producto del consenso de personas que comparten un pasado, una identidad, tradiciones y costumbres y que aspiran a converger de igual forma en un presente </w:t>
      </w:r>
      <w:r w:rsidR="00017527" w:rsidRPr="006E437B">
        <w:rPr>
          <w:rFonts w:ascii="Times New Roman" w:hAnsi="Times New Roman" w:cs="Times New Roman"/>
          <w:sz w:val="24"/>
          <w:szCs w:val="24"/>
        </w:rPr>
        <w:t xml:space="preserve">y en un </w:t>
      </w:r>
      <w:r w:rsidR="0096696E" w:rsidRPr="006E437B">
        <w:rPr>
          <w:rFonts w:ascii="Times New Roman" w:hAnsi="Times New Roman" w:cs="Times New Roman"/>
          <w:sz w:val="24"/>
          <w:szCs w:val="24"/>
        </w:rPr>
        <w:t xml:space="preserve">futuro. </w:t>
      </w:r>
    </w:p>
    <w:p w:rsidR="00911EA0"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La Constitución Mexiquense de 1827, promulgada en Texcoco, que para ese entonces fue designada </w:t>
      </w:r>
      <w:r w:rsidR="0079697D" w:rsidRPr="006E437B">
        <w:rPr>
          <w:rFonts w:ascii="Times New Roman" w:hAnsi="Times New Roman" w:cs="Times New Roman"/>
          <w:sz w:val="24"/>
          <w:szCs w:val="24"/>
        </w:rPr>
        <w:t xml:space="preserve">Capital </w:t>
      </w:r>
      <w:r w:rsidRPr="006E437B">
        <w:rPr>
          <w:rFonts w:ascii="Times New Roman" w:hAnsi="Times New Roman" w:cs="Times New Roman"/>
          <w:sz w:val="24"/>
          <w:szCs w:val="24"/>
        </w:rPr>
        <w:t>de nuestro Estado, deriva de la Constitución Federal de 1824, con la cual</w:t>
      </w:r>
      <w:r w:rsidR="0079697D" w:rsidRPr="006E437B">
        <w:rPr>
          <w:rFonts w:ascii="Times New Roman" w:hAnsi="Times New Roman" w:cs="Times New Roman"/>
          <w:sz w:val="24"/>
          <w:szCs w:val="24"/>
        </w:rPr>
        <w:t>,</w:t>
      </w:r>
      <w:r w:rsidRPr="006E437B">
        <w:rPr>
          <w:rFonts w:ascii="Times New Roman" w:hAnsi="Times New Roman" w:cs="Times New Roman"/>
          <w:sz w:val="24"/>
          <w:szCs w:val="24"/>
        </w:rPr>
        <w:t xml:space="preserve"> se dio inicio a la vida independiente de nuestro </w:t>
      </w:r>
      <w:r w:rsidR="000239C3" w:rsidRPr="006E437B">
        <w:rPr>
          <w:rFonts w:ascii="Times New Roman" w:hAnsi="Times New Roman" w:cs="Times New Roman"/>
          <w:sz w:val="24"/>
          <w:szCs w:val="24"/>
        </w:rPr>
        <w:t>país</w:t>
      </w:r>
      <w:r w:rsidR="00911EA0" w:rsidRPr="006E437B">
        <w:rPr>
          <w:rFonts w:ascii="Times New Roman" w:hAnsi="Times New Roman" w:cs="Times New Roman"/>
          <w:sz w:val="24"/>
          <w:szCs w:val="24"/>
        </w:rPr>
        <w:t>.</w:t>
      </w:r>
    </w:p>
    <w:p w:rsidR="0096696E" w:rsidRPr="006E437B" w:rsidRDefault="00911EA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Entre </w:t>
      </w:r>
      <w:r w:rsidR="0096696E" w:rsidRPr="006E437B">
        <w:rPr>
          <w:rFonts w:ascii="Times New Roman" w:hAnsi="Times New Roman" w:cs="Times New Roman"/>
          <w:sz w:val="24"/>
          <w:szCs w:val="24"/>
        </w:rPr>
        <w:t>los derechos que emanaron de nuestra Constitución Estatal, se reconoció la libertad, la igualdad, el derecho de audiencia ciudadana, la remuneración del trabajo, el derecho de los inculpados a ser escuchados, entes de recibir sentencia y el derecho a la libertad de expresión; se condenó la existencia de la esclavitud y se estableció la supresión de títulos nobiliarios y privilegios hereditarios; entre los derechos de la ciudadanía</w:t>
      </w:r>
      <w:r w:rsidR="0079697D" w:rsidRPr="006E437B">
        <w:rPr>
          <w:rFonts w:ascii="Times New Roman" w:hAnsi="Times New Roman" w:cs="Times New Roman"/>
          <w:sz w:val="24"/>
          <w:szCs w:val="24"/>
        </w:rPr>
        <w:t>,</w:t>
      </w:r>
      <w:r w:rsidR="0096696E" w:rsidRPr="006E437B">
        <w:rPr>
          <w:rFonts w:ascii="Times New Roman" w:hAnsi="Times New Roman" w:cs="Times New Roman"/>
          <w:sz w:val="24"/>
          <w:szCs w:val="24"/>
        </w:rPr>
        <w:t xml:space="preserve"> se estableció la de elegir y ser electos para cargos públicos, todos ellos, derechos y garantías de avanzada en el ámbito nacional.</w:t>
      </w:r>
    </w:p>
    <w:p w:rsidR="0096696E"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Hay de hacer énfasis compañeras y compañeros diputados, que en medio de la tumultuosa situación política por la que atravesaba nuestro País y nuestro Estado en sus orígenes, un pequeño grupo de intelectuales</w:t>
      </w:r>
      <w:r w:rsidR="00554527" w:rsidRPr="006E437B">
        <w:rPr>
          <w:rFonts w:ascii="Times New Roman" w:hAnsi="Times New Roman" w:cs="Times New Roman"/>
          <w:sz w:val="24"/>
          <w:szCs w:val="24"/>
        </w:rPr>
        <w:t>;</w:t>
      </w:r>
      <w:r w:rsidRPr="006E437B">
        <w:rPr>
          <w:rFonts w:ascii="Times New Roman" w:hAnsi="Times New Roman" w:cs="Times New Roman"/>
          <w:sz w:val="24"/>
          <w:szCs w:val="24"/>
        </w:rPr>
        <w:t xml:space="preserve"> entre ellos, José María Luis Mora</w:t>
      </w:r>
      <w:r w:rsidR="00A526C7" w:rsidRPr="006E437B">
        <w:rPr>
          <w:rFonts w:ascii="Times New Roman" w:hAnsi="Times New Roman" w:cs="Times New Roman"/>
          <w:sz w:val="24"/>
          <w:szCs w:val="24"/>
        </w:rPr>
        <w:t>,</w:t>
      </w:r>
      <w:r w:rsidRPr="006E437B">
        <w:rPr>
          <w:rFonts w:ascii="Times New Roman" w:hAnsi="Times New Roman" w:cs="Times New Roman"/>
          <w:sz w:val="24"/>
          <w:szCs w:val="24"/>
        </w:rPr>
        <w:t xml:space="preserve"> se esmeraron por crear una Constitución sumamente vanguardista, a pesar de tantas dificultades.</w:t>
      </w:r>
    </w:p>
    <w:p w:rsidR="0062769A"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Los diputados constituyentes establecieron un sistema fiscal hacendario, un sistema judicial completo, elaboraron una ley electoral y una ley sobre el municipio, fueron pioneros en el establecimiento de las garantías individuales. Sí, esas mismas que no figuraron en la Constitución Federal</w:t>
      </w:r>
      <w:r w:rsidR="004E6532" w:rsidRPr="006E437B">
        <w:rPr>
          <w:rFonts w:ascii="Times New Roman" w:hAnsi="Times New Roman" w:cs="Times New Roman"/>
          <w:sz w:val="24"/>
          <w:szCs w:val="24"/>
        </w:rPr>
        <w:t>;</w:t>
      </w:r>
      <w:r w:rsidRPr="006E437B">
        <w:rPr>
          <w:rFonts w:ascii="Times New Roman" w:hAnsi="Times New Roman" w:cs="Times New Roman"/>
          <w:sz w:val="24"/>
          <w:szCs w:val="24"/>
        </w:rPr>
        <w:t xml:space="preserve"> sino hasta 1857</w:t>
      </w:r>
      <w:r w:rsidR="0062769A" w:rsidRPr="006E437B">
        <w:rPr>
          <w:rFonts w:ascii="Times New Roman" w:hAnsi="Times New Roman" w:cs="Times New Roman"/>
          <w:sz w:val="24"/>
          <w:szCs w:val="24"/>
        </w:rPr>
        <w:t xml:space="preserve"> </w:t>
      </w:r>
      <w:r w:rsidR="00FE2698" w:rsidRPr="006E437B">
        <w:rPr>
          <w:rFonts w:ascii="Times New Roman" w:hAnsi="Times New Roman" w:cs="Times New Roman"/>
          <w:sz w:val="24"/>
          <w:szCs w:val="24"/>
        </w:rPr>
        <w:t xml:space="preserve">y qué </w:t>
      </w:r>
      <w:r w:rsidRPr="006E437B">
        <w:rPr>
          <w:rFonts w:ascii="Times New Roman" w:hAnsi="Times New Roman" w:cs="Times New Roman"/>
          <w:sz w:val="24"/>
          <w:szCs w:val="24"/>
        </w:rPr>
        <w:t>decir de la Ley para el Procesamiento Criminal</w:t>
      </w:r>
      <w:r w:rsidR="00FE2698"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FE2698" w:rsidRPr="006E437B">
        <w:rPr>
          <w:rFonts w:ascii="Times New Roman" w:hAnsi="Times New Roman" w:cs="Times New Roman"/>
          <w:sz w:val="24"/>
          <w:szCs w:val="24"/>
        </w:rPr>
        <w:t xml:space="preserve">cuyo </w:t>
      </w:r>
      <w:r w:rsidRPr="006E437B">
        <w:rPr>
          <w:rFonts w:ascii="Times New Roman" w:hAnsi="Times New Roman" w:cs="Times New Roman"/>
          <w:sz w:val="24"/>
          <w:szCs w:val="24"/>
        </w:rPr>
        <w:t xml:space="preserve">objetivo era garantizar un </w:t>
      </w:r>
      <w:r w:rsidR="00FE2698" w:rsidRPr="006E437B">
        <w:rPr>
          <w:rFonts w:ascii="Times New Roman" w:hAnsi="Times New Roman" w:cs="Times New Roman"/>
          <w:sz w:val="24"/>
          <w:szCs w:val="24"/>
        </w:rPr>
        <w:t xml:space="preserve">sistema </w:t>
      </w:r>
      <w:r w:rsidRPr="006E437B">
        <w:rPr>
          <w:rFonts w:ascii="Times New Roman" w:hAnsi="Times New Roman" w:cs="Times New Roman"/>
          <w:sz w:val="24"/>
          <w:szCs w:val="24"/>
        </w:rPr>
        <w:t xml:space="preserve">de </w:t>
      </w:r>
      <w:r w:rsidR="00FE2698" w:rsidRPr="006E437B">
        <w:rPr>
          <w:rFonts w:ascii="Times New Roman" w:hAnsi="Times New Roman" w:cs="Times New Roman"/>
          <w:sz w:val="24"/>
          <w:szCs w:val="24"/>
        </w:rPr>
        <w:t xml:space="preserve">impartición </w:t>
      </w:r>
      <w:r w:rsidRPr="006E437B">
        <w:rPr>
          <w:rFonts w:ascii="Times New Roman" w:hAnsi="Times New Roman" w:cs="Times New Roman"/>
          <w:sz w:val="24"/>
          <w:szCs w:val="24"/>
        </w:rPr>
        <w:t xml:space="preserve">de </w:t>
      </w:r>
      <w:r w:rsidR="00FE2698" w:rsidRPr="006E437B">
        <w:rPr>
          <w:rFonts w:ascii="Times New Roman" w:hAnsi="Times New Roman" w:cs="Times New Roman"/>
          <w:sz w:val="24"/>
          <w:szCs w:val="24"/>
        </w:rPr>
        <w:t xml:space="preserve">justicia </w:t>
      </w:r>
      <w:r w:rsidRPr="006E437B">
        <w:rPr>
          <w:rFonts w:ascii="Times New Roman" w:hAnsi="Times New Roman" w:cs="Times New Roman"/>
          <w:sz w:val="24"/>
          <w:szCs w:val="24"/>
        </w:rPr>
        <w:t>para las clases más humildes; todo ello</w:t>
      </w:r>
      <w:r w:rsidR="00FE2698" w:rsidRPr="006E437B">
        <w:rPr>
          <w:rFonts w:ascii="Times New Roman" w:hAnsi="Times New Roman" w:cs="Times New Roman"/>
          <w:sz w:val="24"/>
          <w:szCs w:val="24"/>
        </w:rPr>
        <w:t>,</w:t>
      </w:r>
      <w:r w:rsidRPr="006E437B">
        <w:rPr>
          <w:rFonts w:ascii="Times New Roman" w:hAnsi="Times New Roman" w:cs="Times New Roman"/>
          <w:sz w:val="24"/>
          <w:szCs w:val="24"/>
        </w:rPr>
        <w:t xml:space="preserve"> acontecido en Texcoco, una de las ciudades más antiguas y de mayor riqueza cultural del </w:t>
      </w:r>
      <w:r w:rsidR="00EB40CA" w:rsidRPr="006E437B">
        <w:rPr>
          <w:rFonts w:ascii="Times New Roman" w:hAnsi="Times New Roman" w:cs="Times New Roman"/>
          <w:sz w:val="24"/>
          <w:szCs w:val="24"/>
        </w:rPr>
        <w:t>país</w:t>
      </w:r>
      <w:r w:rsidRPr="006E437B">
        <w:rPr>
          <w:rFonts w:ascii="Times New Roman" w:hAnsi="Times New Roman" w:cs="Times New Roman"/>
          <w:sz w:val="24"/>
          <w:szCs w:val="24"/>
        </w:rPr>
        <w:t>; por ello fue denominado en su momento, Capital del Estado de México</w:t>
      </w:r>
      <w:r w:rsidR="0062769A" w:rsidRPr="006E437B">
        <w:rPr>
          <w:rFonts w:ascii="Times New Roman" w:hAnsi="Times New Roman" w:cs="Times New Roman"/>
          <w:sz w:val="24"/>
          <w:szCs w:val="24"/>
        </w:rPr>
        <w:t>.</w:t>
      </w:r>
    </w:p>
    <w:p w:rsidR="0096696E" w:rsidRPr="006E437B" w:rsidRDefault="0062769A"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Texcoco</w:t>
      </w:r>
      <w:r w:rsidR="0096696E" w:rsidRPr="006E437B">
        <w:rPr>
          <w:rFonts w:ascii="Times New Roman" w:hAnsi="Times New Roman" w:cs="Times New Roman"/>
          <w:sz w:val="24"/>
          <w:szCs w:val="24"/>
        </w:rPr>
        <w:t>, la gran capital del mundo, acolhua y náhuatl fue por largo tiempo potencia militar y el corazón intelectual y cultural prehispánico del Valle de México.</w:t>
      </w:r>
      <w:r w:rsidR="00642447" w:rsidRPr="006E437B">
        <w:rPr>
          <w:rFonts w:ascii="Times New Roman" w:hAnsi="Times New Roman" w:cs="Times New Roman"/>
          <w:sz w:val="24"/>
          <w:szCs w:val="24"/>
        </w:rPr>
        <w:t xml:space="preserve"> </w:t>
      </w:r>
      <w:r w:rsidR="0096696E" w:rsidRPr="006E437B">
        <w:rPr>
          <w:rFonts w:ascii="Times New Roman" w:hAnsi="Times New Roman" w:cs="Times New Roman"/>
          <w:sz w:val="24"/>
          <w:szCs w:val="24"/>
        </w:rPr>
        <w:t>Durante la época de la Colonia</w:t>
      </w:r>
      <w:r w:rsidR="00642447" w:rsidRPr="006E437B">
        <w:rPr>
          <w:rFonts w:ascii="Times New Roman" w:hAnsi="Times New Roman" w:cs="Times New Roman"/>
          <w:sz w:val="24"/>
          <w:szCs w:val="24"/>
        </w:rPr>
        <w:t>,</w:t>
      </w:r>
      <w:r w:rsidR="0096696E" w:rsidRPr="006E437B">
        <w:rPr>
          <w:rFonts w:ascii="Times New Roman" w:hAnsi="Times New Roman" w:cs="Times New Roman"/>
          <w:sz w:val="24"/>
          <w:szCs w:val="24"/>
        </w:rPr>
        <w:t xml:space="preserve"> fue sede de la primera escuela europea en América y estuvo considerada como la segunda ciudad más importante en los inicios de la Nueva España, cuna del Bilingüismo, ruta comercial estratégica entre la </w:t>
      </w:r>
      <w:r w:rsidRPr="006E437B">
        <w:rPr>
          <w:rFonts w:ascii="Times New Roman" w:hAnsi="Times New Roman" w:cs="Times New Roman"/>
          <w:sz w:val="24"/>
          <w:szCs w:val="24"/>
        </w:rPr>
        <w:t xml:space="preserve">Ciudad </w:t>
      </w:r>
      <w:r w:rsidR="0096696E" w:rsidRPr="006E437B">
        <w:rPr>
          <w:rFonts w:ascii="Times New Roman" w:hAnsi="Times New Roman" w:cs="Times New Roman"/>
          <w:sz w:val="24"/>
          <w:szCs w:val="24"/>
        </w:rPr>
        <w:t>de México y el oriente, Puebla, Tlaxcala y Veracruz</w:t>
      </w:r>
      <w:r w:rsidR="001411A3" w:rsidRPr="006E437B">
        <w:rPr>
          <w:rFonts w:ascii="Times New Roman" w:hAnsi="Times New Roman" w:cs="Times New Roman"/>
          <w:sz w:val="24"/>
          <w:szCs w:val="24"/>
        </w:rPr>
        <w:t>, c</w:t>
      </w:r>
      <w:r w:rsidR="0096696E" w:rsidRPr="006E437B">
        <w:rPr>
          <w:rFonts w:ascii="Times New Roman" w:hAnsi="Times New Roman" w:cs="Times New Roman"/>
          <w:sz w:val="24"/>
          <w:szCs w:val="24"/>
        </w:rPr>
        <w:t>onservó una de las organizaciones políticas administrativas indígenas más estables y respetadas por toda la Corona Española, aunque el honor de ser capital</w:t>
      </w:r>
      <w:r w:rsidR="000C2740" w:rsidRPr="006E437B">
        <w:rPr>
          <w:rFonts w:ascii="Times New Roman" w:hAnsi="Times New Roman" w:cs="Times New Roman"/>
          <w:sz w:val="24"/>
          <w:szCs w:val="24"/>
        </w:rPr>
        <w:t>,</w:t>
      </w:r>
      <w:r w:rsidR="0096696E" w:rsidRPr="006E437B">
        <w:rPr>
          <w:rFonts w:ascii="Times New Roman" w:hAnsi="Times New Roman" w:cs="Times New Roman"/>
          <w:sz w:val="24"/>
          <w:szCs w:val="24"/>
        </w:rPr>
        <w:t xml:space="preserve"> lo conservó por un muy corto tiempo, debido entre otros factores al constante riesgo de intervenciones militares en las cercanías del Valle de México.</w:t>
      </w:r>
    </w:p>
    <w:p w:rsidR="0096696E"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lastRenderedPageBreak/>
        <w:tab/>
        <w:t xml:space="preserve">El Gobernador Melchor Muzquiz, en aquel entonces y la Legislatura Local, tomaron la decisión de trasladar la misma </w:t>
      </w:r>
      <w:r w:rsidR="000C2740" w:rsidRPr="006E437B">
        <w:rPr>
          <w:rFonts w:ascii="Times New Roman" w:hAnsi="Times New Roman" w:cs="Times New Roman"/>
          <w:sz w:val="24"/>
          <w:szCs w:val="24"/>
        </w:rPr>
        <w:t xml:space="preserve">Capital </w:t>
      </w:r>
      <w:r w:rsidRPr="006E437B">
        <w:rPr>
          <w:rFonts w:ascii="Times New Roman" w:hAnsi="Times New Roman" w:cs="Times New Roman"/>
          <w:sz w:val="24"/>
          <w:szCs w:val="24"/>
        </w:rPr>
        <w:t xml:space="preserve">a Toluca; ya que ofrecía un aislamiento geográfico estratégico; el que se moviera la </w:t>
      </w:r>
      <w:r w:rsidR="000C2740" w:rsidRPr="006E437B">
        <w:rPr>
          <w:rFonts w:ascii="Times New Roman" w:hAnsi="Times New Roman" w:cs="Times New Roman"/>
          <w:sz w:val="24"/>
          <w:szCs w:val="24"/>
        </w:rPr>
        <w:t xml:space="preserve">Capital </w:t>
      </w:r>
      <w:r w:rsidRPr="006E437B">
        <w:rPr>
          <w:rFonts w:ascii="Times New Roman" w:hAnsi="Times New Roman" w:cs="Times New Roman"/>
          <w:sz w:val="24"/>
          <w:szCs w:val="24"/>
        </w:rPr>
        <w:t>de Texcoco a Toluca</w:t>
      </w:r>
      <w:r w:rsidR="000C2740" w:rsidRPr="006E437B">
        <w:rPr>
          <w:rFonts w:ascii="Times New Roman" w:hAnsi="Times New Roman" w:cs="Times New Roman"/>
          <w:sz w:val="24"/>
          <w:szCs w:val="24"/>
        </w:rPr>
        <w:t>,</w:t>
      </w:r>
      <w:r w:rsidRPr="006E437B">
        <w:rPr>
          <w:rFonts w:ascii="Times New Roman" w:hAnsi="Times New Roman" w:cs="Times New Roman"/>
          <w:sz w:val="24"/>
          <w:szCs w:val="24"/>
        </w:rPr>
        <w:t xml:space="preserve"> no le resta importancia y reconocimiento a la gran historia de este emblemático municipio.</w:t>
      </w:r>
    </w:p>
    <w:p w:rsidR="00752766"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Soy orgullosamente texcocana y el día de hoy</w:t>
      </w:r>
      <w:r w:rsidR="000C2740" w:rsidRPr="006E437B">
        <w:rPr>
          <w:rFonts w:ascii="Times New Roman" w:hAnsi="Times New Roman" w:cs="Times New Roman"/>
          <w:sz w:val="24"/>
          <w:szCs w:val="24"/>
        </w:rPr>
        <w:t>,</w:t>
      </w:r>
      <w:r w:rsidRPr="006E437B">
        <w:rPr>
          <w:rFonts w:ascii="Times New Roman" w:hAnsi="Times New Roman" w:cs="Times New Roman"/>
          <w:sz w:val="24"/>
          <w:szCs w:val="24"/>
        </w:rPr>
        <w:t xml:space="preserve"> tengo el honor de representarlo en esta tribuna; pero el día de hoy no solo hablaré de la grandeza de mi tierra</w:t>
      </w:r>
      <w:r w:rsidR="000C2740" w:rsidRPr="006E437B">
        <w:rPr>
          <w:rFonts w:ascii="Times New Roman" w:hAnsi="Times New Roman" w:cs="Times New Roman"/>
          <w:sz w:val="24"/>
          <w:szCs w:val="24"/>
        </w:rPr>
        <w:t>;</w:t>
      </w:r>
      <w:r w:rsidRPr="006E437B">
        <w:rPr>
          <w:rFonts w:ascii="Times New Roman" w:hAnsi="Times New Roman" w:cs="Times New Roman"/>
          <w:sz w:val="24"/>
          <w:szCs w:val="24"/>
        </w:rPr>
        <w:t xml:space="preserve"> sino de la importancia que tiene nuestro Estado para el País; como ya lo mencioné con anterioridad, fuimos pioneros en plasmar en una Constitución varios de los derechos y garantías a nivel nacional, cada uno de nuestros 125 </w:t>
      </w:r>
      <w:r w:rsidR="000C2740" w:rsidRPr="006E437B">
        <w:rPr>
          <w:rFonts w:ascii="Times New Roman" w:hAnsi="Times New Roman" w:cs="Times New Roman"/>
          <w:sz w:val="24"/>
          <w:szCs w:val="24"/>
        </w:rPr>
        <w:t xml:space="preserve">Municipios </w:t>
      </w:r>
      <w:r w:rsidRPr="006E437B">
        <w:rPr>
          <w:rFonts w:ascii="Times New Roman" w:hAnsi="Times New Roman" w:cs="Times New Roman"/>
          <w:sz w:val="24"/>
          <w:szCs w:val="24"/>
        </w:rPr>
        <w:t>que lo conforman</w:t>
      </w:r>
      <w:r w:rsidR="000C2740" w:rsidRPr="006E437B">
        <w:rPr>
          <w:rFonts w:ascii="Times New Roman" w:hAnsi="Times New Roman" w:cs="Times New Roman"/>
          <w:sz w:val="24"/>
          <w:szCs w:val="24"/>
        </w:rPr>
        <w:t>,</w:t>
      </w:r>
      <w:r w:rsidRPr="006E437B">
        <w:rPr>
          <w:rFonts w:ascii="Times New Roman" w:hAnsi="Times New Roman" w:cs="Times New Roman"/>
          <w:sz w:val="24"/>
          <w:szCs w:val="24"/>
        </w:rPr>
        <w:t xml:space="preserve"> cuentan con historia y linaje cultural propio que</w:t>
      </w:r>
      <w:bookmarkStart w:id="3" w:name="_Hlk241067089"/>
      <w:r w:rsidRPr="006E437B">
        <w:rPr>
          <w:rFonts w:ascii="Times New Roman" w:hAnsi="Times New Roman" w:cs="Times New Roman"/>
          <w:sz w:val="24"/>
          <w:szCs w:val="24"/>
        </w:rPr>
        <w:t xml:space="preserve"> acrecienta </w:t>
      </w:r>
      <w:bookmarkEnd w:id="3"/>
      <w:r w:rsidRPr="006E437B">
        <w:rPr>
          <w:rFonts w:ascii="Times New Roman" w:hAnsi="Times New Roman" w:cs="Times New Roman"/>
          <w:sz w:val="24"/>
          <w:szCs w:val="24"/>
        </w:rPr>
        <w:t>nuestro valor cultural, económico e intelectual, pasando por las etapas indígenas, coloniales y del México independiente</w:t>
      </w:r>
      <w:r w:rsidR="00752766" w:rsidRPr="006E437B">
        <w:rPr>
          <w:rFonts w:ascii="Times New Roman" w:hAnsi="Times New Roman" w:cs="Times New Roman"/>
          <w:sz w:val="24"/>
          <w:szCs w:val="24"/>
        </w:rPr>
        <w:t>.</w:t>
      </w:r>
    </w:p>
    <w:p w:rsidR="0096696E" w:rsidRPr="006E437B" w:rsidRDefault="0075276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Somos </w:t>
      </w:r>
      <w:r w:rsidR="0096696E" w:rsidRPr="006E437B">
        <w:rPr>
          <w:rFonts w:ascii="Times New Roman" w:hAnsi="Times New Roman" w:cs="Times New Roman"/>
          <w:sz w:val="24"/>
          <w:szCs w:val="24"/>
        </w:rPr>
        <w:t xml:space="preserve">el Estado más habitado del País, con más de 18 millones de personas, duplicamos compañeras y compañeros la población de la </w:t>
      </w:r>
      <w:r w:rsidRPr="006E437B">
        <w:rPr>
          <w:rFonts w:ascii="Times New Roman" w:hAnsi="Times New Roman" w:cs="Times New Roman"/>
          <w:sz w:val="24"/>
          <w:szCs w:val="24"/>
        </w:rPr>
        <w:t xml:space="preserve">Ciudad </w:t>
      </w:r>
      <w:r w:rsidR="0096696E" w:rsidRPr="006E437B">
        <w:rPr>
          <w:rFonts w:ascii="Times New Roman" w:hAnsi="Times New Roman" w:cs="Times New Roman"/>
          <w:sz w:val="24"/>
          <w:szCs w:val="24"/>
        </w:rPr>
        <w:t xml:space="preserve">de México, que es la </w:t>
      </w:r>
      <w:r w:rsidRPr="006E437B">
        <w:rPr>
          <w:rFonts w:ascii="Times New Roman" w:hAnsi="Times New Roman" w:cs="Times New Roman"/>
          <w:sz w:val="24"/>
          <w:szCs w:val="24"/>
        </w:rPr>
        <w:t xml:space="preserve">Capital </w:t>
      </w:r>
      <w:r w:rsidR="0096696E" w:rsidRPr="006E437B">
        <w:rPr>
          <w:rFonts w:ascii="Times New Roman" w:hAnsi="Times New Roman" w:cs="Times New Roman"/>
          <w:sz w:val="24"/>
          <w:szCs w:val="24"/>
        </w:rPr>
        <w:t xml:space="preserve">de nuestro </w:t>
      </w:r>
      <w:r w:rsidR="00A43597" w:rsidRPr="006E437B">
        <w:rPr>
          <w:rFonts w:ascii="Times New Roman" w:hAnsi="Times New Roman" w:cs="Times New Roman"/>
          <w:sz w:val="24"/>
          <w:szCs w:val="24"/>
        </w:rPr>
        <w:t>país</w:t>
      </w:r>
      <w:r w:rsidR="0096696E" w:rsidRPr="006E437B">
        <w:rPr>
          <w:rFonts w:ascii="Times New Roman" w:hAnsi="Times New Roman" w:cs="Times New Roman"/>
          <w:sz w:val="24"/>
          <w:szCs w:val="24"/>
        </w:rPr>
        <w:t>; por ello, somos el escenario político más importante que tiene México; además, el Edomex, es la segunda economía más boyante del País.</w:t>
      </w:r>
    </w:p>
    <w:p w:rsidR="00E57039"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Diputadas y diputados, se nos olvida con frecuenta quienes somos como Estado y la enorme importancia que tenemos y esto es algo que debemos siempre rescatar; por ello, hoy la Presidenta de esta País, la Doctora Claudia </w:t>
      </w:r>
      <w:r w:rsidR="005A7BA0" w:rsidRPr="006E437B">
        <w:rPr>
          <w:rFonts w:ascii="Times New Roman" w:hAnsi="Times New Roman" w:cs="Times New Roman"/>
          <w:sz w:val="24"/>
          <w:szCs w:val="24"/>
        </w:rPr>
        <w:t>Sheinbaum</w:t>
      </w:r>
      <w:r w:rsidRPr="006E437B">
        <w:rPr>
          <w:rFonts w:ascii="Times New Roman" w:hAnsi="Times New Roman" w:cs="Times New Roman"/>
          <w:sz w:val="24"/>
          <w:szCs w:val="24"/>
        </w:rPr>
        <w:t xml:space="preserve"> Pardo, pone al Estado de México y en especial al oriente como una prio</w:t>
      </w:r>
      <w:r w:rsidR="005A7BA0" w:rsidRPr="006E437B">
        <w:rPr>
          <w:rFonts w:ascii="Times New Roman" w:hAnsi="Times New Roman" w:cs="Times New Roman"/>
          <w:sz w:val="24"/>
          <w:szCs w:val="24"/>
        </w:rPr>
        <w:t>ridad,</w:t>
      </w:r>
      <w:r w:rsidR="00E57039" w:rsidRPr="006E437B">
        <w:rPr>
          <w:rFonts w:ascii="Times New Roman" w:eastAsia="Arial" w:hAnsi="Times New Roman" w:cs="Times New Roman"/>
          <w:sz w:val="24"/>
          <w:szCs w:val="24"/>
          <w:lang w:bidi="en-US"/>
        </w:rPr>
        <w:t xml:space="preserve"> </w:t>
      </w:r>
      <w:r w:rsidR="005A7BA0" w:rsidRPr="006E437B">
        <w:rPr>
          <w:rFonts w:ascii="Times New Roman" w:hAnsi="Times New Roman" w:cs="Times New Roman"/>
          <w:sz w:val="24"/>
          <w:szCs w:val="24"/>
          <w:lang w:bidi="en-US"/>
        </w:rPr>
        <w:t>h</w:t>
      </w:r>
      <w:r w:rsidR="00E57039" w:rsidRPr="006E437B">
        <w:rPr>
          <w:rFonts w:ascii="Times New Roman" w:hAnsi="Times New Roman" w:cs="Times New Roman"/>
          <w:sz w:val="24"/>
          <w:szCs w:val="24"/>
          <w:lang w:bidi="en-US"/>
        </w:rPr>
        <w:t>oy, la gobernadora de nuestro estado, la maestra Delfina Gómez Álvarez, le regresa la dignidad a nuestra entidad, no somos el patio trasero de la Ciudad de México, el Estado de México es una tierra de hombres y mujeres dignos que merecen mejores condiciones de vida y poco a poco</w:t>
      </w:r>
      <w:r w:rsidR="009D3154" w:rsidRPr="006E437B">
        <w:rPr>
          <w:rFonts w:ascii="Times New Roman" w:hAnsi="Times New Roman" w:cs="Times New Roman"/>
          <w:sz w:val="24"/>
          <w:szCs w:val="24"/>
          <w:lang w:bidi="en-US"/>
        </w:rPr>
        <w:t>,</w:t>
      </w:r>
      <w:r w:rsidR="00E57039" w:rsidRPr="006E437B">
        <w:rPr>
          <w:rFonts w:ascii="Times New Roman" w:hAnsi="Times New Roman" w:cs="Times New Roman"/>
          <w:sz w:val="24"/>
          <w:szCs w:val="24"/>
          <w:lang w:bidi="en-US"/>
        </w:rPr>
        <w:t xml:space="preserve"> vamos caminando para allá.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En este tenor</w:t>
      </w:r>
      <w:r w:rsidR="009D3154"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entendiendo la grandeza de nuestra </w:t>
      </w:r>
      <w:r w:rsidR="005063F1" w:rsidRPr="006E437B">
        <w:rPr>
          <w:rFonts w:ascii="Times New Roman" w:hAnsi="Times New Roman" w:cs="Times New Roman"/>
          <w:sz w:val="24"/>
          <w:szCs w:val="24"/>
          <w:lang w:bidi="en-US"/>
        </w:rPr>
        <w:t>Entidad</w:t>
      </w:r>
      <w:r w:rsidRPr="006E437B">
        <w:rPr>
          <w:rFonts w:ascii="Times New Roman" w:hAnsi="Times New Roman" w:cs="Times New Roman"/>
          <w:sz w:val="24"/>
          <w:szCs w:val="24"/>
          <w:lang w:bidi="en-US"/>
        </w:rPr>
        <w:t xml:space="preserve">, el 14 de febrero </w:t>
      </w:r>
      <w:r w:rsidR="00035D0F" w:rsidRPr="006E437B">
        <w:rPr>
          <w:rFonts w:ascii="Times New Roman" w:hAnsi="Times New Roman" w:cs="Times New Roman"/>
          <w:sz w:val="24"/>
          <w:szCs w:val="24"/>
          <w:lang w:bidi="en-US"/>
        </w:rPr>
        <w:t xml:space="preserve">de </w:t>
      </w:r>
      <w:r w:rsidRPr="006E437B">
        <w:rPr>
          <w:rFonts w:ascii="Times New Roman" w:hAnsi="Times New Roman" w:cs="Times New Roman"/>
          <w:sz w:val="24"/>
          <w:szCs w:val="24"/>
          <w:lang w:bidi="en-US"/>
        </w:rPr>
        <w:t>2027</w:t>
      </w:r>
      <w:r w:rsidR="009D3154"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se cumplirán </w:t>
      </w:r>
      <w:r w:rsidR="00035D0F" w:rsidRPr="006E437B">
        <w:rPr>
          <w:rFonts w:ascii="Times New Roman" w:hAnsi="Times New Roman" w:cs="Times New Roman"/>
          <w:sz w:val="24"/>
          <w:szCs w:val="24"/>
          <w:lang w:bidi="en-US"/>
        </w:rPr>
        <w:t>doscientos</w:t>
      </w:r>
      <w:r w:rsidRPr="006E437B">
        <w:rPr>
          <w:rFonts w:ascii="Times New Roman" w:hAnsi="Times New Roman" w:cs="Times New Roman"/>
          <w:sz w:val="24"/>
          <w:szCs w:val="24"/>
          <w:lang w:bidi="en-US"/>
        </w:rPr>
        <w:t xml:space="preserve"> años del nacimiento del Estado de México</w:t>
      </w:r>
      <w:r w:rsidR="00BF72E1"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como un Estado Constitucional sustentado en un contrato social con principios, instituciones, libertades y derechos que sobreviven y que han ido evolucionando.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Por lo anterior, para honrar y exaltar los principios e ideales que se plasmaron por primera vez en la Constitución de 1827</w:t>
      </w:r>
      <w:r w:rsidR="009D3154"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promulgada en Texcoco y para resguardar que el gobierno y ciudadanía</w:t>
      </w:r>
      <w:r w:rsidR="000C14F5"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debemos actuar en conjunto y coordinación para procurar su cumplimiento en nombre y representación del Grupo Parlamentario de morena, me permito proponer que la leyenda oficial para el próximo año, que deberá incluirse en la correspondencia de los poderes, dependencias y organismos estatales y municipales, se dedique</w:t>
      </w:r>
      <w:r w:rsidR="0031581A" w:rsidRPr="006E437B">
        <w:rPr>
          <w:rFonts w:ascii="Times New Roman" w:hAnsi="Times New Roman" w:cs="Times New Roman"/>
          <w:sz w:val="24"/>
          <w:szCs w:val="24"/>
          <w:lang w:bidi="en-US"/>
        </w:rPr>
        <w:t xml:space="preserve"> a</w:t>
      </w:r>
      <w:r w:rsidRPr="006E437B">
        <w:rPr>
          <w:rFonts w:ascii="Times New Roman" w:hAnsi="Times New Roman" w:cs="Times New Roman"/>
          <w:sz w:val="24"/>
          <w:szCs w:val="24"/>
          <w:lang w:bidi="en-US"/>
        </w:rPr>
        <w:t xml:space="preserve"> conmemorar el Bicentenario de la Promulgación</w:t>
      </w:r>
      <w:r w:rsidR="0031581A"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en Texcoco</w:t>
      </w:r>
      <w:r w:rsidR="0031581A"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de la Primera Constitución del Estado de México.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La identidad de un pueblo</w:t>
      </w:r>
      <w:r w:rsidR="009D3154"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nace de sus raíces, se nutre con su historia y se defiende con su cultura, Eduardo Galeano.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¡Que viva mi tierra Texcoco y que viva el Estado de México!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Es cuanto diputado. Muchas gracias.</w:t>
      </w:r>
    </w:p>
    <w:p w:rsidR="00CA1E34" w:rsidRPr="006E437B" w:rsidRDefault="00CA1E34" w:rsidP="00141629">
      <w:pPr>
        <w:pStyle w:val="Sinespaciado"/>
        <w:jc w:val="both"/>
        <w:rPr>
          <w:rFonts w:ascii="Times New Roman" w:hAnsi="Times New Roman" w:cs="Times New Roman"/>
          <w:sz w:val="24"/>
          <w:szCs w:val="24"/>
          <w:lang w:bidi="en-US"/>
        </w:rPr>
      </w:pPr>
    </w:p>
    <w:p w:rsidR="00CA1E34" w:rsidRPr="006E437B" w:rsidRDefault="00CA1E34"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CA1E34" w:rsidRPr="006E437B" w:rsidRDefault="00CA1E34" w:rsidP="00141629">
      <w:pPr>
        <w:pStyle w:val="Sinespaciado"/>
        <w:jc w:val="both"/>
        <w:rPr>
          <w:rFonts w:ascii="Times New Roman" w:hAnsi="Times New Roman" w:cs="Times New Roman"/>
          <w:sz w:val="24"/>
          <w:szCs w:val="24"/>
        </w:rPr>
      </w:pPr>
    </w:p>
    <w:p w:rsidR="005C37D9" w:rsidRPr="006E437B" w:rsidRDefault="005C37D9" w:rsidP="00141629">
      <w:pPr>
        <w:spacing w:after="0" w:line="240" w:lineRule="auto"/>
        <w:jc w:val="center"/>
        <w:rPr>
          <w:rFonts w:ascii="Times New Roman" w:hAnsi="Times New Roman" w:cs="Times New Roman"/>
          <w:b/>
          <w:bCs/>
          <w:sz w:val="24"/>
          <w:szCs w:val="24"/>
        </w:rPr>
      </w:pPr>
      <w:r w:rsidRPr="006E437B">
        <w:rPr>
          <w:rFonts w:ascii="Times New Roman" w:hAnsi="Times New Roman" w:cs="Times New Roman"/>
          <w:b/>
          <w:bCs/>
          <w:sz w:val="24"/>
          <w:szCs w:val="24"/>
        </w:rPr>
        <w:t>Dip. María José Pérez Domínguez</w:t>
      </w:r>
    </w:p>
    <w:p w:rsidR="005C37D9" w:rsidRPr="006E437B" w:rsidRDefault="005C37D9"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bCs/>
          <w:sz w:val="24"/>
          <w:szCs w:val="24"/>
        </w:rPr>
        <w:t>Distrito XXIII-Texcoco de Mora</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sz w:val="24"/>
          <w:szCs w:val="24"/>
        </w:rPr>
        <w:t>“</w:t>
      </w:r>
      <w:r w:rsidRPr="006E437B">
        <w:rPr>
          <w:rFonts w:ascii="Times New Roman" w:hAnsi="Times New Roman" w:cs="Times New Roman"/>
          <w:b/>
          <w:sz w:val="24"/>
          <w:szCs w:val="24"/>
        </w:rPr>
        <w:t>2026. Año del Humanismo Mexicano en el Estado de México”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right"/>
        <w:rPr>
          <w:rFonts w:ascii="Times New Roman" w:eastAsia="Arial" w:hAnsi="Times New Roman" w:cs="Times New Roman"/>
          <w:sz w:val="24"/>
          <w:szCs w:val="24"/>
        </w:rPr>
      </w:pPr>
      <w:r w:rsidRPr="006E437B">
        <w:rPr>
          <w:rFonts w:ascii="Times New Roman" w:eastAsia="Arial" w:hAnsi="Times New Roman" w:cs="Times New Roman"/>
          <w:sz w:val="24"/>
          <w:szCs w:val="24"/>
        </w:rPr>
        <w:t>Toluca de Lerdo, a</w:t>
      </w:r>
      <w:r w:rsidR="008C13AF" w:rsidRPr="006E437B">
        <w:rPr>
          <w:rFonts w:ascii="Times New Roman" w:eastAsia="Arial" w:hAnsi="Times New Roman" w:cs="Times New Roman"/>
          <w:sz w:val="24"/>
          <w:szCs w:val="24"/>
        </w:rPr>
        <w:t xml:space="preserve"> **</w:t>
      </w:r>
      <w:r w:rsidRPr="006E437B">
        <w:rPr>
          <w:rFonts w:ascii="Times New Roman" w:eastAsia="Arial" w:hAnsi="Times New Roman" w:cs="Times New Roman"/>
          <w:sz w:val="24"/>
          <w:szCs w:val="24"/>
        </w:rPr>
        <w:t xml:space="preserve"> de septiembre de 2026</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rPr>
          <w:rFonts w:ascii="Times New Roman" w:eastAsia="Arial" w:hAnsi="Times New Roman" w:cs="Times New Roman"/>
          <w:b/>
          <w:sz w:val="24"/>
          <w:szCs w:val="24"/>
        </w:rPr>
      </w:pPr>
      <w:r w:rsidRPr="006E437B">
        <w:rPr>
          <w:rFonts w:ascii="Times New Roman" w:eastAsia="Arial" w:hAnsi="Times New Roman" w:cs="Times New Roman"/>
          <w:b/>
          <w:sz w:val="24"/>
          <w:szCs w:val="24"/>
        </w:rPr>
        <w:t>DIPUTADO VLADIMIR HERNÁNDEZ VILLEGAS</w:t>
      </w:r>
    </w:p>
    <w:p w:rsidR="005C37D9" w:rsidRPr="006E437B" w:rsidRDefault="005C37D9" w:rsidP="00141629">
      <w:pPr>
        <w:spacing w:after="0" w:line="240" w:lineRule="auto"/>
        <w:rPr>
          <w:rFonts w:ascii="Times New Roman" w:eastAsia="Arial" w:hAnsi="Times New Roman" w:cs="Times New Roman"/>
          <w:b/>
          <w:sz w:val="24"/>
          <w:szCs w:val="24"/>
        </w:rPr>
      </w:pPr>
      <w:r w:rsidRPr="006E437B">
        <w:rPr>
          <w:rFonts w:ascii="Times New Roman" w:eastAsia="Arial" w:hAnsi="Times New Roman" w:cs="Times New Roman"/>
          <w:b/>
          <w:sz w:val="24"/>
          <w:szCs w:val="24"/>
        </w:rPr>
        <w:t>PRESIDENTE DE LA MESA DIRECTIVA DE LA</w:t>
      </w:r>
    </w:p>
    <w:p w:rsidR="005C37D9" w:rsidRPr="006E437B" w:rsidRDefault="005C37D9" w:rsidP="00141629">
      <w:pPr>
        <w:spacing w:after="0" w:line="240" w:lineRule="auto"/>
        <w:rPr>
          <w:rFonts w:ascii="Times New Roman" w:eastAsia="Arial" w:hAnsi="Times New Roman" w:cs="Times New Roman"/>
          <w:b/>
          <w:sz w:val="24"/>
          <w:szCs w:val="24"/>
        </w:rPr>
      </w:pPr>
      <w:r w:rsidRPr="006E437B">
        <w:rPr>
          <w:rFonts w:ascii="Times New Roman" w:eastAsia="Arial" w:hAnsi="Times New Roman" w:cs="Times New Roman"/>
          <w:b/>
          <w:sz w:val="24"/>
          <w:szCs w:val="24"/>
        </w:rPr>
        <w:lastRenderedPageBreak/>
        <w:t>“LXII” LEGISLATURA DEL ESTADO DE MÉXICO</w:t>
      </w:r>
    </w:p>
    <w:p w:rsidR="005C37D9" w:rsidRPr="006E437B" w:rsidRDefault="005C37D9" w:rsidP="00141629">
      <w:pPr>
        <w:spacing w:after="0" w:line="240" w:lineRule="auto"/>
        <w:rPr>
          <w:rFonts w:ascii="Times New Roman" w:eastAsia="Arial" w:hAnsi="Times New Roman" w:cs="Times New Roman"/>
          <w:sz w:val="24"/>
          <w:szCs w:val="24"/>
        </w:rPr>
      </w:pPr>
      <w:r w:rsidRPr="006E437B">
        <w:rPr>
          <w:rFonts w:ascii="Times New Roman" w:eastAsia="Arial" w:hAnsi="Times New Roman" w:cs="Times New Roman"/>
          <w:b/>
          <w:sz w:val="24"/>
          <w:szCs w:val="24"/>
        </w:rPr>
        <w:t>P R E S E N T E</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Diputada María José Pérez Domínguez</w:t>
      </w:r>
      <w:r w:rsidRPr="006E437B">
        <w:rPr>
          <w:rFonts w:ascii="Times New Roman" w:eastAsia="Arial" w:hAnsi="Times New Roman" w:cs="Times New Roman"/>
          <w:sz w:val="24"/>
          <w:szCs w:val="24"/>
        </w:rPr>
        <w:t>, en representación del Grupo Parlamentario de morena, en la LXII Legislatura del Estado de México, con fundamento en lo dispuesto en los artículos 61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y; 68 del Reglamento del Poder Legislativo del Estado Libre y Soberano de México, someto a consideración del Pleno de esta Honorable Legislatura, para estudio y dictamen, la Iniciativa con proyecto de Decreto, por el que se declara: “</w:t>
      </w:r>
      <w:r w:rsidRPr="006E437B">
        <w:rPr>
          <w:rFonts w:ascii="Times New Roman" w:eastAsia="Arial" w:hAnsi="Times New Roman" w:cs="Times New Roman"/>
          <w:b/>
          <w:sz w:val="24"/>
          <w:szCs w:val="24"/>
        </w:rPr>
        <w:t>2027. Bicentenario de la promulgación, en Texcoco, de la primera constitución del Estado de México</w:t>
      </w:r>
      <w:r w:rsidRPr="006E437B">
        <w:rPr>
          <w:rFonts w:ascii="Times New Roman" w:eastAsia="Arial" w:hAnsi="Times New Roman" w:cs="Times New Roman"/>
          <w:sz w:val="24"/>
          <w:szCs w:val="24"/>
        </w:rPr>
        <w:t>”; con base en la siguiente:</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EXPOSICIÓN DE MOTIVOS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Una constitución, carta magna o ley fundamental, es la norma suprema que da origen, regula la administración y el gobierno, crea instituciones y establece o reconoce, derechos y libertades de las y los habitantes de una nación, de un Estado.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hAnsi="Times New Roman" w:cs="Times New Roman"/>
          <w:sz w:val="24"/>
          <w:szCs w:val="24"/>
        </w:rPr>
      </w:pPr>
      <w:r w:rsidRPr="006E437B">
        <w:rPr>
          <w:rFonts w:ascii="Times New Roman" w:eastAsia="Arial" w:hAnsi="Times New Roman" w:cs="Times New Roman"/>
          <w:sz w:val="24"/>
          <w:szCs w:val="24"/>
        </w:rPr>
        <w:t>Las primeras constituciones, para anular los efectos negativos del absolutismo, establecieron límites al ejercicio del poder, entre ellos, como un sistema de pesos y contrapesos y con la finalidad de evitar la concentración de funciones en una sola persona o corporación, el principio de la división de poderes. Principio que sobrevive hasta nuestros días.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Como un contrato social, la constitución es producto del consenso de personas que comparten un pasado, costumbres y tradiciones comunes y que aspiran a compartir, de igual manera, un presente y un futuro gloriosos.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La constitución mexiquense de 1827, promulgada en Texcoco, designado en ese entonces como capital de nuestro Estado, deriva de la Constitución Federal de 1824, con la cual se dio inició a la vida independiente del país.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Como toda constitución moderna tuvo su base y antecedente en la declaración de los derechos del hombre y del ciudadano de 1789; cumpliendo, de manera primordial, con los postulados establecidos en su artículo 16</w:t>
      </w:r>
      <w:r w:rsidRPr="006E437B">
        <w:rPr>
          <w:rFonts w:ascii="Times New Roman" w:eastAsia="Arial" w:hAnsi="Times New Roman" w:cs="Times New Roman"/>
          <w:sz w:val="24"/>
          <w:szCs w:val="24"/>
          <w:vertAlign w:val="superscript"/>
        </w:rPr>
        <w:t>1</w:t>
      </w:r>
      <w:r w:rsidRPr="006E437B">
        <w:rPr>
          <w:rFonts w:ascii="Times New Roman" w:eastAsia="Arial" w:hAnsi="Times New Roman" w:cs="Times New Roman"/>
          <w:sz w:val="24"/>
          <w:szCs w:val="24"/>
        </w:rPr>
        <w:t>. En este sentido, la constitución de 1827 definió y estableció, por primera vez, las características de nuestro Estado de México, los principios de gobierno, las limitaciones, facultades e interrelaciones de los poderes, así como las libertades y derechos de la población.</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Entre los derechos se reconocieron los de libertad, igualdad, trabajo, de audiencia ciudadana, el de no realizar trabajos sin recibir remuneración, el derecho de los inculpados a ser escuchados antes de recibir sentencia y el derecho de libertad de expresión; se condenó la existencia de la esclavitud y se estableció la supresión de títulos nobiliarios y privilegios hereditarios; entre los derechos de la ciudadanía, se estableció el de elegir y ser electos para cargos públicos. Todos derechos y garantías de avanzada en el ámbito nacional.</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En el contexto histórico y como un elemento de cohesión social, se privilegió la práctica exclusiva de la religión católica, prohibiendo cualquier otra.</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En la esfera jurisdiccional, por seguridad y certeza jurídica, se destacó la importancia de que existiera uniformidad de leyes en todos los tribunales; así como el hecho de que su cumplimiento y ejecución no fueran dispensados, privilegiando con ello la justicia de legalidad y el estado de derecho.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De igual manera se dio prevalencia e impulso a la educación, ordenando que en todos los municipios se estableciera, por lo menos, una escuela de primeras letras, y se creó el Instituto Literario, antecedente de la Universidad Autónoma del Estado de México.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0"/>
          <w:szCs w:val="24"/>
        </w:rPr>
      </w:pPr>
      <w:r w:rsidRPr="006E437B">
        <w:rPr>
          <w:rFonts w:ascii="Times New Roman" w:hAnsi="Times New Roman" w:cs="Times New Roman"/>
          <w:sz w:val="20"/>
          <w:szCs w:val="24"/>
          <w:vertAlign w:val="superscript"/>
        </w:rPr>
        <w:t>1</w:t>
      </w:r>
      <w:r w:rsidRPr="006E437B">
        <w:rPr>
          <w:rFonts w:ascii="Times New Roman" w:hAnsi="Times New Roman" w:cs="Times New Roman"/>
          <w:sz w:val="20"/>
          <w:szCs w:val="24"/>
        </w:rPr>
        <w:t xml:space="preserve"> </w:t>
      </w:r>
      <w:r w:rsidRPr="006E437B">
        <w:rPr>
          <w:rFonts w:ascii="Times New Roman" w:hAnsi="Times New Roman" w:cs="Times New Roman"/>
          <w:b/>
          <w:bCs/>
          <w:sz w:val="20"/>
          <w:szCs w:val="24"/>
        </w:rPr>
        <w:t>Declaración de los Derechos del Hombre y del Ciudadano (1789), artículo 16</w:t>
      </w:r>
      <w:r w:rsidRPr="006E437B">
        <w:rPr>
          <w:rFonts w:ascii="Times New Roman" w:hAnsi="Times New Roman" w:cs="Times New Roman"/>
          <w:sz w:val="20"/>
          <w:szCs w:val="24"/>
        </w:rPr>
        <w:t>. Una Sociedad en la que no esté establecida la garantía de los Derechos, ni determinada la separación de los Poderes, carece de Constitución.</w:t>
      </w:r>
    </w:p>
    <w:p w:rsidR="005C37D9" w:rsidRPr="006E437B" w:rsidRDefault="005C37D9" w:rsidP="00141629">
      <w:pPr>
        <w:spacing w:after="0" w:line="240" w:lineRule="auto"/>
        <w:jc w:val="both"/>
        <w:rPr>
          <w:rFonts w:ascii="Times New Roman" w:eastAsia="Arial"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Como lo menciona María del Pilar Iracheta Cenecorta, en su obra, las constituciones del Estado de México de 1827, 1861, 1870 y 1917. Una aproximación histórica: “</w:t>
      </w:r>
      <w:r w:rsidRPr="006E437B">
        <w:rPr>
          <w:rFonts w:ascii="Times New Roman" w:eastAsia="Arial" w:hAnsi="Times New Roman" w:cs="Times New Roman"/>
          <w:i/>
          <w:sz w:val="24"/>
          <w:szCs w:val="24"/>
        </w:rPr>
        <w:t>El Estado de México ha promulgado cuatro constituciones: …</w:t>
      </w:r>
      <w:r w:rsidR="00D1788B" w:rsidRPr="006E437B">
        <w:rPr>
          <w:rFonts w:ascii="Times New Roman" w:eastAsia="Arial" w:hAnsi="Times New Roman" w:cs="Times New Roman"/>
          <w:i/>
          <w:sz w:val="24"/>
          <w:szCs w:val="24"/>
        </w:rPr>
        <w:t xml:space="preserve"> </w:t>
      </w:r>
      <w:r w:rsidRPr="006E437B">
        <w:rPr>
          <w:rFonts w:ascii="Times New Roman" w:eastAsia="Arial" w:hAnsi="Times New Roman" w:cs="Times New Roman"/>
          <w:i/>
          <w:sz w:val="24"/>
          <w:szCs w:val="24"/>
        </w:rPr>
        <w:t>De la lectura de estas se desprende que, a lo largo del proceso constitucional de la entidad, el impulso transformador de los cuatro textos y su vocación reformadora y revolucionaria ha tenido diferentes estadios y diversos niveles de eficacia de acuerdo con el contexto histórico en el cual se formularon. En este sentido, la Constitución de 1827 es el código fundador del Estado de México que representó, esencialmente, la expresión contractual de nuevas libertades y de estatus políticos de los ciudadanos ante el nuevo escenario de la naciente república mexicana”</w:t>
      </w:r>
      <w:r w:rsidRPr="006E437B">
        <w:rPr>
          <w:rFonts w:ascii="Times New Roman" w:eastAsia="Arial" w:hAnsi="Times New Roman" w:cs="Times New Roman"/>
          <w:sz w:val="24"/>
          <w:szCs w:val="24"/>
        </w:rPr>
        <w:t>.</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Así, en un periodo de inestabilidad, desorden y falta de cohesión colectiva, la constitución de 1827, representó, además de dar vida a nuestra identidad, el documento, el contrato social que daría forma, unidad y estabilidad y que detonaría la grandeza y desarrollo político, económico y social de nuestro estado.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hAnsi="Times New Roman" w:cs="Times New Roman"/>
          <w:sz w:val="24"/>
          <w:szCs w:val="24"/>
        </w:rPr>
        <w:t>Con la constitución de 1827, se dio inicio a la etapa constitucional del Estado de México y con ella, al reconocimiento de derechos y libertades y al establecimiento de límites al poder político, lo cual expresó el primer gobernador mexiquense Melchor Múzquiz, al jurar la constitución: “</w:t>
      </w:r>
      <w:r w:rsidRPr="006E437B">
        <w:rPr>
          <w:rFonts w:ascii="Times New Roman" w:hAnsi="Times New Roman" w:cs="Times New Roman"/>
          <w:i/>
          <w:iCs/>
          <w:sz w:val="24"/>
          <w:szCs w:val="24"/>
        </w:rPr>
        <w:t>…nada más justo ni conveniente que los derechos de los ciudadanos se encuentren establecidos de un modo fijo y duradero; y nada más conforme a los deseos del gobierno que ver sus atribuciones señaladas con precisión y claridad: firme en sus principios de dar a cada uno lo que la ley le concede, …</w:t>
      </w:r>
      <w:r w:rsidRPr="006E437B">
        <w:rPr>
          <w:rFonts w:ascii="Times New Roman" w:hAnsi="Times New Roman" w:cs="Times New Roman"/>
          <w:sz w:val="24"/>
          <w:szCs w:val="24"/>
        </w:rPr>
        <w:t>”.</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Así, la importancia de la Constitución promulgada el 14 de febrero de 1827, en la Ciudad de Texcoco, es que representa la expresión de la fundación del Estado de México; definiendo, por primera vez, sus características, los principios de gobierno, límites al ejercicio del poder, la división de poderes y estableciendo derechos y libertades para las y los mexiquenses; de conformidad con los estándares constitucionales de la época.</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hAnsi="Times New Roman" w:cs="Times New Roman"/>
          <w:sz w:val="24"/>
          <w:szCs w:val="24"/>
        </w:rPr>
        <w:t xml:space="preserve">De igual manera, es el contrato social, que representa la expresión de la voluntad del pueblo, externada a través del primer constituyente mexiquense, integrado por los diputados: Mariano Casela, Manuel Cotero, Manuel de Cortázar, José Alonso Fernández, José Figueroa, Manuel Gómez Marín, Benito José Guerra, Francisco José Guerra, José María de Jáuregui, José Domingo Lazo de la Vega, Pedro Martínez de Castro, Francisco Moctezuma, Ignacio Mendoza, José María Luis Mora, José Ignacio de Nájera, Baltasar Pérez, Francisco de las Piedras, Pedro Valdovinos, Antonio Velasco de la Torre, Joaquín Villa y Manuel Villaverde y; por los diputados suplentes: </w:t>
      </w:r>
      <w:r w:rsidRPr="006E437B">
        <w:rPr>
          <w:rFonts w:ascii="Times New Roman" w:hAnsi="Times New Roman" w:cs="Times New Roman"/>
          <w:sz w:val="24"/>
          <w:szCs w:val="24"/>
        </w:rPr>
        <w:lastRenderedPageBreak/>
        <w:t>Antonio de Castro, José María Magos, José Nicolás de Oláez, José Pérez Valdovinos, Mariano Velázquez de León Tamariz, Manuel y José Calixto Vidal.</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En este contexto, el 14 de febrero de 2027, se cumplirán doscientos años del nacimiento del Estado de México, como un estado constitucional, sustentado en un contrato social, con principios, instituciones, libertades y derechos que sobreviven y que han evolucionado, adaptándose a las nuevas realidades sociales; por mencionar algunos, reconociendo, por igual, los derechos políticos electorales de mujeres y hombres y al reconocer, como parte fundamental de la población mexiquense, a los pueblos y comunidades indígenas y afromexicanas.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Por lo anterior, para honrar y exaltar los principios e ideales que se plasmaron por primera vez en la Constitución de 1827, promulgada en Texcoco y para recordar que gobierno y ciudadanía, debemos actuar en conjunto y coordinación para procurar su cumplimiento; en nombre y representación del grupo parlamentario de morena, me permito proponer que la leyenda oficial para el próximo año, que deberá incluirse en la correspondencia de los poderes, dependencias y organismos estatales y municipales, se dedique a conmemorar el Bicentenario de la promulgación, en Texcoco, de la primera constitución del Estado de México.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Por lo expuesto y una vez justificada la procedencia de la iniciativa, someto a la consideración de esta H. Legislatura el presente Proyecto de Decreto, solicitando, se tenga a bien, aprobarlo en sus términos.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ATENTAMENTE</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DIPUTADA MARÍA JOSÉ PÉREZ DOMÍNGUEZ</w:t>
      </w:r>
    </w:p>
    <w:p w:rsidR="005C37D9" w:rsidRPr="006E437B" w:rsidRDefault="005C37D9" w:rsidP="00141629">
      <w:pPr>
        <w:spacing w:after="0" w:line="240" w:lineRule="auto"/>
        <w:jc w:val="center"/>
        <w:rPr>
          <w:rFonts w:ascii="Times New Roman" w:hAnsi="Times New Roman" w:cs="Times New Roman"/>
          <w:sz w:val="24"/>
          <w:szCs w:val="24"/>
        </w:rPr>
      </w:pPr>
      <w:r w:rsidRPr="006E437B">
        <w:rPr>
          <w:rFonts w:ascii="Times New Roman" w:eastAsia="Arial" w:hAnsi="Times New Roman" w:cs="Times New Roman"/>
          <w:b/>
          <w:sz w:val="24"/>
          <w:szCs w:val="24"/>
        </w:rPr>
        <w:t>GRUPO PARLAMENTARIO DE MORENA</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PROPUESTA DE PROYECTO DE DECRETO:</w:t>
      </w: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LA LXII LEGISLATURA DEL ESTADO DE MÉXICO DECRETA</w:t>
      </w:r>
      <w:r w:rsidRPr="006E437B">
        <w:rPr>
          <w:rFonts w:ascii="Times New Roman" w:eastAsia="Arial" w:hAnsi="Times New Roman" w:cs="Times New Roman"/>
          <w:sz w:val="24"/>
          <w:szCs w:val="24"/>
        </w:rPr>
        <w:t>:</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PRIMERO</w:t>
      </w:r>
      <w:r w:rsidRPr="006E437B">
        <w:rPr>
          <w:rFonts w:ascii="Times New Roman" w:eastAsia="Arial" w:hAnsi="Times New Roman" w:cs="Times New Roman"/>
          <w:sz w:val="24"/>
          <w:szCs w:val="24"/>
        </w:rPr>
        <w:t xml:space="preserve">. Se declara: </w:t>
      </w:r>
      <w:r w:rsidRPr="006E437B">
        <w:rPr>
          <w:rFonts w:ascii="Times New Roman" w:eastAsia="Arial" w:hAnsi="Times New Roman" w:cs="Times New Roman"/>
          <w:b/>
          <w:sz w:val="24"/>
          <w:szCs w:val="24"/>
        </w:rPr>
        <w:t>“2027. Bicentenario de la promulgación, en Texcoco, de la primera constitución del Estado de México”.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SEGUNDO</w:t>
      </w:r>
      <w:r w:rsidRPr="006E437B">
        <w:rPr>
          <w:rFonts w:ascii="Times New Roman" w:eastAsia="Arial" w:hAnsi="Times New Roman" w:cs="Times New Roman"/>
          <w:sz w:val="24"/>
          <w:szCs w:val="24"/>
        </w:rPr>
        <w:t xml:space="preserve">. En toda correspondencia oficial de los Poderes del Estado, de los Ayuntamientos de los Municipios, de los Organismos Constitucionales Autónomos y de los Organismos Auxiliares de carácter estatal o municipal, deberá insertarse la leyenda: </w:t>
      </w:r>
      <w:r w:rsidRPr="006E437B">
        <w:rPr>
          <w:rFonts w:ascii="Times New Roman" w:eastAsia="Arial" w:hAnsi="Times New Roman" w:cs="Times New Roman"/>
          <w:b/>
          <w:sz w:val="24"/>
          <w:szCs w:val="24"/>
        </w:rPr>
        <w:t>“2027. Bicentenario de la promulgación, en Texcoco, de la primera constitución del Estado de México”.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TRANSITORIOS</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PRIMERO</w:t>
      </w:r>
      <w:r w:rsidRPr="006E437B">
        <w:rPr>
          <w:rFonts w:ascii="Times New Roman" w:eastAsia="Arial" w:hAnsi="Times New Roman" w:cs="Times New Roman"/>
          <w:sz w:val="24"/>
          <w:szCs w:val="24"/>
        </w:rPr>
        <w:t>. Publíquese el presente Decreto en el periódico oficial “Gaceta del Gobierno”.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SEGUNDO</w:t>
      </w:r>
      <w:r w:rsidRPr="006E437B">
        <w:rPr>
          <w:rFonts w:ascii="Times New Roman" w:eastAsia="Arial" w:hAnsi="Times New Roman" w:cs="Times New Roman"/>
          <w:sz w:val="24"/>
          <w:szCs w:val="24"/>
        </w:rPr>
        <w:t>. El presente Decreto entrará en vigor al día siguiente de su publicación en el periódico oficial “Gaceta del Gobierno”.</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Lo tendrá entendido la Gobernadora del Estado de México, haciendo que se publique y se cumpla.</w:t>
      </w:r>
    </w:p>
    <w:p w:rsidR="005C37D9" w:rsidRPr="006E437B" w:rsidRDefault="005C37D9" w:rsidP="00141629">
      <w:pPr>
        <w:spacing w:after="0" w:line="240" w:lineRule="auto"/>
        <w:rPr>
          <w:rFonts w:ascii="Times New Roman" w:hAnsi="Times New Roman" w:cs="Times New Roman"/>
          <w:sz w:val="24"/>
          <w:szCs w:val="24"/>
        </w:rPr>
      </w:pPr>
    </w:p>
    <w:p w:rsidR="005C37D9" w:rsidRPr="006E437B" w:rsidRDefault="005C37D9" w:rsidP="00141629">
      <w:pPr>
        <w:spacing w:after="0" w:line="240" w:lineRule="aut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lastRenderedPageBreak/>
        <w:t xml:space="preserve">Dado en el Palacio del Poder Legislativo, en la ciudad de Toluca de Lerdo, capital del Estado de México, a los </w:t>
      </w:r>
      <w:r w:rsidRPr="006E437B">
        <w:rPr>
          <w:rFonts w:ascii="Times New Roman" w:eastAsia="Arial" w:hAnsi="Times New Roman" w:cs="Times New Roman"/>
          <w:sz w:val="24"/>
          <w:szCs w:val="24"/>
          <w:u w:val="single" w:color="000000"/>
        </w:rPr>
        <w:t xml:space="preserve">      </w:t>
      </w:r>
      <w:r w:rsidRPr="006E437B">
        <w:rPr>
          <w:rFonts w:ascii="Times New Roman" w:eastAsia="Arial" w:hAnsi="Times New Roman" w:cs="Times New Roman"/>
          <w:sz w:val="24"/>
          <w:szCs w:val="24"/>
        </w:rPr>
        <w:t xml:space="preserve">días del mes de </w:t>
      </w:r>
      <w:r w:rsidRPr="006E437B">
        <w:rPr>
          <w:rFonts w:ascii="Times New Roman" w:eastAsia="Arial" w:hAnsi="Times New Roman" w:cs="Times New Roman"/>
          <w:sz w:val="24"/>
          <w:szCs w:val="24"/>
          <w:u w:val="single" w:color="000000"/>
        </w:rPr>
        <w:t xml:space="preserve">             </w:t>
      </w:r>
      <w:r w:rsidRPr="006E437B">
        <w:rPr>
          <w:rFonts w:ascii="Times New Roman" w:eastAsia="Arial" w:hAnsi="Times New Roman" w:cs="Times New Roman"/>
          <w:sz w:val="24"/>
          <w:szCs w:val="24"/>
        </w:rPr>
        <w:t>de dos mil veintiséis.</w:t>
      </w:r>
    </w:p>
    <w:p w:rsidR="00CA1E34" w:rsidRPr="006E437B" w:rsidRDefault="00CA1E34" w:rsidP="00141629">
      <w:pPr>
        <w:pStyle w:val="Sinespaciado"/>
        <w:jc w:val="both"/>
        <w:rPr>
          <w:rFonts w:ascii="Times New Roman" w:hAnsi="Times New Roman" w:cs="Times New Roman"/>
          <w:sz w:val="24"/>
          <w:szCs w:val="24"/>
        </w:rPr>
      </w:pPr>
    </w:p>
    <w:p w:rsidR="00CA1E34" w:rsidRPr="006E437B" w:rsidRDefault="00CA1E34"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CA1E34" w:rsidRPr="006E437B" w:rsidRDefault="00CA1E34" w:rsidP="00141629">
      <w:pPr>
        <w:pStyle w:val="Sinespaciado"/>
        <w:jc w:val="both"/>
        <w:rPr>
          <w:rFonts w:ascii="Times New Roman" w:hAnsi="Times New Roman" w:cs="Times New Roman"/>
          <w:sz w:val="24"/>
          <w:szCs w:val="24"/>
          <w:lang w:bidi="en-US"/>
        </w:rPr>
      </w:pPr>
    </w:p>
    <w:p w:rsidR="00E57039" w:rsidRPr="006E437B" w:rsidRDefault="00E57039"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PRESIDENTE DIP. VLADIMIR HERNÁNDEZ VILLEGAS.</w:t>
      </w:r>
      <w:r w:rsidRPr="006E437B">
        <w:rPr>
          <w:rFonts w:ascii="Times New Roman" w:hAnsi="Times New Roman" w:cs="Times New Roman"/>
          <w:i/>
          <w:iCs/>
          <w:sz w:val="24"/>
          <w:szCs w:val="24"/>
          <w:lang w:bidi="en-US"/>
        </w:rPr>
        <w:t xml:space="preserve"> </w:t>
      </w:r>
      <w:r w:rsidRPr="006E437B">
        <w:rPr>
          <w:rFonts w:ascii="Times New Roman" w:hAnsi="Times New Roman" w:cs="Times New Roman"/>
          <w:sz w:val="24"/>
          <w:szCs w:val="24"/>
          <w:lang w:bidi="en-US"/>
        </w:rPr>
        <w:t>Se registra la iniciativa y se remite a las Comisiones Legislativas de Gobernación y Puntos Constitucionales para su estudio y dictamen.</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Para desahogar el punto 5, la diputada María del Carmen de la Rosa Mendoza</w:t>
      </w:r>
      <w:r w:rsidR="008E4A45"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presenta en nombre del Grupo Parlamentario del Partido morena, Iniciativa con Proyecto de Decreto por el que se reforman diversas disposiciones del Código Civil del Estado de México y de la Ley de Derechos de Niñas, Niños y Adolescentes del Estado de México en materia de guarda y custodia e interés superior de la </w:t>
      </w:r>
      <w:r w:rsidR="008E4A45" w:rsidRPr="006E437B">
        <w:rPr>
          <w:rFonts w:ascii="Times New Roman" w:hAnsi="Times New Roman" w:cs="Times New Roman"/>
          <w:sz w:val="24"/>
          <w:szCs w:val="24"/>
          <w:lang w:bidi="en-US"/>
        </w:rPr>
        <w:t>niñez</w:t>
      </w:r>
      <w:r w:rsidRPr="006E437B">
        <w:rPr>
          <w:rFonts w:ascii="Times New Roman" w:hAnsi="Times New Roman" w:cs="Times New Roman"/>
          <w:sz w:val="24"/>
          <w:szCs w:val="24"/>
          <w:lang w:bidi="en-US"/>
        </w:rPr>
        <w:t xml:space="preserve">, presentada por la diputada María del Carmen de la Rosa Mendoza, en nombre del Grupo Parlamentario del Partido morena.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Adelante diputada.</w:t>
      </w:r>
    </w:p>
    <w:p w:rsidR="00E57039" w:rsidRPr="006E437B" w:rsidRDefault="00E57039"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DIP. MARÍA DEL CARMEN DE LA ROSA MENDOZA. Muy buenas tardes, compañeros y compañeras, con su venia, Presidente de la Mesa Directiva, diputado Vladimir Hernández Villegas, compañeros, compañeras, compañere con el permiso también del pueblo mexiquense y previo a la lectura, quiero solicitar de manera respetuosa que la presente iniciativa sea inscrita de manera íntegra en la Gaceta Parlamentaria y en el Diario de los Debates. </w:t>
      </w:r>
    </w:p>
    <w:p w:rsidR="00E57039" w:rsidRPr="006E437B" w:rsidRDefault="00E57039"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Con papá o con mamá, hoy quiero hablar como madre, como mujer, a las miles de familias mexiquenses, a los padres y a las madres, esta pregunta pareciese sencilla para una persona adulta</w:t>
      </w:r>
      <w:r w:rsidR="0034395F"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pero para un niño o una niña esto puede hacerlo sentir como tener que escoger a quien querer, a quien extrañar o a quien puede lastimar con su respuesta, pensemos en una niña que después de escuchar una discusión entre su papá y entre su mamá, prepara su mochila sin saber quién la va a llevar </w:t>
      </w:r>
      <w:r w:rsidR="004C657B" w:rsidRPr="006E437B">
        <w:rPr>
          <w:rFonts w:ascii="Times New Roman" w:hAnsi="Times New Roman" w:cs="Times New Roman"/>
          <w:sz w:val="24"/>
          <w:szCs w:val="24"/>
          <w:lang w:bidi="en-US"/>
        </w:rPr>
        <w:t>a</w:t>
      </w:r>
      <w:r w:rsidRPr="006E437B">
        <w:rPr>
          <w:rFonts w:ascii="Times New Roman" w:hAnsi="Times New Roman" w:cs="Times New Roman"/>
          <w:sz w:val="24"/>
          <w:szCs w:val="24"/>
          <w:lang w:bidi="en-US"/>
        </w:rPr>
        <w:t>l día siguiente a la escuela, en un niño que pregunta si podrá seguir viendo a su hermano o a su hermana o en quien se queda callado</w:t>
      </w:r>
      <w:r w:rsidR="004C657B"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porque teme decir quiero estar con mi mamá sin tener que lastimar a su papá. </w:t>
      </w:r>
    </w:p>
    <w:p w:rsidR="004A3772" w:rsidRPr="006E437B" w:rsidRDefault="00E5703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lang w:bidi="en-US"/>
        </w:rPr>
        <w:t>Detrás de un expediente de guarda y custodia</w:t>
      </w:r>
      <w:r w:rsidR="004C657B"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hay una vida que continúa, tareas que entregar, vacunas pendientes por aplicar, una cama en donde descansar y preguntas que necesitan de una respuesta amorosa</w:t>
      </w:r>
      <w:r w:rsidR="004C657B"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no s</w:t>
      </w:r>
      <w:r w:rsidR="004C657B" w:rsidRPr="006E437B">
        <w:rPr>
          <w:rFonts w:ascii="Times New Roman" w:hAnsi="Times New Roman" w:cs="Times New Roman"/>
          <w:sz w:val="24"/>
          <w:szCs w:val="24"/>
          <w:lang w:bidi="en-US"/>
        </w:rPr>
        <w:t>ó</w:t>
      </w:r>
      <w:r w:rsidRPr="006E437B">
        <w:rPr>
          <w:rFonts w:ascii="Times New Roman" w:hAnsi="Times New Roman" w:cs="Times New Roman"/>
          <w:sz w:val="24"/>
          <w:szCs w:val="24"/>
          <w:lang w:bidi="en-US"/>
        </w:rPr>
        <w:t>lo de sus padres, sino también desde la responsabilidad de nosotros como legisladores; una separación para un niño o una niña siempre puede traer</w:t>
      </w:r>
      <w:r w:rsidR="003134A0" w:rsidRPr="006E437B">
        <w:rPr>
          <w:rFonts w:ascii="Times New Roman" w:hAnsi="Times New Roman" w:cs="Times New Roman"/>
          <w:sz w:val="24"/>
          <w:szCs w:val="24"/>
          <w:lang w:bidi="en-US"/>
        </w:rPr>
        <w:t xml:space="preserve"> tristeza, </w:t>
      </w:r>
      <w:r w:rsidR="0023436F" w:rsidRPr="006E437B">
        <w:rPr>
          <w:rFonts w:ascii="Times New Roman" w:hAnsi="Times New Roman" w:cs="Times New Roman"/>
          <w:sz w:val="24"/>
          <w:szCs w:val="24"/>
        </w:rPr>
        <w:t>puede traer miedo</w:t>
      </w:r>
      <w:r w:rsidR="005B10D1"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desesperación o angustia y las niñas en muchas de las ocasiones se sienten con la responsabilidad de tener que resolver un conflicto de personas adultas</w:t>
      </w:r>
      <w:r w:rsidR="005B10D1" w:rsidRPr="006E437B">
        <w:rPr>
          <w:rFonts w:ascii="Times New Roman" w:hAnsi="Times New Roman" w:cs="Times New Roman"/>
          <w:sz w:val="24"/>
          <w:szCs w:val="24"/>
        </w:rPr>
        <w:t>. Escucharles</w:t>
      </w:r>
      <w:r w:rsidR="00A55742" w:rsidRPr="006E437B">
        <w:rPr>
          <w:rFonts w:ascii="Times New Roman" w:hAnsi="Times New Roman" w:cs="Times New Roman"/>
          <w:sz w:val="24"/>
          <w:szCs w:val="24"/>
        </w:rPr>
        <w:t>,</w:t>
      </w:r>
      <w:r w:rsidR="005B10D1" w:rsidRPr="006E437B">
        <w:rPr>
          <w:rFonts w:ascii="Times New Roman" w:hAnsi="Times New Roman" w:cs="Times New Roman"/>
          <w:sz w:val="24"/>
          <w:szCs w:val="24"/>
        </w:rPr>
        <w:t xml:space="preserve"> </w:t>
      </w:r>
      <w:r w:rsidR="0023436F" w:rsidRPr="006E437B">
        <w:rPr>
          <w:rFonts w:ascii="Times New Roman" w:hAnsi="Times New Roman" w:cs="Times New Roman"/>
          <w:sz w:val="24"/>
          <w:szCs w:val="24"/>
        </w:rPr>
        <w:t>no es pedirles que elijan un bando, e</w:t>
      </w:r>
      <w:r w:rsidR="005B10D1" w:rsidRPr="006E437B">
        <w:rPr>
          <w:rFonts w:ascii="Times New Roman" w:hAnsi="Times New Roman" w:cs="Times New Roman"/>
          <w:sz w:val="24"/>
          <w:szCs w:val="24"/>
        </w:rPr>
        <w:t>s</w:t>
      </w:r>
      <w:r w:rsidR="0023436F" w:rsidRPr="006E437B">
        <w:rPr>
          <w:rFonts w:ascii="Times New Roman" w:hAnsi="Times New Roman" w:cs="Times New Roman"/>
          <w:sz w:val="24"/>
          <w:szCs w:val="24"/>
        </w:rPr>
        <w:t xml:space="preserve"> comprender qu</w:t>
      </w:r>
      <w:r w:rsidR="005B10D1" w:rsidRPr="006E437B">
        <w:rPr>
          <w:rFonts w:ascii="Times New Roman" w:hAnsi="Times New Roman" w:cs="Times New Roman"/>
          <w:sz w:val="24"/>
          <w:szCs w:val="24"/>
        </w:rPr>
        <w:t>é</w:t>
      </w:r>
      <w:r w:rsidR="0023436F" w:rsidRPr="006E437B">
        <w:rPr>
          <w:rFonts w:ascii="Times New Roman" w:hAnsi="Times New Roman" w:cs="Times New Roman"/>
          <w:sz w:val="24"/>
          <w:szCs w:val="24"/>
        </w:rPr>
        <w:t xml:space="preserve"> necesitan</w:t>
      </w:r>
      <w:r w:rsidR="005B10D1"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c</w:t>
      </w:r>
      <w:r w:rsidR="005B10D1" w:rsidRPr="006E437B">
        <w:rPr>
          <w:rFonts w:ascii="Times New Roman" w:hAnsi="Times New Roman" w:cs="Times New Roman"/>
          <w:sz w:val="24"/>
          <w:szCs w:val="24"/>
        </w:rPr>
        <w:t>ó</w:t>
      </w:r>
      <w:r w:rsidR="0023436F" w:rsidRPr="006E437B">
        <w:rPr>
          <w:rFonts w:ascii="Times New Roman" w:hAnsi="Times New Roman" w:cs="Times New Roman"/>
          <w:sz w:val="24"/>
          <w:szCs w:val="24"/>
        </w:rPr>
        <w:t>mo se sienten y qu</w:t>
      </w:r>
      <w:r w:rsidR="005B10D1" w:rsidRPr="006E437B">
        <w:rPr>
          <w:rFonts w:ascii="Times New Roman" w:hAnsi="Times New Roman" w:cs="Times New Roman"/>
          <w:sz w:val="24"/>
          <w:szCs w:val="24"/>
        </w:rPr>
        <w:t>é</w:t>
      </w:r>
      <w:r w:rsidR="0023436F" w:rsidRPr="006E437B">
        <w:rPr>
          <w:rFonts w:ascii="Times New Roman" w:hAnsi="Times New Roman" w:cs="Times New Roman"/>
          <w:sz w:val="24"/>
          <w:szCs w:val="24"/>
        </w:rPr>
        <w:t xml:space="preserve"> les permite vivir con seguridad, por eso</w:t>
      </w:r>
      <w:r w:rsidR="005B10D1"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hoy presento esta iniciativa para que las decisiones sobreguarda y custodia miren la realidad de cada familia mexiquense y pongan sobre todo en el centro el interés superior de nuestra infancia, dicho de manera sencilla que sea lo </w:t>
      </w:r>
      <w:r w:rsidR="006039D3" w:rsidRPr="006E437B">
        <w:rPr>
          <w:rFonts w:ascii="Times New Roman" w:hAnsi="Times New Roman" w:cs="Times New Roman"/>
          <w:sz w:val="24"/>
          <w:szCs w:val="24"/>
        </w:rPr>
        <w:t>más</w:t>
      </w:r>
      <w:r w:rsidR="0023436F" w:rsidRPr="006E437B">
        <w:rPr>
          <w:rFonts w:ascii="Times New Roman" w:hAnsi="Times New Roman" w:cs="Times New Roman"/>
          <w:sz w:val="24"/>
          <w:szCs w:val="24"/>
        </w:rPr>
        <w:t xml:space="preserve"> importante para que ellos puedan tener su bienestar, su seguridad y el mejor desarrollo</w:t>
      </w:r>
      <w:r w:rsidR="004A3772" w:rsidRPr="006E437B">
        <w:rPr>
          <w:rFonts w:ascii="Times New Roman" w:hAnsi="Times New Roman" w:cs="Times New Roman"/>
          <w:sz w:val="24"/>
          <w:szCs w:val="24"/>
        </w:rPr>
        <w:t>.</w:t>
      </w:r>
    </w:p>
    <w:p w:rsidR="00357818" w:rsidRPr="006E437B" w:rsidRDefault="004A3772"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En </w:t>
      </w:r>
      <w:r w:rsidR="0023436F" w:rsidRPr="006E437B">
        <w:rPr>
          <w:rFonts w:ascii="Times New Roman" w:hAnsi="Times New Roman" w:cs="Times New Roman"/>
          <w:sz w:val="24"/>
          <w:szCs w:val="24"/>
        </w:rPr>
        <w:t>las familias mexiquenses, cuidar tiene muchas formas, pensemos en una madre que sale del Municipio de Nezahualcóyotl o de Toluca</w:t>
      </w:r>
      <w:r w:rsidR="00B43B77"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antes de que amanezca a las </w:t>
      </w:r>
      <w:r w:rsidRPr="006E437B">
        <w:rPr>
          <w:rFonts w:ascii="Times New Roman" w:hAnsi="Times New Roman" w:cs="Times New Roman"/>
          <w:sz w:val="24"/>
          <w:szCs w:val="24"/>
        </w:rPr>
        <w:t>5:00</w:t>
      </w:r>
      <w:r w:rsidR="0023436F" w:rsidRPr="006E437B">
        <w:rPr>
          <w:rFonts w:ascii="Times New Roman" w:hAnsi="Times New Roman" w:cs="Times New Roman"/>
          <w:sz w:val="24"/>
          <w:szCs w:val="24"/>
        </w:rPr>
        <w:t xml:space="preserve"> de la mañana</w:t>
      </w:r>
      <w:r w:rsidR="00B43B77"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toma una combi</w:t>
      </w:r>
      <w:r w:rsidR="00B43B77"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después toma el metro a trabajar deja organizad</w:t>
      </w:r>
      <w:r w:rsidR="00B43B77" w:rsidRPr="006E437B">
        <w:rPr>
          <w:rFonts w:ascii="Times New Roman" w:hAnsi="Times New Roman" w:cs="Times New Roman"/>
          <w:sz w:val="24"/>
          <w:szCs w:val="24"/>
        </w:rPr>
        <w:t>o</w:t>
      </w:r>
      <w:r w:rsidR="0023436F" w:rsidRPr="006E437B">
        <w:rPr>
          <w:rFonts w:ascii="Times New Roman" w:hAnsi="Times New Roman" w:cs="Times New Roman"/>
          <w:sz w:val="24"/>
          <w:szCs w:val="24"/>
        </w:rPr>
        <w:t xml:space="preserve"> el desayuno</w:t>
      </w:r>
      <w:r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acuerda con la abuela</w:t>
      </w:r>
      <w:r w:rsidR="00B43B77"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el que lo recojan a la salida de la escuela a su niño o a su niña y luego</w:t>
      </w:r>
      <w:r w:rsidR="00B43B77"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volver todavía a revisar su tarea, trabajar para sostener a sus hijos</w:t>
      </w:r>
      <w:r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la hace menos capaz de cuidarlos, por supuesto que no</w:t>
      </w:r>
      <w:r w:rsidR="00B43B77"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pensemos también en otra madre que durante años dedico su vida al cuidado del hogar</w:t>
      </w:r>
      <w:r w:rsidR="001529D3"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conocer los medicamentos de sus hijos o de sus hijas, sus miedos, sus horarios y la manera en que puede tranquilizarles, no recibe una quincena</w:t>
      </w:r>
      <w:r w:rsidR="00357818"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pero su trabajo sostiene la vida de su familia, </w:t>
      </w:r>
      <w:r w:rsidR="00187C26" w:rsidRPr="006E437B">
        <w:rPr>
          <w:rFonts w:ascii="Times New Roman" w:hAnsi="Times New Roman" w:cs="Times New Roman"/>
          <w:sz w:val="24"/>
          <w:szCs w:val="24"/>
        </w:rPr>
        <w:t>sería</w:t>
      </w:r>
      <w:r w:rsidR="0023436F" w:rsidRPr="006E437B">
        <w:rPr>
          <w:rFonts w:ascii="Times New Roman" w:hAnsi="Times New Roman" w:cs="Times New Roman"/>
          <w:sz w:val="24"/>
          <w:szCs w:val="24"/>
        </w:rPr>
        <w:t xml:space="preserve"> justo que ese cuidado se volviera invisible porque no tiene un recibo de nómina, cuidar es trabajo</w:t>
      </w:r>
      <w:r w:rsidR="00357818"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w:t>
      </w:r>
      <w:r w:rsidR="0023436F" w:rsidRPr="006E437B">
        <w:rPr>
          <w:rFonts w:ascii="Times New Roman" w:hAnsi="Times New Roman" w:cs="Times New Roman"/>
          <w:sz w:val="24"/>
          <w:szCs w:val="24"/>
        </w:rPr>
        <w:lastRenderedPageBreak/>
        <w:t>aunque no se pague y pensemos también en otro ejemplo claro</w:t>
      </w:r>
      <w:r w:rsidR="00357818"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un padre que prepara el desayuno lleva a su hija a la escuela, acude a sus reuniones y pasa la noche pendiente cuando tiene fiebre</w:t>
      </w:r>
      <w:r w:rsidR="00357818" w:rsidRPr="006E437B">
        <w:rPr>
          <w:rFonts w:ascii="Times New Roman" w:hAnsi="Times New Roman" w:cs="Times New Roman"/>
          <w:sz w:val="24"/>
          <w:szCs w:val="24"/>
        </w:rPr>
        <w:t>.</w:t>
      </w:r>
    </w:p>
    <w:p w:rsidR="0023436F" w:rsidRPr="006E437B" w:rsidRDefault="00357818"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rPr>
        <w:t xml:space="preserve">Debemos </w:t>
      </w:r>
      <w:r w:rsidR="0023436F" w:rsidRPr="006E437B">
        <w:rPr>
          <w:rFonts w:ascii="Times New Roman" w:hAnsi="Times New Roman" w:cs="Times New Roman"/>
          <w:sz w:val="24"/>
          <w:szCs w:val="24"/>
        </w:rPr>
        <w:t>suponer que no sabe cuidar</w:t>
      </w:r>
      <w:r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por el s</w:t>
      </w:r>
      <w:r w:rsidRPr="006E437B">
        <w:rPr>
          <w:rFonts w:ascii="Times New Roman" w:hAnsi="Times New Roman" w:cs="Times New Roman"/>
          <w:sz w:val="24"/>
          <w:szCs w:val="24"/>
        </w:rPr>
        <w:t>ó</w:t>
      </w:r>
      <w:r w:rsidR="0023436F" w:rsidRPr="006E437B">
        <w:rPr>
          <w:rFonts w:ascii="Times New Roman" w:hAnsi="Times New Roman" w:cs="Times New Roman"/>
          <w:sz w:val="24"/>
          <w:szCs w:val="24"/>
        </w:rPr>
        <w:t>lo hecho de ser hombre tampoco juzgar con perspectiva de género significa mirar las realidades sin prejuicios, sin estereotipos</w:t>
      </w:r>
      <w:r w:rsidR="00210AA1"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no castigar a una madre por trabajar, no desva</w:t>
      </w:r>
      <w:r w:rsidR="00210AA1" w:rsidRPr="006E437B">
        <w:rPr>
          <w:rFonts w:ascii="Times New Roman" w:hAnsi="Times New Roman" w:cs="Times New Roman"/>
          <w:sz w:val="24"/>
          <w:szCs w:val="24"/>
        </w:rPr>
        <w:t>lo</w:t>
      </w:r>
      <w:r w:rsidR="0023436F" w:rsidRPr="006E437B">
        <w:rPr>
          <w:rFonts w:ascii="Times New Roman" w:hAnsi="Times New Roman" w:cs="Times New Roman"/>
          <w:sz w:val="24"/>
          <w:szCs w:val="24"/>
        </w:rPr>
        <w:t xml:space="preserve">rizar a quien se </w:t>
      </w:r>
      <w:r w:rsidR="00187C26" w:rsidRPr="006E437B">
        <w:rPr>
          <w:rFonts w:ascii="Times New Roman" w:hAnsi="Times New Roman" w:cs="Times New Roman"/>
          <w:sz w:val="24"/>
          <w:szCs w:val="24"/>
        </w:rPr>
        <w:t>dedicó</w:t>
      </w:r>
      <w:r w:rsidR="0023436F" w:rsidRPr="006E437B">
        <w:rPr>
          <w:rFonts w:ascii="Times New Roman" w:hAnsi="Times New Roman" w:cs="Times New Roman"/>
          <w:sz w:val="24"/>
          <w:szCs w:val="24"/>
        </w:rPr>
        <w:t xml:space="preserve"> al hogar y no descartar a un padre por el s</w:t>
      </w:r>
      <w:r w:rsidR="00210AA1" w:rsidRPr="006E437B">
        <w:rPr>
          <w:rFonts w:ascii="Times New Roman" w:hAnsi="Times New Roman" w:cs="Times New Roman"/>
          <w:sz w:val="24"/>
          <w:szCs w:val="24"/>
        </w:rPr>
        <w:t>ó</w:t>
      </w:r>
      <w:r w:rsidR="0023436F" w:rsidRPr="006E437B">
        <w:rPr>
          <w:rFonts w:ascii="Times New Roman" w:hAnsi="Times New Roman" w:cs="Times New Roman"/>
          <w:sz w:val="24"/>
          <w:szCs w:val="24"/>
        </w:rPr>
        <w:t>lo hecho de ser hombre, significa reconocer las desigualdades y valorar las circunstancias de cada uno de los casos</w:t>
      </w:r>
      <w:r w:rsidR="00210AA1" w:rsidRPr="006E437B">
        <w:rPr>
          <w:rFonts w:ascii="Times New Roman" w:hAnsi="Times New Roman" w:cs="Times New Roman"/>
          <w:sz w:val="24"/>
          <w:szCs w:val="24"/>
        </w:rPr>
        <w:t xml:space="preserve">. La </w:t>
      </w:r>
      <w:r w:rsidR="0023436F" w:rsidRPr="006E437B">
        <w:rPr>
          <w:rFonts w:ascii="Times New Roman" w:hAnsi="Times New Roman" w:cs="Times New Roman"/>
          <w:sz w:val="24"/>
          <w:szCs w:val="24"/>
        </w:rPr>
        <w:t>capacidad real de cuidado se observa en la vida diaria, quien atiende su salud, qui</w:t>
      </w:r>
      <w:r w:rsidR="00210AA1" w:rsidRPr="006E437B">
        <w:rPr>
          <w:rFonts w:ascii="Times New Roman" w:hAnsi="Times New Roman" w:cs="Times New Roman"/>
          <w:sz w:val="24"/>
          <w:szCs w:val="24"/>
        </w:rPr>
        <w:t>é</w:t>
      </w:r>
      <w:r w:rsidR="0023436F" w:rsidRPr="006E437B">
        <w:rPr>
          <w:rFonts w:ascii="Times New Roman" w:hAnsi="Times New Roman" w:cs="Times New Roman"/>
          <w:sz w:val="24"/>
          <w:szCs w:val="24"/>
        </w:rPr>
        <w:t>n le acompaña en su aprendizaje, quien conoce realmente sus necesidades y c</w:t>
      </w:r>
      <w:r w:rsidR="00210AA1" w:rsidRPr="006E437B">
        <w:rPr>
          <w:rFonts w:ascii="Times New Roman" w:hAnsi="Times New Roman" w:cs="Times New Roman"/>
          <w:sz w:val="24"/>
          <w:szCs w:val="24"/>
        </w:rPr>
        <w:t>ó</w:t>
      </w:r>
      <w:r w:rsidR="0023436F" w:rsidRPr="006E437B">
        <w:rPr>
          <w:rFonts w:ascii="Times New Roman" w:hAnsi="Times New Roman" w:cs="Times New Roman"/>
          <w:sz w:val="24"/>
          <w:szCs w:val="24"/>
        </w:rPr>
        <w:t>mo se organiza para responder a ellas; también debemos de mirar aquellas redes de apoyo que siempre están al pendiente ayudándonos como una abuela, un abuelo, una tía, un tío o una persona de confianza que también nos pueden ayudar a sostener una rutina familiar</w:t>
      </w:r>
      <w:r w:rsidR="00B13CCF"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contar con su apoyo tampoco significa el desatender</w:t>
      </w:r>
      <w:r w:rsidR="00B13CCF"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importa que ese apoyo sea seguro y que exista una responsabilidad cotidiana, por supuesto</w:t>
      </w:r>
      <w:r w:rsidR="00B13CCF"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el dinero importa para cubrir las necesidades</w:t>
      </w:r>
      <w:r w:rsidR="00B13CCF"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pero por </w:t>
      </w:r>
      <w:r w:rsidR="00B13CCF" w:rsidRPr="006E437B">
        <w:rPr>
          <w:rFonts w:ascii="Times New Roman" w:hAnsi="Times New Roman" w:cs="Times New Roman"/>
          <w:sz w:val="24"/>
          <w:szCs w:val="24"/>
        </w:rPr>
        <w:t>sí</w:t>
      </w:r>
      <w:r w:rsidR="0023436F" w:rsidRPr="006E437B">
        <w:rPr>
          <w:rFonts w:ascii="Times New Roman" w:hAnsi="Times New Roman" w:cs="Times New Roman"/>
          <w:sz w:val="24"/>
          <w:szCs w:val="24"/>
        </w:rPr>
        <w:t xml:space="preserve"> s</w:t>
      </w:r>
      <w:r w:rsidR="00B13CCF" w:rsidRPr="006E437B">
        <w:rPr>
          <w:rFonts w:ascii="Times New Roman" w:hAnsi="Times New Roman" w:cs="Times New Roman"/>
          <w:sz w:val="24"/>
          <w:szCs w:val="24"/>
        </w:rPr>
        <w:t>ó</w:t>
      </w:r>
      <w:r w:rsidR="0023436F" w:rsidRPr="006E437B">
        <w:rPr>
          <w:rFonts w:ascii="Times New Roman" w:hAnsi="Times New Roman" w:cs="Times New Roman"/>
          <w:sz w:val="24"/>
          <w:szCs w:val="24"/>
        </w:rPr>
        <w:t>lo, no demuestra quien ofrece el cuidado real para un niño o una niña</w:t>
      </w:r>
      <w:r w:rsidR="00B13CCF" w:rsidRPr="006E437B">
        <w:rPr>
          <w:rFonts w:ascii="Times New Roman" w:hAnsi="Times New Roman" w:cs="Times New Roman"/>
          <w:sz w:val="24"/>
          <w:szCs w:val="24"/>
        </w:rPr>
        <w:t xml:space="preserve">. Esta </w:t>
      </w:r>
      <w:r w:rsidR="0023436F" w:rsidRPr="006E437B">
        <w:rPr>
          <w:rFonts w:ascii="Times New Roman" w:hAnsi="Times New Roman" w:cs="Times New Roman"/>
          <w:sz w:val="24"/>
          <w:szCs w:val="24"/>
        </w:rPr>
        <w:t xml:space="preserve">iniciativa propone reformar el código civil y la ley </w:t>
      </w:r>
      <w:r w:rsidR="005130C4" w:rsidRPr="006E437B">
        <w:rPr>
          <w:rFonts w:ascii="Times New Roman" w:hAnsi="Times New Roman" w:cs="Times New Roman"/>
          <w:sz w:val="24"/>
          <w:szCs w:val="24"/>
        </w:rPr>
        <w:t>de los derechos</w:t>
      </w:r>
      <w:r w:rsidR="0023436F" w:rsidRPr="006E437B">
        <w:rPr>
          <w:rFonts w:ascii="Times New Roman" w:hAnsi="Times New Roman" w:cs="Times New Roman"/>
          <w:sz w:val="24"/>
          <w:szCs w:val="24"/>
        </w:rPr>
        <w:t xml:space="preserve"> de las niñas y niños y adolescentes para fortalecer que las decisiones sean libres de estereotipos con perspectiva de </w:t>
      </w:r>
      <w:r w:rsidR="00187C26" w:rsidRPr="006E437B">
        <w:rPr>
          <w:rFonts w:ascii="Times New Roman" w:hAnsi="Times New Roman" w:cs="Times New Roman"/>
          <w:sz w:val="24"/>
          <w:szCs w:val="24"/>
        </w:rPr>
        <w:t>género</w:t>
      </w:r>
      <w:r w:rsidR="0023436F" w:rsidRPr="006E437B">
        <w:rPr>
          <w:rFonts w:ascii="Times New Roman" w:hAnsi="Times New Roman" w:cs="Times New Roman"/>
          <w:sz w:val="24"/>
          <w:szCs w:val="24"/>
        </w:rPr>
        <w:t xml:space="preserve"> y de infancia</w:t>
      </w:r>
      <w:r w:rsidR="00B13CCF" w:rsidRPr="006E437B">
        <w:rPr>
          <w:rFonts w:ascii="Times New Roman" w:hAnsi="Times New Roman" w:cs="Times New Roman"/>
          <w:sz w:val="24"/>
          <w:szCs w:val="24"/>
        </w:rPr>
        <w:t>,</w:t>
      </w:r>
      <w:r w:rsidR="0023436F" w:rsidRPr="006E437B">
        <w:rPr>
          <w:rFonts w:ascii="Times New Roman" w:hAnsi="Times New Roman" w:cs="Times New Roman"/>
          <w:sz w:val="24"/>
          <w:szCs w:val="24"/>
        </w:rPr>
        <w:t xml:space="preserve"> que valoren la real capacidad de cuidado y promuevan una crianza positiva.</w:t>
      </w:r>
    </w:p>
    <w:p w:rsidR="00AD5D58" w:rsidRPr="006E437B" w:rsidRDefault="0023436F"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Queremos que la voz de los niños y las niñas</w:t>
      </w:r>
      <w:r w:rsidR="005130C4" w:rsidRPr="006E437B">
        <w:rPr>
          <w:rFonts w:ascii="Times New Roman" w:hAnsi="Times New Roman" w:cs="Times New Roman"/>
          <w:sz w:val="24"/>
          <w:szCs w:val="24"/>
        </w:rPr>
        <w:t>,</w:t>
      </w:r>
      <w:r w:rsidRPr="006E437B">
        <w:rPr>
          <w:rFonts w:ascii="Times New Roman" w:hAnsi="Times New Roman" w:cs="Times New Roman"/>
          <w:sz w:val="24"/>
          <w:szCs w:val="24"/>
        </w:rPr>
        <w:t xml:space="preserve"> sea escuchado de acuerdo por supuesto a su edad y a su madurez que una niña adolescente pueda decir aquí me siento segura, esto me asusta o que siempre encuentren personas dispuestas </w:t>
      </w:r>
      <w:r w:rsidR="005130C4" w:rsidRPr="006E437B">
        <w:rPr>
          <w:rFonts w:ascii="Times New Roman" w:hAnsi="Times New Roman" w:cs="Times New Roman"/>
          <w:sz w:val="24"/>
          <w:szCs w:val="24"/>
        </w:rPr>
        <w:t xml:space="preserve">a </w:t>
      </w:r>
      <w:r w:rsidRPr="006E437B">
        <w:rPr>
          <w:rFonts w:ascii="Times New Roman" w:hAnsi="Times New Roman" w:cs="Times New Roman"/>
          <w:sz w:val="24"/>
          <w:szCs w:val="24"/>
        </w:rPr>
        <w:t>apoyarles y atenderles</w:t>
      </w:r>
      <w:r w:rsidR="005130C4" w:rsidRPr="006E437B">
        <w:rPr>
          <w:rFonts w:ascii="Times New Roman" w:hAnsi="Times New Roman" w:cs="Times New Roman"/>
          <w:sz w:val="24"/>
          <w:szCs w:val="24"/>
        </w:rPr>
        <w:t xml:space="preserve">. Debemos </w:t>
      </w:r>
      <w:r w:rsidR="00AD5D58" w:rsidRPr="006E437B">
        <w:rPr>
          <w:rFonts w:ascii="Times New Roman" w:hAnsi="Times New Roman" w:cs="Times New Roman"/>
          <w:sz w:val="24"/>
          <w:szCs w:val="24"/>
        </w:rPr>
        <w:t xml:space="preserve">de ser muy claros también cuando existe algún tipo de violencia, abuso o amenazas. La prioridad siempre va a ser proteger a nuestros niños, niñas y adolescentes, ningún acuerdo, por supuesto, podrá estar por encima de esto, que se trata de cuidar el interés superior de nuestros niños o de nuestras niñas o de nuestros adolescentes. </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Una resolución de guarda y custodia cambia la vida cotidiana de una familia, por eso debemos de mirar más allá de los expedientes y preguntarles dónde habrá cuidado, estabilidad, respeto y un entorno libre de violencia. </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De acuerdo al último informe del Poder Judicial, fueron cerca de 25</w:t>
      </w:r>
      <w:r w:rsidR="006B507C" w:rsidRPr="006E437B">
        <w:rPr>
          <w:rFonts w:ascii="Times New Roman" w:hAnsi="Times New Roman" w:cs="Times New Roman"/>
          <w:sz w:val="24"/>
          <w:szCs w:val="24"/>
        </w:rPr>
        <w:t xml:space="preserve"> mil</w:t>
      </w:r>
      <w:r w:rsidRPr="006E437B">
        <w:rPr>
          <w:rFonts w:ascii="Times New Roman" w:hAnsi="Times New Roman" w:cs="Times New Roman"/>
          <w:sz w:val="24"/>
          <w:szCs w:val="24"/>
        </w:rPr>
        <w:t xml:space="preserve"> asuntos en todo el Estado de México entre el 2025 y 2026, en el cual</w:t>
      </w:r>
      <w:r w:rsidR="006B507C" w:rsidRPr="006E437B">
        <w:rPr>
          <w:rFonts w:ascii="Times New Roman" w:hAnsi="Times New Roman" w:cs="Times New Roman"/>
          <w:sz w:val="24"/>
          <w:szCs w:val="24"/>
        </w:rPr>
        <w:t>,</w:t>
      </w:r>
      <w:r w:rsidRPr="006E437B">
        <w:rPr>
          <w:rFonts w:ascii="Times New Roman" w:hAnsi="Times New Roman" w:cs="Times New Roman"/>
          <w:sz w:val="24"/>
          <w:szCs w:val="24"/>
        </w:rPr>
        <w:t xml:space="preserve"> se solucionaron este tipo de conflictos; es decir, no se trata de quién puede más, quién gana una discusión o quién castiga al otro, las hijas y los hijos no son un premio, tampoco una propiedad ni una manera de lastimar a nuestras exparejas. </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Tienen los niños y niñas derechos a jugar, a aprender a crecer con amor, a una infancia en la que puedan equivocarse sin miedo</w:t>
      </w:r>
      <w:r w:rsidR="006B507C" w:rsidRPr="006E437B">
        <w:rPr>
          <w:rFonts w:ascii="Times New Roman" w:hAnsi="Times New Roman" w:cs="Times New Roman"/>
          <w:sz w:val="24"/>
          <w:szCs w:val="24"/>
        </w:rPr>
        <w:t>,</w:t>
      </w:r>
      <w:r w:rsidRPr="006E437B">
        <w:rPr>
          <w:rFonts w:ascii="Times New Roman" w:hAnsi="Times New Roman" w:cs="Times New Roman"/>
          <w:sz w:val="24"/>
          <w:szCs w:val="24"/>
        </w:rPr>
        <w:t xml:space="preserve"> a recibir orientación con respeto y dormir y no y no escuchar amenazas, a vivir con dignidad.</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Como legisladores y legisladoras</w:t>
      </w:r>
      <w:r w:rsidR="0034357B" w:rsidRPr="006E437B">
        <w:rPr>
          <w:rFonts w:ascii="Times New Roman" w:hAnsi="Times New Roman" w:cs="Times New Roman"/>
          <w:sz w:val="24"/>
          <w:szCs w:val="24"/>
        </w:rPr>
        <w:t>,</w:t>
      </w:r>
      <w:r w:rsidRPr="006E437B">
        <w:rPr>
          <w:rFonts w:ascii="Times New Roman" w:hAnsi="Times New Roman" w:cs="Times New Roman"/>
          <w:sz w:val="24"/>
          <w:szCs w:val="24"/>
        </w:rPr>
        <w:t xml:space="preserve"> debemos de asumir esa responsabilidad y nos corresponde contribuir a esa justicia, a que ellos se sientan acompañados y acompañadas y a solucionar con sensibilidad y con responsabilidad, que ninguna niña o ningún niño adolescente tenga que preguntarnos después a todos y a todas nosotras por qué no los escuchamos cuando más nos necesitaban.</w:t>
      </w:r>
    </w:p>
    <w:p w:rsidR="007C6F19"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eso, compañeros y compañeras diputados, diputadas, les invito a que podamos seguir enriqueciendo, por supuesto, esta iniciativa, es una convicción que debe de ser compartida y antes que el orgullo o el interés de cualquier persona adulta</w:t>
      </w:r>
      <w:r w:rsidR="0034357B" w:rsidRPr="006E437B">
        <w:rPr>
          <w:rFonts w:ascii="Times New Roman" w:hAnsi="Times New Roman" w:cs="Times New Roman"/>
          <w:sz w:val="24"/>
          <w:szCs w:val="24"/>
        </w:rPr>
        <w:t>,</w:t>
      </w:r>
      <w:r w:rsidRPr="006E437B">
        <w:rPr>
          <w:rFonts w:ascii="Times New Roman" w:hAnsi="Times New Roman" w:cs="Times New Roman"/>
          <w:sz w:val="24"/>
          <w:szCs w:val="24"/>
        </w:rPr>
        <w:t xml:space="preserve"> esté el bienestar de nuestra infancia mexiquense, que frente a la pregunta que hice en un principio con papá o mamá, la justicia nunca se pierda de vista</w:t>
      </w:r>
    </w:p>
    <w:p w:rsidR="007C6F19" w:rsidRPr="006E437B" w:rsidRDefault="00AD5D58"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¿Dónde y cómo podemos garantizar que nuestros niños y niñas se sientan seguros, se sientan cómodos, se sientan con bienestar? Una separación puede cambiar un hogar</w:t>
      </w:r>
      <w:r w:rsidR="007C6F19"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no puede arrebatarle a un niño, a una niña o a un joven, el derecho a vivir en paz</w:t>
      </w:r>
      <w:r w:rsidR="007C6F19" w:rsidRPr="006E437B">
        <w:rPr>
          <w:rFonts w:ascii="Times New Roman" w:hAnsi="Times New Roman" w:cs="Times New Roman"/>
          <w:sz w:val="24"/>
          <w:szCs w:val="24"/>
        </w:rPr>
        <w:t xml:space="preserve">. </w:t>
      </w:r>
    </w:p>
    <w:p w:rsidR="00AD5D58" w:rsidRPr="006E437B" w:rsidRDefault="007C6F1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Es </w:t>
      </w:r>
      <w:r w:rsidR="00AD5D58" w:rsidRPr="006E437B">
        <w:rPr>
          <w:rFonts w:ascii="Times New Roman" w:hAnsi="Times New Roman" w:cs="Times New Roman"/>
          <w:sz w:val="24"/>
          <w:szCs w:val="24"/>
        </w:rPr>
        <w:t>cuanto diputados y diputadas, muchas gracias.</w:t>
      </w:r>
    </w:p>
    <w:p w:rsidR="003C40F2" w:rsidRPr="006E437B" w:rsidRDefault="003C40F2" w:rsidP="00141629">
      <w:pPr>
        <w:pStyle w:val="Sinespaciado"/>
        <w:jc w:val="both"/>
        <w:rPr>
          <w:rFonts w:ascii="Times New Roman" w:hAnsi="Times New Roman" w:cs="Times New Roman"/>
          <w:sz w:val="24"/>
          <w:szCs w:val="24"/>
        </w:rPr>
      </w:pPr>
    </w:p>
    <w:p w:rsidR="003C40F2" w:rsidRPr="006E437B" w:rsidRDefault="003C40F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lastRenderedPageBreak/>
        <w:t>(Se inserta documento)</w:t>
      </w:r>
    </w:p>
    <w:p w:rsidR="003C40F2" w:rsidRPr="006E437B" w:rsidRDefault="003C40F2"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center"/>
        <w:rPr>
          <w:rFonts w:ascii="Times New Roman" w:hAnsi="Times New Roman" w:cs="Times New Roman"/>
          <w:b/>
          <w:bCs/>
          <w:sz w:val="24"/>
          <w:szCs w:val="24"/>
        </w:rPr>
      </w:pPr>
      <w:r w:rsidRPr="006E437B">
        <w:rPr>
          <w:rFonts w:ascii="Times New Roman" w:hAnsi="Times New Roman" w:cs="Times New Roman"/>
          <w:b/>
          <w:bCs/>
          <w:sz w:val="24"/>
          <w:szCs w:val="24"/>
        </w:rPr>
        <w:t>DIP. MA. DEL CARMEN DE LA ROSA MENDOZA</w:t>
      </w:r>
    </w:p>
    <w:p w:rsidR="00470AD7" w:rsidRPr="006E437B" w:rsidRDefault="00470AD7"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Distrito XLI Ciudad Nezahualcóyotl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center"/>
        <w:rPr>
          <w:rFonts w:ascii="Times New Roman" w:hAnsi="Times New Roman" w:cs="Times New Roman"/>
          <w:b/>
          <w:bCs/>
          <w:sz w:val="24"/>
          <w:szCs w:val="24"/>
        </w:rPr>
      </w:pPr>
      <w:r w:rsidRPr="006E437B">
        <w:rPr>
          <w:rFonts w:ascii="Times New Roman" w:hAnsi="Times New Roman" w:cs="Times New Roman"/>
          <w:b/>
          <w:bCs/>
          <w:sz w:val="24"/>
          <w:szCs w:val="24"/>
        </w:rPr>
        <w:t>COMISIÓN ESPECIAL DE ESTUDIOS LEGISLATIVOS Y PRÁCTICAS PARLAMETARIAS</w:t>
      </w:r>
    </w:p>
    <w:p w:rsidR="00470AD7" w:rsidRPr="006E437B" w:rsidRDefault="00470AD7" w:rsidP="00141629">
      <w:pPr>
        <w:pStyle w:val="Sinespaciado"/>
        <w:jc w:val="center"/>
        <w:rPr>
          <w:rFonts w:ascii="Times New Roman" w:hAnsi="Times New Roman" w:cs="Times New Roman"/>
          <w:sz w:val="24"/>
          <w:szCs w:val="24"/>
        </w:rPr>
      </w:pP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“2026. Año del Humanismo Mexicano en el Estado de México”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right"/>
        <w:rPr>
          <w:rFonts w:ascii="Times New Roman" w:eastAsia="Arial" w:hAnsi="Times New Roman" w:cs="Times New Roman"/>
          <w:sz w:val="24"/>
          <w:szCs w:val="24"/>
        </w:rPr>
      </w:pPr>
      <w:r w:rsidRPr="006E437B">
        <w:rPr>
          <w:rFonts w:ascii="Times New Roman" w:eastAsia="Arial" w:hAnsi="Times New Roman" w:cs="Times New Roman"/>
          <w:sz w:val="24"/>
          <w:szCs w:val="24"/>
        </w:rPr>
        <w:t>Toluca de Lerdo, México, a 09 de septiembre de 2026</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DIPUTADO VLADIMIR HERNÁNDEZ VILLEGAS</w:t>
      </w:r>
    </w:p>
    <w:p w:rsidR="00470AD7" w:rsidRPr="006E437B" w:rsidRDefault="00470AD7" w:rsidP="00141629">
      <w:pPr>
        <w:pStyle w:val="Sinespaciado"/>
        <w:jc w:val="both"/>
        <w:rPr>
          <w:rFonts w:ascii="Times New Roman" w:eastAsia="Arial" w:hAnsi="Times New Roman" w:cs="Times New Roman"/>
          <w:b/>
          <w:i/>
          <w:sz w:val="24"/>
          <w:szCs w:val="24"/>
        </w:rPr>
      </w:pPr>
      <w:r w:rsidRPr="006E437B">
        <w:rPr>
          <w:rFonts w:ascii="Times New Roman" w:eastAsia="Arial" w:hAnsi="Times New Roman" w:cs="Times New Roman"/>
          <w:b/>
          <w:sz w:val="24"/>
          <w:szCs w:val="24"/>
        </w:rPr>
        <w:t xml:space="preserve">PRESIDENTE DE LA MESA DIRECTIVA EN LA H. </w:t>
      </w:r>
      <w:r w:rsidRPr="006E437B">
        <w:rPr>
          <w:rFonts w:ascii="Times New Roman" w:eastAsia="Arial" w:hAnsi="Times New Roman" w:cs="Times New Roman"/>
          <w:b/>
          <w:i/>
          <w:sz w:val="24"/>
          <w:szCs w:val="24"/>
        </w:rPr>
        <w:t>“LXII”</w:t>
      </w:r>
    </w:p>
    <w:p w:rsidR="00470AD7" w:rsidRPr="006E437B" w:rsidRDefault="00470AD7"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LEGISLATURA DEL ESTADO LIBRE Y SOBERANO DE MÉXICO</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P R E S E N T 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Diputada </w:t>
      </w:r>
      <w:r w:rsidRPr="006E437B">
        <w:rPr>
          <w:rFonts w:ascii="Times New Roman" w:eastAsia="Arial" w:hAnsi="Times New Roman" w:cs="Times New Roman"/>
          <w:b/>
          <w:sz w:val="24"/>
          <w:szCs w:val="24"/>
        </w:rPr>
        <w:t xml:space="preserve">María del Carmen De la Rosa Mendoza </w:t>
      </w:r>
      <w:r w:rsidRPr="006E437B">
        <w:rPr>
          <w:rFonts w:ascii="Times New Roman" w:eastAsia="Arial" w:hAnsi="Times New Roman" w:cs="Times New Roman"/>
          <w:sz w:val="24"/>
          <w:szCs w:val="24"/>
        </w:rPr>
        <w:t xml:space="preserve">integrante del Grupo Parlamentario del Partido de morena y en su nombre, con fundamento en los artículos 6, 71 fracción III de la Constitución Política de los Estados Unidos Mexicanos; 57 y 61 fracciones I y IV, de la Constitución Política del Estado Libre y Soberano de México; 28 fracción I, 38 fracción I, 79 y 81 de la Ley Orgánica del Poder Legislativo del Estado Libre y Soberano de México; y artículo 68 del Reglamento del Poder Legislativo del Estado Libre y Soberano de México, someto a la elevada consideración de esta Honorable Soberanía, la presente </w:t>
      </w:r>
      <w:r w:rsidRPr="006E437B">
        <w:rPr>
          <w:rFonts w:ascii="Times New Roman" w:eastAsia="Arial" w:hAnsi="Times New Roman" w:cs="Times New Roman"/>
          <w:b/>
          <w:sz w:val="24"/>
          <w:szCs w:val="24"/>
        </w:rPr>
        <w:t xml:space="preserve">Iniciativa con Proyecto de Decreto por el que se reforman y adicionan diversas disposiciones del Código Civil del Estado de México y la Ley de los Derechos de Niñas, Niños y Adolescentes del Estado de México, en materia de guarda y custodia e interés superior de la niñez, </w:t>
      </w:r>
      <w:r w:rsidRPr="006E437B">
        <w:rPr>
          <w:rFonts w:ascii="Times New Roman" w:eastAsia="Arial" w:hAnsi="Times New Roman" w:cs="Times New Roman"/>
          <w:sz w:val="24"/>
          <w:szCs w:val="24"/>
        </w:rPr>
        <w:t>lo anterior de conformidad con la siguiente: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EXPOSICIÓN DE MOTIVOS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Una de las tareas principales de los Estados a nivel internacional y nacional </w:t>
      </w:r>
      <w:r w:rsidRPr="006E437B">
        <w:rPr>
          <w:rFonts w:ascii="Times New Roman" w:eastAsia="Arial" w:hAnsi="Times New Roman" w:cs="Times New Roman"/>
          <w:b/>
          <w:sz w:val="24"/>
          <w:szCs w:val="24"/>
        </w:rPr>
        <w:t>es reconocer la existencia de grupos de personas que por su edad</w:t>
      </w:r>
      <w:r w:rsidRPr="006E437B">
        <w:rPr>
          <w:rFonts w:ascii="Times New Roman" w:eastAsia="Arial" w:hAnsi="Times New Roman" w:cs="Times New Roman"/>
          <w:sz w:val="24"/>
          <w:szCs w:val="24"/>
        </w:rPr>
        <w:t xml:space="preserve">, sexo, condición económica, características físicas, circunstancia cultural, política o social </w:t>
      </w:r>
      <w:r w:rsidRPr="006E437B">
        <w:rPr>
          <w:rFonts w:ascii="Times New Roman" w:eastAsia="Arial" w:hAnsi="Times New Roman" w:cs="Times New Roman"/>
          <w:b/>
          <w:sz w:val="24"/>
          <w:szCs w:val="24"/>
        </w:rPr>
        <w:t>se encuentran en mayor riesgo de que sus derechos sean vulnerados</w:t>
      </w:r>
      <w:r w:rsidRPr="006E437B">
        <w:rPr>
          <w:rFonts w:ascii="Times New Roman" w:eastAsia="Arial" w:hAnsi="Times New Roman" w:cs="Times New Roman"/>
          <w:sz w:val="24"/>
          <w:szCs w:val="24"/>
        </w:rPr>
        <w:t xml:space="preserve">, motivo por el cual requieren de atención y protección especial a través de acciones concretas que permitan garantizar respeto pleno y salvaguarda de sus derechos humanos, </w:t>
      </w:r>
      <w:r w:rsidRPr="006E437B">
        <w:rPr>
          <w:rFonts w:ascii="Times New Roman" w:eastAsia="Arial" w:hAnsi="Times New Roman" w:cs="Times New Roman"/>
          <w:b/>
          <w:sz w:val="24"/>
          <w:szCs w:val="24"/>
        </w:rPr>
        <w:t>dentro de estos grupos se encuentran las niñas, niños y adolescentes quienes lamentablemente se han considerado en los últimos años como personas necesitadas de protección, tanto en el orden social como familiar, por ello la existencia de distintas disposiciones e instituciones jurídicas cuyo objetivo es el amparo y cuidado de menores</w:t>
      </w:r>
      <w:r w:rsidRPr="006E437B">
        <w:rPr>
          <w:rFonts w:ascii="Times New Roman" w:eastAsia="Arial" w:hAnsi="Times New Roman" w:cs="Times New Roman"/>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El planteamiento del por qué niñas, los niños y adolescentes (NNA) forman parte de un grupo en situación de vulnerabilidad, parte de la premisa que de que suelen ser vistos como seres inferiores que carecen de capacidad para ejercer sus derechos y expresar sus opiniones</w:t>
      </w:r>
      <w:r w:rsidRPr="006E437B">
        <w:rPr>
          <w:rFonts w:ascii="Times New Roman" w:eastAsia="Arial" w:hAnsi="Times New Roman" w:cs="Times New Roman"/>
          <w:sz w:val="24"/>
          <w:szCs w:val="24"/>
        </w:rPr>
        <w:t xml:space="preserve">, dicha perspectiva sobre la infancia ha generado importantes consecuencias en la medida en que </w:t>
      </w:r>
      <w:r w:rsidRPr="006E437B">
        <w:rPr>
          <w:rFonts w:ascii="Times New Roman" w:eastAsia="Arial" w:hAnsi="Times New Roman" w:cs="Times New Roman"/>
          <w:b/>
          <w:sz w:val="24"/>
          <w:szCs w:val="24"/>
          <w:u w:val="thick" w:color="000000"/>
        </w:rPr>
        <w:t>se piensa que las personas adultas son quienes mejor saben y conocen lo</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que niñas, niños y adolescentes necesitan y lo que es mejor para ellas y ellos</w:t>
      </w:r>
      <w:r w:rsidRPr="006E437B">
        <w:rPr>
          <w:rFonts w:ascii="Times New Roman" w:eastAsia="Arial" w:hAnsi="Times New Roman" w:cs="Times New Roman"/>
          <w:sz w:val="24"/>
          <w:szCs w:val="24"/>
        </w:rPr>
        <w:t xml:space="preserve">, sin embargo, este enfoque puede colocarles en una </w:t>
      </w:r>
      <w:r w:rsidRPr="006E437B">
        <w:rPr>
          <w:rFonts w:ascii="Times New Roman" w:eastAsia="Arial" w:hAnsi="Times New Roman" w:cs="Times New Roman"/>
          <w:b/>
          <w:sz w:val="24"/>
          <w:szCs w:val="24"/>
        </w:rPr>
        <w:t>situación de riesgo, toda vez que las personas adultas no siempre conocen a ciencia cierta lo que niñas y niños sienten, piensan o necesitan, por lo que su bienestar y protección suelen quedar al arbitrio de las personas adultas</w:t>
      </w:r>
      <w:r w:rsidRPr="006E437B">
        <w:rPr>
          <w:rFonts w:ascii="Times New Roman" w:eastAsia="Arial" w:hAnsi="Times New Roman" w:cs="Times New Roman"/>
          <w:sz w:val="24"/>
          <w:szCs w:val="24"/>
        </w:rPr>
        <w:t xml:space="preserve">, lo anterior quiere decir que, si se asume las niñas y </w:t>
      </w:r>
      <w:r w:rsidRPr="006E437B">
        <w:rPr>
          <w:rFonts w:ascii="Times New Roman" w:eastAsia="Arial" w:hAnsi="Times New Roman" w:cs="Times New Roman"/>
          <w:sz w:val="24"/>
          <w:szCs w:val="24"/>
        </w:rPr>
        <w:lastRenderedPageBreak/>
        <w:t xml:space="preserve">niños no pueden ejercer sus derechos, sino que sólo pueden hacerlo a través de las personas adultas, </w:t>
      </w:r>
      <w:r w:rsidRPr="006E437B">
        <w:rPr>
          <w:rFonts w:ascii="Times New Roman" w:eastAsia="Arial" w:hAnsi="Times New Roman" w:cs="Times New Roman"/>
          <w:b/>
          <w:sz w:val="24"/>
          <w:szCs w:val="24"/>
        </w:rPr>
        <w:t>se corre el riesgo de supeditar su protección a la voluntad del Estado y de las personas adultas</w:t>
      </w:r>
      <w:r w:rsidRPr="006E437B">
        <w:rPr>
          <w:rFonts w:ascii="Times New Roman" w:eastAsia="Arial" w:hAnsi="Times New Roman" w:cs="Times New Roman"/>
          <w:sz w:val="24"/>
          <w:szCs w:val="24"/>
          <w:vertAlign w:val="superscript"/>
        </w:rPr>
        <w:t>1</w:t>
      </w:r>
      <w:r w:rsidRPr="006E437B">
        <w:rPr>
          <w:rFonts w:ascii="Times New Roman" w:eastAsia="Arial" w:hAnsi="Times New Roman" w:cs="Times New Roman"/>
          <w:sz w:val="24"/>
          <w:szCs w:val="24"/>
        </w:rPr>
        <w:t>.</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Aunado a ello, </w:t>
      </w:r>
      <w:r w:rsidRPr="006E437B">
        <w:rPr>
          <w:rFonts w:ascii="Times New Roman" w:eastAsia="Arial" w:hAnsi="Times New Roman" w:cs="Times New Roman"/>
          <w:b/>
          <w:sz w:val="24"/>
          <w:szCs w:val="24"/>
        </w:rPr>
        <w:t xml:space="preserve">niñas, niños y adolescentes son personas en desarrollo que no siempre cuentan con todas las herramientas y habilidades necesarias para comprender </w:t>
      </w:r>
      <w:r w:rsidRPr="006E437B">
        <w:rPr>
          <w:rFonts w:ascii="Times New Roman" w:eastAsia="Arial" w:hAnsi="Times New Roman" w:cs="Times New Roman"/>
          <w:sz w:val="24"/>
          <w:szCs w:val="24"/>
        </w:rPr>
        <w:t xml:space="preserve">(como lo hacen las personas adultas) </w:t>
      </w:r>
      <w:r w:rsidRPr="006E437B">
        <w:rPr>
          <w:rFonts w:ascii="Times New Roman" w:eastAsia="Arial" w:hAnsi="Times New Roman" w:cs="Times New Roman"/>
          <w:b/>
          <w:sz w:val="24"/>
          <w:szCs w:val="24"/>
        </w:rPr>
        <w:t>la significación y consecuencias de ciertos actos y acontecimientos</w:t>
      </w:r>
      <w:r w:rsidRPr="006E437B">
        <w:rPr>
          <w:rFonts w:ascii="Times New Roman" w:eastAsia="Arial" w:hAnsi="Times New Roman" w:cs="Times New Roman"/>
          <w:sz w:val="24"/>
          <w:szCs w:val="24"/>
        </w:rPr>
        <w:t xml:space="preserve">, lo que hace complicado que puedan expresar y comunicar lo que sienten, así como denunciar aquellas conductas y omisiones que les hayan afectado. De hecho, </w:t>
      </w:r>
      <w:r w:rsidRPr="006E437B">
        <w:rPr>
          <w:rFonts w:ascii="Times New Roman" w:eastAsia="Arial" w:hAnsi="Times New Roman" w:cs="Times New Roman"/>
          <w:b/>
          <w:sz w:val="24"/>
          <w:szCs w:val="24"/>
        </w:rPr>
        <w:t>las personas adultas y NNA significamos el mundo de manera distinta por lo que, mientras que un evento puede no parecer grave desde la perspectiva adulta, para un niño, una niña o adolescente puede representarle mucho dolor, miedo, tristeza o enojo</w:t>
      </w:r>
      <w:r w:rsidRPr="006E437B">
        <w:rPr>
          <w:rFonts w:ascii="Times New Roman" w:eastAsia="Arial" w:hAnsi="Times New Roman" w:cs="Times New Roman"/>
          <w:sz w:val="24"/>
          <w:szCs w:val="24"/>
        </w:rPr>
        <w:t xml:space="preserve">, motivo por el cual supeditar la experiencia infantil a la experiencia adulta representa un acto de violencia y discriminación que coloca a NNA en una situación de vulnerabilidad, tampoco podemos perder de vista que las niñas, niños y adolescentes forman parte de un grupo en especial situación de vulnerabilidad </w:t>
      </w:r>
      <w:r w:rsidRPr="006E437B">
        <w:rPr>
          <w:rFonts w:ascii="Times New Roman" w:eastAsia="Arial" w:hAnsi="Times New Roman" w:cs="Times New Roman"/>
          <w:b/>
          <w:sz w:val="24"/>
          <w:szCs w:val="24"/>
        </w:rPr>
        <w:t>en la medida en que cualquier afectación a sus derechos humanos suele tener impactos de mayor significación y alcance que para las personas adultas</w:t>
      </w:r>
      <w:r w:rsidRPr="006E437B">
        <w:rPr>
          <w:rFonts w:ascii="Times New Roman" w:eastAsia="Arial" w:hAnsi="Times New Roman" w:cs="Times New Roman"/>
          <w:sz w:val="24"/>
          <w:szCs w:val="24"/>
        </w:rPr>
        <w:t>, debido a que en la etapa de desarrollo en la que se encuentran, las niñas, los niños y adolescentes no siempre poseen todas las herramientas y los medios de defensa psicológicos para hacer frente a episodios o experiencias dolorosas, lo que puede generar como consecuencia que, en ausencia de mecanismos y soportes de acompañamiento efectivos, esos impactos se sigan reproduciendo a lo largo de la vida</w:t>
      </w:r>
      <w:r w:rsidRPr="006E437B">
        <w:rPr>
          <w:rFonts w:ascii="Times New Roman" w:eastAsia="Arial" w:hAnsi="Times New Roman" w:cs="Times New Roman"/>
          <w:sz w:val="24"/>
          <w:szCs w:val="24"/>
          <w:vertAlign w:val="superscript"/>
        </w:rPr>
        <w:t>2</w:t>
      </w:r>
      <w:r w:rsidRPr="006E437B">
        <w:rPr>
          <w:rFonts w:ascii="Times New Roman" w:eastAsia="Arial" w:hAnsi="Times New Roman" w:cs="Times New Roman"/>
          <w:sz w:val="24"/>
          <w:szCs w:val="24"/>
        </w:rPr>
        <w:t>.</w:t>
      </w:r>
    </w:p>
    <w:p w:rsidR="00470AD7" w:rsidRPr="006E437B" w:rsidRDefault="00470AD7" w:rsidP="00141629">
      <w:pPr>
        <w:pStyle w:val="Sinespaciado"/>
        <w:jc w:val="both"/>
        <w:rPr>
          <w:rFonts w:ascii="Times New Roman" w:eastAsia="Arial" w:hAnsi="Times New Roman" w:cs="Times New Roman"/>
          <w:sz w:val="24"/>
          <w:szCs w:val="24"/>
          <w:vertAlign w:val="superscript"/>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1</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https://www.scjn.gob.mx/derechos-humanos/sites/default/files/Publicaciones/archivos/2024-02/Folleto-Infancia.pdf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i/>
          <w:iCs/>
          <w:color w:val="auto"/>
          <w:sz w:val="20"/>
        </w:rPr>
        <w:t xml:space="preserve">¿Por qué las niñas, los niños y adolescentes forman parte de un grupo en situación de vulnerabilidad?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2</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i/>
          <w:iCs/>
          <w:sz w:val="20"/>
          <w:szCs w:val="24"/>
        </w:rPr>
      </w:pPr>
      <w:r w:rsidRPr="006E437B">
        <w:rPr>
          <w:rFonts w:ascii="Times New Roman" w:hAnsi="Times New Roman" w:cs="Times New Roman"/>
          <w:i/>
          <w:iCs/>
          <w:sz w:val="20"/>
          <w:szCs w:val="24"/>
        </w:rPr>
        <w:t>Ídem</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No obstante, a lo anterior, no podemos perder de vista que </w:t>
      </w:r>
      <w:r w:rsidRPr="006E437B">
        <w:rPr>
          <w:rFonts w:ascii="Times New Roman" w:eastAsia="Arial" w:hAnsi="Times New Roman" w:cs="Times New Roman"/>
          <w:b/>
          <w:sz w:val="24"/>
          <w:szCs w:val="24"/>
        </w:rPr>
        <w:t>las NNA son sujetos de derechos más no objetos de protección</w:t>
      </w:r>
      <w:r w:rsidRPr="006E437B">
        <w:rPr>
          <w:rFonts w:ascii="Times New Roman" w:eastAsia="Arial" w:hAnsi="Times New Roman" w:cs="Times New Roman"/>
          <w:sz w:val="24"/>
          <w:szCs w:val="24"/>
        </w:rPr>
        <w:t xml:space="preserve">, por lo que deben de contar con igualdad de condiciones que las personas adultas ante la Ley, naturalmente con determinadas particularidades, en efecto, las niñas, los niños y adolescentes pueden ser vistos, al menos, a partir de dos grandes perspectivas, el primero corresponde a la </w:t>
      </w:r>
      <w:r w:rsidRPr="006E437B">
        <w:rPr>
          <w:rFonts w:ascii="Times New Roman" w:eastAsia="Arial" w:hAnsi="Times New Roman" w:cs="Times New Roman"/>
          <w:b/>
          <w:sz w:val="24"/>
          <w:szCs w:val="24"/>
        </w:rPr>
        <w:t xml:space="preserve">perspectiva proteccionista </w:t>
      </w:r>
      <w:r w:rsidRPr="006E437B">
        <w:rPr>
          <w:rFonts w:ascii="Times New Roman" w:eastAsia="Arial" w:hAnsi="Times New Roman" w:cs="Times New Roman"/>
          <w:sz w:val="24"/>
          <w:szCs w:val="24"/>
        </w:rPr>
        <w:t xml:space="preserve">o de la situación irregular y, por el otro, la </w:t>
      </w:r>
      <w:r w:rsidRPr="006E437B">
        <w:rPr>
          <w:rFonts w:ascii="Times New Roman" w:eastAsia="Arial" w:hAnsi="Times New Roman" w:cs="Times New Roman"/>
          <w:b/>
          <w:sz w:val="24"/>
          <w:szCs w:val="24"/>
        </w:rPr>
        <w:t>perspectiva integral o garantista</w:t>
      </w:r>
      <w:r w:rsidRPr="006E437B">
        <w:rPr>
          <w:rFonts w:ascii="Times New Roman" w:eastAsia="Arial" w:hAnsi="Times New Roman" w:cs="Times New Roman"/>
          <w:sz w:val="24"/>
          <w:szCs w:val="24"/>
        </w:rPr>
        <w:t>, las cuales se refieren a continuación:</w:t>
      </w:r>
    </w:p>
    <w:p w:rsidR="00470AD7" w:rsidRPr="006E437B" w:rsidRDefault="00470AD7" w:rsidP="00141629">
      <w:pPr>
        <w:pStyle w:val="Sinespaciado"/>
        <w:jc w:val="both"/>
        <w:rPr>
          <w:rFonts w:ascii="Times New Roman" w:eastAsia="Arial" w:hAnsi="Times New Roman" w:cs="Times New Roman"/>
          <w:sz w:val="24"/>
          <w:szCs w:val="24"/>
        </w:rPr>
      </w:pPr>
    </w:p>
    <w:tbl>
      <w:tblPr>
        <w:tblW w:w="0" w:type="auto"/>
        <w:jc w:val="center"/>
        <w:tblLook w:val="04A0" w:firstRow="1" w:lastRow="0" w:firstColumn="1" w:lastColumn="0" w:noHBand="0" w:noVBand="1"/>
      </w:tblPr>
      <w:tblGrid>
        <w:gridCol w:w="6379"/>
      </w:tblGrid>
      <w:tr w:rsidR="00470AD7" w:rsidRPr="006E437B" w:rsidTr="00470AD7">
        <w:trPr>
          <w:jc w:val="center"/>
        </w:trPr>
        <w:tc>
          <w:tcPr>
            <w:tcW w:w="6379" w:type="dxa"/>
          </w:tcPr>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hAnsi="Times New Roman" w:cs="Times New Roman"/>
                <w:noProof/>
                <w:sz w:val="24"/>
                <w:szCs w:val="24"/>
              </w:rPr>
              <w:lastRenderedPageBreak/>
              <w:drawing>
                <wp:inline distT="0" distB="0" distL="0" distR="0" wp14:anchorId="56B3C7E3" wp14:editId="4A0840E8">
                  <wp:extent cx="3770630" cy="3081655"/>
                  <wp:effectExtent l="0" t="0" r="127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0630" cy="3081655"/>
                          </a:xfrm>
                          <a:prstGeom prst="rect">
                            <a:avLst/>
                          </a:prstGeom>
                          <a:noFill/>
                          <a:ln>
                            <a:noFill/>
                          </a:ln>
                        </pic:spPr>
                      </pic:pic>
                    </a:graphicData>
                  </a:graphic>
                </wp:inline>
              </w:drawing>
            </w:r>
          </w:p>
          <w:p w:rsidR="00470AD7" w:rsidRPr="006E437B" w:rsidRDefault="00470AD7" w:rsidP="00141629">
            <w:pPr>
              <w:pStyle w:val="Sinespaciado"/>
              <w:jc w:val="both"/>
              <w:rPr>
                <w:rFonts w:ascii="Times New Roman" w:eastAsia="Arial" w:hAnsi="Times New Roman" w:cs="Times New Roman"/>
                <w:sz w:val="24"/>
                <w:szCs w:val="24"/>
              </w:rPr>
            </w:pPr>
          </w:p>
        </w:tc>
      </w:tr>
    </w:tbl>
    <w:p w:rsidR="00470AD7" w:rsidRPr="006E437B" w:rsidRDefault="00470AD7" w:rsidP="00141629">
      <w:pPr>
        <w:pStyle w:val="Sinespaciado"/>
        <w:jc w:val="center"/>
        <w:rPr>
          <w:rFonts w:ascii="Times New Roman" w:eastAsia="Arial" w:hAnsi="Times New Roman" w:cs="Times New Roman"/>
          <w:szCs w:val="20"/>
        </w:rPr>
      </w:pPr>
      <w:r w:rsidRPr="006E437B">
        <w:rPr>
          <w:rFonts w:ascii="Times New Roman" w:eastAsia="Arial" w:hAnsi="Times New Roman" w:cs="Times New Roman"/>
          <w:szCs w:val="20"/>
        </w:rPr>
        <w:lastRenderedPageBreak/>
        <w:t xml:space="preserve">Fuente: </w:t>
      </w:r>
      <w:r w:rsidRPr="006E437B">
        <w:rPr>
          <w:rFonts w:ascii="Times New Roman" w:eastAsia="Arial" w:hAnsi="Times New Roman" w:cs="Times New Roman"/>
          <w:i/>
          <w:szCs w:val="20"/>
        </w:rPr>
        <w:t>Folleto para juzgar con perspectiva de infancia y adolescencia</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Lo anteriormente expuesto, nos señala que </w:t>
      </w:r>
      <w:r w:rsidRPr="006E437B">
        <w:rPr>
          <w:rFonts w:ascii="Times New Roman" w:eastAsia="Arial" w:hAnsi="Times New Roman" w:cs="Times New Roman"/>
          <w:b/>
          <w:sz w:val="24"/>
          <w:szCs w:val="24"/>
        </w:rPr>
        <w:t>la perspectiva integral o garantista contiene mayores mecanismos para que las NNA puedan ejercer de manera más plena sus derechos</w:t>
      </w:r>
      <w:r w:rsidRPr="006E437B">
        <w:rPr>
          <w:rFonts w:ascii="Times New Roman" w:eastAsia="Arial" w:hAnsi="Times New Roman" w:cs="Times New Roman"/>
          <w:sz w:val="24"/>
          <w:szCs w:val="24"/>
        </w:rPr>
        <w:t xml:space="preserve">, efectivamente dicha perspectiva se ha venido desarrollando en los últimos años en diversos instrumentos internacionales entre ellos, la </w:t>
      </w:r>
      <w:r w:rsidRPr="006E437B">
        <w:rPr>
          <w:rFonts w:ascii="Times New Roman" w:eastAsia="Arial" w:hAnsi="Times New Roman" w:cs="Times New Roman"/>
          <w:i/>
          <w:sz w:val="24"/>
          <w:szCs w:val="24"/>
        </w:rPr>
        <w:t xml:space="preserve">“Convención sobre los Derechos del Niño” </w:t>
      </w:r>
      <w:r w:rsidRPr="006E437B">
        <w:rPr>
          <w:rFonts w:ascii="Times New Roman" w:eastAsia="Arial" w:hAnsi="Times New Roman" w:cs="Times New Roman"/>
          <w:sz w:val="24"/>
          <w:szCs w:val="24"/>
        </w:rPr>
        <w:t xml:space="preserve">de la Organización de las Naciones Unidas (ONU) </w:t>
      </w:r>
      <w:r w:rsidRPr="006E437B">
        <w:rPr>
          <w:rFonts w:ascii="Times New Roman" w:eastAsia="Arial" w:hAnsi="Times New Roman" w:cs="Times New Roman"/>
          <w:b/>
          <w:sz w:val="24"/>
          <w:szCs w:val="24"/>
        </w:rPr>
        <w:t>caracteriza por un cambio en la forma en que se concibe a las niñas y a los niños y a sus derechos</w:t>
      </w:r>
      <w:r w:rsidRPr="006E437B">
        <w:rPr>
          <w:rFonts w:ascii="Times New Roman" w:eastAsia="Arial" w:hAnsi="Times New Roman" w:cs="Times New Roman"/>
          <w:sz w:val="24"/>
          <w:szCs w:val="24"/>
          <w:vertAlign w:val="superscript"/>
        </w:rPr>
        <w:t>3</w:t>
      </w:r>
      <w:r w:rsidRPr="006E437B">
        <w:rPr>
          <w:rFonts w:ascii="Times New Roman" w:eastAsia="Arial" w:hAnsi="Times New Roman" w:cs="Times New Roman"/>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202174" w:rsidRPr="006E437B" w:rsidRDefault="00470AD7" w:rsidP="009F7C46">
      <w:pPr>
        <w:pStyle w:val="Sinespaciado"/>
        <w:jc w:val="both"/>
        <w:rPr>
          <w:rFonts w:ascii="Times New Roman" w:hAnsi="Times New Roman" w:cs="Times New Roman"/>
          <w:sz w:val="20"/>
          <w:szCs w:val="20"/>
        </w:rPr>
      </w:pPr>
      <w:r w:rsidRPr="006E437B">
        <w:rPr>
          <w:rFonts w:ascii="Times New Roman" w:eastAsia="Arial" w:hAnsi="Times New Roman" w:cs="Times New Roman"/>
          <w:sz w:val="20"/>
          <w:szCs w:val="20"/>
          <w:vertAlign w:val="superscript"/>
        </w:rPr>
        <w:t>3</w:t>
      </w:r>
      <w:r w:rsidRPr="006E437B">
        <w:rPr>
          <w:rFonts w:ascii="Times New Roman" w:eastAsia="Arial" w:hAnsi="Times New Roman" w:cs="Times New Roman"/>
          <w:sz w:val="20"/>
          <w:szCs w:val="20"/>
        </w:rPr>
        <w:t xml:space="preserve"> Disponible en:</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Una de las figuras jurídicas más destacables relacionadas de manera directa con las niñas, niños y adolescentes son </w:t>
      </w:r>
      <w:r w:rsidRPr="006E437B">
        <w:rPr>
          <w:rFonts w:ascii="Times New Roman" w:eastAsia="Arial" w:hAnsi="Times New Roman" w:cs="Times New Roman"/>
          <w:b/>
          <w:sz w:val="24"/>
          <w:szCs w:val="24"/>
        </w:rPr>
        <w:t xml:space="preserve">la patria potestad y </w:t>
      </w:r>
      <w:r w:rsidRPr="006E437B">
        <w:rPr>
          <w:rFonts w:ascii="Times New Roman" w:eastAsia="Arial" w:hAnsi="Times New Roman" w:cs="Times New Roman"/>
          <w:b/>
          <w:sz w:val="24"/>
          <w:szCs w:val="24"/>
          <w:u w:val="thick" w:color="000000"/>
        </w:rPr>
        <w:t>la guarda y custodia</w:t>
      </w:r>
      <w:r w:rsidRPr="006E437B">
        <w:rPr>
          <w:rFonts w:ascii="Times New Roman" w:eastAsia="Arial" w:hAnsi="Times New Roman" w:cs="Times New Roman"/>
          <w:b/>
          <w:sz w:val="24"/>
          <w:szCs w:val="24"/>
        </w:rPr>
        <w:t xml:space="preserve"> que, al encontrarse encaminadas a brindar cuidados, protección, asistencia, formación y educación a las personas menores de edad, conforman figuras importantes del derecho familiar</w:t>
      </w:r>
      <w:r w:rsidRPr="006E437B">
        <w:rPr>
          <w:rFonts w:ascii="Times New Roman" w:eastAsia="Arial" w:hAnsi="Times New Roman" w:cs="Times New Roman"/>
          <w:sz w:val="24"/>
          <w:szCs w:val="24"/>
        </w:rPr>
        <w:t xml:space="preserve">, los cuales se encuentran establecidos en instrumentos jurídicos internacionales como lo son la </w:t>
      </w:r>
      <w:r w:rsidRPr="006E437B">
        <w:rPr>
          <w:rFonts w:ascii="Times New Roman" w:eastAsia="Arial" w:hAnsi="Times New Roman" w:cs="Times New Roman"/>
          <w:i/>
          <w:sz w:val="24"/>
          <w:szCs w:val="24"/>
        </w:rPr>
        <w:t>Convención Americana sobre Derechos Humanos</w:t>
      </w:r>
      <w:r w:rsidRPr="006E437B">
        <w:rPr>
          <w:rFonts w:ascii="Times New Roman" w:eastAsia="Arial" w:hAnsi="Times New Roman" w:cs="Times New Roman"/>
          <w:sz w:val="24"/>
          <w:szCs w:val="24"/>
        </w:rPr>
        <w:t xml:space="preserve">, la </w:t>
      </w:r>
      <w:r w:rsidRPr="006E437B">
        <w:rPr>
          <w:rFonts w:ascii="Times New Roman" w:eastAsia="Arial" w:hAnsi="Times New Roman" w:cs="Times New Roman"/>
          <w:i/>
          <w:sz w:val="24"/>
          <w:szCs w:val="24"/>
        </w:rPr>
        <w:t xml:space="preserve">Convención sobre los Derechos del Niño </w:t>
      </w:r>
      <w:r w:rsidRPr="006E437B">
        <w:rPr>
          <w:rFonts w:ascii="Times New Roman" w:eastAsia="Arial" w:hAnsi="Times New Roman" w:cs="Times New Roman"/>
          <w:sz w:val="24"/>
          <w:szCs w:val="24"/>
        </w:rPr>
        <w:t xml:space="preserve">y el </w:t>
      </w:r>
      <w:r w:rsidRPr="006E437B">
        <w:rPr>
          <w:rFonts w:ascii="Times New Roman" w:eastAsia="Arial" w:hAnsi="Times New Roman" w:cs="Times New Roman"/>
          <w:i/>
          <w:sz w:val="24"/>
          <w:szCs w:val="24"/>
        </w:rPr>
        <w:t>Protocolo Adicional a la Convención Americana de Derechos Humanos en materia de Derechos Económicos, Sociales y Culturales</w:t>
      </w:r>
      <w:r w:rsidRPr="006E437B">
        <w:rPr>
          <w:rFonts w:ascii="Times New Roman" w:eastAsia="Arial" w:hAnsi="Times New Roman" w:cs="Times New Roman"/>
          <w:sz w:val="24"/>
          <w:szCs w:val="24"/>
        </w:rPr>
        <w:t xml:space="preserve">. La guarda y custodia deriva de la patria potestad, </w:t>
      </w:r>
      <w:r w:rsidRPr="006E437B">
        <w:rPr>
          <w:rFonts w:ascii="Times New Roman" w:eastAsia="Arial" w:hAnsi="Times New Roman" w:cs="Times New Roman"/>
          <w:b/>
          <w:sz w:val="24"/>
          <w:szCs w:val="24"/>
        </w:rPr>
        <w:t>consiste en los derechos y obligaciones que tienen los padres en relación con los hijos menores niños, niñas o adolescentes</w:t>
      </w:r>
      <w:r w:rsidRPr="006E437B">
        <w:rPr>
          <w:rFonts w:ascii="Times New Roman" w:eastAsia="Arial" w:hAnsi="Times New Roman" w:cs="Times New Roman"/>
          <w:sz w:val="24"/>
          <w:szCs w:val="24"/>
        </w:rPr>
        <w:t xml:space="preserve">, para el caso de conyugues separados o divorciados, la decisión respecto a cuál de los padres tendrá la guarda y custodia o bien si ésta será compartida la toman la madre y el padre de común acuerdo, es decir, los padres podrán mediante convenio determinar con quién de ellos vivirán los hijos menores o bien si vivirán por períodos determinados con uno y con otro, dicho </w:t>
      </w:r>
      <w:r w:rsidRPr="006E437B">
        <w:rPr>
          <w:rFonts w:ascii="Times New Roman" w:eastAsia="Arial" w:hAnsi="Times New Roman" w:cs="Times New Roman"/>
          <w:b/>
          <w:sz w:val="24"/>
          <w:szCs w:val="24"/>
        </w:rPr>
        <w:t>convenio puede determinar los regímenes de convivencia y de alimentos de la madre y el padre, por lo que la persona juzgadora competente en ese caso sólo aprobará y ratificará lo que hayan acordado los padres</w:t>
      </w:r>
      <w:r w:rsidRPr="006E437B">
        <w:rPr>
          <w:rFonts w:ascii="Times New Roman" w:eastAsia="Arial" w:hAnsi="Times New Roman" w:cs="Times New Roman"/>
          <w:sz w:val="24"/>
          <w:szCs w:val="24"/>
        </w:rPr>
        <w:t>, salvo que advierta algún riesgo claro para los menores.</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Derivado de lo anterior, es imperante mencionar que </w:t>
      </w:r>
      <w:r w:rsidRPr="006E437B">
        <w:rPr>
          <w:rFonts w:ascii="Times New Roman" w:eastAsia="Arial" w:hAnsi="Times New Roman" w:cs="Times New Roman"/>
          <w:b/>
          <w:sz w:val="24"/>
          <w:szCs w:val="24"/>
        </w:rPr>
        <w:t>en el territorio mexiquense el divorcio se clasifica en encausado, voluntario, administrativo y notarial</w:t>
      </w:r>
      <w:r w:rsidRPr="006E437B">
        <w:rPr>
          <w:rFonts w:ascii="Times New Roman" w:eastAsia="Arial" w:hAnsi="Times New Roman" w:cs="Times New Roman"/>
          <w:sz w:val="24"/>
          <w:szCs w:val="24"/>
          <w:vertAlign w:val="superscript"/>
        </w:rPr>
        <w:t>4</w:t>
      </w:r>
      <w:r w:rsidRPr="006E437B">
        <w:rPr>
          <w:rFonts w:ascii="Times New Roman" w:eastAsia="Arial" w:hAnsi="Times New Roman" w:cs="Times New Roman"/>
          <w:sz w:val="24"/>
          <w:szCs w:val="24"/>
        </w:rPr>
        <w:t xml:space="preserve"> cada uno con sus requisitos, </w:t>
      </w:r>
      <w:r w:rsidRPr="006E437B">
        <w:rPr>
          <w:rFonts w:ascii="Times New Roman" w:eastAsia="Arial" w:hAnsi="Times New Roman" w:cs="Times New Roman"/>
          <w:sz w:val="24"/>
          <w:szCs w:val="24"/>
        </w:rPr>
        <w:lastRenderedPageBreak/>
        <w:t>particularidades y debido proceso señalados en el Código Civil (derecho sustantivo) y el Código de Procedimientos Civiles (derecho adjetivo)</w:t>
      </w:r>
      <w:r w:rsidRPr="006E437B">
        <w:rPr>
          <w:rFonts w:ascii="Times New Roman" w:eastAsia="Arial" w:hAnsi="Times New Roman" w:cs="Times New Roman"/>
          <w:sz w:val="24"/>
          <w:szCs w:val="24"/>
          <w:vertAlign w:val="superscript"/>
        </w:rPr>
        <w:t>5</w:t>
      </w:r>
      <w:r w:rsidRPr="006E437B">
        <w:rPr>
          <w:rFonts w:ascii="Times New Roman" w:eastAsia="Arial" w:hAnsi="Times New Roman" w:cs="Times New Roman"/>
          <w:sz w:val="24"/>
          <w:szCs w:val="24"/>
        </w:rPr>
        <w:t xml:space="preserve"> de la esfera jurídica estatal, de igual forma es destacable mencionar que acorde con la </w:t>
      </w:r>
      <w:r w:rsidRPr="006E437B">
        <w:rPr>
          <w:rFonts w:ascii="Times New Roman" w:eastAsia="Arial" w:hAnsi="Times New Roman" w:cs="Times New Roman"/>
          <w:i/>
          <w:sz w:val="24"/>
          <w:szCs w:val="24"/>
        </w:rPr>
        <w:t xml:space="preserve">Estadística de Divorcios (ED) </w:t>
      </w:r>
      <w:r w:rsidRPr="006E437B">
        <w:rPr>
          <w:rFonts w:ascii="Times New Roman" w:eastAsia="Arial" w:hAnsi="Times New Roman" w:cs="Times New Roman"/>
          <w:sz w:val="24"/>
          <w:szCs w:val="24"/>
        </w:rPr>
        <w:t xml:space="preserve">del </w:t>
      </w:r>
      <w:r w:rsidRPr="006E437B">
        <w:rPr>
          <w:rFonts w:ascii="Times New Roman" w:eastAsia="Arial" w:hAnsi="Times New Roman" w:cs="Times New Roman"/>
          <w:b/>
          <w:sz w:val="24"/>
          <w:szCs w:val="24"/>
        </w:rPr>
        <w:t xml:space="preserve">Instituto Nacional de Estadística y Geografía (INEGI) el Estado de México se encuentra entre las entidades federativas con las mayores tasas de divorcios por cada mil habitantes de 18 años, </w:t>
      </w:r>
      <w:r w:rsidRPr="006E437B">
        <w:rPr>
          <w:rFonts w:ascii="Times New Roman" w:eastAsia="Arial" w:hAnsi="Times New Roman" w:cs="Times New Roman"/>
          <w:sz w:val="24"/>
          <w:szCs w:val="24"/>
        </w:rPr>
        <w:t>cifras</w:t>
      </w:r>
      <w:r w:rsidR="00F8114E" w:rsidRPr="006E437B">
        <w:rPr>
          <w:rFonts w:ascii="Times New Roman" w:eastAsia="Arial" w:hAnsi="Times New Roman" w:cs="Times New Roman"/>
          <w:sz w:val="24"/>
          <w:szCs w:val="24"/>
        </w:rPr>
        <w:t xml:space="preserve"> </w:t>
      </w:r>
      <w:r w:rsidRPr="006E437B">
        <w:rPr>
          <w:rFonts w:ascii="Times New Roman" w:eastAsia="Arial" w:hAnsi="Times New Roman" w:cs="Times New Roman"/>
          <w:sz w:val="24"/>
          <w:szCs w:val="24"/>
        </w:rPr>
        <w:t>las cuales pueden apreciarse en la siguiente gráfica:</w:t>
      </w:r>
    </w:p>
    <w:p w:rsidR="00470AD7" w:rsidRPr="006E437B" w:rsidRDefault="00470AD7" w:rsidP="00141629">
      <w:pPr>
        <w:pStyle w:val="Sinespaciado"/>
        <w:jc w:val="both"/>
        <w:rPr>
          <w:rFonts w:ascii="Times New Roman" w:hAnsi="Times New Roman" w:cs="Times New Roman"/>
          <w:sz w:val="24"/>
          <w:szCs w:val="24"/>
        </w:rPr>
      </w:pPr>
    </w:p>
    <w:p w:rsidR="00E412DC" w:rsidRPr="006E437B" w:rsidRDefault="00E412DC" w:rsidP="00141629">
      <w:pPr>
        <w:pStyle w:val="Sinespaciado"/>
        <w:jc w:val="both"/>
        <w:rPr>
          <w:rFonts w:ascii="Times New Roman" w:hAnsi="Times New Roman" w:cs="Times New Roman"/>
          <w:sz w:val="24"/>
          <w:szCs w:val="24"/>
        </w:rPr>
      </w:pPr>
      <w:r w:rsidRPr="006E437B">
        <w:rPr>
          <w:rFonts w:ascii="Times New Roman" w:hAnsi="Times New Roman" w:cs="Times New Roman"/>
          <w:sz w:val="20"/>
          <w:szCs w:val="20"/>
        </w:rPr>
        <w:t xml:space="preserve">http://appweb.cndh.org.mx/biblioteca/archivos/pdfs/fas_CSIDH_DerNinasNinos-3aReimpr.pdf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vertAlign w:val="superscript"/>
        </w:rPr>
        <w:t>4</w:t>
      </w:r>
      <w:r w:rsidRPr="006E437B">
        <w:rPr>
          <w:rFonts w:ascii="Times New Roman" w:hAnsi="Times New Roman" w:cs="Times New Roman"/>
          <w:color w:val="auto"/>
          <w:sz w:val="20"/>
        </w:rPr>
        <w:t xml:space="preserve"> Disponible en: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rPr>
        <w:t xml:space="preserve">https://legislacion.edomex.gob.mx/sites/legislacion.edomex.gob.mx/files/files/pdf/cod/vig/codvig001.pdf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b/>
          <w:bCs/>
          <w:color w:val="auto"/>
          <w:sz w:val="20"/>
        </w:rPr>
        <w:t xml:space="preserve">art. 4.89, art. 4.91, art. 4.102, art. 4.105, art. 4.106 </w:t>
      </w:r>
      <w:r w:rsidRPr="006E437B">
        <w:rPr>
          <w:rFonts w:ascii="Times New Roman" w:hAnsi="Times New Roman" w:cs="Times New Roman"/>
          <w:color w:val="auto"/>
          <w:sz w:val="20"/>
        </w:rPr>
        <w:t>del Código Civil del Estado de México</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vertAlign w:val="superscript"/>
        </w:rPr>
        <w:t>5</w:t>
      </w:r>
      <w:r w:rsidRPr="006E437B">
        <w:rPr>
          <w:rFonts w:ascii="Times New Roman" w:hAnsi="Times New Roman" w:cs="Times New Roman"/>
          <w:color w:val="auto"/>
          <w:sz w:val="20"/>
        </w:rPr>
        <w:t xml:space="preserve"> Disponible en: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rPr>
        <w:t xml:space="preserve">https://legislacion.edomex.gob.mx/sites/legislacion.edomex.gob.mx/files/files/pdf/cod/vig/codvig003.pdf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b/>
          <w:bCs/>
          <w:sz w:val="20"/>
          <w:szCs w:val="24"/>
        </w:rPr>
        <w:t xml:space="preserve">art. 2.275, art. 2.276, art. 2.277, art. 2.278, art. 2.284, art. 2.373, art. 2.374, </w:t>
      </w:r>
      <w:r w:rsidRPr="006E437B">
        <w:rPr>
          <w:rFonts w:ascii="Times New Roman" w:hAnsi="Times New Roman" w:cs="Times New Roman"/>
          <w:sz w:val="20"/>
          <w:szCs w:val="24"/>
        </w:rPr>
        <w:t>del Código de Procedimientos Civiles del Estado de México</w:t>
      </w:r>
    </w:p>
    <w:p w:rsidR="00470AD7" w:rsidRPr="006E437B" w:rsidRDefault="00470AD7" w:rsidP="00141629">
      <w:pPr>
        <w:pStyle w:val="Sinespaciado"/>
        <w:jc w:val="both"/>
        <w:rPr>
          <w:rFonts w:ascii="Times New Roman" w:eastAsia="Arial" w:hAnsi="Times New Roman" w:cs="Times New Roman"/>
          <w:sz w:val="24"/>
          <w:szCs w:val="24"/>
        </w:rPr>
      </w:pPr>
    </w:p>
    <w:tbl>
      <w:tblPr>
        <w:tblW w:w="0" w:type="auto"/>
        <w:jc w:val="center"/>
        <w:tblLook w:val="04A0" w:firstRow="1" w:lastRow="0" w:firstColumn="1" w:lastColumn="0" w:noHBand="0" w:noVBand="1"/>
      </w:tblPr>
      <w:tblGrid>
        <w:gridCol w:w="8108"/>
      </w:tblGrid>
      <w:tr w:rsidR="00470AD7" w:rsidRPr="006E437B" w:rsidTr="00470AD7">
        <w:trPr>
          <w:jc w:val="center"/>
        </w:trPr>
        <w:tc>
          <w:tcPr>
            <w:tcW w:w="7655" w:type="dxa"/>
          </w:tcPr>
          <w:p w:rsidR="00470AD7" w:rsidRPr="006E437B" w:rsidRDefault="00470AD7" w:rsidP="00141629">
            <w:pPr>
              <w:pStyle w:val="Sinespaciado"/>
              <w:jc w:val="both"/>
              <w:rPr>
                <w:rFonts w:ascii="Times New Roman" w:eastAsia="Arial" w:hAnsi="Times New Roman" w:cs="Times New Roman"/>
              </w:rPr>
            </w:pPr>
          </w:p>
          <w:p w:rsidR="00470AD7" w:rsidRPr="006E437B" w:rsidRDefault="00470AD7" w:rsidP="00141629">
            <w:pPr>
              <w:pStyle w:val="Sinespaciado"/>
              <w:jc w:val="center"/>
              <w:rPr>
                <w:rFonts w:ascii="Times New Roman" w:eastAsia="Arial" w:hAnsi="Times New Roman" w:cs="Times New Roman"/>
              </w:rPr>
            </w:pPr>
            <w:r w:rsidRPr="006E437B">
              <w:rPr>
                <w:rFonts w:ascii="Times New Roman" w:hAnsi="Times New Roman" w:cs="Times New Roman"/>
                <w:noProof/>
                <w:sz w:val="24"/>
                <w:szCs w:val="24"/>
              </w:rPr>
              <w:drawing>
                <wp:inline distT="0" distB="0" distL="0" distR="0" wp14:anchorId="39AEDE45" wp14:editId="0491DCAE">
                  <wp:extent cx="5011420" cy="1751330"/>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1420" cy="1751330"/>
                          </a:xfrm>
                          <a:prstGeom prst="rect">
                            <a:avLst/>
                          </a:prstGeom>
                          <a:noFill/>
                          <a:ln>
                            <a:noFill/>
                          </a:ln>
                        </pic:spPr>
                      </pic:pic>
                    </a:graphicData>
                  </a:graphic>
                </wp:inline>
              </w:drawing>
            </w:r>
          </w:p>
          <w:p w:rsidR="00470AD7" w:rsidRPr="006E437B" w:rsidRDefault="00470AD7" w:rsidP="00141629">
            <w:pPr>
              <w:pStyle w:val="Sinespaciado"/>
              <w:jc w:val="both"/>
              <w:rPr>
                <w:rFonts w:ascii="Times New Roman" w:eastAsia="Arial" w:hAnsi="Times New Roman" w:cs="Times New Roman"/>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sz w:val="24"/>
          <w:szCs w:val="24"/>
        </w:rPr>
        <w:t xml:space="preserve">Por otra parte, </w:t>
      </w:r>
      <w:r w:rsidRPr="006E437B">
        <w:rPr>
          <w:rFonts w:ascii="Times New Roman" w:eastAsia="Arial" w:hAnsi="Times New Roman" w:cs="Times New Roman"/>
          <w:b/>
          <w:sz w:val="24"/>
          <w:szCs w:val="24"/>
        </w:rPr>
        <w:t>la madre y el padre pueden acordar de manera enunciativa más no limitativa, la guarda y custodia, los regímenes de convivencia y de alimentos de los hijos menores, puede suceder en dichos casos que no lleguen a un acuerdo y es entonces que la autoridad jurisdiccional competente tendrá que decidir sobre estos temas a través de los procedimientos previstos por las legislaciones estatales en la materia.</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Actualmente, existe un consenso en el sentido de que </w:t>
      </w:r>
      <w:r w:rsidRPr="006E437B">
        <w:rPr>
          <w:rFonts w:ascii="Times New Roman" w:eastAsia="Arial" w:hAnsi="Times New Roman" w:cs="Times New Roman"/>
          <w:b/>
          <w:sz w:val="24"/>
          <w:szCs w:val="24"/>
        </w:rPr>
        <w:t>la resolución de casos que involucren niñas, niños y adolescentes exige el reconocimiento, respeto y conciencia de que son titulares de derechos, con autonomía propia y con capacidad para tomar sus propias decisiones</w:t>
      </w:r>
      <w:r w:rsidRPr="006E437B">
        <w:rPr>
          <w:rFonts w:ascii="Times New Roman" w:eastAsia="Arial" w:hAnsi="Times New Roman" w:cs="Times New Roman"/>
          <w:sz w:val="24"/>
          <w:szCs w:val="24"/>
        </w:rPr>
        <w:t xml:space="preserve">, esto incluye la prerrogativa de </w:t>
      </w:r>
      <w:r w:rsidRPr="006E437B">
        <w:rPr>
          <w:rFonts w:ascii="Times New Roman" w:eastAsia="Arial" w:hAnsi="Times New Roman" w:cs="Times New Roman"/>
          <w:b/>
          <w:sz w:val="24"/>
          <w:szCs w:val="24"/>
        </w:rPr>
        <w:t xml:space="preserve">emitir sus opiniones en cualquier decisión que les involucre y de hacer valer todos los derechos que tienen ante el Estado, las familias </w:t>
      </w:r>
      <w:r w:rsidRPr="006E437B">
        <w:rPr>
          <w:rFonts w:ascii="Times New Roman" w:eastAsia="Arial" w:hAnsi="Times New Roman" w:cs="Times New Roman"/>
          <w:sz w:val="24"/>
          <w:szCs w:val="24"/>
        </w:rPr>
        <w:t xml:space="preserve">y la sociedad, </w:t>
      </w:r>
      <w:r w:rsidRPr="006E437B">
        <w:rPr>
          <w:rFonts w:ascii="Times New Roman" w:eastAsia="Arial" w:hAnsi="Times New Roman" w:cs="Times New Roman"/>
          <w:b/>
          <w:sz w:val="24"/>
          <w:szCs w:val="24"/>
        </w:rPr>
        <w:t>para garantizar un acceso a la justicia en condiciones de igualdad para todas las niñas, niños y adolescentes es fundamental comprender que son seres diferentes de las personas adultas</w:t>
      </w:r>
      <w:r w:rsidRPr="006E437B">
        <w:rPr>
          <w:rFonts w:ascii="Times New Roman" w:eastAsia="Arial" w:hAnsi="Times New Roman" w:cs="Times New Roman"/>
          <w:sz w:val="24"/>
          <w:szCs w:val="24"/>
        </w:rPr>
        <w:t xml:space="preserve">, ello se debe a que cuentan con habilidades físicas, cognitivas, emocionales y sociales distintas, dichas diferencias serán fundamentales para generar las condiciones requeridas para lograr una justicia adaptada. Asimismo, </w:t>
      </w:r>
      <w:r w:rsidRPr="006E437B">
        <w:rPr>
          <w:rFonts w:ascii="Times New Roman" w:eastAsia="Arial" w:hAnsi="Times New Roman" w:cs="Times New Roman"/>
          <w:b/>
          <w:sz w:val="24"/>
          <w:szCs w:val="24"/>
        </w:rPr>
        <w:t>juzgar con perspectiva de género implica que en la labor jurisdiccional se tomen en cuentan los estereotipos y roles de género que conllevan a circunstancias de inequidad entre hombres y mujeres, para así percibir el impacto diferenciado que una norma jurídica o una sentencia puede generar, y entonces la autoridad jurisdiccional tomará las medidas y determinaciones jurídicas conducentes a fin de lograr un trato uniforme en el caso concreto</w:t>
      </w:r>
      <w:r w:rsidRPr="006E437B">
        <w:rPr>
          <w:rFonts w:ascii="Times New Roman" w:eastAsia="Arial" w:hAnsi="Times New Roman" w:cs="Times New Roman"/>
          <w:sz w:val="24"/>
          <w:szCs w:val="24"/>
        </w:rPr>
        <w:t xml:space="preserve">; que además influirá en la sociedad para combatir tales </w:t>
      </w:r>
      <w:r w:rsidRPr="006E437B">
        <w:rPr>
          <w:rFonts w:ascii="Times New Roman" w:eastAsia="Arial" w:hAnsi="Times New Roman" w:cs="Times New Roman"/>
          <w:sz w:val="24"/>
          <w:szCs w:val="24"/>
        </w:rPr>
        <w:lastRenderedPageBreak/>
        <w:t xml:space="preserve">prejuicios sociales. Lo anterior, en virtud de la constante evolución y perspectiva transversal que debe de tener las personas juzgadoras al momento de emitir sus Acuerdos, Sentencias o Resoluciones, efectivamente, </w:t>
      </w:r>
      <w:r w:rsidRPr="006E437B">
        <w:rPr>
          <w:rFonts w:ascii="Times New Roman" w:eastAsia="Arial" w:hAnsi="Times New Roman" w:cs="Times New Roman"/>
          <w:b/>
          <w:sz w:val="24"/>
          <w:szCs w:val="24"/>
        </w:rPr>
        <w:t>para resolver qué es lo mejor para los hijos, el juzgador debe evitar cualquier estereotipo que nuble el análisis de las necesidades de atención, de equilibrio en el desarrollo, del ambiente familiar, del rechazo o identificación entre los padres y sus hijos, entre otros elementos, que son los que deberán tomarse en cuenta para, en cada caso, encontrar la mejor solución a la luz del interés superior del menor</w:t>
      </w:r>
      <w:r w:rsidRPr="006E437B">
        <w:rPr>
          <w:rFonts w:ascii="Times New Roman" w:eastAsia="Arial" w:hAnsi="Times New Roman" w:cs="Times New Roman"/>
          <w:sz w:val="24"/>
          <w:szCs w:val="24"/>
        </w:rPr>
        <w:t xml:space="preserve">, particularmente </w:t>
      </w:r>
      <w:r w:rsidRPr="006E437B">
        <w:rPr>
          <w:rFonts w:ascii="Times New Roman" w:eastAsia="Arial" w:hAnsi="Times New Roman" w:cs="Times New Roman"/>
          <w:b/>
          <w:sz w:val="24"/>
          <w:szCs w:val="24"/>
        </w:rPr>
        <w:t>ante las normas que establecen una preferencia a favor de la madre en la guarda y custodia de los hijos, para salvaguardar el interés superior del menor, así como el principio de igualdad, resulta indispensable que el juzgador realice un análisis de razonabilidad libre de estereotipos de género de las circunstancias particulares del caso.</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Apercibimos, que </w:t>
      </w:r>
      <w:r w:rsidRPr="006E437B">
        <w:rPr>
          <w:rFonts w:ascii="Times New Roman" w:eastAsia="Arial" w:hAnsi="Times New Roman" w:cs="Times New Roman"/>
          <w:b/>
          <w:sz w:val="24"/>
          <w:szCs w:val="24"/>
        </w:rPr>
        <w:t xml:space="preserve">en años recientes la </w:t>
      </w:r>
      <w:r w:rsidRPr="006E437B">
        <w:rPr>
          <w:rFonts w:ascii="Times New Roman" w:eastAsia="Arial" w:hAnsi="Times New Roman" w:cs="Times New Roman"/>
          <w:b/>
          <w:i/>
          <w:sz w:val="24"/>
          <w:szCs w:val="24"/>
        </w:rPr>
        <w:t>Suprema Corte de Justicia de la Nación (SCJN)</w:t>
      </w:r>
      <w:r w:rsidRPr="006E437B">
        <w:rPr>
          <w:rFonts w:ascii="Times New Roman" w:eastAsia="Arial" w:hAnsi="Times New Roman" w:cs="Times New Roman"/>
          <w:b/>
          <w:sz w:val="24"/>
          <w:szCs w:val="24"/>
        </w:rPr>
        <w:t xml:space="preserve">, también conocido como el </w:t>
      </w:r>
      <w:r w:rsidRPr="006E437B">
        <w:rPr>
          <w:rFonts w:ascii="Times New Roman" w:eastAsia="Arial" w:hAnsi="Times New Roman" w:cs="Times New Roman"/>
          <w:b/>
          <w:i/>
          <w:sz w:val="24"/>
          <w:szCs w:val="24"/>
        </w:rPr>
        <w:t>máximo Tribunal Constitucional</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ha emitido una serie de</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resoluciones y tesis respecto a la materia en comento, a efecto de salvaguardar el interés</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superior del menor, apegarse al principio de igualdad y juzgar libre de estereotipos</w:t>
      </w:r>
      <w:r w:rsidRPr="006E437B">
        <w:rPr>
          <w:rFonts w:ascii="Times New Roman" w:eastAsia="Arial" w:hAnsi="Times New Roman" w:cs="Times New Roman"/>
          <w:sz w:val="24"/>
          <w:szCs w:val="24"/>
        </w:rPr>
        <w:t xml:space="preserve">, además de la emisión de importantes y trascendentales instrumentos legales como lo son el </w:t>
      </w:r>
      <w:r w:rsidRPr="006E437B">
        <w:rPr>
          <w:rFonts w:ascii="Times New Roman" w:eastAsia="Arial" w:hAnsi="Times New Roman" w:cs="Times New Roman"/>
          <w:i/>
          <w:sz w:val="24"/>
          <w:szCs w:val="24"/>
        </w:rPr>
        <w:t>Protocolo para Juzgar con Perspectiva de Género</w:t>
      </w:r>
      <w:r w:rsidRPr="006E437B">
        <w:rPr>
          <w:rFonts w:ascii="Times New Roman" w:eastAsia="Arial" w:hAnsi="Times New Roman" w:cs="Times New Roman"/>
          <w:sz w:val="24"/>
          <w:szCs w:val="24"/>
          <w:vertAlign w:val="superscript"/>
        </w:rPr>
        <w:t>6</w:t>
      </w:r>
      <w:r w:rsidRPr="006E437B">
        <w:rPr>
          <w:rFonts w:ascii="Times New Roman" w:eastAsia="Arial" w:hAnsi="Times New Roman" w:cs="Times New Roman"/>
          <w:sz w:val="24"/>
          <w:szCs w:val="24"/>
        </w:rPr>
        <w:t xml:space="preserve"> (emitido originalmente en el mes de agosto del año 2013 y actualizado en noviembre de 2020), así como también el </w:t>
      </w:r>
      <w:r w:rsidRPr="006E437B">
        <w:rPr>
          <w:rFonts w:ascii="Times New Roman" w:eastAsia="Arial" w:hAnsi="Times New Roman" w:cs="Times New Roman"/>
          <w:i/>
          <w:sz w:val="24"/>
          <w:szCs w:val="24"/>
        </w:rPr>
        <w:t>Protocolo para Juzgar con perspectiva de Infancia y Adolescencia</w:t>
      </w:r>
      <w:r w:rsidRPr="006E437B">
        <w:rPr>
          <w:rFonts w:ascii="Times New Roman" w:eastAsia="Arial" w:hAnsi="Times New Roman" w:cs="Times New Roman"/>
          <w:sz w:val="24"/>
          <w:szCs w:val="24"/>
          <w:vertAlign w:val="superscript"/>
        </w:rPr>
        <w:t>7</w:t>
      </w:r>
      <w:r w:rsidRPr="006E437B">
        <w:rPr>
          <w:rFonts w:ascii="Times New Roman" w:eastAsia="Arial" w:hAnsi="Times New Roman" w:cs="Times New Roman"/>
          <w:sz w:val="24"/>
          <w:szCs w:val="24"/>
        </w:rPr>
        <w:t xml:space="preserve"> (publicado originalmente en el año 2012 y actualizado en el año 2021), las cuales son herramientas de guía obligatoria para las autoridades jurisdiccionales a efectos de que estas garanticen derechos humanos imprescindibles y transformen la Ley abstracta en una justicia real y adaptada a grupos históricamente vulnerables.</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6</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https://www.scjn.gob.mx/derechos-humanos/sites/default/files/protocolos/archivos/2022-01/Protocolo%20para%20juzgar%20con%20perspectiva%20de%20genero_2022.pdf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7</w:t>
      </w:r>
      <w:r w:rsidRPr="006E437B">
        <w:rPr>
          <w:rFonts w:ascii="Times New Roman" w:hAnsi="Times New Roman" w:cs="Times New Roman"/>
          <w:color w:val="auto"/>
          <w:sz w:val="20"/>
          <w:szCs w:val="20"/>
        </w:rPr>
        <w:t xml:space="preserve"> Disponible en: </w:t>
      </w:r>
    </w:p>
    <w:p w:rsidR="00470AD7" w:rsidRPr="006E437B" w:rsidRDefault="00C53639" w:rsidP="00141629">
      <w:pPr>
        <w:pStyle w:val="Sinespaciado"/>
        <w:jc w:val="both"/>
        <w:rPr>
          <w:rFonts w:ascii="Times New Roman" w:hAnsi="Times New Roman" w:cs="Times New Roman"/>
          <w:sz w:val="20"/>
          <w:szCs w:val="20"/>
        </w:rPr>
      </w:pPr>
      <w:hyperlink r:id="rId13" w:history="1">
        <w:r w:rsidR="00470AD7" w:rsidRPr="006E437B">
          <w:rPr>
            <w:rStyle w:val="Hipervnculo"/>
            <w:rFonts w:ascii="Times New Roman" w:hAnsi="Times New Roman" w:cs="Times New Roman"/>
            <w:color w:val="auto"/>
            <w:sz w:val="20"/>
            <w:szCs w:val="20"/>
          </w:rPr>
          <w:t>https://www.scjn.gob.mx/tusderechos-tufortaleza/pdf/personas_adultas/protocolo-para-juzgar-con-perspectiva-de-infancia.pdf</w:t>
        </w:r>
      </w:hyperlink>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De hecho, como aspecto relevante, </w:t>
      </w:r>
      <w:r w:rsidRPr="006E437B">
        <w:rPr>
          <w:rFonts w:ascii="Times New Roman" w:eastAsia="Arial" w:hAnsi="Times New Roman" w:cs="Times New Roman"/>
          <w:b/>
          <w:sz w:val="24"/>
          <w:szCs w:val="24"/>
        </w:rPr>
        <w:t xml:space="preserve">en el año 2019 la Primera Sala de la </w:t>
      </w:r>
      <w:r w:rsidRPr="006E437B">
        <w:rPr>
          <w:rFonts w:ascii="Times New Roman" w:eastAsia="Arial" w:hAnsi="Times New Roman" w:cs="Times New Roman"/>
          <w:b/>
          <w:i/>
          <w:sz w:val="24"/>
          <w:szCs w:val="24"/>
        </w:rPr>
        <w:t xml:space="preserve">SCJN </w:t>
      </w:r>
      <w:r w:rsidRPr="006E437B">
        <w:rPr>
          <w:rFonts w:ascii="Times New Roman" w:eastAsia="Arial" w:hAnsi="Times New Roman" w:cs="Times New Roman"/>
          <w:b/>
          <w:sz w:val="24"/>
          <w:szCs w:val="24"/>
        </w:rPr>
        <w:t>resolvió declarar la inconstitucionalidad del artículo 282, apartado B, fracción II, párrafo tercero del Código Civil del Distrito Federal</w:t>
      </w:r>
      <w:r w:rsidRPr="006E437B">
        <w:rPr>
          <w:rFonts w:ascii="Times New Roman" w:eastAsia="Arial" w:hAnsi="Times New Roman" w:cs="Times New Roman"/>
          <w:sz w:val="24"/>
          <w:szCs w:val="24"/>
        </w:rPr>
        <w:t>, que a su letra establecía: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ind w:firstLine="709"/>
        <w:jc w:val="both"/>
        <w:rPr>
          <w:rFonts w:ascii="Times New Roman" w:eastAsia="Arial" w:hAnsi="Times New Roman" w:cs="Times New Roman"/>
          <w:b/>
          <w:i/>
          <w:sz w:val="24"/>
          <w:szCs w:val="24"/>
        </w:rPr>
      </w:pPr>
      <w:r w:rsidRPr="006E437B">
        <w:rPr>
          <w:rFonts w:ascii="Times New Roman" w:eastAsia="Arial" w:hAnsi="Times New Roman" w:cs="Times New Roman"/>
          <w:b/>
          <w:i/>
          <w:sz w:val="24"/>
          <w:szCs w:val="24"/>
        </w:rPr>
        <w:t>Artículo 282.- …</w:t>
      </w:r>
    </w:p>
    <w:p w:rsidR="00470AD7" w:rsidRPr="006E437B" w:rsidRDefault="00470AD7" w:rsidP="00141629">
      <w:pPr>
        <w:pStyle w:val="Sinespaciado"/>
        <w:ind w:firstLine="709"/>
        <w:jc w:val="both"/>
        <w:rPr>
          <w:rFonts w:ascii="Times New Roman" w:eastAsia="Arial" w:hAnsi="Times New Roman" w:cs="Times New Roman"/>
          <w:b/>
          <w:i/>
          <w:sz w:val="24"/>
          <w:szCs w:val="24"/>
        </w:rPr>
      </w:pPr>
    </w:p>
    <w:p w:rsidR="00470AD7" w:rsidRPr="006E437B" w:rsidRDefault="00470AD7" w:rsidP="00141629">
      <w:pPr>
        <w:pStyle w:val="Sinespaciado"/>
        <w:ind w:firstLine="709"/>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A. …</w:t>
      </w:r>
    </w:p>
    <w:p w:rsidR="00470AD7" w:rsidRPr="006E437B" w:rsidRDefault="00470AD7" w:rsidP="00141629">
      <w:pPr>
        <w:pStyle w:val="Sinespaciado"/>
        <w:ind w:firstLine="709"/>
        <w:jc w:val="both"/>
        <w:rPr>
          <w:rFonts w:ascii="Times New Roman" w:eastAsia="Arial" w:hAnsi="Times New Roman" w:cs="Times New Roman"/>
          <w:b/>
          <w:i/>
          <w:sz w:val="24"/>
          <w:szCs w:val="24"/>
        </w:rPr>
      </w:pPr>
    </w:p>
    <w:p w:rsidR="00470AD7" w:rsidRPr="006E437B" w:rsidRDefault="00470AD7" w:rsidP="00141629">
      <w:pPr>
        <w:pStyle w:val="Sinespaciado"/>
        <w:ind w:firstLine="709"/>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B. …</w:t>
      </w:r>
    </w:p>
    <w:p w:rsidR="00470AD7" w:rsidRPr="006E437B" w:rsidRDefault="00470AD7" w:rsidP="00141629">
      <w:pPr>
        <w:pStyle w:val="Sinespaciado"/>
        <w:jc w:val="both"/>
        <w:rPr>
          <w:rFonts w:ascii="Times New Roman" w:eastAsia="Arial" w:hAnsi="Times New Roman" w:cs="Times New Roman"/>
          <w:b/>
          <w:i/>
          <w:sz w:val="24"/>
          <w:szCs w:val="24"/>
        </w:rPr>
      </w:pPr>
    </w:p>
    <w:p w:rsidR="00470AD7" w:rsidRPr="006E437B" w:rsidRDefault="00470AD7" w:rsidP="00141629">
      <w:pPr>
        <w:pStyle w:val="Sinespaciado"/>
        <w:ind w:left="709" w:right="333"/>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II. - </w:t>
      </w:r>
      <w:r w:rsidRPr="006E437B">
        <w:rPr>
          <w:rFonts w:ascii="Times New Roman" w:eastAsia="Arial" w:hAnsi="Times New Roman" w:cs="Times New Roman"/>
          <w:i/>
          <w:sz w:val="24"/>
          <w:szCs w:val="24"/>
        </w:rPr>
        <w:t>Poner a los hijos al cuidado de la persona que de común acuerdo designen los cónyuges, pudiendo estos compartir la guarda y custodia mediante convenio.</w:t>
      </w:r>
    </w:p>
    <w:p w:rsidR="00470AD7" w:rsidRPr="006E437B" w:rsidRDefault="00470AD7" w:rsidP="00141629">
      <w:pPr>
        <w:pStyle w:val="Sinespaciado"/>
        <w:jc w:val="both"/>
        <w:rPr>
          <w:rFonts w:ascii="Times New Roman" w:eastAsia="Arial" w:hAnsi="Times New Roman" w:cs="Times New Roman"/>
          <w:i/>
          <w:sz w:val="24"/>
          <w:szCs w:val="24"/>
        </w:rPr>
      </w:pPr>
    </w:p>
    <w:p w:rsidR="00470AD7" w:rsidRPr="006E437B" w:rsidRDefault="00470AD7" w:rsidP="00141629">
      <w:pPr>
        <w:pStyle w:val="Sinespaciado"/>
        <w:ind w:left="709" w:right="333"/>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En defecto de ese acuerdo; el Juez de lo Familiar resolverá conforme al Título Décimo Sexto del Código de Procedimientos Civiles, tomando en cuenta la opinión del menor de edad.</w:t>
      </w:r>
    </w:p>
    <w:p w:rsidR="00470AD7" w:rsidRPr="006E437B" w:rsidRDefault="00470AD7" w:rsidP="00141629">
      <w:pPr>
        <w:pStyle w:val="Sinespaciado"/>
        <w:ind w:left="709" w:right="333"/>
        <w:jc w:val="both"/>
        <w:rPr>
          <w:rFonts w:ascii="Times New Roman" w:eastAsia="Arial" w:hAnsi="Times New Roman" w:cs="Times New Roman"/>
          <w:b/>
          <w:i/>
          <w:sz w:val="24"/>
          <w:szCs w:val="24"/>
        </w:rPr>
      </w:pPr>
    </w:p>
    <w:p w:rsidR="00470AD7" w:rsidRPr="006E437B" w:rsidRDefault="00470AD7" w:rsidP="00141629">
      <w:pPr>
        <w:pStyle w:val="Sinespaciado"/>
        <w:ind w:left="709" w:right="333"/>
        <w:jc w:val="both"/>
        <w:rPr>
          <w:rFonts w:ascii="Times New Roman" w:eastAsia="Arial" w:hAnsi="Times New Roman" w:cs="Times New Roman"/>
          <w:i/>
          <w:sz w:val="24"/>
          <w:szCs w:val="24"/>
        </w:rPr>
      </w:pPr>
      <w:r w:rsidRPr="006E437B">
        <w:rPr>
          <w:rFonts w:ascii="Times New Roman" w:eastAsia="Arial" w:hAnsi="Times New Roman" w:cs="Times New Roman"/>
          <w:b/>
          <w:i/>
          <w:sz w:val="24"/>
          <w:szCs w:val="24"/>
        </w:rPr>
        <w:t xml:space="preserve">Los menores de </w:t>
      </w:r>
      <w:r w:rsidRPr="006E437B">
        <w:rPr>
          <w:rFonts w:ascii="Times New Roman" w:eastAsia="Arial" w:hAnsi="Times New Roman" w:cs="Times New Roman"/>
          <w:b/>
          <w:i/>
          <w:sz w:val="24"/>
          <w:szCs w:val="24"/>
          <w:u w:val="thick" w:color="FF0000"/>
        </w:rPr>
        <w:t>doce años</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deberán</w:t>
      </w:r>
      <w:r w:rsidRPr="006E437B">
        <w:rPr>
          <w:rFonts w:ascii="Times New Roman" w:eastAsia="Arial" w:hAnsi="Times New Roman" w:cs="Times New Roman"/>
          <w:b/>
          <w:i/>
          <w:sz w:val="24"/>
          <w:szCs w:val="24"/>
        </w:rPr>
        <w:t xml:space="preserve"> quedar </w:t>
      </w:r>
      <w:r w:rsidRPr="006E437B">
        <w:rPr>
          <w:rFonts w:ascii="Times New Roman" w:eastAsia="Arial" w:hAnsi="Times New Roman" w:cs="Times New Roman"/>
          <w:b/>
          <w:i/>
          <w:sz w:val="24"/>
          <w:szCs w:val="24"/>
          <w:u w:val="thick" w:color="FF0000"/>
        </w:rPr>
        <w:t>al cuidado de la madre</w:t>
      </w:r>
      <w:r w:rsidRPr="006E437B">
        <w:rPr>
          <w:rFonts w:ascii="Times New Roman" w:eastAsia="Arial" w:hAnsi="Times New Roman" w:cs="Times New Roman"/>
          <w:i/>
          <w:sz w:val="24"/>
          <w:szCs w:val="24"/>
        </w:rPr>
        <w:t xml:space="preserve">, excepto en los casos de violencia familiar cuando ella sea la generadora o exista peligro grave para </w:t>
      </w:r>
      <w:r w:rsidRPr="006E437B">
        <w:rPr>
          <w:rFonts w:ascii="Times New Roman" w:eastAsia="Arial" w:hAnsi="Times New Roman" w:cs="Times New Roman"/>
          <w:i/>
          <w:sz w:val="24"/>
          <w:szCs w:val="24"/>
        </w:rPr>
        <w:lastRenderedPageBreak/>
        <w:t xml:space="preserve">el normal desarrollo de los hijos. </w:t>
      </w:r>
      <w:r w:rsidRPr="006E437B">
        <w:rPr>
          <w:rFonts w:ascii="Times New Roman" w:eastAsia="Arial" w:hAnsi="Times New Roman" w:cs="Times New Roman"/>
          <w:b/>
          <w:i/>
          <w:sz w:val="24"/>
          <w:szCs w:val="24"/>
          <w:u w:val="thick" w:color="FF0000"/>
        </w:rPr>
        <w:t>No será</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obstáculo para la preferencia maternal en la custodia</w:t>
      </w:r>
      <w:r w:rsidRPr="006E437B">
        <w:rPr>
          <w:rFonts w:ascii="Times New Roman" w:eastAsia="Arial" w:hAnsi="Times New Roman" w:cs="Times New Roman"/>
          <w:i/>
          <w:sz w:val="24"/>
          <w:szCs w:val="24"/>
        </w:rPr>
        <w:t>, el hecho de que la madre carezca de recursos económicos.</w:t>
      </w:r>
    </w:p>
    <w:p w:rsidR="00470AD7" w:rsidRPr="006E437B" w:rsidRDefault="00470AD7" w:rsidP="00141629">
      <w:pPr>
        <w:pStyle w:val="Sinespaciado"/>
        <w:ind w:left="709" w:right="333"/>
        <w:jc w:val="both"/>
        <w:rPr>
          <w:rFonts w:ascii="Times New Roman" w:eastAsia="Arial" w:hAnsi="Times New Roman" w:cs="Times New Roman"/>
          <w:sz w:val="24"/>
          <w:szCs w:val="24"/>
        </w:rPr>
      </w:pPr>
    </w:p>
    <w:p w:rsidR="00470AD7" w:rsidRPr="006E437B" w:rsidRDefault="00470AD7" w:rsidP="00141629">
      <w:pPr>
        <w:pStyle w:val="Sinespaciado"/>
        <w:ind w:firstLine="709"/>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III.- …</w:t>
      </w:r>
    </w:p>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r>
    </w:p>
    <w:p w:rsidR="00470AD7" w:rsidRPr="006E437B" w:rsidRDefault="00470AD7" w:rsidP="00141629">
      <w:pPr>
        <w:pStyle w:val="Sinespaciado"/>
        <w:ind w:firstLine="709"/>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IV.- …</w:t>
      </w:r>
    </w:p>
    <w:p w:rsidR="00470AD7" w:rsidRPr="006E437B" w:rsidRDefault="00470AD7" w:rsidP="00141629">
      <w:pPr>
        <w:pStyle w:val="Sinespaciado"/>
        <w:jc w:val="both"/>
        <w:rPr>
          <w:rFonts w:ascii="Times New Roman" w:eastAsia="Arial" w:hAnsi="Times New Roman" w:cs="Times New Roman"/>
          <w:b/>
          <w:i/>
          <w:sz w:val="24"/>
          <w:szCs w:val="24"/>
        </w:rPr>
      </w:pPr>
    </w:p>
    <w:p w:rsidR="00470AD7" w:rsidRPr="006E437B" w:rsidRDefault="00470AD7" w:rsidP="00141629">
      <w:pPr>
        <w:pStyle w:val="Sinespaciado"/>
        <w:ind w:firstLine="709"/>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V.- …</w:t>
      </w:r>
    </w:p>
    <w:p w:rsidR="00470AD7" w:rsidRPr="006E437B" w:rsidRDefault="00470AD7" w:rsidP="00141629">
      <w:pPr>
        <w:pStyle w:val="Sinespaciado"/>
        <w:ind w:firstLine="5670"/>
        <w:jc w:val="center"/>
        <w:rPr>
          <w:rFonts w:ascii="Times New Roman" w:eastAsia="Arial" w:hAnsi="Times New Roman" w:cs="Times New Roman"/>
          <w:b/>
          <w:i/>
          <w:sz w:val="24"/>
          <w:szCs w:val="24"/>
        </w:rPr>
      </w:pPr>
      <w:r w:rsidRPr="006E437B">
        <w:rPr>
          <w:rFonts w:ascii="Times New Roman" w:eastAsia="Arial" w:hAnsi="Times New Roman" w:cs="Times New Roman"/>
          <w:b/>
          <w:i/>
          <w:sz w:val="24"/>
          <w:szCs w:val="24"/>
        </w:rPr>
        <w:t>El énfasis es propio</w:t>
      </w:r>
    </w:p>
    <w:p w:rsidR="00470AD7" w:rsidRPr="006E437B" w:rsidRDefault="00470AD7" w:rsidP="00141629">
      <w:pPr>
        <w:pStyle w:val="Sinespaciado"/>
        <w:ind w:firstLine="709"/>
        <w:jc w:val="right"/>
        <w:rPr>
          <w:rFonts w:ascii="Times New Roman" w:eastAsia="Arial" w:hAnsi="Times New Roman" w:cs="Times New Roman"/>
          <w:b/>
          <w:i/>
          <w:sz w:val="24"/>
          <w:szCs w:val="24"/>
        </w:rPr>
      </w:pPr>
    </w:p>
    <w:p w:rsidR="00470AD7" w:rsidRPr="006E437B" w:rsidRDefault="00470AD7"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sz w:val="24"/>
          <w:szCs w:val="24"/>
        </w:rPr>
        <w:t xml:space="preserve">Lo anterior, debido a que </w:t>
      </w:r>
      <w:r w:rsidRPr="006E437B">
        <w:rPr>
          <w:rFonts w:ascii="Times New Roman" w:eastAsia="Arial" w:hAnsi="Times New Roman" w:cs="Times New Roman"/>
          <w:b/>
          <w:sz w:val="24"/>
          <w:szCs w:val="24"/>
        </w:rPr>
        <w:t xml:space="preserve">la Primera Sala del máximo Tribunal Constitucional determina que el artículo del Código Civil previamente referido violenta el principio del interés superior del menor </w:t>
      </w:r>
      <w:r w:rsidRPr="006E437B">
        <w:rPr>
          <w:rFonts w:ascii="Times New Roman" w:eastAsia="Arial" w:hAnsi="Times New Roman" w:cs="Times New Roman"/>
          <w:sz w:val="24"/>
          <w:szCs w:val="24"/>
        </w:rPr>
        <w:t xml:space="preserve">ya que desplaza la función del juzgador consistente en evaluar las circunstancias particulares de cada caso en concreto para determinar quién es la persona que mejor puede atender las necesidades afectivas y de cuidado del infante. También consideró que </w:t>
      </w:r>
      <w:r w:rsidRPr="006E437B">
        <w:rPr>
          <w:rFonts w:ascii="Times New Roman" w:eastAsia="Arial" w:hAnsi="Times New Roman" w:cs="Times New Roman"/>
          <w:b/>
          <w:sz w:val="24"/>
          <w:szCs w:val="24"/>
        </w:rPr>
        <w:t xml:space="preserve">la presunción en favor de la madre que establecía la norma controvertida no solo reafirmaba </w:t>
      </w:r>
      <w:r w:rsidRPr="006E437B">
        <w:rPr>
          <w:rFonts w:ascii="Times New Roman" w:eastAsia="Arial" w:hAnsi="Times New Roman" w:cs="Times New Roman"/>
          <w:b/>
          <w:sz w:val="24"/>
          <w:szCs w:val="24"/>
          <w:u w:val="thick" w:color="FF0000"/>
        </w:rPr>
        <w:t>estereotipos de género tradicionales</w:t>
      </w:r>
      <w:r w:rsidRPr="006E437B">
        <w:rPr>
          <w:rFonts w:ascii="Times New Roman" w:eastAsia="Arial" w:hAnsi="Times New Roman" w:cs="Times New Roman"/>
          <w:b/>
          <w:sz w:val="24"/>
          <w:szCs w:val="24"/>
        </w:rPr>
        <w:t xml:space="preserve">, sino que </w:t>
      </w:r>
      <w:r w:rsidRPr="006E437B">
        <w:rPr>
          <w:rFonts w:ascii="Times New Roman" w:eastAsia="Arial" w:hAnsi="Times New Roman" w:cs="Times New Roman"/>
          <w:b/>
          <w:sz w:val="24"/>
          <w:szCs w:val="24"/>
          <w:u w:val="thick" w:color="FF0000"/>
        </w:rPr>
        <w:t xml:space="preserve">profundiza el rol de mujer-madre e impide </w:t>
      </w:r>
      <w:r w:rsidRPr="006E437B">
        <w:rPr>
          <w:rFonts w:ascii="Times New Roman" w:eastAsia="Arial" w:hAnsi="Times New Roman" w:cs="Times New Roman"/>
          <w:b/>
          <w:sz w:val="24"/>
          <w:szCs w:val="24"/>
          <w:u w:val="single"/>
        </w:rPr>
        <w:t>erradicar la concepción de la feminidad tradicional</w:t>
      </w:r>
      <w:r w:rsidRPr="006E437B">
        <w:rPr>
          <w:rFonts w:ascii="Times New Roman" w:eastAsia="Arial" w:hAnsi="Times New Roman" w:cs="Times New Roman"/>
          <w:b/>
          <w:sz w:val="24"/>
          <w:szCs w:val="24"/>
          <w:u w:val="single"/>
          <w:vertAlign w:val="superscript"/>
        </w:rPr>
        <w:t>8</w:t>
      </w: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Advertimos que </w:t>
      </w:r>
      <w:r w:rsidRPr="006E437B">
        <w:rPr>
          <w:rFonts w:ascii="Times New Roman" w:eastAsia="Arial" w:hAnsi="Times New Roman" w:cs="Times New Roman"/>
          <w:b/>
          <w:sz w:val="24"/>
          <w:szCs w:val="24"/>
        </w:rPr>
        <w:t xml:space="preserve">en la elaboración de la presente Iniciativa se realizó un análisis legislativo, </w:t>
      </w:r>
      <w:r w:rsidRPr="006E437B">
        <w:rPr>
          <w:rFonts w:ascii="Times New Roman" w:eastAsia="Arial" w:hAnsi="Times New Roman" w:cs="Times New Roman"/>
          <w:sz w:val="24"/>
          <w:szCs w:val="24"/>
        </w:rPr>
        <w:t xml:space="preserve">primeramente, en lo correspondiente al ámbito de competencia que tiene la federación y las entidades federativas de la materia en comento, encontrando que </w:t>
      </w:r>
      <w:r w:rsidRPr="006E437B">
        <w:rPr>
          <w:rFonts w:ascii="Times New Roman" w:eastAsia="Arial" w:hAnsi="Times New Roman" w:cs="Times New Roman"/>
          <w:b/>
          <w:sz w:val="24"/>
          <w:szCs w:val="24"/>
        </w:rPr>
        <w:t>la guarda y custodia de menores se encuentra prevista tanto en ordenamientos jurídicos del ámbito federal como estatal, puesto que existe un Código Civil Federal, así como un Código Civil por cada entidad federativa</w:t>
      </w:r>
      <w:r w:rsidRPr="006E437B">
        <w:rPr>
          <w:rFonts w:ascii="Times New Roman" w:eastAsia="Arial" w:hAnsi="Times New Roman" w:cs="Times New Roman"/>
          <w:sz w:val="24"/>
          <w:szCs w:val="24"/>
        </w:rPr>
        <w:t xml:space="preserve">, no obstante, a lo anterior, no podemos perder de vista que los Juzgados Locales (Estatales) son lo que tienen la atribución de resolver en su mayoría los asuntos relativo a asuntos civiles y familiares, por ende, </w:t>
      </w:r>
      <w:r w:rsidRPr="006E437B">
        <w:rPr>
          <w:rFonts w:ascii="Times New Roman" w:eastAsia="Arial" w:hAnsi="Times New Roman" w:cs="Times New Roman"/>
          <w:b/>
          <w:sz w:val="24"/>
          <w:szCs w:val="24"/>
        </w:rPr>
        <w:t xml:space="preserve">existe un criterio de oportunidad para que este H. Congreso del Estado Libre y Soberano de México realice la labor de legislar para robustecer el contenido normativo en materia de guarda y custodia acorde con la realidad social y los criterios emitidos por la Suprema Corte de Justicia de la Nación. </w:t>
      </w:r>
      <w:r w:rsidRPr="006E437B">
        <w:rPr>
          <w:rFonts w:ascii="Times New Roman" w:eastAsia="Arial" w:hAnsi="Times New Roman" w:cs="Times New Roman"/>
          <w:sz w:val="24"/>
          <w:szCs w:val="24"/>
        </w:rPr>
        <w:t xml:space="preserve">Asimismo, se encontraron aspectos relevantes </w:t>
      </w:r>
      <w:r w:rsidRPr="006E437B">
        <w:rPr>
          <w:rFonts w:ascii="Times New Roman" w:eastAsia="Arial" w:hAnsi="Times New Roman" w:cs="Times New Roman"/>
          <w:b/>
          <w:sz w:val="24"/>
          <w:szCs w:val="24"/>
        </w:rPr>
        <w:t>por cuanto hace al apartado de procedimientos familiares y civiles, ya que estamos próximos a la entrada en vigor de un nuevo ordenamiento jurídico que tiene como finalidad, de manera enunciativa más no limitativa, el unificar y homologar la legislación procesal civil y familiar en todo el país</w:t>
      </w:r>
      <w:r w:rsidRPr="006E437B">
        <w:rPr>
          <w:rFonts w:ascii="Times New Roman" w:eastAsia="Arial" w:hAnsi="Times New Roman" w:cs="Times New Roman"/>
          <w:sz w:val="24"/>
          <w:szCs w:val="24"/>
        </w:rPr>
        <w:t>.</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Efectivamente, el </w:t>
      </w:r>
      <w:r w:rsidRPr="006E437B">
        <w:rPr>
          <w:rFonts w:ascii="Times New Roman" w:eastAsia="Arial" w:hAnsi="Times New Roman" w:cs="Times New Roman"/>
          <w:i/>
          <w:sz w:val="24"/>
          <w:szCs w:val="24"/>
        </w:rPr>
        <w:t>DECRETO</w:t>
      </w:r>
      <w:r w:rsidRPr="006E437B">
        <w:rPr>
          <w:rFonts w:ascii="Times New Roman" w:eastAsia="Arial" w:hAnsi="Times New Roman" w:cs="Times New Roman"/>
          <w:sz w:val="24"/>
          <w:szCs w:val="24"/>
          <w:vertAlign w:val="superscript"/>
        </w:rPr>
        <w:t>9</w:t>
      </w:r>
      <w:r w:rsidRPr="006E437B">
        <w:rPr>
          <w:rFonts w:ascii="Times New Roman" w:eastAsia="Arial" w:hAnsi="Times New Roman" w:cs="Times New Roman"/>
          <w:sz w:val="24"/>
          <w:szCs w:val="24"/>
        </w:rPr>
        <w:t xml:space="preserve"> por el que se expide el Código Nacional de Procedimientos Civiles y Familiares, publicado en el Diario Oficial de la Federación (DOF) determina en su apartado transitorio que:</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5"/>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En el caso de las Entidades Federativas, </w:t>
      </w:r>
      <w:r w:rsidRPr="006E437B">
        <w:rPr>
          <w:rFonts w:ascii="Times New Roman" w:eastAsia="Arial" w:hAnsi="Times New Roman" w:cs="Times New Roman"/>
          <w:b/>
          <w:i/>
          <w:sz w:val="24"/>
          <w:szCs w:val="24"/>
          <w:u w:val="thick" w:color="2E2E2E"/>
        </w:rPr>
        <w:t>el presente Código Nacional, entrará en</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2E2E2E"/>
        </w:rPr>
        <w:t>vigor en cada una de éstas de conformidad con la Declaratoria que al efecto emita</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2E2E2E"/>
        </w:rPr>
        <w:t>el Congreso Local,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i/>
          <w:sz w:val="24"/>
          <w:szCs w:val="24"/>
        </w:rPr>
        <w:t>previa solicitud del Poder Judicial del Estado correspondiente</w:t>
      </w:r>
      <w:r w:rsidRPr="006E437B">
        <w:rPr>
          <w:rFonts w:ascii="Times New Roman" w:eastAsia="Arial" w:hAnsi="Times New Roman" w:cs="Times New Roman"/>
          <w:i/>
          <w:sz w:val="24"/>
          <w:szCs w:val="24"/>
          <w:u w:val="thick" w:color="2E2E2E"/>
        </w:rPr>
        <w:t xml:space="preserve">, </w:t>
      </w:r>
      <w:r w:rsidRPr="006E437B">
        <w:rPr>
          <w:rFonts w:ascii="Times New Roman" w:eastAsia="Arial" w:hAnsi="Times New Roman" w:cs="Times New Roman"/>
          <w:b/>
          <w:i/>
          <w:sz w:val="24"/>
          <w:szCs w:val="24"/>
          <w:u w:val="thick" w:color="2E2E2E"/>
        </w:rPr>
        <w:t>sin que la misma pueda exceder del 1o. de abril de 2027</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8</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https://www.internet2.scjn.gob.mx/red2/comunicados/noticia.asp?id=6015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9</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https://www.dof.gob.mx/nota_detalle.php?codigo=5691385&amp;fecha=07/06/2023#gsc.tab=0 </w:t>
      </w:r>
    </w:p>
    <w:p w:rsidR="00470AD7" w:rsidRPr="006E437B" w:rsidRDefault="00470AD7" w:rsidP="00141629">
      <w:pPr>
        <w:pStyle w:val="Sinespaciado"/>
        <w:jc w:val="both"/>
        <w:rPr>
          <w:rFonts w:ascii="Times New Roman" w:hAnsi="Times New Roman" w:cs="Times New Roman"/>
          <w:b/>
          <w:bCs/>
          <w:sz w:val="20"/>
          <w:szCs w:val="20"/>
        </w:rPr>
      </w:pPr>
      <w:r w:rsidRPr="006E437B">
        <w:rPr>
          <w:rFonts w:ascii="Times New Roman" w:hAnsi="Times New Roman" w:cs="Times New Roman"/>
          <w:b/>
          <w:bCs/>
          <w:sz w:val="20"/>
          <w:szCs w:val="20"/>
        </w:rPr>
        <w:t>Artículo Transitorio Segundo, Tercero</w:t>
      </w:r>
      <w:r w:rsidRPr="006E437B">
        <w:rPr>
          <w:rFonts w:ascii="Times New Roman" w:hAnsi="Times New Roman" w:cs="Times New Roman"/>
          <w:sz w:val="20"/>
          <w:szCs w:val="20"/>
        </w:rPr>
        <w:t xml:space="preserve">, Cuarto y </w:t>
      </w:r>
      <w:r w:rsidRPr="006E437B">
        <w:rPr>
          <w:rFonts w:ascii="Times New Roman" w:hAnsi="Times New Roman" w:cs="Times New Roman"/>
          <w:b/>
          <w:bCs/>
          <w:sz w:val="20"/>
          <w:szCs w:val="20"/>
        </w:rPr>
        <w:t>Décimo Tercero</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5"/>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Se abrogan </w:t>
      </w:r>
      <w:r w:rsidRPr="006E437B">
        <w:rPr>
          <w:rFonts w:ascii="Times New Roman" w:eastAsia="Arial" w:hAnsi="Times New Roman" w:cs="Times New Roman"/>
          <w:i/>
          <w:sz w:val="24"/>
          <w:szCs w:val="24"/>
        </w:rPr>
        <w:t xml:space="preserve">el Código Federal de Procedimientos Civiles, así como </w:t>
      </w:r>
      <w:r w:rsidRPr="006E437B">
        <w:rPr>
          <w:rFonts w:ascii="Times New Roman" w:eastAsia="Arial" w:hAnsi="Times New Roman" w:cs="Times New Roman"/>
          <w:b/>
          <w:i/>
          <w:sz w:val="24"/>
          <w:szCs w:val="24"/>
          <w:u w:val="thick" w:color="2E2E2E"/>
        </w:rPr>
        <w:t>la legislación procesal civil y familiar de las Entidades Federativas</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5"/>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Los procedimientos civiles y familiares que a la entrada en vigor del Código Nacional de Procedimientos Civiles y Familiares se encuentren en trámite, continuarán su sustanciación de conformidad con la legislación aplicable en el momento del inicio de los mismos, salvo que las partes conjuntamente opten por la regulación del Código Nacional</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5"/>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Toda referencia a la legislación procesal civil y familiar Federal y de las Entidades Federativas, en ordenamientos diversos, se entenderá a partir de la vigencia en las mismas, al Código Nacional de Procedimientos Civiles y Familiares</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También, </w:t>
      </w:r>
      <w:r w:rsidRPr="006E437B">
        <w:rPr>
          <w:rFonts w:ascii="Times New Roman" w:eastAsia="Arial" w:hAnsi="Times New Roman" w:cs="Times New Roman"/>
          <w:b/>
          <w:sz w:val="24"/>
          <w:szCs w:val="24"/>
        </w:rPr>
        <w:t>este mismo ordenamiento jurídico</w:t>
      </w:r>
      <w:r w:rsidRPr="006E437B">
        <w:rPr>
          <w:rFonts w:ascii="Times New Roman" w:eastAsia="Arial" w:hAnsi="Times New Roman" w:cs="Times New Roman"/>
          <w:sz w:val="24"/>
          <w:szCs w:val="24"/>
          <w:vertAlign w:val="superscript"/>
        </w:rPr>
        <w:t>10</w:t>
      </w:r>
      <w:r w:rsidRPr="006E437B">
        <w:rPr>
          <w:rFonts w:ascii="Times New Roman" w:eastAsia="Arial" w:hAnsi="Times New Roman" w:cs="Times New Roman"/>
          <w:b/>
          <w:sz w:val="24"/>
          <w:szCs w:val="24"/>
        </w:rPr>
        <w:t xml:space="preserve"> que </w:t>
      </w:r>
      <w:r w:rsidRPr="006E437B">
        <w:rPr>
          <w:rFonts w:ascii="Times New Roman" w:eastAsia="Arial" w:hAnsi="Times New Roman" w:cs="Times New Roman"/>
          <w:b/>
          <w:sz w:val="24"/>
          <w:szCs w:val="24"/>
          <w:u w:val="thick" w:color="000000"/>
        </w:rPr>
        <w:t>entrará en vigor a más tardar el día</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primero de abril del año dos mil veintisiete</w:t>
      </w:r>
      <w:r w:rsidRPr="006E437B">
        <w:rPr>
          <w:rFonts w:ascii="Times New Roman" w:eastAsia="Arial" w:hAnsi="Times New Roman" w:cs="Times New Roman"/>
          <w:sz w:val="24"/>
          <w:szCs w:val="24"/>
        </w:rPr>
        <w:t>, ordena que:</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6"/>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Las disposiciones de este Código Nacional son de orden público, interés social y </w:t>
      </w:r>
      <w:r w:rsidRPr="006E437B">
        <w:rPr>
          <w:rFonts w:ascii="Times New Roman" w:eastAsia="Arial" w:hAnsi="Times New Roman" w:cs="Times New Roman"/>
          <w:b/>
          <w:i/>
          <w:sz w:val="24"/>
          <w:szCs w:val="24"/>
          <w:u w:val="thick" w:color="FF0000"/>
        </w:rPr>
        <w:t>observancia general en todo el territorio nacional</w:t>
      </w:r>
      <w:r w:rsidRPr="006E437B">
        <w:rPr>
          <w:rFonts w:ascii="Times New Roman" w:eastAsia="Arial" w:hAnsi="Times New Roman" w:cs="Times New Roman"/>
          <w:i/>
          <w:sz w:val="24"/>
          <w:szCs w:val="24"/>
        </w:rPr>
        <w:t>, tienen por objeto establecer la regulación procesal civil y familiar, con base en los derechos humanos previstos en la Constitución Política de los Estados Unidos Mexicanos y en los Tratados Internacionales de los que el Estado mexicano sea parte</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6"/>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Se entiende por </w:t>
      </w:r>
      <w:r w:rsidRPr="006E437B">
        <w:rPr>
          <w:rFonts w:ascii="Times New Roman" w:eastAsia="Arial" w:hAnsi="Times New Roman" w:cs="Times New Roman"/>
          <w:b/>
          <w:i/>
          <w:sz w:val="24"/>
          <w:szCs w:val="24"/>
        </w:rPr>
        <w:t>Autoridad jurisdiccional. Jueza, juez, magistrada, magistrado u órganos del Poder Judicial</w:t>
      </w:r>
      <w:r w:rsidRPr="006E437B">
        <w:rPr>
          <w:rFonts w:ascii="Times New Roman" w:eastAsia="Arial" w:hAnsi="Times New Roman" w:cs="Times New Roman"/>
          <w:i/>
          <w:sz w:val="24"/>
          <w:szCs w:val="24"/>
        </w:rPr>
        <w:t>, con facultades para emitir resoluciones en el ejercicio de impartición de justicia dentro del ámbito de sus respectivas competencias</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6"/>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u w:val="thick" w:color="000000"/>
        </w:rPr>
        <w:t>En la impartición de justicia, las autoridades jurisdiccionales deberán velar en todo</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single"/>
        </w:rPr>
        <w:t>momento por garantizar la igualdad sustantiva entre mujeres y hombres, actuando con</w:t>
      </w:r>
      <w:r w:rsidRPr="006E437B">
        <w:rPr>
          <w:rFonts w:ascii="Times New Roman" w:eastAsia="Arial" w:hAnsi="Times New Roman" w:cs="Times New Roman"/>
          <w:b/>
          <w:i/>
          <w:sz w:val="24"/>
          <w:szCs w:val="24"/>
          <w:u w:val="thick" w:color="000000"/>
        </w:rPr>
        <w:t xml:space="preserve"> perspectiva de género y pleno respeto a los derechos humanos</w:t>
      </w:r>
    </w:p>
    <w:p w:rsidR="00470AD7" w:rsidRPr="006E437B" w:rsidRDefault="00470AD7" w:rsidP="00141629">
      <w:pPr>
        <w:pStyle w:val="Sinespaciado"/>
        <w:ind w:left="720"/>
        <w:jc w:val="both"/>
        <w:rPr>
          <w:rFonts w:ascii="Times New Roman" w:eastAsia="Arial" w:hAnsi="Times New Roman" w:cs="Times New Roman"/>
          <w:sz w:val="24"/>
          <w:szCs w:val="24"/>
        </w:rPr>
      </w:pP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vertAlign w:val="superscript"/>
        </w:rPr>
        <w:t>10</w:t>
      </w:r>
      <w:r w:rsidRPr="006E437B">
        <w:rPr>
          <w:rFonts w:ascii="Times New Roman" w:hAnsi="Times New Roman" w:cs="Times New Roman"/>
          <w:color w:val="auto"/>
          <w:sz w:val="20"/>
        </w:rPr>
        <w:t xml:space="preserve"> Disponible en: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rPr>
        <w:t xml:space="preserve">https://www.diputados.gob.mx/LeyesBiblio/pdf/CNPCF.pdf </w:t>
      </w:r>
    </w:p>
    <w:p w:rsidR="00470AD7" w:rsidRPr="006E437B" w:rsidRDefault="00470AD7" w:rsidP="00141629">
      <w:pPr>
        <w:pStyle w:val="Sinespaciado"/>
        <w:jc w:val="both"/>
        <w:rPr>
          <w:rFonts w:ascii="Times New Roman" w:eastAsia="Arial" w:hAnsi="Times New Roman" w:cs="Times New Roman"/>
          <w:sz w:val="20"/>
          <w:szCs w:val="24"/>
        </w:rPr>
      </w:pPr>
      <w:r w:rsidRPr="006E437B">
        <w:rPr>
          <w:rFonts w:ascii="Times New Roman" w:hAnsi="Times New Roman" w:cs="Times New Roman"/>
          <w:b/>
          <w:bCs/>
          <w:sz w:val="20"/>
          <w:szCs w:val="24"/>
        </w:rPr>
        <w:t>art. 1, art. 2 fr. VI, art. 3 segundo párrafo, art. 5primer y segundo párrafo, art. 569, fr. II, art. 581, fr. III y art. 656 fr. III inciso a)</w:t>
      </w:r>
    </w:p>
    <w:p w:rsidR="00470AD7" w:rsidRPr="006E437B" w:rsidRDefault="00470AD7" w:rsidP="00141629">
      <w:pPr>
        <w:pStyle w:val="Sinespaciado"/>
        <w:ind w:left="720"/>
        <w:jc w:val="both"/>
        <w:rPr>
          <w:rFonts w:ascii="Times New Roman" w:eastAsia="Arial" w:hAnsi="Times New Roman" w:cs="Times New Roman"/>
          <w:sz w:val="24"/>
          <w:szCs w:val="24"/>
        </w:rPr>
      </w:pPr>
    </w:p>
    <w:p w:rsidR="00470AD7" w:rsidRPr="006E437B" w:rsidRDefault="00470AD7" w:rsidP="00DA64DA">
      <w:pPr>
        <w:pStyle w:val="Sinespaciado"/>
        <w:numPr>
          <w:ilvl w:val="0"/>
          <w:numId w:val="7"/>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u w:val="thick" w:color="000000"/>
        </w:rPr>
        <w:t>En los asuntos de orden familiar</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i/>
          <w:sz w:val="24"/>
          <w:szCs w:val="24"/>
        </w:rPr>
        <w:t xml:space="preserve">y civil, y </w:t>
      </w:r>
      <w:r w:rsidRPr="006E437B">
        <w:rPr>
          <w:rFonts w:ascii="Times New Roman" w:eastAsia="Arial" w:hAnsi="Times New Roman" w:cs="Times New Roman"/>
          <w:b/>
          <w:i/>
          <w:sz w:val="24"/>
          <w:szCs w:val="24"/>
        </w:rPr>
        <w:t>sin alterar el principio de igualdad procesal</w:t>
      </w:r>
      <w:r w:rsidRPr="006E437B">
        <w:rPr>
          <w:rFonts w:ascii="Times New Roman" w:eastAsia="Arial" w:hAnsi="Times New Roman" w:cs="Times New Roman"/>
          <w:i/>
          <w:sz w:val="24"/>
          <w:szCs w:val="24"/>
        </w:rPr>
        <w:t xml:space="preserve">, las partes podrán revelar su condición de vulnerabilidad, a fin de que </w:t>
      </w:r>
      <w:r w:rsidRPr="006E437B">
        <w:rPr>
          <w:rFonts w:ascii="Times New Roman" w:eastAsia="Arial" w:hAnsi="Times New Roman" w:cs="Times New Roman"/>
          <w:b/>
          <w:i/>
          <w:sz w:val="24"/>
          <w:szCs w:val="24"/>
          <w:u w:val="thick" w:color="FF0000"/>
        </w:rPr>
        <w:t>la autoridad</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 xml:space="preserve">jurisdiccional provea ajustes de procedimiento en su caso y supla </w:t>
      </w:r>
      <w:r w:rsidRPr="006E437B">
        <w:rPr>
          <w:rFonts w:ascii="Times New Roman" w:eastAsia="Arial" w:hAnsi="Times New Roman" w:cs="Times New Roman"/>
          <w:b/>
          <w:i/>
          <w:sz w:val="24"/>
          <w:szCs w:val="24"/>
          <w:u w:val="single"/>
        </w:rPr>
        <w:t>oportunamente de oficio, las deficiencias de sus planteamientos sobre la base de proteger los i</w:t>
      </w:r>
      <w:r w:rsidRPr="006E437B">
        <w:rPr>
          <w:rFonts w:ascii="Times New Roman" w:eastAsia="Arial" w:hAnsi="Times New Roman" w:cs="Times New Roman"/>
          <w:b/>
          <w:i/>
          <w:sz w:val="24"/>
          <w:szCs w:val="24"/>
          <w:u w:val="thick" w:color="000000"/>
        </w:rPr>
        <w:t>ntereses de la familia</w:t>
      </w:r>
      <w:r w:rsidRPr="006E437B">
        <w:rPr>
          <w:rFonts w:ascii="Times New Roman" w:eastAsia="Arial" w:hAnsi="Times New Roman" w:cs="Times New Roman"/>
          <w:i/>
          <w:sz w:val="24"/>
          <w:szCs w:val="24"/>
        </w:rPr>
        <w:t xml:space="preserve">, personas mayores, </w:t>
      </w:r>
      <w:r w:rsidRPr="006E437B">
        <w:rPr>
          <w:rFonts w:ascii="Times New Roman" w:eastAsia="Arial" w:hAnsi="Times New Roman" w:cs="Times New Roman"/>
          <w:b/>
          <w:i/>
          <w:sz w:val="24"/>
          <w:szCs w:val="24"/>
          <w:u w:val="thick" w:color="000000"/>
        </w:rPr>
        <w:t>niñas, niños, adolescentes</w:t>
      </w:r>
      <w:r w:rsidRPr="006E437B">
        <w:rPr>
          <w:rFonts w:ascii="Times New Roman" w:eastAsia="Arial" w:hAnsi="Times New Roman" w:cs="Times New Roman"/>
          <w:i/>
          <w:sz w:val="24"/>
          <w:szCs w:val="24"/>
        </w:rPr>
        <w:t>, personas con discapacidad o cualquier otra persona que se encuentre en alguna condición de vulnerabilidad</w:t>
      </w:r>
    </w:p>
    <w:p w:rsidR="00470AD7" w:rsidRPr="006E437B" w:rsidRDefault="00470AD7" w:rsidP="00141629">
      <w:pPr>
        <w:pStyle w:val="Sinespaciado"/>
        <w:ind w:left="360"/>
        <w:jc w:val="both"/>
        <w:rPr>
          <w:rFonts w:ascii="Times New Roman" w:eastAsia="Arial" w:hAnsi="Times New Roman" w:cs="Times New Roman"/>
          <w:sz w:val="24"/>
          <w:szCs w:val="24"/>
        </w:rPr>
      </w:pPr>
    </w:p>
    <w:p w:rsidR="00470AD7" w:rsidRPr="006E437B" w:rsidRDefault="00470AD7" w:rsidP="00DA64DA">
      <w:pPr>
        <w:pStyle w:val="Sinespaciado"/>
        <w:numPr>
          <w:ilvl w:val="0"/>
          <w:numId w:val="7"/>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En los casos que se involucren derechos de niñas, niños y adolescentes, así como los derechos de las mujeres, la autoridad jurisdiccional deberá actuar y resolver con base en el interés superior de las niñas, niños, o adolescentes, con perspectiva de género </w:t>
      </w:r>
      <w:r w:rsidRPr="006E437B">
        <w:rPr>
          <w:rFonts w:ascii="Times New Roman" w:eastAsia="Arial" w:hAnsi="Times New Roman" w:cs="Times New Roman"/>
          <w:i/>
          <w:sz w:val="24"/>
          <w:szCs w:val="24"/>
        </w:rPr>
        <w:t>de conformidad con las leyes aplicables y los Tratados Internacionales de los que el Estado Mexicano sea parte</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7"/>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Perspectiva de género. </w:t>
      </w:r>
      <w:r w:rsidRPr="006E437B">
        <w:rPr>
          <w:rFonts w:ascii="Times New Roman" w:eastAsia="Arial" w:hAnsi="Times New Roman" w:cs="Times New Roman"/>
          <w:b/>
          <w:i/>
          <w:sz w:val="24"/>
          <w:szCs w:val="24"/>
        </w:rPr>
        <w:t>Es una visión científica, analítica y política sobre las mujeres y los hombres. Se propone eliminar las causas de la opresión de género como la desigualdad, la injusticia y la jerarquización de las personas basada en el género</w:t>
      </w:r>
      <w:r w:rsidRPr="006E437B">
        <w:rPr>
          <w:rFonts w:ascii="Times New Roman" w:eastAsia="Arial" w:hAnsi="Times New Roman" w:cs="Times New Roman"/>
          <w:i/>
          <w:sz w:val="24"/>
          <w:szCs w:val="24"/>
        </w:rPr>
        <w:t>. Promueve la igualdad sustantiva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7"/>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u w:val="single"/>
        </w:rPr>
        <w:t xml:space="preserve">La autoridad jurisdiccional deberá intervenir de oficio en las cuestiones inherentes al orden familiar y deberá decretar las medidas provisionales necesarias sin </w:t>
      </w:r>
      <w:r w:rsidRPr="006E437B">
        <w:rPr>
          <w:rFonts w:ascii="Times New Roman" w:eastAsia="Arial" w:hAnsi="Times New Roman" w:cs="Times New Roman"/>
          <w:b/>
          <w:i/>
          <w:sz w:val="24"/>
          <w:szCs w:val="24"/>
          <w:u w:val="thick" w:color="000000"/>
        </w:rPr>
        <w:t>audiencia de la contraparte y cerciorarse de su cumplimiento</w:t>
      </w:r>
      <w:r w:rsidRPr="006E437B">
        <w:rPr>
          <w:rFonts w:ascii="Times New Roman" w:eastAsia="Arial" w:hAnsi="Times New Roman" w:cs="Times New Roman"/>
          <w:i/>
          <w:sz w:val="24"/>
          <w:szCs w:val="24"/>
        </w:rPr>
        <w:t xml:space="preserve">, en los casos que a continuación se mencionan, de manera enunciativa y no limitativa </w:t>
      </w:r>
      <w:r w:rsidRPr="006E437B">
        <w:rPr>
          <w:rFonts w:ascii="Times New Roman" w:eastAsia="Arial" w:hAnsi="Times New Roman" w:cs="Times New Roman"/>
          <w:b/>
          <w:i/>
          <w:sz w:val="24"/>
          <w:szCs w:val="24"/>
        </w:rPr>
        <w:t>Guarda y custodia</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7"/>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Presentada la solicitud de separación, si la autoridad jurisdiccional considera que procede, conjuntamente a la admisión del trámite deberá decretar </w:t>
      </w:r>
      <w:r w:rsidRPr="006E437B">
        <w:rPr>
          <w:rFonts w:ascii="Times New Roman" w:eastAsia="Arial" w:hAnsi="Times New Roman" w:cs="Times New Roman"/>
          <w:b/>
          <w:i/>
          <w:sz w:val="24"/>
          <w:szCs w:val="24"/>
        </w:rPr>
        <w:t>la determinación en cuanto a la guarda y custodia provisional de las niñas, niños o adolescentes relacionados con el caso</w:t>
      </w:r>
    </w:p>
    <w:p w:rsidR="00470AD7" w:rsidRPr="006E437B" w:rsidRDefault="00470AD7" w:rsidP="00141629">
      <w:pPr>
        <w:pStyle w:val="Sinespaciado"/>
        <w:rPr>
          <w:rFonts w:ascii="Times New Roman" w:eastAsia="Arial" w:hAnsi="Times New Roman" w:cs="Times New Roman"/>
          <w:sz w:val="24"/>
          <w:szCs w:val="24"/>
        </w:rPr>
      </w:pP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Ante la autoridad jurisdiccional, a la solicitud deberá acompañarse u</w:t>
      </w:r>
      <w:r w:rsidRPr="006E437B">
        <w:rPr>
          <w:rFonts w:ascii="Times New Roman" w:eastAsia="Arial" w:hAnsi="Times New Roman" w:cs="Times New Roman"/>
          <w:i/>
          <w:sz w:val="24"/>
          <w:szCs w:val="24"/>
        </w:rPr>
        <w:t xml:space="preserve">na </w:t>
      </w:r>
      <w:r w:rsidRPr="006E437B">
        <w:rPr>
          <w:rFonts w:ascii="Times New Roman" w:eastAsia="Arial" w:hAnsi="Times New Roman" w:cs="Times New Roman"/>
          <w:b/>
          <w:i/>
          <w:sz w:val="24"/>
          <w:szCs w:val="24"/>
        </w:rPr>
        <w:t xml:space="preserve">propuesta </w:t>
      </w:r>
      <w:r w:rsidRPr="006E437B">
        <w:rPr>
          <w:rFonts w:ascii="Times New Roman" w:eastAsia="Arial" w:hAnsi="Times New Roman" w:cs="Times New Roman"/>
          <w:i/>
          <w:sz w:val="24"/>
          <w:szCs w:val="24"/>
        </w:rPr>
        <w:t xml:space="preserve">de </w:t>
      </w:r>
      <w:r w:rsidRPr="006E437B">
        <w:rPr>
          <w:rFonts w:ascii="Times New Roman" w:eastAsia="Arial" w:hAnsi="Times New Roman" w:cs="Times New Roman"/>
          <w:b/>
          <w:i/>
          <w:sz w:val="24"/>
          <w:szCs w:val="24"/>
        </w:rPr>
        <w:t>Convenio</w:t>
      </w:r>
      <w:r w:rsidRPr="006E437B">
        <w:rPr>
          <w:rFonts w:ascii="Times New Roman" w:eastAsia="Arial" w:hAnsi="Times New Roman" w:cs="Times New Roman"/>
          <w:i/>
          <w:sz w:val="24"/>
          <w:szCs w:val="24"/>
        </w:rPr>
        <w:t xml:space="preserve">, de existir hijos o hijas menores de edad, </w:t>
      </w:r>
      <w:r w:rsidRPr="006E437B">
        <w:rPr>
          <w:rFonts w:ascii="Times New Roman" w:eastAsia="Arial" w:hAnsi="Times New Roman" w:cs="Times New Roman"/>
          <w:b/>
          <w:i/>
          <w:sz w:val="24"/>
          <w:szCs w:val="24"/>
        </w:rPr>
        <w:t>quien ejercerá su guarda y custodia</w:t>
      </w:r>
      <w:r w:rsidRPr="006E437B">
        <w:rPr>
          <w:rFonts w:ascii="Times New Roman" w:eastAsia="Arial" w:hAnsi="Times New Roman" w:cs="Times New Roman"/>
          <w:i/>
          <w:sz w:val="24"/>
          <w:szCs w:val="24"/>
        </w:rPr>
        <w:t>, la fijación de la pensión alimenticia que les corresponderá y el establecimiento de un régimen de convivencias, así como la pensión alimenticia que, en su caso pudiera corresponder al o la divorciante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Ilustramos que, </w:t>
      </w:r>
      <w:r w:rsidRPr="006E437B">
        <w:rPr>
          <w:rFonts w:ascii="Times New Roman" w:eastAsia="Arial" w:hAnsi="Times New Roman" w:cs="Times New Roman"/>
          <w:b/>
          <w:sz w:val="24"/>
          <w:szCs w:val="24"/>
        </w:rPr>
        <w:t>en la realización de esta Iniciativa se realizó un estudio comparado de manera general de diversos ordenamientos jurídicos de las 32 entidades federativas de los Estados Unidos Mexicanos de la materia civil y familiar, precisamente en la figura de la guarda y custodia</w:t>
      </w:r>
      <w:r w:rsidRPr="006E437B">
        <w:rPr>
          <w:rFonts w:ascii="Times New Roman" w:eastAsia="Arial" w:hAnsi="Times New Roman" w:cs="Times New Roman"/>
          <w:sz w:val="24"/>
          <w:szCs w:val="24"/>
        </w:rPr>
        <w:t xml:space="preserve">, lo anterior, a efecto de </w:t>
      </w:r>
      <w:r w:rsidRPr="006E437B">
        <w:rPr>
          <w:rFonts w:ascii="Times New Roman" w:eastAsia="Arial" w:hAnsi="Times New Roman" w:cs="Times New Roman"/>
          <w:b/>
          <w:sz w:val="24"/>
          <w:szCs w:val="24"/>
        </w:rPr>
        <w:t>referir de manera enunciativa más no limitativa, las particularidades, características (entre ellos la edad de las niñas, niños y adolescentes) y demás aspectos que toman en consideración las personas juzgadoras del ámbito local para la asignación de guarda y custodia en casos de divorcio o separación de los conyugues (algunos todavía con lamentables estereotipos de género)</w:t>
      </w:r>
      <w:r w:rsidRPr="006E437B">
        <w:rPr>
          <w:rFonts w:ascii="Times New Roman" w:eastAsia="Arial" w:hAnsi="Times New Roman" w:cs="Times New Roman"/>
          <w:sz w:val="24"/>
          <w:szCs w:val="24"/>
        </w:rPr>
        <w:t>, las cuales pueden apreciarse a continuación:</w:t>
      </w:r>
    </w:p>
    <w:p w:rsidR="00470AD7" w:rsidRPr="006E437B" w:rsidRDefault="00470AD7" w:rsidP="00141629">
      <w:pPr>
        <w:pStyle w:val="Sinespaciado"/>
        <w:jc w:val="both"/>
        <w:rPr>
          <w:rFonts w:ascii="Times New Roman" w:eastAsia="Arial" w:hAnsi="Times New Roman" w:cs="Times New Roman"/>
          <w:sz w:val="24"/>
          <w:szCs w:val="24"/>
        </w:rPr>
      </w:pPr>
    </w:p>
    <w:tbl>
      <w:tblPr>
        <w:tblW w:w="0" w:type="auto"/>
        <w:jc w:val="center"/>
        <w:tblLook w:val="04A0" w:firstRow="1" w:lastRow="0" w:firstColumn="1" w:lastColumn="0" w:noHBand="0" w:noVBand="1"/>
      </w:tblPr>
      <w:tblGrid>
        <w:gridCol w:w="704"/>
        <w:gridCol w:w="2552"/>
        <w:gridCol w:w="6139"/>
      </w:tblGrid>
      <w:tr w:rsidR="00470AD7" w:rsidRPr="006E437B" w:rsidTr="00470AD7">
        <w:trPr>
          <w:jc w:val="center"/>
        </w:trPr>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p w:rsidR="00470AD7" w:rsidRPr="006E437B" w:rsidRDefault="00470AD7" w:rsidP="00141629">
            <w:pPr>
              <w:pStyle w:val="Sinespaciado"/>
              <w:jc w:val="center"/>
              <w:rPr>
                <w:rFonts w:ascii="Times New Roman" w:eastAsia="Arial" w:hAnsi="Times New Roman" w:cs="Times New Roman"/>
                <w:sz w:val="24"/>
                <w:szCs w:val="24"/>
              </w:rPr>
            </w:pPr>
          </w:p>
        </w:tc>
      </w:tr>
      <w:tr w:rsidR="00470AD7" w:rsidRPr="006E437B" w:rsidTr="00470AD7">
        <w:trPr>
          <w:jc w:val="center"/>
        </w:trPr>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552"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Disposición legal en donde se prevé</w:t>
            </w:r>
          </w:p>
          <w:p w:rsidR="00470AD7" w:rsidRPr="006E437B" w:rsidRDefault="00470AD7" w:rsidP="00141629">
            <w:pPr>
              <w:pStyle w:val="Sinespaciado"/>
              <w:jc w:val="center"/>
              <w:rPr>
                <w:rFonts w:ascii="Times New Roman" w:eastAsia="Arial" w:hAnsi="Times New Roman" w:cs="Times New Roman"/>
                <w:sz w:val="24"/>
                <w:szCs w:val="24"/>
              </w:rPr>
            </w:pPr>
          </w:p>
        </w:tc>
        <w:tc>
          <w:tcPr>
            <w:tcW w:w="6139"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rPr>
          <w:jc w:val="center"/>
        </w:trPr>
        <w:tc>
          <w:tcPr>
            <w:tcW w:w="704" w:type="dxa"/>
          </w:tcPr>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1</w:t>
            </w:r>
          </w:p>
          <w:p w:rsidR="00470AD7" w:rsidRPr="006E437B" w:rsidRDefault="00470AD7" w:rsidP="00141629">
            <w:pPr>
              <w:pStyle w:val="Sinespaciado"/>
              <w:jc w:val="both"/>
              <w:rPr>
                <w:rFonts w:ascii="Times New Roman" w:eastAsia="Arial" w:hAnsi="Times New Roman" w:cs="Times New Roman"/>
                <w:sz w:val="24"/>
                <w:szCs w:val="24"/>
              </w:rPr>
            </w:pPr>
          </w:p>
        </w:tc>
        <w:tc>
          <w:tcPr>
            <w:tcW w:w="2552"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292, apartado B, fracción II </w:t>
            </w:r>
            <w:r w:rsidRPr="006E437B">
              <w:rPr>
                <w:rFonts w:ascii="Times New Roman" w:hAnsi="Times New Roman" w:cs="Times New Roman"/>
                <w:color w:val="auto"/>
              </w:rPr>
              <w:t>del Código Civil del Estado de Aguascalientes</w:t>
            </w:r>
            <w:r w:rsidRPr="006E437B">
              <w:rPr>
                <w:rFonts w:ascii="Times New Roman" w:hAnsi="Times New Roman" w:cs="Times New Roman"/>
                <w:color w:val="auto"/>
                <w:vertAlign w:val="superscript"/>
              </w:rPr>
              <w:t>11</w:t>
            </w:r>
            <w:r w:rsidRPr="006E437B">
              <w:rPr>
                <w:rFonts w:ascii="Times New Roman" w:hAnsi="Times New Roman" w:cs="Times New Roman"/>
                <w:color w:val="auto"/>
              </w:rPr>
              <w:t xml:space="preserve"> </w:t>
            </w:r>
          </w:p>
          <w:p w:rsidR="00470AD7" w:rsidRPr="006E437B" w:rsidRDefault="00470AD7" w:rsidP="00141629">
            <w:pPr>
              <w:pStyle w:val="Sinespaciado"/>
              <w:jc w:val="both"/>
              <w:rPr>
                <w:rFonts w:ascii="Times New Roman" w:eastAsia="Arial" w:hAnsi="Times New Roman" w:cs="Times New Roman"/>
                <w:sz w:val="24"/>
                <w:szCs w:val="24"/>
              </w:rPr>
            </w:pPr>
          </w:p>
        </w:tc>
        <w:tc>
          <w:tcPr>
            <w:tcW w:w="6139"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todos los casos </w:t>
            </w:r>
            <w:r w:rsidRPr="006E437B">
              <w:rPr>
                <w:rFonts w:ascii="Times New Roman" w:hAnsi="Times New Roman" w:cs="Times New Roman"/>
                <w:b/>
                <w:bCs/>
                <w:color w:val="auto"/>
              </w:rPr>
              <w:t>la persona juzgadora determinará la custodia de los niños, niñas y adolescentes</w:t>
            </w:r>
            <w:r w:rsidRPr="006E437B">
              <w:rPr>
                <w:rFonts w:ascii="Times New Roman" w:hAnsi="Times New Roman" w:cs="Times New Roman"/>
                <w:color w:val="auto"/>
              </w:rPr>
              <w:t xml:space="preserve">, </w:t>
            </w:r>
            <w:r w:rsidRPr="006E437B">
              <w:rPr>
                <w:rFonts w:ascii="Times New Roman" w:hAnsi="Times New Roman" w:cs="Times New Roman"/>
                <w:b/>
                <w:bCs/>
                <w:color w:val="auto"/>
              </w:rPr>
              <w:t>atendiendo a las circunstancias concretas del caso específico</w:t>
            </w:r>
            <w:r w:rsidRPr="006E437B">
              <w:rPr>
                <w:rFonts w:ascii="Times New Roman" w:hAnsi="Times New Roman" w:cs="Times New Roman"/>
                <w:color w:val="auto"/>
              </w:rPr>
              <w:t xml:space="preserve">, </w:t>
            </w:r>
            <w:r w:rsidRPr="006E437B">
              <w:rPr>
                <w:rFonts w:ascii="Times New Roman" w:hAnsi="Times New Roman" w:cs="Times New Roman"/>
                <w:b/>
                <w:bCs/>
                <w:i/>
                <w:iCs/>
                <w:color w:val="auto"/>
              </w:rPr>
              <w:t>garantizando las mejores condiciones para el desarrollo, cuidado y protección de las niñas, niños y adolescentes</w:t>
            </w:r>
            <w:r w:rsidRPr="006E437B">
              <w:rPr>
                <w:rFonts w:ascii="Times New Roman" w:hAnsi="Times New Roman" w:cs="Times New Roman"/>
                <w:b/>
                <w:bCs/>
                <w:color w:val="auto"/>
              </w:rPr>
              <w:t xml:space="preserve">, si estos quedan al cuidado de la madre, del padre o incluso de persona ajena a sus progenitores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jc w:val="center"/>
        </w:trPr>
        <w:tc>
          <w:tcPr>
            <w:tcW w:w="704" w:type="dxa"/>
          </w:tcPr>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lastRenderedPageBreak/>
              <w:t>2</w:t>
            </w:r>
          </w:p>
          <w:p w:rsidR="00470AD7" w:rsidRPr="006E437B" w:rsidRDefault="00470AD7" w:rsidP="00141629">
            <w:pPr>
              <w:pStyle w:val="Default"/>
              <w:jc w:val="both"/>
              <w:rPr>
                <w:rFonts w:ascii="Times New Roman" w:hAnsi="Times New Roman" w:cs="Times New Roman"/>
                <w:b/>
                <w:bCs/>
                <w:color w:val="auto"/>
              </w:rPr>
            </w:pPr>
          </w:p>
        </w:tc>
        <w:tc>
          <w:tcPr>
            <w:tcW w:w="2552"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279, fracción VI </w:t>
            </w:r>
            <w:r w:rsidRPr="006E437B">
              <w:rPr>
                <w:rFonts w:ascii="Times New Roman" w:hAnsi="Times New Roman" w:cs="Times New Roman"/>
                <w:color w:val="auto"/>
              </w:rPr>
              <w:t>del Código Civil para el Estado de Baja California</w:t>
            </w:r>
            <w:r w:rsidRPr="006E437B">
              <w:rPr>
                <w:rFonts w:ascii="Times New Roman" w:hAnsi="Times New Roman" w:cs="Times New Roman"/>
                <w:color w:val="auto"/>
                <w:vertAlign w:val="superscript"/>
              </w:rPr>
              <w:t>12</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b/>
                <w:bCs/>
                <w:color w:val="auto"/>
              </w:rPr>
            </w:pPr>
          </w:p>
        </w:tc>
        <w:tc>
          <w:tcPr>
            <w:tcW w:w="6139" w:type="dxa"/>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Poner a las hijas e hijos en cuidado de la persona que de común acuerdo hubieren designado los cónyuges, pudiendo </w:t>
            </w:r>
            <w:r w:rsidRPr="006E437B">
              <w:rPr>
                <w:rFonts w:ascii="Times New Roman" w:hAnsi="Times New Roman" w:cs="Times New Roman"/>
                <w:b/>
                <w:bCs/>
                <w:color w:val="auto"/>
              </w:rPr>
              <w:t>ser uno de éstos</w:t>
            </w:r>
            <w:r w:rsidRPr="006E437B">
              <w:rPr>
                <w:rFonts w:ascii="Times New Roman" w:hAnsi="Times New Roman" w:cs="Times New Roman"/>
                <w:color w:val="auto"/>
              </w:rPr>
              <w:t xml:space="preserve">. En defecto de ese acuerdo, </w:t>
            </w:r>
            <w:r w:rsidRPr="006E437B">
              <w:rPr>
                <w:rFonts w:ascii="Times New Roman" w:hAnsi="Times New Roman" w:cs="Times New Roman"/>
                <w:b/>
                <w:bCs/>
                <w:color w:val="auto"/>
              </w:rPr>
              <w:t>el cónyuge que pida el divorcio propondrá la persona en cuyo poder deben quedar provisionalmente los hijos</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La Jueza o Juez, tratándose de determinaciones provisionales sobre guarda, cuidado y custodia</w:t>
            </w:r>
            <w:r w:rsidRPr="006E437B">
              <w:rPr>
                <w:rFonts w:ascii="Times New Roman" w:hAnsi="Times New Roman" w:cs="Times New Roman"/>
                <w:color w:val="auto"/>
              </w:rPr>
              <w:t xml:space="preserve">, </w:t>
            </w:r>
            <w:r w:rsidRPr="006E437B">
              <w:rPr>
                <w:rFonts w:ascii="Times New Roman" w:hAnsi="Times New Roman" w:cs="Times New Roman"/>
                <w:b/>
                <w:bCs/>
                <w:color w:val="auto"/>
              </w:rPr>
              <w:t xml:space="preserve">ponderará el derecho de convivencia de la niña, niño y adolescente </w:t>
            </w:r>
            <w:r w:rsidRPr="006E437B">
              <w:rPr>
                <w:rFonts w:ascii="Times New Roman" w:hAnsi="Times New Roman" w:cs="Times New Roman"/>
                <w:b/>
                <w:bCs/>
                <w:color w:val="auto"/>
                <w:u w:val="single"/>
              </w:rPr>
              <w:t>con ambos progenitores</w:t>
            </w:r>
            <w:r w:rsidRPr="006E437B">
              <w:rPr>
                <w:rFonts w:ascii="Times New Roman" w:hAnsi="Times New Roman" w:cs="Times New Roman"/>
                <w:color w:val="auto"/>
              </w:rPr>
              <w:t xml:space="preserve">, atendiendo al principio de </w:t>
            </w:r>
            <w:r w:rsidRPr="006E437B">
              <w:rPr>
                <w:rFonts w:ascii="Times New Roman" w:hAnsi="Times New Roman" w:cs="Times New Roman"/>
                <w:b/>
                <w:bCs/>
                <w:color w:val="auto"/>
              </w:rPr>
              <w:t>interés superior</w:t>
            </w:r>
            <w:r w:rsidRPr="006E437B">
              <w:rPr>
                <w:rFonts w:ascii="Times New Roman" w:hAnsi="Times New Roman" w:cs="Times New Roman"/>
                <w:color w:val="auto"/>
              </w:rPr>
              <w:t xml:space="preserve">, tomando en consideración lo establecido en el artículo 420 Bis de este Código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vertAlign w:val="superscript"/>
        </w:rPr>
        <w:t>11</w:t>
      </w:r>
      <w:r w:rsidRPr="006E437B">
        <w:rPr>
          <w:rFonts w:ascii="Times New Roman" w:hAnsi="Times New Roman" w:cs="Times New Roman"/>
          <w:sz w:val="20"/>
          <w:szCs w:val="24"/>
        </w:rPr>
        <w:t xml:space="preserve"> Disponible en: </w:t>
      </w:r>
      <w:hyperlink r:id="rId14" w:history="1">
        <w:r w:rsidR="00FE79F4" w:rsidRPr="006E437B">
          <w:rPr>
            <w:rStyle w:val="Hipervnculo"/>
            <w:rFonts w:ascii="Times New Roman" w:hAnsi="Times New Roman" w:cs="Times New Roman"/>
            <w:color w:val="auto"/>
            <w:sz w:val="20"/>
            <w:szCs w:val="24"/>
          </w:rPr>
          <w:t>https://congresoags.gob.mx/agenda_legislativa/leyes/descargarPdf/474</w:t>
        </w:r>
      </w:hyperlink>
    </w:p>
    <w:p w:rsidR="00FE79F4" w:rsidRPr="006E437B" w:rsidRDefault="00FE79F4" w:rsidP="00FE79F4">
      <w:pPr>
        <w:autoSpaceDE w:val="0"/>
        <w:autoSpaceDN w:val="0"/>
        <w:adjustRightInd w:val="0"/>
        <w:spacing w:after="0" w:line="240" w:lineRule="auto"/>
        <w:rPr>
          <w:rFonts w:ascii="Times New Roman" w:hAnsi="Times New Roman" w:cs="Times New Roman"/>
          <w:sz w:val="20"/>
          <w:szCs w:val="12"/>
        </w:rPr>
      </w:pPr>
      <w:r w:rsidRPr="006E437B">
        <w:rPr>
          <w:rFonts w:ascii="Times New Roman" w:hAnsi="Times New Roman" w:cs="Times New Roman"/>
          <w:sz w:val="20"/>
          <w:szCs w:val="12"/>
          <w:vertAlign w:val="superscript"/>
        </w:rPr>
        <w:t>12</w:t>
      </w:r>
      <w:r w:rsidRPr="006E437B">
        <w:rPr>
          <w:rFonts w:ascii="Times New Roman" w:hAnsi="Times New Roman" w:cs="Times New Roman"/>
          <w:sz w:val="20"/>
          <w:szCs w:val="12"/>
        </w:rPr>
        <w:t xml:space="preserve"> Disponible en: </w:t>
      </w:r>
    </w:p>
    <w:p w:rsidR="00FE79F4" w:rsidRPr="006E437B" w:rsidRDefault="00FE79F4" w:rsidP="00FE79F4">
      <w:pPr>
        <w:autoSpaceDE w:val="0"/>
        <w:autoSpaceDN w:val="0"/>
        <w:adjustRightInd w:val="0"/>
        <w:spacing w:after="0" w:line="240" w:lineRule="auto"/>
        <w:rPr>
          <w:rFonts w:ascii="Times New Roman" w:hAnsi="Times New Roman" w:cs="Times New Roman"/>
          <w:sz w:val="20"/>
          <w:szCs w:val="12"/>
        </w:rPr>
      </w:pPr>
      <w:r w:rsidRPr="006E437B">
        <w:rPr>
          <w:rFonts w:ascii="Times New Roman" w:hAnsi="Times New Roman" w:cs="Times New Roman"/>
          <w:sz w:val="20"/>
          <w:szCs w:val="12"/>
        </w:rPr>
        <w:t xml:space="preserve">https://www.congresobc.gob.mx/Documentos/ProcesoParlamentario/Leyes/TOMO_III/20260130_CODCIVIL.PDF </w:t>
      </w:r>
    </w:p>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ook w:val="04A0" w:firstRow="1" w:lastRow="0" w:firstColumn="1" w:lastColumn="0" w:noHBand="0" w:noVBand="1"/>
      </w:tblPr>
      <w:tblGrid>
        <w:gridCol w:w="704"/>
        <w:gridCol w:w="2552"/>
        <w:gridCol w:w="6139"/>
      </w:tblGrid>
      <w:tr w:rsidR="00470AD7" w:rsidRPr="006E437B" w:rsidTr="00470AD7">
        <w:trPr>
          <w:jc w:val="center"/>
        </w:trPr>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rPr>
          <w:jc w:val="center"/>
        </w:trPr>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552"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6139"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rPr>
          <w:jc w:val="center"/>
        </w:trPr>
        <w:tc>
          <w:tcPr>
            <w:tcW w:w="704" w:type="dxa"/>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3</w:t>
            </w:r>
          </w:p>
        </w:tc>
        <w:tc>
          <w:tcPr>
            <w:tcW w:w="2552"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262 y artículo 305 F </w:t>
            </w:r>
            <w:r w:rsidRPr="006E437B">
              <w:rPr>
                <w:rFonts w:ascii="Times New Roman" w:hAnsi="Times New Roman" w:cs="Times New Roman"/>
                <w:color w:val="auto"/>
              </w:rPr>
              <w:t>del Código Civil para el Estado Libre y Soberano de Baja California Sur</w:t>
            </w:r>
            <w:r w:rsidRPr="006E437B">
              <w:rPr>
                <w:rFonts w:ascii="Times New Roman" w:hAnsi="Times New Roman" w:cs="Times New Roman"/>
                <w:color w:val="auto"/>
                <w:vertAlign w:val="superscript"/>
              </w:rPr>
              <w:t>13</w:t>
            </w:r>
          </w:p>
          <w:p w:rsidR="00470AD7" w:rsidRPr="006E437B" w:rsidRDefault="00470AD7" w:rsidP="00141629">
            <w:pPr>
              <w:pStyle w:val="Sinespaciado"/>
              <w:jc w:val="both"/>
              <w:rPr>
                <w:rFonts w:ascii="Times New Roman" w:eastAsia="Arial" w:hAnsi="Times New Roman" w:cs="Times New Roman"/>
                <w:b/>
                <w:sz w:val="24"/>
                <w:szCs w:val="24"/>
              </w:rPr>
            </w:pPr>
          </w:p>
        </w:tc>
        <w:tc>
          <w:tcPr>
            <w:tcW w:w="6139"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Casos de nulidad de matrimonio </w:t>
            </w:r>
          </w:p>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Salvo casos excepcionales de enfermedades transmisibles, corrupción o maltrato de los hijos, </w:t>
            </w:r>
            <w:r w:rsidRPr="006E437B">
              <w:rPr>
                <w:rFonts w:ascii="Times New Roman" w:hAnsi="Times New Roman" w:cs="Times New Roman"/>
                <w:b/>
                <w:bCs/>
                <w:color w:val="auto"/>
              </w:rPr>
              <w:t>la madre conservará su custodia hasta los siete años</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Divorcio unilateral sin casusa </w:t>
            </w: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caso de oposición, </w:t>
            </w:r>
            <w:r w:rsidRPr="006E437B">
              <w:rPr>
                <w:rFonts w:ascii="Times New Roman" w:hAnsi="Times New Roman" w:cs="Times New Roman"/>
                <w:b/>
                <w:bCs/>
                <w:color w:val="auto"/>
              </w:rPr>
              <w:t>el Juez, oyendo al Ministerio Público, resolverá provisionalmente lo que más convenga a los hijos</w:t>
            </w:r>
            <w:r w:rsidRPr="006E437B">
              <w:rPr>
                <w:rFonts w:ascii="Times New Roman" w:hAnsi="Times New Roman" w:cs="Times New Roman"/>
                <w:color w:val="auto"/>
              </w:rPr>
              <w:t xml:space="preserve">, quienes tendrán derecho a ser oídos según su capacidad de comprensión. En todo caso, </w:t>
            </w:r>
            <w:r w:rsidRPr="006E437B">
              <w:rPr>
                <w:rFonts w:ascii="Times New Roman" w:hAnsi="Times New Roman" w:cs="Times New Roman"/>
                <w:b/>
                <w:bCs/>
                <w:color w:val="auto"/>
              </w:rPr>
              <w:t>los hijos menores a siete años quedarán en custodia de la madre</w:t>
            </w:r>
            <w:r w:rsidRPr="006E437B">
              <w:rPr>
                <w:rFonts w:ascii="Times New Roman" w:hAnsi="Times New Roman" w:cs="Times New Roman"/>
                <w:color w:val="auto"/>
              </w:rPr>
              <w:t xml:space="preserve">, a menos que se pruebe que esta medida es inconveniente para su salud física y mental </w:t>
            </w:r>
          </w:p>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El derecho preferente de </w:t>
            </w:r>
            <w:r w:rsidRPr="006E437B">
              <w:rPr>
                <w:rFonts w:ascii="Times New Roman" w:hAnsi="Times New Roman" w:cs="Times New Roman"/>
                <w:b/>
                <w:bCs/>
                <w:sz w:val="24"/>
                <w:szCs w:val="24"/>
              </w:rPr>
              <w:t>la madre a la custodia de sus hijos menores de siete años</w:t>
            </w:r>
            <w:r w:rsidRPr="006E437B">
              <w:rPr>
                <w:rFonts w:ascii="Times New Roman" w:hAnsi="Times New Roman" w:cs="Times New Roman"/>
                <w:sz w:val="24"/>
                <w:szCs w:val="24"/>
              </w:rPr>
              <w:t>, no está condicionada a la capacidad económica de ésta</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rPr>
          <w:jc w:val="center"/>
        </w:trPr>
        <w:tc>
          <w:tcPr>
            <w:tcW w:w="704" w:type="dxa"/>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4</w:t>
            </w:r>
          </w:p>
        </w:tc>
        <w:tc>
          <w:tcPr>
            <w:tcW w:w="2552"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298 fracción V </w:t>
            </w:r>
            <w:r w:rsidRPr="006E437B">
              <w:rPr>
                <w:rFonts w:ascii="Times New Roman" w:hAnsi="Times New Roman" w:cs="Times New Roman"/>
                <w:color w:val="auto"/>
              </w:rPr>
              <w:t>Código Civil del Estado de Campeche</w:t>
            </w:r>
            <w:r w:rsidRPr="006E437B">
              <w:rPr>
                <w:rFonts w:ascii="Times New Roman" w:hAnsi="Times New Roman" w:cs="Times New Roman"/>
                <w:color w:val="auto"/>
                <w:vertAlign w:val="superscript"/>
              </w:rPr>
              <w:t>14</w:t>
            </w:r>
            <w:r w:rsidRPr="006E437B">
              <w:rPr>
                <w:rFonts w:ascii="Times New Roman" w:hAnsi="Times New Roman" w:cs="Times New Roman"/>
                <w:color w:val="auto"/>
              </w:rPr>
              <w:t xml:space="preserve"> </w:t>
            </w:r>
          </w:p>
        </w:tc>
        <w:tc>
          <w:tcPr>
            <w:tcW w:w="6139" w:type="dxa"/>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Al admitirse la solicitud de divorcio sin expresión de causa, o antes, si hubiere urgencia, se dictarán las medidas siguientes: </w:t>
            </w:r>
            <w:r w:rsidRPr="006E437B">
              <w:rPr>
                <w:rFonts w:ascii="Times New Roman" w:hAnsi="Times New Roman" w:cs="Times New Roman"/>
                <w:b/>
                <w:bCs/>
                <w:color w:val="auto"/>
              </w:rPr>
              <w:t>Poner a los hijos al cuidado de la persona que de común acuerdo hubieren designado los cónyuges, pudiendo ser uno de éstos</w:t>
            </w:r>
            <w:r w:rsidRPr="006E437B">
              <w:rPr>
                <w:rFonts w:ascii="Times New Roman" w:hAnsi="Times New Roman" w:cs="Times New Roman"/>
                <w:color w:val="auto"/>
              </w:rPr>
              <w:t xml:space="preserve">. En defecto de ese acuerdo, el cónyuge que pida el divorcio, propondrá la persona en cuyo poder deben quedar provisionalmente los hijos. </w:t>
            </w:r>
            <w:r w:rsidRPr="006E437B">
              <w:rPr>
                <w:rFonts w:ascii="Times New Roman" w:hAnsi="Times New Roman" w:cs="Times New Roman"/>
                <w:b/>
                <w:bCs/>
                <w:color w:val="auto"/>
              </w:rPr>
              <w:t xml:space="preserve">El juez, previo el procedimiento que fije el Código respectivo, resolverá lo conveniente, </w:t>
            </w:r>
            <w:r w:rsidRPr="006E437B">
              <w:rPr>
                <w:rFonts w:ascii="Times New Roman" w:hAnsi="Times New Roman" w:cs="Times New Roman"/>
                <w:b/>
                <w:bCs/>
                <w:color w:val="auto"/>
                <w:u w:val="single"/>
              </w:rPr>
              <w:t>tomando en cuenta la opinión de las y los menores de edad</w:t>
            </w:r>
            <w:r w:rsidRPr="006E437B">
              <w:rPr>
                <w:rFonts w:ascii="Times New Roman" w:hAnsi="Times New Roman" w:cs="Times New Roman"/>
                <w:b/>
                <w:bCs/>
                <w:color w:val="auto"/>
              </w:rPr>
              <w:t xml:space="preserve">. No será obstáculo para la preferencia maternal en la custodia, el hecho de que la madre carezca de recursos económicos </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jc w:val="center"/>
        </w:trPr>
        <w:tc>
          <w:tcPr>
            <w:tcW w:w="704" w:type="dxa"/>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5</w:t>
            </w:r>
          </w:p>
        </w:tc>
        <w:tc>
          <w:tcPr>
            <w:tcW w:w="2552" w:type="dxa"/>
          </w:tcPr>
          <w:p w:rsidR="00470AD7" w:rsidRPr="006E437B" w:rsidRDefault="00470AD7" w:rsidP="00141629">
            <w:pPr>
              <w:pStyle w:val="Default"/>
              <w:jc w:val="both"/>
              <w:rPr>
                <w:rFonts w:ascii="Times New Roman" w:hAnsi="Times New Roman" w:cs="Times New Roman"/>
                <w:color w:val="auto"/>
                <w:vertAlign w:val="superscript"/>
              </w:rPr>
            </w:pPr>
            <w:r w:rsidRPr="006E437B">
              <w:rPr>
                <w:rFonts w:ascii="Times New Roman" w:hAnsi="Times New Roman" w:cs="Times New Roman"/>
                <w:b/>
                <w:bCs/>
                <w:color w:val="auto"/>
              </w:rPr>
              <w:t xml:space="preserve">Artículo 439, fracción II inciso b) </w:t>
            </w:r>
            <w:r w:rsidRPr="006E437B">
              <w:rPr>
                <w:rFonts w:ascii="Times New Roman" w:hAnsi="Times New Roman" w:cs="Times New Roman"/>
                <w:color w:val="auto"/>
              </w:rPr>
              <w:t>de la Ley para la familia de Coahuila de Zaragoza</w:t>
            </w:r>
            <w:r w:rsidRPr="006E437B">
              <w:rPr>
                <w:rFonts w:ascii="Times New Roman" w:hAnsi="Times New Roman" w:cs="Times New Roman"/>
                <w:color w:val="auto"/>
                <w:vertAlign w:val="superscript"/>
              </w:rPr>
              <w:t>15</w:t>
            </w:r>
          </w:p>
          <w:p w:rsidR="00470AD7" w:rsidRPr="006E437B" w:rsidRDefault="00470AD7" w:rsidP="00141629">
            <w:pPr>
              <w:pStyle w:val="Default"/>
              <w:jc w:val="both"/>
              <w:rPr>
                <w:rFonts w:ascii="Times New Roman" w:hAnsi="Times New Roman" w:cs="Times New Roman"/>
                <w:color w:val="auto"/>
              </w:rPr>
            </w:pPr>
          </w:p>
        </w:tc>
        <w:tc>
          <w:tcPr>
            <w:tcW w:w="6139"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 </w:t>
            </w:r>
            <w:r w:rsidRPr="006E437B">
              <w:rPr>
                <w:rFonts w:ascii="Times New Roman" w:hAnsi="Times New Roman" w:cs="Times New Roman"/>
                <w:b/>
                <w:bCs/>
                <w:color w:val="auto"/>
              </w:rPr>
              <w:t xml:space="preserve">autoridad judicial decidirá quién deba hacerse cargo de la guarda de las niñas o niños </w:t>
            </w:r>
            <w:r w:rsidRPr="006E437B">
              <w:rPr>
                <w:rFonts w:ascii="Times New Roman" w:hAnsi="Times New Roman" w:cs="Times New Roman"/>
                <w:b/>
                <w:bCs/>
                <w:color w:val="auto"/>
                <w:u w:val="single"/>
              </w:rPr>
              <w:t xml:space="preserve">mayores de siete años, </w:t>
            </w:r>
            <w:r w:rsidRPr="006E437B">
              <w:rPr>
                <w:rFonts w:ascii="Times New Roman" w:hAnsi="Times New Roman" w:cs="Times New Roman"/>
                <w:b/>
                <w:bCs/>
                <w:color w:val="auto"/>
              </w:rPr>
              <w:t>pero</w:t>
            </w:r>
            <w:r w:rsidRPr="006E437B">
              <w:rPr>
                <w:rFonts w:ascii="Times New Roman" w:hAnsi="Times New Roman" w:cs="Times New Roman"/>
                <w:b/>
                <w:bCs/>
                <w:color w:val="auto"/>
                <w:u w:val="single"/>
              </w:rPr>
              <w:t xml:space="preserve"> menores de doce</w:t>
            </w:r>
            <w:r w:rsidRPr="006E437B">
              <w:rPr>
                <w:rFonts w:ascii="Times New Roman" w:hAnsi="Times New Roman" w:cs="Times New Roman"/>
                <w:b/>
                <w:bCs/>
                <w:color w:val="auto"/>
              </w:rPr>
              <w:t xml:space="preserve"> </w:t>
            </w:r>
          </w:p>
          <w:p w:rsidR="00470AD7" w:rsidRPr="006E437B" w:rsidRDefault="00470AD7" w:rsidP="00141629">
            <w:pPr>
              <w:pStyle w:val="Default"/>
              <w:jc w:val="both"/>
              <w:rPr>
                <w:rFonts w:ascii="Times New Roman" w:hAnsi="Times New Roman" w:cs="Times New Roman"/>
                <w:color w:val="auto"/>
              </w:rPr>
            </w:pPr>
          </w:p>
        </w:tc>
      </w:tr>
      <w:tr w:rsidR="00470AD7" w:rsidRPr="006E437B" w:rsidTr="00470AD7">
        <w:trPr>
          <w:jc w:val="center"/>
        </w:trPr>
        <w:tc>
          <w:tcPr>
            <w:tcW w:w="704" w:type="dxa"/>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6</w:t>
            </w:r>
          </w:p>
        </w:tc>
        <w:tc>
          <w:tcPr>
            <w:tcW w:w="2552"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268, fracción VI del </w:t>
            </w:r>
            <w:r w:rsidRPr="006E437B">
              <w:rPr>
                <w:rFonts w:ascii="Times New Roman" w:hAnsi="Times New Roman" w:cs="Times New Roman"/>
                <w:color w:val="auto"/>
              </w:rPr>
              <w:t>Código Civil para el Estado de Colima</w:t>
            </w:r>
            <w:r w:rsidRPr="006E437B">
              <w:rPr>
                <w:rFonts w:ascii="Times New Roman" w:hAnsi="Times New Roman" w:cs="Times New Roman"/>
                <w:color w:val="auto"/>
                <w:vertAlign w:val="superscript"/>
              </w:rPr>
              <w:t>16</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hAnsi="Times New Roman" w:cs="Times New Roman"/>
                <w:b/>
                <w:bCs/>
                <w:color w:val="auto"/>
              </w:rPr>
            </w:pPr>
          </w:p>
        </w:tc>
        <w:tc>
          <w:tcPr>
            <w:tcW w:w="6139"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Las </w:t>
            </w:r>
            <w:r w:rsidRPr="006E437B">
              <w:rPr>
                <w:rFonts w:ascii="Times New Roman" w:hAnsi="Times New Roman" w:cs="Times New Roman"/>
                <w:b/>
                <w:bCs/>
                <w:color w:val="auto"/>
              </w:rPr>
              <w:t>niñas y niños menores de siete años deberán quedar preferentemente al cuidado de quien garantice su interés superior</w:t>
            </w:r>
          </w:p>
          <w:p w:rsidR="00470AD7" w:rsidRPr="006E437B" w:rsidRDefault="00470AD7" w:rsidP="00141629">
            <w:pPr>
              <w:pStyle w:val="Default"/>
              <w:jc w:val="both"/>
              <w:rPr>
                <w:rFonts w:ascii="Times New Roman" w:hAnsi="Times New Roman" w:cs="Times New Roman"/>
                <w:color w:val="auto"/>
              </w:rPr>
            </w:pPr>
          </w:p>
        </w:tc>
      </w:tr>
      <w:tr w:rsidR="00470AD7" w:rsidRPr="006E437B" w:rsidTr="00470AD7">
        <w:trPr>
          <w:jc w:val="center"/>
        </w:trPr>
        <w:tc>
          <w:tcPr>
            <w:tcW w:w="704" w:type="dxa"/>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7</w:t>
            </w:r>
          </w:p>
        </w:tc>
        <w:tc>
          <w:tcPr>
            <w:tcW w:w="2552"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255 y artículo 256 </w:t>
            </w:r>
            <w:r w:rsidRPr="006E437B">
              <w:rPr>
                <w:rFonts w:ascii="Times New Roman" w:hAnsi="Times New Roman" w:cs="Times New Roman"/>
                <w:color w:val="auto"/>
              </w:rPr>
              <w:t>del Código Civil para el Estado de Chiapas</w:t>
            </w:r>
            <w:r w:rsidRPr="006E437B">
              <w:rPr>
                <w:rFonts w:ascii="Times New Roman" w:hAnsi="Times New Roman" w:cs="Times New Roman"/>
                <w:color w:val="auto"/>
                <w:vertAlign w:val="superscript"/>
              </w:rPr>
              <w:t>17</w:t>
            </w:r>
          </w:p>
          <w:p w:rsidR="00470AD7" w:rsidRPr="006E437B" w:rsidRDefault="00470AD7" w:rsidP="00141629">
            <w:pPr>
              <w:pStyle w:val="Default"/>
              <w:jc w:val="both"/>
              <w:rPr>
                <w:rFonts w:ascii="Times New Roman" w:hAnsi="Times New Roman" w:cs="Times New Roman"/>
                <w:b/>
                <w:bCs/>
                <w:color w:val="auto"/>
              </w:rPr>
            </w:pPr>
          </w:p>
        </w:tc>
        <w:tc>
          <w:tcPr>
            <w:tcW w:w="6139" w:type="dxa"/>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Luego que la sentencia sobre nulidad cause ejecutoria, </w:t>
            </w:r>
            <w:r w:rsidRPr="006E437B">
              <w:rPr>
                <w:rFonts w:ascii="Times New Roman" w:hAnsi="Times New Roman" w:cs="Times New Roman"/>
                <w:b/>
                <w:bCs/>
                <w:color w:val="auto"/>
              </w:rPr>
              <w:t xml:space="preserve">el padre y la madre propondrán la forma y términos del cuidado y la custodia de los hijos mayores de siete años de edad </w:t>
            </w:r>
            <w:r w:rsidRPr="006E437B">
              <w:rPr>
                <w:rFonts w:ascii="Times New Roman" w:hAnsi="Times New Roman" w:cs="Times New Roman"/>
                <w:color w:val="auto"/>
              </w:rPr>
              <w:t>y, en caso de desavenencia, el juez resolverá a su criterio de acuerdo con las circunstancias del caso</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Tratándose de </w:t>
            </w:r>
            <w:r w:rsidRPr="006E437B">
              <w:rPr>
                <w:rFonts w:ascii="Times New Roman" w:hAnsi="Times New Roman" w:cs="Times New Roman"/>
                <w:b/>
                <w:bCs/>
                <w:color w:val="auto"/>
              </w:rPr>
              <w:t>hijos cuya edad sea inferior a siete años</w:t>
            </w:r>
            <w:r w:rsidRPr="006E437B">
              <w:rPr>
                <w:rFonts w:ascii="Times New Roman" w:hAnsi="Times New Roman" w:cs="Times New Roman"/>
                <w:color w:val="auto"/>
              </w:rPr>
              <w:t xml:space="preserve">, aun en los casos de divorcio o de otras acciones, </w:t>
            </w:r>
            <w:r w:rsidRPr="006E437B">
              <w:rPr>
                <w:rFonts w:ascii="Times New Roman" w:hAnsi="Times New Roman" w:cs="Times New Roman"/>
                <w:b/>
                <w:bCs/>
                <w:color w:val="auto"/>
              </w:rPr>
              <w:t>se mantendrán al cuidado de la madre</w:t>
            </w:r>
            <w:r w:rsidRPr="006E437B">
              <w:rPr>
                <w:rFonts w:ascii="Times New Roman" w:hAnsi="Times New Roman" w:cs="Times New Roman"/>
                <w:color w:val="auto"/>
              </w:rPr>
              <w:t xml:space="preserve">, salvo pacto en contrario o </w:t>
            </w:r>
            <w:r w:rsidRPr="006E437B">
              <w:rPr>
                <w:rFonts w:ascii="Times New Roman" w:hAnsi="Times New Roman" w:cs="Times New Roman"/>
                <w:b/>
                <w:bCs/>
                <w:color w:val="auto"/>
              </w:rPr>
              <w:t xml:space="preserve">peligro para el normal desarrollo de los hijos; </w:t>
            </w:r>
            <w:r w:rsidRPr="006E437B">
              <w:rPr>
                <w:rFonts w:ascii="Times New Roman" w:hAnsi="Times New Roman" w:cs="Times New Roman"/>
                <w:b/>
                <w:bCs/>
                <w:color w:val="auto"/>
                <w:u w:val="single"/>
              </w:rPr>
              <w:t>deberá tomar en cuenta la opinión de la niña o niño</w:t>
            </w:r>
            <w:r w:rsidRPr="006E437B">
              <w:rPr>
                <w:rFonts w:ascii="Times New Roman" w:hAnsi="Times New Roman" w:cs="Times New Roman"/>
                <w:b/>
                <w:bCs/>
                <w:color w:val="auto"/>
              </w:rPr>
              <w:t xml:space="preserve"> que estén en condiciones de formarse un juicio propio</w:t>
            </w:r>
            <w:r w:rsidRPr="006E437B">
              <w:rPr>
                <w:rFonts w:ascii="Times New Roman" w:hAnsi="Times New Roman" w:cs="Times New Roman"/>
                <w:color w:val="auto"/>
              </w:rPr>
              <w:t xml:space="preserve">, prevaleciendo en todo momento el </w:t>
            </w:r>
            <w:r w:rsidRPr="006E437B">
              <w:rPr>
                <w:rFonts w:ascii="Times New Roman" w:hAnsi="Times New Roman" w:cs="Times New Roman"/>
                <w:b/>
                <w:bCs/>
                <w:color w:val="auto"/>
              </w:rPr>
              <w:t xml:space="preserve">interés superior del niño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p w:rsidR="009803AA" w:rsidRPr="006E437B" w:rsidRDefault="009803AA" w:rsidP="009803AA">
      <w:pPr>
        <w:pStyle w:val="Sinespaciado"/>
        <w:jc w:val="both"/>
        <w:rPr>
          <w:rFonts w:ascii="Times New Roman" w:hAnsi="Times New Roman" w:cs="Times New Roman"/>
          <w:sz w:val="20"/>
          <w:szCs w:val="20"/>
        </w:rPr>
      </w:pPr>
      <w:r w:rsidRPr="006E437B">
        <w:rPr>
          <w:rFonts w:ascii="Times New Roman" w:hAnsi="Times New Roman" w:cs="Times New Roman"/>
          <w:sz w:val="20"/>
          <w:szCs w:val="20"/>
          <w:vertAlign w:val="superscript"/>
        </w:rPr>
        <w:t>13</w:t>
      </w:r>
      <w:r w:rsidRPr="006E437B">
        <w:rPr>
          <w:rFonts w:ascii="Times New Roman" w:hAnsi="Times New Roman" w:cs="Times New Roman"/>
          <w:sz w:val="20"/>
          <w:szCs w:val="20"/>
        </w:rPr>
        <w:t xml:space="preserve"> Disponible en: https://www.cbcs.gob.mx/index.php/cmply/1485-codigo-civil-bcs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14</w:t>
      </w:r>
      <w:r w:rsidRPr="006E437B">
        <w:rPr>
          <w:rFonts w:ascii="Times New Roman" w:hAnsi="Times New Roman" w:cs="Times New Roman"/>
          <w:color w:val="auto"/>
          <w:sz w:val="20"/>
          <w:szCs w:val="20"/>
        </w:rPr>
        <w:t xml:space="preserve"> Disponible en: https://www.consejeria.campeche.gob.mx/pagina/LEXIUSCAMPECHE/docs/codigos/900001.pdf</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15</w:t>
      </w:r>
      <w:r w:rsidRPr="006E437B">
        <w:rPr>
          <w:rFonts w:ascii="Times New Roman" w:hAnsi="Times New Roman" w:cs="Times New Roman"/>
          <w:color w:val="auto"/>
          <w:sz w:val="20"/>
          <w:szCs w:val="20"/>
        </w:rPr>
        <w:t xml:space="preserve"> Disponible en: https://www.congresocoahuila.gob.mx/transparencia/03/Leyes_Coahuila/coa233.pdf</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16</w:t>
      </w:r>
      <w:r w:rsidRPr="006E437B">
        <w:rPr>
          <w:rFonts w:ascii="Times New Roman" w:hAnsi="Times New Roman" w:cs="Times New Roman"/>
          <w:color w:val="auto"/>
          <w:sz w:val="20"/>
          <w:szCs w:val="20"/>
        </w:rPr>
        <w:t xml:space="preserve"> Disponible en: </w:t>
      </w:r>
      <w:hyperlink r:id="rId15" w:history="1">
        <w:r w:rsidR="00292C66" w:rsidRPr="006E437B">
          <w:rPr>
            <w:rStyle w:val="Hipervnculo"/>
            <w:rFonts w:ascii="Times New Roman" w:hAnsi="Times New Roman" w:cs="Times New Roman"/>
            <w:color w:val="auto"/>
            <w:sz w:val="20"/>
            <w:szCs w:val="20"/>
          </w:rPr>
          <w:t>https://congresocol.gob.mx/web/www/leyes/index.php</w:t>
        </w:r>
      </w:hyperlink>
    </w:p>
    <w:p w:rsidR="00292C66" w:rsidRPr="006E437B" w:rsidRDefault="00292C66" w:rsidP="00292C66">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17</w:t>
      </w:r>
      <w:r w:rsidRPr="006E437B">
        <w:rPr>
          <w:rFonts w:ascii="Times New Roman" w:hAnsi="Times New Roman" w:cs="Times New Roman"/>
          <w:color w:val="auto"/>
          <w:sz w:val="20"/>
          <w:szCs w:val="20"/>
        </w:rPr>
        <w:t xml:space="preserve"> Disponible en: https://www.congresochiapas.gob.mx/new/Info-Parlamentaria/LEY_0003.pdf?v=MjM=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8</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247 </w:t>
            </w:r>
            <w:r w:rsidRPr="006E437B">
              <w:rPr>
                <w:rFonts w:ascii="Times New Roman" w:hAnsi="Times New Roman" w:cs="Times New Roman"/>
                <w:color w:val="auto"/>
              </w:rPr>
              <w:t>del Código Civil del Estado de Chihuahua</w:t>
            </w:r>
            <w:r w:rsidRPr="006E437B">
              <w:rPr>
                <w:rFonts w:ascii="Times New Roman" w:hAnsi="Times New Roman" w:cs="Times New Roman"/>
                <w:color w:val="auto"/>
                <w:vertAlign w:val="superscript"/>
              </w:rPr>
              <w:t>18</w:t>
            </w:r>
            <w:r w:rsidRPr="006E437B">
              <w:rPr>
                <w:rFonts w:ascii="Times New Roman" w:hAnsi="Times New Roman" w:cs="Times New Roman"/>
                <w:color w:val="auto"/>
              </w:rPr>
              <w:t xml:space="preserve"> </w:t>
            </w:r>
          </w:p>
          <w:p w:rsidR="00470AD7" w:rsidRPr="006E437B" w:rsidRDefault="00470AD7" w:rsidP="00141629">
            <w:pPr>
              <w:pStyle w:val="Sinespaciado"/>
              <w:jc w:val="center"/>
              <w:rPr>
                <w:rFonts w:ascii="Times New Roman" w:eastAsia="Arial" w:hAnsi="Times New Roman" w:cs="Times New Roman"/>
                <w:b/>
                <w:sz w:val="24"/>
                <w:szCs w:val="24"/>
              </w:rPr>
            </w:pP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Al causar ejecutoria la sentencia sobre nulidad, </w:t>
            </w:r>
            <w:r w:rsidRPr="006E437B">
              <w:rPr>
                <w:rFonts w:ascii="Times New Roman" w:hAnsi="Times New Roman" w:cs="Times New Roman"/>
                <w:b/>
                <w:bCs/>
                <w:color w:val="auto"/>
              </w:rPr>
              <w:t xml:space="preserve">la autoridad competente </w:t>
            </w:r>
            <w:r w:rsidRPr="006E437B">
              <w:rPr>
                <w:rFonts w:ascii="Times New Roman" w:hAnsi="Times New Roman" w:cs="Times New Roman"/>
                <w:b/>
                <w:bCs/>
                <w:color w:val="auto"/>
                <w:u w:val="single"/>
              </w:rPr>
              <w:t>resolverá la situación de los menores de edad</w:t>
            </w:r>
            <w:r w:rsidRPr="006E437B">
              <w:rPr>
                <w:rFonts w:ascii="Times New Roman" w:hAnsi="Times New Roman" w:cs="Times New Roman"/>
                <w:b/>
                <w:bCs/>
                <w:color w:val="auto"/>
              </w:rPr>
              <w:t xml:space="preserve">, preferentemente </w:t>
            </w:r>
            <w:r w:rsidRPr="006E437B">
              <w:rPr>
                <w:rFonts w:ascii="Times New Roman" w:hAnsi="Times New Roman" w:cs="Times New Roman"/>
                <w:b/>
                <w:bCs/>
                <w:color w:val="auto"/>
                <w:u w:val="single"/>
              </w:rPr>
              <w:t>atendiendo al</w:t>
            </w:r>
            <w:r w:rsidRPr="006E437B">
              <w:rPr>
                <w:rFonts w:ascii="Times New Roman" w:hAnsi="Times New Roman" w:cs="Times New Roman"/>
                <w:b/>
                <w:bCs/>
                <w:color w:val="auto"/>
              </w:rPr>
              <w:t xml:space="preserve"> interés superior del menor</w:t>
            </w:r>
            <w:r w:rsidRPr="006E437B">
              <w:rPr>
                <w:rFonts w:ascii="Times New Roman" w:hAnsi="Times New Roman" w:cs="Times New Roman"/>
                <w:color w:val="auto"/>
              </w:rPr>
              <w:t xml:space="preserve">, con el siguiente orden: </w:t>
            </w:r>
            <w:r w:rsidRPr="006E437B">
              <w:rPr>
                <w:rFonts w:ascii="Times New Roman" w:hAnsi="Times New Roman" w:cs="Times New Roman"/>
                <w:b/>
                <w:bCs/>
                <w:color w:val="auto"/>
              </w:rPr>
              <w:t>los hijos e hijas menores de siete años, quedarán bajo la guarda y custodia de la madre</w:t>
            </w:r>
            <w:r w:rsidRPr="006E437B">
              <w:rPr>
                <w:rFonts w:ascii="Times New Roman" w:hAnsi="Times New Roman" w:cs="Times New Roman"/>
                <w:color w:val="auto"/>
              </w:rPr>
              <w:t xml:space="preserve">. </w:t>
            </w:r>
            <w:r w:rsidRPr="006E437B">
              <w:rPr>
                <w:rFonts w:ascii="Times New Roman" w:hAnsi="Times New Roman" w:cs="Times New Roman"/>
                <w:b/>
                <w:bCs/>
                <w:color w:val="auto"/>
              </w:rPr>
              <w:t xml:space="preserve">Pasada esta edad y hasta la mayoría de edad, </w:t>
            </w:r>
            <w:r w:rsidRPr="006E437B">
              <w:rPr>
                <w:rFonts w:ascii="Times New Roman" w:hAnsi="Times New Roman" w:cs="Times New Roman"/>
                <w:b/>
                <w:bCs/>
                <w:color w:val="auto"/>
                <w:u w:val="single"/>
              </w:rPr>
              <w:t>podrán quedarse con el padre o la madre</w:t>
            </w:r>
            <w:r w:rsidRPr="006E437B">
              <w:rPr>
                <w:rFonts w:ascii="Times New Roman" w:hAnsi="Times New Roman" w:cs="Times New Roman"/>
                <w:b/>
                <w:bCs/>
                <w:color w:val="auto"/>
              </w:rPr>
              <w:t>, si de parte de ambos cónyuges hubiera habido buena fe</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b/>
                <w:bCs/>
                <w:sz w:val="24"/>
                <w:szCs w:val="24"/>
              </w:rPr>
            </w:pPr>
            <w:r w:rsidRPr="006E437B">
              <w:rPr>
                <w:rFonts w:ascii="Times New Roman" w:hAnsi="Times New Roman" w:cs="Times New Roman"/>
                <w:b/>
                <w:bCs/>
                <w:sz w:val="24"/>
                <w:szCs w:val="24"/>
              </w:rPr>
              <w:t xml:space="preserve">Cuando los hijos tengan una edad de 14 años o más, cualquiera que sea su sexo, </w:t>
            </w:r>
            <w:r w:rsidRPr="006E437B">
              <w:rPr>
                <w:rFonts w:ascii="Times New Roman" w:hAnsi="Times New Roman" w:cs="Times New Roman"/>
                <w:b/>
                <w:bCs/>
                <w:sz w:val="24"/>
                <w:szCs w:val="24"/>
                <w:u w:val="single"/>
              </w:rPr>
              <w:t>decidirán su situación por su propia voluntad ante la autoridad judicial</w:t>
            </w:r>
          </w:p>
          <w:p w:rsidR="00470AD7" w:rsidRPr="006E437B" w:rsidRDefault="00470AD7" w:rsidP="00141629">
            <w:pPr>
              <w:pStyle w:val="Sinespaciado"/>
              <w:jc w:val="both"/>
              <w:rPr>
                <w:rFonts w:ascii="Times New Roman" w:eastAsia="Arial" w:hAnsi="Times New Roman" w:cs="Times New Roman"/>
                <w:b/>
                <w:sz w:val="24"/>
                <w:szCs w:val="24"/>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E24DC6">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18</w:t>
      </w:r>
      <w:r w:rsidRPr="006E437B">
        <w:rPr>
          <w:rFonts w:ascii="Times New Roman" w:hAnsi="Times New Roman" w:cs="Times New Roman"/>
          <w:color w:val="auto"/>
          <w:sz w:val="20"/>
          <w:szCs w:val="20"/>
        </w:rPr>
        <w:t xml:space="preserve"> Disponible en: https://www.congresochihuahua2.gob.mx/biblioteca/codigos/archivosCodigos/13.pdf</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9</w:t>
            </w:r>
          </w:p>
        </w:tc>
        <w:tc>
          <w:tcPr>
            <w:tcW w:w="2693" w:type="dxa"/>
            <w:shd w:val="clear" w:color="auto" w:fill="auto"/>
          </w:tcPr>
          <w:p w:rsidR="00470AD7" w:rsidRPr="006E437B" w:rsidRDefault="00470AD7" w:rsidP="00141629">
            <w:pPr>
              <w:pStyle w:val="Default"/>
              <w:jc w:val="both"/>
              <w:rPr>
                <w:rFonts w:ascii="Times New Roman" w:eastAsia="Arial" w:hAnsi="Times New Roman" w:cs="Times New Roman"/>
                <w:b/>
                <w:color w:val="auto"/>
              </w:rPr>
            </w:pPr>
            <w:r w:rsidRPr="006E437B">
              <w:rPr>
                <w:rFonts w:ascii="Times New Roman" w:hAnsi="Times New Roman" w:cs="Times New Roman"/>
                <w:b/>
                <w:bCs/>
                <w:color w:val="auto"/>
              </w:rPr>
              <w:t xml:space="preserve">Artículo 282 apartado B, fracción II </w:t>
            </w:r>
            <w:r w:rsidRPr="006E437B">
              <w:rPr>
                <w:rFonts w:ascii="Times New Roman" w:hAnsi="Times New Roman" w:cs="Times New Roman"/>
                <w:color w:val="auto"/>
              </w:rPr>
              <w:t>del Código Civil para el Distrito Federal</w:t>
            </w:r>
            <w:r w:rsidRPr="006E437B">
              <w:rPr>
                <w:rFonts w:ascii="Times New Roman" w:hAnsi="Times New Roman" w:cs="Times New Roman"/>
                <w:color w:val="auto"/>
                <w:vertAlign w:val="superscript"/>
              </w:rPr>
              <w:t>19</w:t>
            </w:r>
            <w:r w:rsidRPr="006E437B">
              <w:rPr>
                <w:rFonts w:ascii="Times New Roman" w:hAnsi="Times New Roman" w:cs="Times New Roman"/>
                <w:color w:val="auto"/>
              </w:rPr>
              <w:t xml:space="preserve"> </w:t>
            </w: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el caso de que existan </w:t>
            </w:r>
            <w:r w:rsidRPr="006E437B">
              <w:rPr>
                <w:rFonts w:ascii="Times New Roman" w:hAnsi="Times New Roman" w:cs="Times New Roman"/>
                <w:b/>
                <w:bCs/>
                <w:color w:val="auto"/>
              </w:rPr>
              <w:t xml:space="preserve">menores de doce años, la Jueza o Juez de lo Familiar determinará, atendiendo a las circunstancias concretas del caso específico, garantizando las </w:t>
            </w:r>
            <w:r w:rsidRPr="006E437B">
              <w:rPr>
                <w:rFonts w:ascii="Times New Roman" w:hAnsi="Times New Roman" w:cs="Times New Roman"/>
                <w:b/>
                <w:bCs/>
                <w:color w:val="auto"/>
                <w:u w:val="single"/>
              </w:rPr>
              <w:t>mejores condiciones</w:t>
            </w:r>
            <w:r w:rsidRPr="006E437B">
              <w:rPr>
                <w:rFonts w:ascii="Times New Roman" w:hAnsi="Times New Roman" w:cs="Times New Roman"/>
                <w:b/>
                <w:bCs/>
                <w:color w:val="auto"/>
              </w:rPr>
              <w:t xml:space="preserve"> para el desarrollo, cuidado y protección de las y los menores, si éstos quedan al cuidado de la madre, del padre o incluso de persona ajena a sus progenitores</w:t>
            </w:r>
            <w:r w:rsidRPr="006E437B">
              <w:rPr>
                <w:rFonts w:ascii="Times New Roman" w:hAnsi="Times New Roman" w:cs="Times New Roman"/>
                <w:color w:val="auto"/>
              </w:rPr>
              <w:t xml:space="preserve">. No será obstáculo para la preferencia en la custodia, el hecho de que la madre o padre por dedicarse al trabajo de cuidados en el hogar carezca de recursos económicos </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10</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277 fracción VI </w:t>
            </w:r>
            <w:r w:rsidRPr="006E437B">
              <w:rPr>
                <w:rFonts w:ascii="Times New Roman" w:hAnsi="Times New Roman" w:cs="Times New Roman"/>
                <w:color w:val="auto"/>
              </w:rPr>
              <w:t>del Código Civil del Estado de Durango</w:t>
            </w:r>
            <w:r w:rsidRPr="006E437B">
              <w:rPr>
                <w:rFonts w:ascii="Times New Roman" w:hAnsi="Times New Roman" w:cs="Times New Roman"/>
                <w:color w:val="auto"/>
                <w:vertAlign w:val="superscript"/>
              </w:rPr>
              <w:t>20</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hAnsi="Times New Roman" w:cs="Times New Roman"/>
                <w:b/>
                <w:bCs/>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Poner a las hijas e hijos al cuidado de la persona que de común acuerdo hubieren designado los cónyuges, pudiendo ser uno de éstos. En defecto de ese acuerdo, </w:t>
            </w:r>
            <w:r w:rsidRPr="006E437B">
              <w:rPr>
                <w:rFonts w:ascii="Times New Roman" w:hAnsi="Times New Roman" w:cs="Times New Roman"/>
                <w:b/>
                <w:bCs/>
                <w:color w:val="auto"/>
              </w:rPr>
              <w:t>el cónyuge que pida el divorcio propondrá la persona en cuyo poder deben quedar provisionalmente los hijos e hijas. El juez previo el procedimiento que fije el Código respectivo, resolverá lo conducente</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Salvo peligro para el normal desarrollo de las hijas e hijos, y bajo las consideraciones del juez</w:t>
            </w:r>
            <w:r w:rsidRPr="006E437B">
              <w:rPr>
                <w:rFonts w:ascii="Times New Roman" w:hAnsi="Times New Roman" w:cs="Times New Roman"/>
                <w:color w:val="auto"/>
              </w:rPr>
              <w:t xml:space="preserve">, </w:t>
            </w:r>
            <w:r w:rsidRPr="006E437B">
              <w:rPr>
                <w:rFonts w:ascii="Times New Roman" w:hAnsi="Times New Roman" w:cs="Times New Roman"/>
                <w:b/>
                <w:bCs/>
                <w:color w:val="auto"/>
              </w:rPr>
              <w:t>los menores de siete años quedarán al cuidado de la madre</w:t>
            </w:r>
            <w:r w:rsidRPr="006E437B">
              <w:rPr>
                <w:rFonts w:ascii="Times New Roman" w:hAnsi="Times New Roman" w:cs="Times New Roman"/>
                <w:color w:val="auto"/>
              </w:rPr>
              <w:t xml:space="preserve">, </w:t>
            </w:r>
            <w:r w:rsidRPr="006E437B">
              <w:rPr>
                <w:rFonts w:ascii="Times New Roman" w:hAnsi="Times New Roman" w:cs="Times New Roman"/>
                <w:b/>
                <w:bCs/>
                <w:color w:val="auto"/>
                <w:u w:val="single"/>
              </w:rPr>
              <w:t>escuchando si fuera conveniente la opinión del menor</w:t>
            </w:r>
            <w:r w:rsidRPr="006E437B">
              <w:rPr>
                <w:rFonts w:ascii="Times New Roman" w:hAnsi="Times New Roman" w:cs="Times New Roman"/>
                <w:b/>
                <w:bCs/>
                <w:color w:val="auto"/>
              </w:rPr>
              <w:t xml:space="preserve">. </w:t>
            </w:r>
            <w:r w:rsidRPr="006E437B">
              <w:rPr>
                <w:rFonts w:ascii="Times New Roman" w:hAnsi="Times New Roman" w:cs="Times New Roman"/>
                <w:color w:val="auto"/>
              </w:rPr>
              <w:t xml:space="preserve">Así mismo el juez de lo familiar, resolverá lo conducente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19</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https://data.consejeria.cdmx.gob.mx/images/leyes/2025/CODIGOS_2025/CODIGO_CIVIL_PARA_EL_DF_15.3.pdf </w:t>
      </w:r>
    </w:p>
    <w:p w:rsidR="00470AD7" w:rsidRPr="006E437B" w:rsidRDefault="00470AD7" w:rsidP="006B63CB">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20</w:t>
      </w:r>
      <w:r w:rsidRPr="006E437B">
        <w:rPr>
          <w:rFonts w:ascii="Times New Roman" w:hAnsi="Times New Roman" w:cs="Times New Roman"/>
          <w:color w:val="auto"/>
          <w:sz w:val="20"/>
          <w:szCs w:val="20"/>
        </w:rPr>
        <w:t xml:space="preserve"> Disponible en: https://congresodurango.gob.mx/Archivos/legislacion/CODIGO%20CIVIL.pdf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11</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336 fracción VI </w:t>
            </w:r>
            <w:r w:rsidRPr="006E437B">
              <w:rPr>
                <w:rFonts w:ascii="Times New Roman" w:hAnsi="Times New Roman" w:cs="Times New Roman"/>
                <w:color w:val="auto"/>
              </w:rPr>
              <w:t>del Código Civil para el Estado de Guanajuato</w:t>
            </w:r>
            <w:r w:rsidRPr="006E437B">
              <w:rPr>
                <w:rFonts w:ascii="Times New Roman" w:hAnsi="Times New Roman" w:cs="Times New Roman"/>
                <w:color w:val="auto"/>
                <w:vertAlign w:val="superscript"/>
              </w:rPr>
              <w:t>21</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Al admitirse la demanda de divorcio o antes si hubiere urgencia, </w:t>
            </w:r>
            <w:r w:rsidRPr="006E437B">
              <w:rPr>
                <w:rFonts w:ascii="Times New Roman" w:hAnsi="Times New Roman" w:cs="Times New Roman"/>
                <w:b/>
                <w:bCs/>
                <w:color w:val="auto"/>
              </w:rPr>
              <w:t xml:space="preserve">el juez bajo su responsabilidad, </w:t>
            </w:r>
            <w:r w:rsidRPr="006E437B">
              <w:rPr>
                <w:rFonts w:ascii="Times New Roman" w:hAnsi="Times New Roman" w:cs="Times New Roman"/>
                <w:b/>
                <w:bCs/>
                <w:color w:val="auto"/>
                <w:u w:val="single"/>
              </w:rPr>
              <w:t>decretará provisionalmente y sólo mientras dure el juicio</w:t>
            </w:r>
            <w:r w:rsidRPr="006E437B">
              <w:rPr>
                <w:rFonts w:ascii="Times New Roman" w:hAnsi="Times New Roman" w:cs="Times New Roman"/>
                <w:color w:val="auto"/>
              </w:rPr>
              <w:t xml:space="preserve">, lo siguiente </w:t>
            </w:r>
            <w:r w:rsidRPr="006E437B">
              <w:rPr>
                <w:rFonts w:ascii="Times New Roman" w:hAnsi="Times New Roman" w:cs="Times New Roman"/>
                <w:b/>
                <w:bCs/>
                <w:color w:val="auto"/>
              </w:rPr>
              <w:t>poner a los hijos al cuidado de la persona que de común acuerdo hubieren designado los cónyuges, pudiendo ser uno de éstos o ambos</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b/>
                <w:bCs/>
                <w:sz w:val="24"/>
                <w:szCs w:val="24"/>
              </w:rPr>
            </w:pPr>
            <w:r w:rsidRPr="006E437B">
              <w:rPr>
                <w:rFonts w:ascii="Times New Roman" w:hAnsi="Times New Roman" w:cs="Times New Roman"/>
                <w:sz w:val="24"/>
                <w:szCs w:val="24"/>
              </w:rPr>
              <w:t xml:space="preserve">Salvo riesgo para el normal desarrollo de los hijos, </w:t>
            </w:r>
            <w:r w:rsidRPr="006E437B">
              <w:rPr>
                <w:rFonts w:ascii="Times New Roman" w:hAnsi="Times New Roman" w:cs="Times New Roman"/>
                <w:b/>
                <w:bCs/>
                <w:sz w:val="24"/>
                <w:szCs w:val="24"/>
              </w:rPr>
              <w:t>los menores de doce años deberán quedar al cuidado de la madre</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12</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31 fracción II </w:t>
            </w:r>
            <w:r w:rsidRPr="006E437B">
              <w:rPr>
                <w:rFonts w:ascii="Times New Roman" w:hAnsi="Times New Roman" w:cs="Times New Roman"/>
                <w:color w:val="auto"/>
              </w:rPr>
              <w:t>de la Ley de Divorcio del Estado de Guerrero</w:t>
            </w:r>
            <w:r w:rsidRPr="006E437B">
              <w:rPr>
                <w:rFonts w:ascii="Times New Roman" w:hAnsi="Times New Roman" w:cs="Times New Roman"/>
                <w:color w:val="auto"/>
                <w:vertAlign w:val="superscript"/>
              </w:rPr>
              <w:t>22</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hAnsi="Times New Roman" w:cs="Times New Roman"/>
                <w:b/>
                <w:bCs/>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Contestada la solicitud, el Juez dictará las siguientes medidas provisionales </w:t>
            </w:r>
            <w:r w:rsidRPr="006E437B">
              <w:rPr>
                <w:rFonts w:ascii="Times New Roman" w:hAnsi="Times New Roman" w:cs="Times New Roman"/>
                <w:b/>
                <w:bCs/>
                <w:color w:val="auto"/>
              </w:rPr>
              <w:t>poner a los hijos menores de siete años al cuidado de la madre y escuchar a los mayores de siete años para resolver con que cónyuge se quedarán</w:t>
            </w:r>
            <w:r w:rsidRPr="006E437B">
              <w:rPr>
                <w:rFonts w:ascii="Times New Roman" w:hAnsi="Times New Roman" w:cs="Times New Roman"/>
                <w:color w:val="auto"/>
              </w:rPr>
              <w:t xml:space="preserve">, salvo declinación expresa de éstos, o por impedimento legal derivado de una resolución judicial o bien cuando estuviese plenamente demostrado la existencia de violencia familiar en la que ella sea la agresora </w:t>
            </w:r>
          </w:p>
          <w:p w:rsidR="00470AD7" w:rsidRPr="006E437B" w:rsidRDefault="00470AD7" w:rsidP="00141629">
            <w:pPr>
              <w:pStyle w:val="Default"/>
              <w:jc w:val="both"/>
              <w:rPr>
                <w:rFonts w:ascii="Times New Roman" w:hAnsi="Times New Roman" w:cs="Times New Roman"/>
                <w:color w:val="auto"/>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13</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472 fracción V </w:t>
            </w:r>
            <w:r w:rsidRPr="006E437B">
              <w:rPr>
                <w:rFonts w:ascii="Times New Roman" w:hAnsi="Times New Roman" w:cs="Times New Roman"/>
                <w:color w:val="auto"/>
              </w:rPr>
              <w:t>del Código de Procedimientos Familiares para el Estado de Hidalgo</w:t>
            </w:r>
            <w:r w:rsidRPr="006E437B">
              <w:rPr>
                <w:rFonts w:ascii="Times New Roman" w:hAnsi="Times New Roman" w:cs="Times New Roman"/>
                <w:color w:val="auto"/>
                <w:vertAlign w:val="superscript"/>
              </w:rPr>
              <w:t>23</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hAnsi="Times New Roman" w:cs="Times New Roman"/>
                <w:b/>
                <w:bCs/>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Desde que se presenta la solicitud de divorcio, se dictarán de oficio las medidas provisionales pertinentes, mismas que subsistirán durante el tiempo que sea necesario, pudiendo ser ratificadas o modificadas en la audiencia, conforme a las disposiciones siguientes </w:t>
            </w:r>
            <w:r w:rsidRPr="006E437B">
              <w:rPr>
                <w:rFonts w:ascii="Times New Roman" w:hAnsi="Times New Roman" w:cs="Times New Roman"/>
                <w:b/>
                <w:bCs/>
                <w:color w:val="auto"/>
              </w:rPr>
              <w:t>los menores de doce años quedarán al cuidado de la madre</w:t>
            </w:r>
            <w:r w:rsidRPr="006E437B">
              <w:rPr>
                <w:rFonts w:ascii="Times New Roman" w:hAnsi="Times New Roman" w:cs="Times New Roman"/>
                <w:color w:val="auto"/>
              </w:rPr>
              <w:t xml:space="preserve">, salvo que se afecte el </w:t>
            </w:r>
            <w:r w:rsidRPr="006E437B">
              <w:rPr>
                <w:rFonts w:ascii="Times New Roman" w:hAnsi="Times New Roman" w:cs="Times New Roman"/>
                <w:b/>
                <w:bCs/>
                <w:color w:val="auto"/>
              </w:rPr>
              <w:t xml:space="preserve">interés superior del menor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0"/>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21</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https://congreso-gto.s3.amazonaws.com/uploads/reforma/pdf/3689/CCG_REF_18Diciembre2025_DL113.pdf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22</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https://www.guerrero.gob.mx/wp-content/uploads/2021/12/LDEG-2.pdf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23</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eastAsia="Arial" w:hAnsi="Times New Roman" w:cs="Times New Roman"/>
          <w:sz w:val="20"/>
          <w:szCs w:val="20"/>
        </w:rPr>
      </w:pPr>
      <w:r w:rsidRPr="006E437B">
        <w:rPr>
          <w:rFonts w:ascii="Times New Roman" w:hAnsi="Times New Roman" w:cs="Times New Roman"/>
          <w:sz w:val="20"/>
          <w:szCs w:val="20"/>
        </w:rPr>
        <w:t xml:space="preserve">https://www.congreso-hidalgo.gob.mx/biblioteca_legislativa/leyes_cintillo/Codigo%20de%20Procedimientos%20Familiares%20para%20el%20Estado%20de%20Hidalgo.pdf </w:t>
      </w:r>
    </w:p>
    <w:p w:rsidR="00470AD7" w:rsidRPr="006E437B" w:rsidRDefault="00470AD7" w:rsidP="00141629">
      <w:pPr>
        <w:pStyle w:val="Sinespaciado"/>
        <w:jc w:val="both"/>
        <w:rPr>
          <w:rFonts w:ascii="Times New Roman" w:eastAsia="Arial" w:hAnsi="Times New Roman" w:cs="Times New Roman"/>
          <w:sz w:val="20"/>
          <w:szCs w:val="20"/>
        </w:rPr>
      </w:pPr>
      <w:r w:rsidRPr="006E437B">
        <w:rPr>
          <w:rFonts w:ascii="Times New Roman" w:eastAsia="Times New Roman" w:hAnsi="Times New Roman" w:cs="Times New Roman"/>
          <w:sz w:val="20"/>
          <w:szCs w:val="20"/>
          <w:lang w:val="en-US"/>
        </w:rPr>
        <w:fldChar w:fldCharType="begin"/>
      </w:r>
      <w:r w:rsidRPr="006E437B">
        <w:rPr>
          <w:rFonts w:ascii="Times New Roman" w:hAnsi="Times New Roman" w:cs="Times New Roman"/>
          <w:sz w:val="20"/>
          <w:szCs w:val="20"/>
        </w:rPr>
        <w:instrText xml:space="preserve">HYPERLINKhttps://www.hcnl.gob.mx/trabajo_legislativo/leyes/pdf/CODIGO%20CIVIL%20PARA%20EL%20ESTADO%20DE%20NUEVO%20LEON.pdf?2026-01-16" \h </w:instrText>
      </w:r>
      <w:r w:rsidRPr="006E437B">
        <w:rPr>
          <w:rFonts w:ascii="Times New Roman" w:eastAsia="Times New Roman" w:hAnsi="Times New Roman" w:cs="Times New Roman"/>
          <w:sz w:val="20"/>
          <w:szCs w:val="20"/>
          <w:lang w:val="en-US"/>
        </w:rPr>
        <w:fldChar w:fldCharType="separate"/>
      </w:r>
      <w:r w:rsidRPr="006E437B">
        <w:rPr>
          <w:rFonts w:ascii="Times New Roman" w:eastAsia="Arial" w:hAnsi="Times New Roman" w:cs="Times New Roman"/>
          <w:sz w:val="20"/>
          <w:szCs w:val="20"/>
          <w:u w:val="single" w:color="0462C1"/>
        </w:rPr>
        <w:t>20NUEVO%20LEON.pdf?2026-01-16</w:t>
      </w:r>
      <w:r w:rsidRPr="006E437B">
        <w:rPr>
          <w:rFonts w:ascii="Times New Roman" w:eastAsia="Arial" w:hAnsi="Times New Roman" w:cs="Times New Roman"/>
          <w:sz w:val="20"/>
          <w:szCs w:val="20"/>
        </w:rPr>
        <w:t xml:space="preserve">                                                                                                                             19</w:t>
      </w:r>
      <w:r w:rsidRPr="006E437B">
        <w:rPr>
          <w:rFonts w:ascii="Times New Roman" w:eastAsia="Arial" w:hAnsi="Times New Roman" w:cs="Times New Roman"/>
          <w:sz w:val="20"/>
          <w:szCs w:val="20"/>
        </w:rPr>
        <w:fldChar w:fldCharType="end"/>
      </w: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14</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572 fracción II </w:t>
            </w:r>
            <w:r w:rsidRPr="006E437B">
              <w:rPr>
                <w:rFonts w:ascii="Times New Roman" w:hAnsi="Times New Roman" w:cs="Times New Roman"/>
                <w:color w:val="auto"/>
              </w:rPr>
              <w:t>del Código Civil del Estado de Jalisco</w:t>
            </w:r>
            <w:r w:rsidRPr="006E437B">
              <w:rPr>
                <w:rFonts w:ascii="Times New Roman" w:hAnsi="Times New Roman" w:cs="Times New Roman"/>
                <w:color w:val="auto"/>
                <w:vertAlign w:val="superscript"/>
              </w:rPr>
              <w:t>24</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Cuando no convivan ambos padres, </w:t>
            </w:r>
            <w:r w:rsidRPr="006E437B">
              <w:rPr>
                <w:rFonts w:ascii="Times New Roman" w:hAnsi="Times New Roman" w:cs="Times New Roman"/>
                <w:b/>
                <w:bCs/>
                <w:color w:val="auto"/>
              </w:rPr>
              <w:t>cualquiera de los dos ejercerá sobre él la guarda y custodia, siempre y cuando tengan la disposición y la posibilidad efectiva de su guarda y custodia</w:t>
            </w:r>
            <w:r w:rsidRPr="006E437B">
              <w:rPr>
                <w:rFonts w:ascii="Times New Roman" w:hAnsi="Times New Roman" w:cs="Times New Roman"/>
                <w:color w:val="auto"/>
              </w:rPr>
              <w:t xml:space="preserve">, además de no tener una conducta nociva a la salud física o psíquica de la niña, niño o adolescente </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15</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4.95 fracción III y V, artículo 4.205 y artículo 4.228 fracción II inciso a) </w:t>
            </w:r>
            <w:r w:rsidRPr="006E437B">
              <w:rPr>
                <w:rFonts w:ascii="Times New Roman" w:hAnsi="Times New Roman" w:cs="Times New Roman"/>
                <w:color w:val="auto"/>
              </w:rPr>
              <w:t>del Código Civil del Estado de México</w:t>
            </w:r>
            <w:r w:rsidRPr="006E437B">
              <w:rPr>
                <w:rFonts w:ascii="Times New Roman" w:hAnsi="Times New Roman" w:cs="Times New Roman"/>
                <w:color w:val="auto"/>
                <w:vertAlign w:val="superscript"/>
              </w:rPr>
              <w:t>25</w:t>
            </w:r>
          </w:p>
          <w:p w:rsidR="00470AD7" w:rsidRPr="006E437B" w:rsidRDefault="00470AD7" w:rsidP="00141629">
            <w:pPr>
              <w:pStyle w:val="Default"/>
              <w:jc w:val="both"/>
              <w:rPr>
                <w:rFonts w:ascii="Times New Roman" w:hAnsi="Times New Roman" w:cs="Times New Roman"/>
                <w:b/>
                <w:bCs/>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A falta de acuerdo entre los cónyuges</w:t>
            </w:r>
            <w:r w:rsidRPr="006E437B">
              <w:rPr>
                <w:rFonts w:ascii="Times New Roman" w:hAnsi="Times New Roman" w:cs="Times New Roman"/>
                <w:b/>
                <w:bCs/>
                <w:color w:val="auto"/>
              </w:rPr>
              <w:t>, la guarda y custodia provisional de las y los hijos se decretará por el Juez quedando preferentemente al cuidado de la madre</w:t>
            </w:r>
            <w:r w:rsidRPr="006E437B">
              <w:rPr>
                <w:rFonts w:ascii="Times New Roman" w:hAnsi="Times New Roman" w:cs="Times New Roman"/>
                <w:color w:val="auto"/>
              </w:rPr>
              <w:t xml:space="preserve">, debiendo escuchar a ambos progenitores, a las hijas o hijos y a cualquier otro interesado, en función del </w:t>
            </w:r>
            <w:r w:rsidRPr="006E437B">
              <w:rPr>
                <w:rFonts w:ascii="Times New Roman" w:hAnsi="Times New Roman" w:cs="Times New Roman"/>
                <w:b/>
                <w:bCs/>
                <w:color w:val="auto"/>
              </w:rPr>
              <w:t xml:space="preserve">interés superior de las niñas, niños y adolescentes </w:t>
            </w:r>
            <w:r w:rsidRPr="006E437B">
              <w:rPr>
                <w:rFonts w:ascii="Times New Roman" w:hAnsi="Times New Roman" w:cs="Times New Roman"/>
                <w:color w:val="auto"/>
              </w:rPr>
              <w:t xml:space="preserve">y de los sujetos a tutela. El Juez actuará de la misma manera para determinar el régimen de convivencia </w:t>
            </w:r>
          </w:p>
          <w:p w:rsidR="00470AD7" w:rsidRPr="006E437B" w:rsidRDefault="00470AD7" w:rsidP="00141629">
            <w:pPr>
              <w:pStyle w:val="Default"/>
              <w:jc w:val="both"/>
              <w:rPr>
                <w:rFonts w:ascii="Times New Roman" w:hAnsi="Times New Roman" w:cs="Times New Roman"/>
                <w:color w:val="auto"/>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16</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432 </w:t>
            </w:r>
            <w:r w:rsidRPr="006E437B">
              <w:rPr>
                <w:rFonts w:ascii="Times New Roman" w:hAnsi="Times New Roman" w:cs="Times New Roman"/>
                <w:color w:val="auto"/>
              </w:rPr>
              <w:t>del Código Familiar para el Estado de Michoacán de Ocampo</w:t>
            </w:r>
            <w:r w:rsidRPr="006E437B">
              <w:rPr>
                <w:rFonts w:ascii="Times New Roman" w:hAnsi="Times New Roman" w:cs="Times New Roman"/>
                <w:color w:val="auto"/>
                <w:vertAlign w:val="superscript"/>
              </w:rPr>
              <w:t>26</w:t>
            </w:r>
          </w:p>
          <w:p w:rsidR="00470AD7" w:rsidRPr="006E437B" w:rsidRDefault="00470AD7" w:rsidP="00141629">
            <w:pPr>
              <w:pStyle w:val="Default"/>
              <w:jc w:val="both"/>
              <w:rPr>
                <w:rFonts w:ascii="Times New Roman" w:hAnsi="Times New Roman" w:cs="Times New Roman"/>
                <w:b/>
                <w:bCs/>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Los progenitores podrán convenir acerca de cuál de ellos ejercerá la custodia del menor; </w:t>
            </w:r>
            <w:r w:rsidRPr="006E437B">
              <w:rPr>
                <w:rFonts w:ascii="Times New Roman" w:hAnsi="Times New Roman" w:cs="Times New Roman"/>
                <w:b/>
                <w:bCs/>
                <w:color w:val="auto"/>
              </w:rPr>
              <w:t>en caso de discrepancia, el juez establecerá a quién corresponde ejercer tal prerrogativa, para lo cual debe atender como aspecto primordial el interés superior del menor</w:t>
            </w:r>
            <w:r w:rsidRPr="006E437B">
              <w:rPr>
                <w:rFonts w:ascii="Times New Roman" w:hAnsi="Times New Roman" w:cs="Times New Roman"/>
                <w:color w:val="auto"/>
              </w:rPr>
              <w:t xml:space="preserve">, </w:t>
            </w:r>
            <w:r w:rsidRPr="006E437B">
              <w:rPr>
                <w:rFonts w:ascii="Times New Roman" w:hAnsi="Times New Roman" w:cs="Times New Roman"/>
                <w:b/>
                <w:bCs/>
                <w:color w:val="auto"/>
              </w:rPr>
              <w:t>así como la adecuada capacidad de los padres para su cuidado y con cuál de ellos puede tener el mejor desarrollo físico, mental y moral</w:t>
            </w:r>
            <w:r w:rsidRPr="006E437B">
              <w:rPr>
                <w:rFonts w:ascii="Times New Roman" w:hAnsi="Times New Roman" w:cs="Times New Roman"/>
                <w:color w:val="auto"/>
              </w:rPr>
              <w:t xml:space="preserve">, </w:t>
            </w:r>
            <w:r w:rsidRPr="006E437B">
              <w:rPr>
                <w:rFonts w:ascii="Times New Roman" w:hAnsi="Times New Roman" w:cs="Times New Roman"/>
                <w:b/>
                <w:bCs/>
                <w:color w:val="auto"/>
              </w:rPr>
              <w:t xml:space="preserve">valorando las especiales circunstancias </w:t>
            </w:r>
            <w:r w:rsidRPr="006E437B">
              <w:rPr>
                <w:rFonts w:ascii="Times New Roman" w:hAnsi="Times New Roman" w:cs="Times New Roman"/>
                <w:color w:val="auto"/>
              </w:rPr>
              <w:t xml:space="preserve">que concurran en cada progenitor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eastAsia="Arial" w:hAnsi="Times New Roman" w:cs="Times New Roman"/>
          <w:sz w:val="24"/>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24</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https://congresoweb.congresojal.gob.mx/bibliotecavirtual/legislacion/C%C3%B3digos/Documentos_PDF-C%C3%B3digos/C%C3%B3digo%20Civil%20del%20Estado%20de%20Jalisco-280526.pdf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25</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https://legislacion.edomex.gob.mx/sites/legislacion.edomex.gob.mx/files/files/pdf/cod/vig/codvig001.pdf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26</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 xml:space="preserve">http://congresomich.gob.mx/file/CODIGO-FAMILIAR-REF-5-DE-ABRIL-DE-2021.pdf  </w:t>
      </w:r>
    </w:p>
    <w:p w:rsidR="00470AD7" w:rsidRPr="006E437B" w:rsidRDefault="00470AD7" w:rsidP="00141629">
      <w:pPr>
        <w:pStyle w:val="Sinespaciado"/>
        <w:jc w:val="both"/>
        <w:rPr>
          <w:rFonts w:ascii="Times New Roman" w:hAnsi="Times New Roman" w:cs="Times New Roman"/>
          <w:sz w:val="24"/>
          <w:szCs w:val="20"/>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17</w:t>
            </w:r>
          </w:p>
        </w:tc>
        <w:tc>
          <w:tcPr>
            <w:tcW w:w="2693" w:type="dxa"/>
            <w:shd w:val="clear" w:color="auto" w:fill="auto"/>
          </w:tcPr>
          <w:p w:rsidR="00470AD7" w:rsidRPr="006E437B" w:rsidRDefault="00470AD7" w:rsidP="00141629">
            <w:pPr>
              <w:pStyle w:val="Default"/>
              <w:jc w:val="both"/>
              <w:rPr>
                <w:rFonts w:ascii="Times New Roman" w:eastAsia="Arial" w:hAnsi="Times New Roman" w:cs="Times New Roman"/>
                <w:b/>
                <w:color w:val="auto"/>
              </w:rPr>
            </w:pPr>
            <w:r w:rsidRPr="006E437B">
              <w:rPr>
                <w:rFonts w:ascii="Times New Roman" w:hAnsi="Times New Roman" w:cs="Times New Roman"/>
                <w:b/>
                <w:bCs/>
                <w:color w:val="auto"/>
              </w:rPr>
              <w:t xml:space="preserve">Artículo 222 </w:t>
            </w:r>
            <w:r w:rsidRPr="006E437B">
              <w:rPr>
                <w:rFonts w:ascii="Times New Roman" w:hAnsi="Times New Roman" w:cs="Times New Roman"/>
                <w:color w:val="auto"/>
              </w:rPr>
              <w:t>del Código Familiar para el Estado Libre y Soberano de Morelos</w:t>
            </w:r>
            <w:r w:rsidRPr="006E437B">
              <w:rPr>
                <w:rFonts w:ascii="Times New Roman" w:hAnsi="Times New Roman" w:cs="Times New Roman"/>
                <w:color w:val="auto"/>
                <w:vertAlign w:val="superscript"/>
              </w:rPr>
              <w:t>27</w:t>
            </w:r>
            <w:r w:rsidRPr="006E437B">
              <w:rPr>
                <w:rFonts w:ascii="Times New Roman" w:hAnsi="Times New Roman" w:cs="Times New Roman"/>
                <w:color w:val="auto"/>
              </w:rPr>
              <w:t xml:space="preserve"> </w:t>
            </w: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Salvo peligro grave para el normal desarrollo de los hijos, </w:t>
            </w:r>
            <w:r w:rsidRPr="006E437B">
              <w:rPr>
                <w:rFonts w:ascii="Times New Roman" w:hAnsi="Times New Roman" w:cs="Times New Roman"/>
                <w:b/>
                <w:bCs/>
                <w:color w:val="auto"/>
              </w:rPr>
              <w:t>los mayores de doce años decidirán cuál de sus progenitores ejercerá su custodia</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Para el caso de </w:t>
            </w:r>
            <w:r w:rsidRPr="006E437B">
              <w:rPr>
                <w:rFonts w:ascii="Times New Roman" w:hAnsi="Times New Roman" w:cs="Times New Roman"/>
                <w:b/>
                <w:bCs/>
                <w:color w:val="auto"/>
              </w:rPr>
              <w:t>los menores de doce años, el juez de lo familiar, una vez que preferentemente los haya escuchado y, procurando en todo momento salvaguardar el interés superior del niño, determinará cuál de los progenitores ejercerá la custodia</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No será obstáculo para la preferencia en la custodia, el hecho de que la madre o el padre carezcan de recursos económicos</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18</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275 fracción V </w:t>
            </w:r>
            <w:r w:rsidRPr="006E437B">
              <w:rPr>
                <w:rFonts w:ascii="Times New Roman" w:hAnsi="Times New Roman" w:cs="Times New Roman"/>
                <w:color w:val="auto"/>
              </w:rPr>
              <w:t>del Código Civil para el Estado de Nayarit</w:t>
            </w:r>
            <w:r w:rsidRPr="006E437B">
              <w:rPr>
                <w:rFonts w:ascii="Times New Roman" w:hAnsi="Times New Roman" w:cs="Times New Roman"/>
                <w:color w:val="auto"/>
                <w:vertAlign w:val="superscript"/>
              </w:rPr>
              <w:t>28</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hAnsi="Times New Roman" w:cs="Times New Roman"/>
                <w:b/>
                <w:bCs/>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Al admitirse la demanda de divorcio, o antes si hubiere urgencia, se dictará provisionalmente, y solo mientras dure el juicio, poner a los hijos al cuidado de la persona que de común acuerdo hubieren designado los cónyuges, </w:t>
            </w:r>
            <w:r w:rsidRPr="006E437B">
              <w:rPr>
                <w:rFonts w:ascii="Times New Roman" w:hAnsi="Times New Roman" w:cs="Times New Roman"/>
                <w:b/>
                <w:bCs/>
                <w:color w:val="auto"/>
              </w:rPr>
              <w:t>pudiendo ser uno de éstos</w:t>
            </w:r>
            <w:r w:rsidRPr="006E437B">
              <w:rPr>
                <w:rFonts w:ascii="Times New Roman" w:hAnsi="Times New Roman" w:cs="Times New Roman"/>
                <w:color w:val="auto"/>
              </w:rPr>
              <w:t xml:space="preserve">. En defecto de ese acuerdo, el cónyuge que pida el divorcio propondrá la persona en cuyo poder deben quedar provisionalmente los hijos. </w:t>
            </w:r>
            <w:r w:rsidRPr="006E437B">
              <w:rPr>
                <w:rFonts w:ascii="Times New Roman" w:hAnsi="Times New Roman" w:cs="Times New Roman"/>
                <w:b/>
                <w:bCs/>
                <w:color w:val="auto"/>
              </w:rPr>
              <w:t xml:space="preserve">El juez, previo el procedimiento que fije el Código respectivo, resolverá lo conveniente tomando en consideración en todo momento el interés superior del menor </w:t>
            </w:r>
            <w:r w:rsidRPr="006E437B">
              <w:rPr>
                <w:rFonts w:ascii="Times New Roman" w:hAnsi="Times New Roman" w:cs="Times New Roman"/>
                <w:color w:val="auto"/>
              </w:rPr>
              <w:t xml:space="preserve">salvo peligro para el normal desarrollo de los hijos, </w:t>
            </w:r>
            <w:r w:rsidRPr="006E437B">
              <w:rPr>
                <w:rFonts w:ascii="Times New Roman" w:hAnsi="Times New Roman" w:cs="Times New Roman"/>
                <w:b/>
                <w:bCs/>
                <w:color w:val="auto"/>
              </w:rPr>
              <w:t xml:space="preserve">los menores que se encuentren en periodo de lactancia, quedarán preferentemente al cuidado de la madre. </w:t>
            </w:r>
            <w:r w:rsidRPr="006E437B">
              <w:rPr>
                <w:rFonts w:ascii="Times New Roman" w:hAnsi="Times New Roman" w:cs="Times New Roman"/>
                <w:color w:val="auto"/>
              </w:rPr>
              <w:t xml:space="preserve">No será obstáculo para la preferencia maternal en la custodia, el hecho de que la misma carezca de recursos económicos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27</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http://marcojuridico.morelos.gob.mx/archivos/codigos/pdf/CFAMILIAREM.pdf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28</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 xml:space="preserve">https://congresonayarit.gob.mx/wp-content/uploads/QUE_HACEMOS/LEGISLACION_ESTATAL/codigos/codigo_civil_estado_de_nayarit.pdf  </w:t>
      </w:r>
    </w:p>
    <w:p w:rsidR="00470AD7" w:rsidRPr="006E437B" w:rsidRDefault="00470AD7" w:rsidP="00141629">
      <w:pPr>
        <w:pStyle w:val="Sinespaciado"/>
        <w:jc w:val="both"/>
        <w:rPr>
          <w:rFonts w:ascii="Times New Roman" w:hAnsi="Times New Roman" w:cs="Times New Roman"/>
          <w:sz w:val="24"/>
          <w:szCs w:val="20"/>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19</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414 Bis </w:t>
            </w:r>
            <w:r w:rsidRPr="006E437B">
              <w:rPr>
                <w:rFonts w:ascii="Times New Roman" w:hAnsi="Times New Roman" w:cs="Times New Roman"/>
                <w:color w:val="auto"/>
              </w:rPr>
              <w:t>del Código Civil para el Estado de Nuevo León</w:t>
            </w:r>
            <w:r w:rsidRPr="006E437B">
              <w:rPr>
                <w:rFonts w:ascii="Times New Roman" w:hAnsi="Times New Roman" w:cs="Times New Roman"/>
                <w:color w:val="auto"/>
                <w:vertAlign w:val="superscript"/>
              </w:rPr>
              <w:t>29</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La madre tendrá en todos los casos en que no viva con el padre de sus hijas o hijos, el derecho preferente de mantener a su cuidado a los que fueren menores de doce años</w:t>
            </w:r>
            <w:r w:rsidRPr="006E437B">
              <w:rPr>
                <w:rFonts w:ascii="Times New Roman" w:hAnsi="Times New Roman" w:cs="Times New Roman"/>
                <w:color w:val="auto"/>
              </w:rPr>
              <w:t xml:space="preserve">, a menos que hubiese sido sentenciada por incurrir en conductas de violencia familiar, sea de las contempladas en el Código Civil o en el Código Penal como delitos de violencia familiar o equiparable a la violencia familiar, exista orden de restricción dictada por autoridad competente, que se dedicare a la prostitución, al lenocinio, hubiere contraído el hábito de embriaguez, drogadicción o cualquier otra adicción que pusiere directa o indirectamente en riesgo la estabilidad física o emocional del menor, tuviere alguna enfermedad contagiosa, o por su conducta antisocial ofreciere peligro grave para la salud o la moralidad de sus hijas e hijos. </w:t>
            </w:r>
            <w:r w:rsidRPr="006E437B">
              <w:rPr>
                <w:rFonts w:ascii="Times New Roman" w:hAnsi="Times New Roman" w:cs="Times New Roman"/>
                <w:b/>
                <w:bCs/>
                <w:color w:val="auto"/>
                <w:u w:val="single"/>
              </w:rPr>
              <w:t>Debiendo en todo caso el Juez, escuchar la opinión de los menores conforme a su edad y madurez</w:t>
            </w:r>
            <w:r w:rsidRPr="006E437B">
              <w:rPr>
                <w:rFonts w:ascii="Times New Roman" w:hAnsi="Times New Roman" w:cs="Times New Roman"/>
                <w:color w:val="auto"/>
              </w:rPr>
              <w:t xml:space="preserve">, </w:t>
            </w:r>
            <w:r w:rsidRPr="006E437B">
              <w:rPr>
                <w:rFonts w:ascii="Times New Roman" w:hAnsi="Times New Roman" w:cs="Times New Roman"/>
                <w:b/>
                <w:bCs/>
                <w:color w:val="auto"/>
              </w:rPr>
              <w:t xml:space="preserve">resolviendo siempre conforme al interés superior de éstos </w:t>
            </w:r>
          </w:p>
          <w:p w:rsidR="00470AD7" w:rsidRPr="006E437B" w:rsidRDefault="00470AD7" w:rsidP="00141629">
            <w:pPr>
              <w:pStyle w:val="Sinespaciado"/>
              <w:jc w:val="both"/>
              <w:rPr>
                <w:rFonts w:ascii="Times New Roman" w:eastAsia="Arial" w:hAnsi="Times New Roman" w:cs="Times New Roman"/>
                <w:b/>
                <w:sz w:val="24"/>
                <w:szCs w:val="24"/>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29</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 xml:space="preserve">https://www.hcnl.gob.mx/trabajo_legislativo/leyes/pdf/CODIGO%20CIVIL%20PARA%20EL%20ESTADO%20DE%20NUEVO%20LEON.pdf?2026-01-16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20</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125 fracción II y artículo 126 </w:t>
            </w:r>
            <w:r w:rsidRPr="006E437B">
              <w:rPr>
                <w:rFonts w:ascii="Times New Roman" w:hAnsi="Times New Roman" w:cs="Times New Roman"/>
                <w:color w:val="auto"/>
              </w:rPr>
              <w:t>del Código Familiar para el Estado de Oaxaca</w:t>
            </w:r>
            <w:r w:rsidRPr="006E437B">
              <w:rPr>
                <w:rFonts w:ascii="Times New Roman" w:hAnsi="Times New Roman" w:cs="Times New Roman"/>
                <w:color w:val="auto"/>
                <w:vertAlign w:val="superscript"/>
              </w:rPr>
              <w:t>30</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Poner a los hijos al cuidado de la persona que de común acuerdo hubieren designado los cónyuges pudiendo ser uno de éstos o bien, el régimen de custodia compartida</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 xml:space="preserve">El otorgamiento de la guarda y custodia de las niñas, niños o adolescentes </w:t>
            </w:r>
            <w:r w:rsidRPr="006E437B">
              <w:rPr>
                <w:rFonts w:ascii="Times New Roman" w:hAnsi="Times New Roman" w:cs="Times New Roman"/>
                <w:b/>
                <w:bCs/>
                <w:color w:val="auto"/>
                <w:u w:val="single"/>
              </w:rPr>
              <w:t>no estará sustentado en prejuicios de género</w:t>
            </w:r>
            <w:r w:rsidRPr="006E437B">
              <w:rPr>
                <w:rFonts w:ascii="Times New Roman" w:hAnsi="Times New Roman" w:cs="Times New Roman"/>
                <w:b/>
                <w:bCs/>
                <w:color w:val="auto"/>
              </w:rPr>
              <w:t>, por lo cual deberá atenderse al interés superior de la niñez</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b/>
                <w:bCs/>
                <w:sz w:val="24"/>
                <w:szCs w:val="24"/>
              </w:rPr>
            </w:pPr>
            <w:r w:rsidRPr="006E437B">
              <w:rPr>
                <w:rFonts w:ascii="Times New Roman" w:hAnsi="Times New Roman" w:cs="Times New Roman"/>
                <w:sz w:val="24"/>
                <w:szCs w:val="24"/>
              </w:rPr>
              <w:t xml:space="preserve">Antes de que se provea definitivamente sobre la patria potestad o tutela de los hijos, </w:t>
            </w:r>
            <w:r w:rsidRPr="006E437B">
              <w:rPr>
                <w:rFonts w:ascii="Times New Roman" w:hAnsi="Times New Roman" w:cs="Times New Roman"/>
                <w:b/>
                <w:bCs/>
                <w:sz w:val="24"/>
                <w:szCs w:val="24"/>
                <w:u w:val="single"/>
              </w:rPr>
              <w:t>el juzgador podrá acordar, de manera provisional</w:t>
            </w:r>
            <w:r w:rsidRPr="006E437B">
              <w:rPr>
                <w:rFonts w:ascii="Times New Roman" w:hAnsi="Times New Roman" w:cs="Times New Roman"/>
                <w:b/>
                <w:bCs/>
                <w:sz w:val="24"/>
                <w:szCs w:val="24"/>
              </w:rPr>
              <w:t xml:space="preserve">, a petición de los ascendientes, parientes colaterales o de los propios niños, niñas o adolescentes, </w:t>
            </w:r>
            <w:r w:rsidRPr="006E437B">
              <w:rPr>
                <w:rFonts w:ascii="Times New Roman" w:hAnsi="Times New Roman" w:cs="Times New Roman"/>
                <w:b/>
                <w:bCs/>
                <w:sz w:val="24"/>
                <w:szCs w:val="24"/>
                <w:u w:val="single"/>
              </w:rPr>
              <w:t>cualquier medida que se considere benéfica para éstos últimos</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21</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450 apartado B fracción III </w:t>
            </w:r>
            <w:r w:rsidRPr="006E437B">
              <w:rPr>
                <w:rFonts w:ascii="Times New Roman" w:hAnsi="Times New Roman" w:cs="Times New Roman"/>
                <w:color w:val="auto"/>
              </w:rPr>
              <w:t>del Código Civil para el Estado Libre y Soberano de Puebla</w:t>
            </w:r>
            <w:r w:rsidRPr="006E437B">
              <w:rPr>
                <w:rFonts w:ascii="Times New Roman" w:hAnsi="Times New Roman" w:cs="Times New Roman"/>
                <w:color w:val="auto"/>
                <w:vertAlign w:val="superscript"/>
              </w:rPr>
              <w:t>31</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Los </w:t>
            </w:r>
            <w:r w:rsidRPr="006E437B">
              <w:rPr>
                <w:rFonts w:ascii="Times New Roman" w:hAnsi="Times New Roman" w:cs="Times New Roman"/>
                <w:b/>
                <w:bCs/>
                <w:color w:val="auto"/>
              </w:rPr>
              <w:t>menores de doce años deberán quedar al cuidado de la madre</w:t>
            </w:r>
            <w:r w:rsidRPr="006E437B">
              <w:rPr>
                <w:rFonts w:ascii="Times New Roman" w:hAnsi="Times New Roman" w:cs="Times New Roman"/>
                <w:color w:val="auto"/>
              </w:rPr>
              <w:t>, excepto en los casos en los que exista peligro grave para el normal desarrollo de los hijos. No será obstáculo para la preferencia de la madre, el hecho de que ésta carezca de recursos económicos</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22</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239 </w:t>
            </w:r>
            <w:r w:rsidRPr="006E437B">
              <w:rPr>
                <w:rFonts w:ascii="Times New Roman" w:hAnsi="Times New Roman" w:cs="Times New Roman"/>
                <w:color w:val="auto"/>
              </w:rPr>
              <w:t>del Código Civil del Estado de Querétaro</w:t>
            </w:r>
            <w:r w:rsidRPr="006E437B">
              <w:rPr>
                <w:rFonts w:ascii="Times New Roman" w:hAnsi="Times New Roman" w:cs="Times New Roman"/>
                <w:color w:val="auto"/>
                <w:vertAlign w:val="superscript"/>
              </w:rPr>
              <w:t>32</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caso de no ponerse de acuerdo ambos padres o no se garantice el interés de los hijos en dicho convenio, </w:t>
            </w:r>
            <w:r w:rsidRPr="006E437B">
              <w:rPr>
                <w:rFonts w:ascii="Times New Roman" w:hAnsi="Times New Roman" w:cs="Times New Roman"/>
                <w:b/>
                <w:bCs/>
                <w:color w:val="auto"/>
              </w:rPr>
              <w:t xml:space="preserve">el Juez, </w:t>
            </w:r>
            <w:r w:rsidRPr="006E437B">
              <w:rPr>
                <w:rFonts w:ascii="Times New Roman" w:hAnsi="Times New Roman" w:cs="Times New Roman"/>
                <w:b/>
                <w:bCs/>
                <w:color w:val="auto"/>
                <w:u w:val="single"/>
              </w:rPr>
              <w:t>tomando en cuenta las circunstancias del caso, garantizará el cuidado de los menores</w:t>
            </w:r>
            <w:r w:rsidRPr="006E437B">
              <w:rPr>
                <w:rFonts w:ascii="Times New Roman" w:hAnsi="Times New Roman" w:cs="Times New Roman"/>
                <w:b/>
                <w:bCs/>
                <w:color w:val="auto"/>
              </w:rPr>
              <w:t xml:space="preserve"> dejándolos bajo la custodia del progenitor que conforme al interés superior de los hijos </w:t>
            </w:r>
            <w:r w:rsidRPr="006E437B">
              <w:rPr>
                <w:rFonts w:ascii="Times New Roman" w:hAnsi="Times New Roman" w:cs="Times New Roman"/>
                <w:b/>
                <w:bCs/>
                <w:color w:val="auto"/>
                <w:u w:val="single"/>
              </w:rPr>
              <w:t>sea más conveniente para éstos</w:t>
            </w:r>
            <w:r w:rsidRPr="006E437B">
              <w:rPr>
                <w:rFonts w:ascii="Times New Roman" w:hAnsi="Times New Roman" w:cs="Times New Roman"/>
                <w:b/>
                <w:bCs/>
                <w:color w:val="auto"/>
              </w:rPr>
              <w:t xml:space="preserve"> y resolverá todo lo relativo en cuanto a los puntos enumerados en este artículo</w:t>
            </w:r>
            <w:r w:rsidRPr="006E437B">
              <w:rPr>
                <w:rFonts w:ascii="Times New Roman" w:hAnsi="Times New Roman" w:cs="Times New Roman"/>
                <w:color w:val="auto"/>
              </w:rPr>
              <w:t>, con la obligación del que tiene la custodia, de permitir la convivencia con el otro progenitor o progenitores, si es el caso.</w:t>
            </w:r>
          </w:p>
          <w:p w:rsidR="00470AD7" w:rsidRPr="006E437B" w:rsidRDefault="00470AD7" w:rsidP="00141629">
            <w:pPr>
              <w:pStyle w:val="Default"/>
              <w:jc w:val="both"/>
              <w:rPr>
                <w:rFonts w:ascii="Times New Roman" w:eastAsia="Arial" w:hAnsi="Times New Roman" w:cs="Times New Roman"/>
                <w:b/>
                <w:color w:val="auto"/>
              </w:rPr>
            </w:pPr>
          </w:p>
        </w:tc>
      </w:tr>
    </w:tbl>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30</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https://www.congresooaxaca.gob.mx/docs66.congresooaxaca.gob.mx/legislacion_estatal/Codigo_Familiar_para_el_Estado_de_Oaxaca_(ref_dto_874_aprob_LXVI_Legis_2_dic_2025_PO_50_XVI_seccion_13_diciembre_2025).pdf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31</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https://ojp.puebla.gob.mx/media/k2/attachments/Codigo_Civil_para_el_Estado_Libre_y_Soberano_de_Puebla_T4_17102025.pdf </w:t>
      </w:r>
    </w:p>
    <w:p w:rsidR="00202174" w:rsidRPr="006E437B" w:rsidRDefault="00470AD7" w:rsidP="00202174">
      <w:pPr>
        <w:pStyle w:val="Default"/>
        <w:rPr>
          <w:rFonts w:ascii="Times New Roman" w:hAnsi="Times New Roman" w:cs="Times New Roman"/>
          <w:color w:val="auto"/>
          <w:sz w:val="20"/>
        </w:rPr>
      </w:pPr>
      <w:r w:rsidRPr="006E437B">
        <w:rPr>
          <w:rFonts w:ascii="Times New Roman" w:hAnsi="Times New Roman" w:cs="Times New Roman"/>
          <w:color w:val="auto"/>
          <w:sz w:val="20"/>
          <w:szCs w:val="20"/>
          <w:vertAlign w:val="superscript"/>
        </w:rPr>
        <w:t>32</w:t>
      </w:r>
      <w:r w:rsidRPr="006E437B">
        <w:rPr>
          <w:rFonts w:ascii="Times New Roman" w:hAnsi="Times New Roman" w:cs="Times New Roman"/>
          <w:color w:val="auto"/>
          <w:sz w:val="20"/>
          <w:szCs w:val="20"/>
        </w:rPr>
        <w:t xml:space="preserve"> Disponible en:</w:t>
      </w:r>
      <w:r w:rsidR="00202174" w:rsidRPr="006E437B">
        <w:rPr>
          <w:rFonts w:ascii="Times New Roman" w:hAnsi="Times New Roman" w:cs="Times New Roman"/>
          <w:color w:val="auto"/>
          <w:sz w:val="20"/>
          <w:szCs w:val="20"/>
        </w:rPr>
        <w:t xml:space="preserve"> </w:t>
      </w:r>
      <w:r w:rsidR="00202174" w:rsidRPr="006E437B">
        <w:rPr>
          <w:rFonts w:ascii="Times New Roman" w:hAnsi="Times New Roman" w:cs="Times New Roman"/>
          <w:color w:val="auto"/>
          <w:sz w:val="20"/>
        </w:rPr>
        <w:t xml:space="preserve">https://site.legislaturaqueretaro.gob.mx/CloudPLQ/InvEst/Codigos/COD-ID-02.pdf </w:t>
      </w:r>
    </w:p>
    <w:p w:rsidR="00470AD7" w:rsidRPr="006E437B" w:rsidRDefault="00470AD7" w:rsidP="00141629">
      <w:pPr>
        <w:pStyle w:val="Sinespaciado"/>
        <w:jc w:val="both"/>
        <w:rPr>
          <w:rFonts w:ascii="Times New Roman" w:hAnsi="Times New Roman" w:cs="Times New Roman"/>
          <w:sz w:val="24"/>
          <w:szCs w:val="20"/>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23</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814 fracción VII y X </w:t>
            </w:r>
            <w:r w:rsidRPr="006E437B">
              <w:rPr>
                <w:rFonts w:ascii="Times New Roman" w:hAnsi="Times New Roman" w:cs="Times New Roman"/>
                <w:color w:val="auto"/>
              </w:rPr>
              <w:t>del Código Civil para el Estado de Quintana Roo</w:t>
            </w:r>
            <w:r w:rsidRPr="006E437B">
              <w:rPr>
                <w:rFonts w:ascii="Times New Roman" w:hAnsi="Times New Roman" w:cs="Times New Roman"/>
                <w:color w:val="auto"/>
                <w:vertAlign w:val="superscript"/>
              </w:rPr>
              <w:t>33</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Poner a las niñas, niños y adolescentes, al cuidado de la persona que de común acuerdo designen las personas cónyuges, </w:t>
            </w:r>
            <w:r w:rsidRPr="006E437B">
              <w:rPr>
                <w:rFonts w:ascii="Times New Roman" w:hAnsi="Times New Roman" w:cs="Times New Roman"/>
                <w:b/>
                <w:bCs/>
                <w:color w:val="auto"/>
              </w:rPr>
              <w:t>debiendo ser una de éstas y pudiéndose compartir la custodia, respetando en todo momento las disposiciones de este Código al respecto</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En caso de que las </w:t>
            </w:r>
            <w:r w:rsidRPr="006E437B">
              <w:rPr>
                <w:rFonts w:ascii="Times New Roman" w:hAnsi="Times New Roman" w:cs="Times New Roman"/>
                <w:b/>
                <w:bCs/>
                <w:sz w:val="24"/>
                <w:szCs w:val="24"/>
              </w:rPr>
              <w:t>personas menores de doce años sean sujetas de violencia familiar, éstas deberán quedar al cuidado de la madre</w:t>
            </w:r>
            <w:r w:rsidRPr="006E437B">
              <w:rPr>
                <w:rFonts w:ascii="Times New Roman" w:hAnsi="Times New Roman" w:cs="Times New Roman"/>
                <w:sz w:val="24"/>
                <w:szCs w:val="24"/>
              </w:rPr>
              <w:t xml:space="preserve">, excepto cuando sea ésta quien la origine. No será obstáculo para la preferencia maternal en la custodia, el hecho de que la madre carezca de recursos económicos </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24</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300 Bis </w:t>
            </w:r>
            <w:r w:rsidRPr="006E437B">
              <w:rPr>
                <w:rFonts w:ascii="Times New Roman" w:hAnsi="Times New Roman" w:cs="Times New Roman"/>
                <w:color w:val="auto"/>
              </w:rPr>
              <w:t>del Código Familiar para el Estado de San Luis Potosí</w:t>
            </w:r>
            <w:r w:rsidRPr="006E437B">
              <w:rPr>
                <w:rFonts w:ascii="Times New Roman" w:hAnsi="Times New Roman" w:cs="Times New Roman"/>
                <w:color w:val="auto"/>
                <w:vertAlign w:val="superscript"/>
              </w:rPr>
              <w:t>34</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 xml:space="preserve">Cualquiera de los progenitores podrá solicitar al juez la </w:t>
            </w:r>
            <w:r w:rsidRPr="006E437B">
              <w:rPr>
                <w:rFonts w:ascii="Times New Roman" w:hAnsi="Times New Roman" w:cs="Times New Roman"/>
                <w:b/>
                <w:bCs/>
                <w:color w:val="auto"/>
                <w:u w:val="single"/>
              </w:rPr>
              <w:t>custodia compartida</w:t>
            </w:r>
            <w:r w:rsidRPr="006E437B">
              <w:rPr>
                <w:rFonts w:ascii="Times New Roman" w:hAnsi="Times New Roman" w:cs="Times New Roman"/>
                <w:color w:val="auto"/>
              </w:rPr>
              <w:t xml:space="preserve">, para lo cual, </w:t>
            </w:r>
            <w:r w:rsidRPr="006E437B">
              <w:rPr>
                <w:rFonts w:ascii="Times New Roman" w:hAnsi="Times New Roman" w:cs="Times New Roman"/>
                <w:b/>
                <w:bCs/>
                <w:color w:val="auto"/>
                <w:u w:val="single"/>
              </w:rPr>
              <w:t>los juzgadores deberán considerar las circunstancias particulares del caso, tomando en cuenta los factores propios y las pruebas desahogadas</w:t>
            </w:r>
            <w:r w:rsidRPr="006E437B">
              <w:rPr>
                <w:rFonts w:ascii="Times New Roman" w:hAnsi="Times New Roman" w:cs="Times New Roman"/>
                <w:b/>
                <w:bCs/>
                <w:color w:val="auto"/>
              </w:rPr>
              <w:t>, para pronunciarse respecto a la posibilidad de que los hijos permanezcan bajo esa figura</w:t>
            </w:r>
            <w:r w:rsidRPr="006E437B">
              <w:rPr>
                <w:rFonts w:ascii="Times New Roman" w:hAnsi="Times New Roman" w:cs="Times New Roman"/>
                <w:color w:val="auto"/>
              </w:rPr>
              <w:t xml:space="preserve">, </w:t>
            </w:r>
            <w:r w:rsidRPr="006E437B">
              <w:rPr>
                <w:rFonts w:ascii="Times New Roman" w:hAnsi="Times New Roman" w:cs="Times New Roman"/>
                <w:b/>
                <w:bCs/>
                <w:color w:val="auto"/>
                <w:u w:val="single"/>
              </w:rPr>
              <w:t>siempre velando por el</w:t>
            </w:r>
            <w:r w:rsidRPr="006E437B">
              <w:rPr>
                <w:rFonts w:ascii="Times New Roman" w:hAnsi="Times New Roman" w:cs="Times New Roman"/>
                <w:b/>
                <w:bCs/>
                <w:color w:val="auto"/>
              </w:rPr>
              <w:t xml:space="preserve"> interés superior de la niñez</w:t>
            </w:r>
          </w:p>
          <w:p w:rsidR="00470AD7" w:rsidRPr="006E437B" w:rsidRDefault="00470AD7" w:rsidP="00141629">
            <w:pPr>
              <w:pStyle w:val="Default"/>
              <w:jc w:val="both"/>
              <w:rPr>
                <w:rFonts w:ascii="Times New Roman" w:eastAsia="Arial" w:hAnsi="Times New Roman" w:cs="Times New Roman"/>
                <w:b/>
                <w:color w:val="auto"/>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33</w:t>
      </w:r>
      <w:r w:rsidRPr="006E437B">
        <w:rPr>
          <w:rFonts w:ascii="Times New Roman" w:hAnsi="Times New Roman" w:cs="Times New Roman"/>
          <w:color w:val="auto"/>
          <w:sz w:val="20"/>
        </w:rPr>
        <w:t xml:space="preserve"> Disponible en: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rPr>
        <w:t xml:space="preserve">https://documentos.congresoqroo.gob.mx/codigos/C2-XVIII-09102024-20260212T114232-Codigo-civil,-Ultimo-archivo-version-final.pdf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34</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https://congresosanluis.gob.mx/sites/default/files/unpload/legislacion/codigos/2026/05/Codigo%20Familiar%20del%20Estado%20%28al%2020%20de%20mayo%202026%29.pdf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25</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161 y artículo 187 apartado B fracción II </w:t>
            </w:r>
            <w:r w:rsidRPr="006E437B">
              <w:rPr>
                <w:rFonts w:ascii="Times New Roman" w:hAnsi="Times New Roman" w:cs="Times New Roman"/>
                <w:color w:val="auto"/>
              </w:rPr>
              <w:t>del Código Familiar del Estado de Sinaloa</w:t>
            </w:r>
            <w:r w:rsidRPr="006E437B">
              <w:rPr>
                <w:rFonts w:ascii="Times New Roman" w:hAnsi="Times New Roman" w:cs="Times New Roman"/>
                <w:color w:val="auto"/>
                <w:vertAlign w:val="superscript"/>
              </w:rPr>
              <w:t>35</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El juez en todo tiempo podrá modificar la determinación a que se refiere el artículo anterior, atento a las nuevas circunstancias y a lo dispuesto en los artículos 358, 359 y la fracción III del artículo 380 de este Código, pero siempre y aun tratándose de divorcio, </w:t>
            </w:r>
            <w:r w:rsidRPr="006E437B">
              <w:rPr>
                <w:rFonts w:ascii="Times New Roman" w:hAnsi="Times New Roman" w:cs="Times New Roman"/>
                <w:b/>
                <w:bCs/>
                <w:color w:val="auto"/>
              </w:rPr>
              <w:t>los menores de doce años deberán quedar al cuidado de la madre</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hAnsi="Times New Roman" w:cs="Times New Roman"/>
                <w:b/>
                <w:bCs/>
                <w:sz w:val="24"/>
                <w:szCs w:val="24"/>
              </w:rPr>
              <w:t>Los menores de doce años deberán quedar al cuidado de la madre</w:t>
            </w:r>
            <w:r w:rsidRPr="006E437B">
              <w:rPr>
                <w:rFonts w:ascii="Times New Roman" w:hAnsi="Times New Roman" w:cs="Times New Roman"/>
                <w:sz w:val="24"/>
                <w:szCs w:val="24"/>
              </w:rPr>
              <w:t>, excepto en los casos de violencia familiar cuando ella sea la generadora o exista peligro grave para el normal desarrollo de los hijos. No será obstáculo para la preferencia maternal en la custodia, el hecho de que la madre carezca de recursos económicos</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26</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130 </w:t>
            </w:r>
            <w:r w:rsidRPr="006E437B">
              <w:rPr>
                <w:rFonts w:ascii="Times New Roman" w:hAnsi="Times New Roman" w:cs="Times New Roman"/>
                <w:color w:val="auto"/>
              </w:rPr>
              <w:t>del Código de Familia para el Estado de Sonora</w:t>
            </w:r>
            <w:r w:rsidRPr="006E437B">
              <w:rPr>
                <w:rFonts w:ascii="Times New Roman" w:hAnsi="Times New Roman" w:cs="Times New Roman"/>
                <w:color w:val="auto"/>
                <w:vertAlign w:val="superscript"/>
              </w:rPr>
              <w:t>36</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los casos de nulidad de matrimonio, y aun tratándose de divorcio, </w:t>
            </w:r>
            <w:r w:rsidRPr="006E437B">
              <w:rPr>
                <w:rFonts w:ascii="Times New Roman" w:hAnsi="Times New Roman" w:cs="Times New Roman"/>
                <w:b/>
                <w:bCs/>
                <w:color w:val="auto"/>
              </w:rPr>
              <w:t>los hijos e hijas menores de siete años se mantendrán al cuidado de la madre hasta que cumplan esta edad</w:t>
            </w:r>
            <w:r w:rsidRPr="006E437B">
              <w:rPr>
                <w:rFonts w:ascii="Times New Roman" w:hAnsi="Times New Roman" w:cs="Times New Roman"/>
                <w:color w:val="auto"/>
              </w:rPr>
              <w:t xml:space="preserve">, salvo que se ponga en peligro su salud física, emocional o mental, supuestos en los cuales </w:t>
            </w:r>
            <w:r w:rsidRPr="006E437B">
              <w:rPr>
                <w:rFonts w:ascii="Times New Roman" w:hAnsi="Times New Roman" w:cs="Times New Roman"/>
                <w:b/>
                <w:bCs/>
                <w:color w:val="auto"/>
              </w:rPr>
              <w:t xml:space="preserve">se podrá otorgar la custodia al otro cónyuge o al ascendiente que mejor asegure el desarrollo integral de aquellos </w:t>
            </w:r>
          </w:p>
          <w:p w:rsidR="00470AD7" w:rsidRPr="006E437B" w:rsidRDefault="00470AD7" w:rsidP="00141629">
            <w:pPr>
              <w:pStyle w:val="Default"/>
              <w:jc w:val="both"/>
              <w:rPr>
                <w:rFonts w:ascii="Times New Roman" w:eastAsia="Arial" w:hAnsi="Times New Roman" w:cs="Times New Roman"/>
                <w:b/>
                <w:color w:val="auto"/>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35</w:t>
      </w:r>
      <w:r w:rsidRPr="006E437B">
        <w:rPr>
          <w:rFonts w:ascii="Times New Roman" w:hAnsi="Times New Roman" w:cs="Times New Roman"/>
          <w:color w:val="auto"/>
          <w:sz w:val="20"/>
        </w:rPr>
        <w:t xml:space="preserve"> Disponible en: https://gaceta.congresosinaloa.gob.mx:3001/pdfs/leyes/Ley_4.pdf </w:t>
      </w:r>
    </w:p>
    <w:p w:rsidR="00470AD7" w:rsidRPr="006E437B" w:rsidRDefault="00470AD7" w:rsidP="00426F1A">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36</w:t>
      </w:r>
      <w:r w:rsidRPr="006E437B">
        <w:rPr>
          <w:rFonts w:ascii="Times New Roman" w:hAnsi="Times New Roman" w:cs="Times New Roman"/>
          <w:color w:val="auto"/>
          <w:sz w:val="20"/>
        </w:rPr>
        <w:t xml:space="preserve"> Disponible en: https://stjsonora.gob.mx/acceso_informacion/marco_normativo/CodigoDeFamilia.pdf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27</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453 fracción II </w:t>
            </w:r>
            <w:r w:rsidRPr="006E437B">
              <w:rPr>
                <w:rFonts w:ascii="Times New Roman" w:hAnsi="Times New Roman" w:cs="Times New Roman"/>
                <w:color w:val="auto"/>
              </w:rPr>
              <w:t>del Código Civil del Estado de Tabasco</w:t>
            </w:r>
            <w:r w:rsidRPr="006E437B">
              <w:rPr>
                <w:rFonts w:ascii="Times New Roman" w:hAnsi="Times New Roman" w:cs="Times New Roman"/>
                <w:color w:val="auto"/>
                <w:vertAlign w:val="superscript"/>
              </w:rPr>
              <w:t>37</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Cuando conforme a este Código deba hacerse </w:t>
            </w:r>
            <w:r w:rsidRPr="006E437B">
              <w:rPr>
                <w:rFonts w:ascii="Times New Roman" w:hAnsi="Times New Roman" w:cs="Times New Roman"/>
                <w:b/>
                <w:bCs/>
                <w:color w:val="auto"/>
              </w:rPr>
              <w:t>cargo provisional o definitivamente de la guarda de un menor solamente uno de sus padres</w:t>
            </w:r>
            <w:r w:rsidRPr="006E437B">
              <w:rPr>
                <w:rFonts w:ascii="Times New Roman" w:hAnsi="Times New Roman" w:cs="Times New Roman"/>
                <w:color w:val="auto"/>
              </w:rPr>
              <w:t>, se aplicarán las siguientes disposiciones</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Los menores de siete años quedarán al cuidado de la madre</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El juez decidirá quién se hará cargo de los mayores de siete años, pero menores de catorce </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28</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259 fracción IV </w:t>
            </w:r>
            <w:r w:rsidRPr="006E437B">
              <w:rPr>
                <w:rFonts w:ascii="Times New Roman" w:hAnsi="Times New Roman" w:cs="Times New Roman"/>
                <w:color w:val="auto"/>
              </w:rPr>
              <w:t>del Código Civil para el Estado de Tamaulipas</w:t>
            </w:r>
            <w:r w:rsidRPr="006E437B">
              <w:rPr>
                <w:rFonts w:ascii="Times New Roman" w:hAnsi="Times New Roman" w:cs="Times New Roman"/>
                <w:color w:val="auto"/>
                <w:vertAlign w:val="superscript"/>
              </w:rPr>
              <w:t>38</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Salvo peligro para el normal desarrollo de los hijos, </w:t>
            </w:r>
            <w:r w:rsidRPr="006E437B">
              <w:rPr>
                <w:rFonts w:ascii="Times New Roman" w:hAnsi="Times New Roman" w:cs="Times New Roman"/>
                <w:b/>
                <w:bCs/>
                <w:color w:val="auto"/>
              </w:rPr>
              <w:t xml:space="preserve">los menores que se encuentren en período de lactancia, quedarán preferentemente al cuidado de la madre </w:t>
            </w:r>
          </w:p>
          <w:p w:rsidR="00470AD7" w:rsidRPr="006E437B" w:rsidRDefault="00470AD7" w:rsidP="00141629">
            <w:pPr>
              <w:pStyle w:val="Default"/>
              <w:jc w:val="both"/>
              <w:rPr>
                <w:rFonts w:ascii="Times New Roman" w:eastAsia="Arial" w:hAnsi="Times New Roman" w:cs="Times New Roman"/>
                <w:b/>
                <w:color w:val="auto"/>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29</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113 y artículo 130 fracción V </w:t>
            </w:r>
            <w:r w:rsidRPr="006E437B">
              <w:rPr>
                <w:rFonts w:ascii="Times New Roman" w:hAnsi="Times New Roman" w:cs="Times New Roman"/>
                <w:color w:val="auto"/>
              </w:rPr>
              <w:t>del Código Civil Para el Estado Libre y Soberano de Tlaxcala</w:t>
            </w:r>
            <w:r w:rsidRPr="006E437B">
              <w:rPr>
                <w:rFonts w:ascii="Times New Roman" w:hAnsi="Times New Roman" w:cs="Times New Roman"/>
                <w:color w:val="auto"/>
                <w:vertAlign w:val="superscript"/>
              </w:rPr>
              <w:t>39</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Mientras se decreta el divorcio, </w:t>
            </w:r>
            <w:r w:rsidRPr="006E437B">
              <w:rPr>
                <w:rFonts w:ascii="Times New Roman" w:hAnsi="Times New Roman" w:cs="Times New Roman"/>
                <w:b/>
                <w:bCs/>
                <w:color w:val="auto"/>
              </w:rPr>
              <w:t xml:space="preserve">el Juez citará a una junta familiar en la que dispondrá la separación de los cónyuges si no estuvieren ya separados, de una manera provisional, se definirá a quien corresponda la custodia provisional de los hijos menores de edad </w:t>
            </w:r>
            <w:r w:rsidRPr="006E437B">
              <w:rPr>
                <w:rFonts w:ascii="Times New Roman" w:hAnsi="Times New Roman" w:cs="Times New Roman"/>
                <w:color w:val="auto"/>
              </w:rPr>
              <w:t xml:space="preserve">y dictará las medidas necesarias para garantizar la subsistencia de los hijos, a quienes haya obligación de dar alimentos </w:t>
            </w:r>
          </w:p>
          <w:p w:rsidR="00470AD7" w:rsidRPr="006E437B" w:rsidRDefault="00470AD7" w:rsidP="00141629">
            <w:pPr>
              <w:pStyle w:val="Default"/>
              <w:jc w:val="both"/>
              <w:rPr>
                <w:rFonts w:ascii="Times New Roman" w:eastAsia="Arial" w:hAnsi="Times New Roman" w:cs="Times New Roman"/>
                <w:b/>
                <w:color w:val="auto"/>
              </w:rPr>
            </w:pP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Los </w:t>
            </w:r>
            <w:r w:rsidRPr="006E437B">
              <w:rPr>
                <w:rFonts w:ascii="Times New Roman" w:hAnsi="Times New Roman" w:cs="Times New Roman"/>
                <w:b/>
                <w:bCs/>
                <w:color w:val="auto"/>
              </w:rPr>
              <w:t>hijos menores de seis años quedarán en poder de la madre</w:t>
            </w:r>
            <w:r w:rsidRPr="006E437B">
              <w:rPr>
                <w:rFonts w:ascii="Times New Roman" w:hAnsi="Times New Roman" w:cs="Times New Roman"/>
                <w:color w:val="auto"/>
              </w:rPr>
              <w:t xml:space="preserve">, salvo que se ponga en peligro la salud física o mental de los hijos </w:t>
            </w:r>
          </w:p>
          <w:p w:rsidR="00470AD7" w:rsidRPr="006E437B" w:rsidRDefault="00470AD7" w:rsidP="00141629">
            <w:pPr>
              <w:pStyle w:val="Default"/>
              <w:jc w:val="both"/>
              <w:rPr>
                <w:rFonts w:ascii="Times New Roman" w:eastAsia="Arial" w:hAnsi="Times New Roman" w:cs="Times New Roman"/>
                <w:b/>
                <w:color w:val="auto"/>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37</w:t>
      </w:r>
      <w:r w:rsidRPr="006E437B">
        <w:rPr>
          <w:rFonts w:ascii="Times New Roman" w:hAnsi="Times New Roman" w:cs="Times New Roman"/>
          <w:color w:val="auto"/>
          <w:sz w:val="20"/>
        </w:rPr>
        <w:t xml:space="preserve"> Disponible en: https://tsj-tabasco.gob.mx/biblioteca/3414/Codigos/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38</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https://www.congresotamaulipas.gob.mx/Parlamentario/Archivos/Codigos/Codigo%20Civil%20para%20el%20Estado%20de%20Tamaulipas%2030-03-2026.pdf </w:t>
      </w:r>
    </w:p>
    <w:p w:rsidR="00470AD7" w:rsidRPr="006E437B" w:rsidRDefault="00470AD7" w:rsidP="00426F1A">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39</w:t>
      </w:r>
      <w:r w:rsidRPr="006E437B">
        <w:rPr>
          <w:rFonts w:ascii="Times New Roman" w:hAnsi="Times New Roman" w:cs="Times New Roman"/>
          <w:color w:val="auto"/>
          <w:sz w:val="20"/>
        </w:rPr>
        <w:t xml:space="preserve"> Disponible en: https://congresodetlaxcala.gob.mx/archivo/leyes2020/pdf/1_codigo_civil_par.pdf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30</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144 fracción VI </w:t>
            </w:r>
            <w:r w:rsidRPr="006E437B">
              <w:rPr>
                <w:rFonts w:ascii="Times New Roman" w:hAnsi="Times New Roman" w:cs="Times New Roman"/>
                <w:color w:val="auto"/>
              </w:rPr>
              <w:t>del Código Civil para el Estado de Veracruz de Ignacio De la Llave</w:t>
            </w:r>
            <w:r w:rsidRPr="006E437B">
              <w:rPr>
                <w:rFonts w:ascii="Times New Roman" w:hAnsi="Times New Roman" w:cs="Times New Roman"/>
                <w:color w:val="auto"/>
                <w:vertAlign w:val="superscript"/>
              </w:rPr>
              <w:t>40</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Desde que se solicita la nulidad del matrimonio o el divorcio incausado, y mientras dure el </w:t>
            </w:r>
            <w:r w:rsidRPr="006E437B">
              <w:rPr>
                <w:rFonts w:ascii="Times New Roman" w:hAnsi="Times New Roman" w:cs="Times New Roman"/>
                <w:b/>
                <w:bCs/>
                <w:color w:val="auto"/>
              </w:rPr>
              <w:t xml:space="preserve">procedimiento se dictarán las </w:t>
            </w:r>
            <w:r w:rsidRPr="006E437B">
              <w:rPr>
                <w:rFonts w:ascii="Times New Roman" w:hAnsi="Times New Roman" w:cs="Times New Roman"/>
                <w:b/>
                <w:bCs/>
                <w:color w:val="auto"/>
                <w:u w:val="single"/>
              </w:rPr>
              <w:t>medidas provisionales pertinentes</w:t>
            </w:r>
            <w:r w:rsidRPr="006E437B">
              <w:rPr>
                <w:rFonts w:ascii="Times New Roman" w:hAnsi="Times New Roman" w:cs="Times New Roman"/>
                <w:color w:val="auto"/>
              </w:rPr>
              <w:t xml:space="preserve">, según corresponda y de acuerdo con las disposiciones siguientes las </w:t>
            </w:r>
            <w:r w:rsidRPr="006E437B">
              <w:rPr>
                <w:rFonts w:ascii="Times New Roman" w:hAnsi="Times New Roman" w:cs="Times New Roman"/>
                <w:b/>
                <w:bCs/>
                <w:color w:val="auto"/>
              </w:rPr>
              <w:t xml:space="preserve">niñas y niños menores de siete años deberán quedar preferentemente al cuidado de </w:t>
            </w:r>
            <w:r w:rsidRPr="006E437B">
              <w:rPr>
                <w:rFonts w:ascii="Times New Roman" w:hAnsi="Times New Roman" w:cs="Times New Roman"/>
                <w:b/>
                <w:bCs/>
                <w:color w:val="auto"/>
                <w:u w:val="single"/>
              </w:rPr>
              <w:t>quien garantice su interés superior</w:t>
            </w:r>
            <w:r w:rsidRPr="006E437B">
              <w:rPr>
                <w:rFonts w:ascii="Times New Roman" w:hAnsi="Times New Roman" w:cs="Times New Roman"/>
                <w:b/>
                <w:bCs/>
                <w:color w:val="auto"/>
              </w:rPr>
              <w:t xml:space="preserve"> </w:t>
            </w:r>
          </w:p>
          <w:p w:rsidR="00470AD7" w:rsidRPr="006E437B" w:rsidRDefault="00470AD7" w:rsidP="00141629">
            <w:pPr>
              <w:pStyle w:val="Sinespaciado"/>
              <w:jc w:val="both"/>
              <w:rPr>
                <w:rFonts w:ascii="Times New Roman" w:eastAsia="Arial" w:hAnsi="Times New Roman" w:cs="Times New Roman"/>
                <w:b/>
                <w:sz w:val="24"/>
                <w:szCs w:val="24"/>
              </w:rPr>
            </w:pP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31</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333 </w:t>
            </w:r>
            <w:r w:rsidRPr="006E437B">
              <w:rPr>
                <w:rFonts w:ascii="Times New Roman" w:hAnsi="Times New Roman" w:cs="Times New Roman"/>
                <w:color w:val="auto"/>
              </w:rPr>
              <w:t>del Código de Familia para el Estado de Yucatán</w:t>
            </w:r>
            <w:r w:rsidRPr="006E437B">
              <w:rPr>
                <w:rFonts w:ascii="Times New Roman" w:hAnsi="Times New Roman" w:cs="Times New Roman"/>
                <w:color w:val="auto"/>
                <w:vertAlign w:val="superscript"/>
              </w:rPr>
              <w:t>41</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El juez tiene la facultad de decretar la custodia provisional de las niñas, niños y adolescentes, en los casos en que así se requiera.</w:t>
            </w:r>
          </w:p>
          <w:p w:rsidR="00470AD7" w:rsidRPr="006E437B" w:rsidRDefault="00470AD7" w:rsidP="00141629">
            <w:pPr>
              <w:pStyle w:val="Default"/>
              <w:jc w:val="both"/>
              <w:rPr>
                <w:rFonts w:ascii="Times New Roman" w:hAnsi="Times New Roman" w:cs="Times New Roman"/>
                <w:color w:val="auto"/>
              </w:rPr>
            </w:pP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La custodia provisional puede ser otorgada sólo a </w:t>
            </w:r>
            <w:r w:rsidRPr="006E437B">
              <w:rPr>
                <w:rFonts w:ascii="Times New Roman" w:hAnsi="Times New Roman" w:cs="Times New Roman"/>
                <w:b/>
                <w:bCs/>
                <w:color w:val="auto"/>
                <w:u w:val="single"/>
              </w:rPr>
              <w:t>uno de los progenitores</w:t>
            </w:r>
            <w:r w:rsidRPr="006E437B">
              <w:rPr>
                <w:rFonts w:ascii="Times New Roman" w:hAnsi="Times New Roman" w:cs="Times New Roman"/>
                <w:color w:val="auto"/>
              </w:rPr>
              <w:t xml:space="preserve">; a las personas que les corresponda el ejercicio de la patria potestad; </w:t>
            </w:r>
            <w:r w:rsidRPr="006E437B">
              <w:rPr>
                <w:rFonts w:ascii="Times New Roman" w:hAnsi="Times New Roman" w:cs="Times New Roman"/>
                <w:b/>
                <w:bCs/>
                <w:color w:val="auto"/>
              </w:rPr>
              <w:t xml:space="preserve">a los </w:t>
            </w:r>
            <w:r w:rsidRPr="006E437B">
              <w:rPr>
                <w:rFonts w:ascii="Times New Roman" w:hAnsi="Times New Roman" w:cs="Times New Roman"/>
                <w:b/>
                <w:bCs/>
                <w:color w:val="auto"/>
                <w:u w:val="single"/>
              </w:rPr>
              <w:t>parientes colaterales hasta el tercer grado</w:t>
            </w:r>
            <w:r w:rsidRPr="006E437B">
              <w:rPr>
                <w:rFonts w:ascii="Times New Roman" w:hAnsi="Times New Roman" w:cs="Times New Roman"/>
                <w:b/>
                <w:bCs/>
                <w:color w:val="auto"/>
              </w:rPr>
              <w:t xml:space="preserve"> o, en caso de que haya imposibilidad de designar a alguno de los familiares</w:t>
            </w:r>
            <w:r w:rsidRPr="006E437B">
              <w:rPr>
                <w:rFonts w:ascii="Times New Roman" w:hAnsi="Times New Roman" w:cs="Times New Roman"/>
                <w:color w:val="auto"/>
              </w:rPr>
              <w:t xml:space="preserve">, o habiéndolo considera que no se protegería adecuadamente el </w:t>
            </w:r>
            <w:r w:rsidRPr="006E437B">
              <w:rPr>
                <w:rFonts w:ascii="Times New Roman" w:hAnsi="Times New Roman" w:cs="Times New Roman"/>
                <w:b/>
                <w:bCs/>
                <w:color w:val="auto"/>
              </w:rPr>
              <w:t>interés superior de la niña, del niño o adolescente</w:t>
            </w:r>
            <w:r w:rsidRPr="006E437B">
              <w:rPr>
                <w:rFonts w:ascii="Times New Roman" w:hAnsi="Times New Roman" w:cs="Times New Roman"/>
                <w:color w:val="auto"/>
              </w:rPr>
              <w:t xml:space="preserve">, puede determinar su entrega a algún centro de asistencia social o a una familia de acogida </w:t>
            </w:r>
          </w:p>
          <w:p w:rsidR="00470AD7" w:rsidRPr="006E437B" w:rsidRDefault="00470AD7" w:rsidP="00141629">
            <w:pPr>
              <w:pStyle w:val="Default"/>
              <w:jc w:val="both"/>
              <w:rPr>
                <w:rFonts w:ascii="Times New Roman" w:eastAsia="Arial" w:hAnsi="Times New Roman" w:cs="Times New Roman"/>
                <w:b/>
                <w:color w:val="auto"/>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40</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https://www.legisver.gob.mx/leyes/LeyesPDF/CCIVIL08102025SCJN.pdf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41</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https://www.congresoyucatan.gob.mx/legislacion/codigos </w:t>
      </w:r>
    </w:p>
    <w:p w:rsidR="00470AD7" w:rsidRPr="006E437B" w:rsidRDefault="00470AD7" w:rsidP="00141629">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704"/>
        <w:gridCol w:w="2693"/>
        <w:gridCol w:w="5998"/>
      </w:tblGrid>
      <w:tr w:rsidR="00470AD7" w:rsidRPr="006E437B" w:rsidTr="00470AD7">
        <w:tc>
          <w:tcPr>
            <w:tcW w:w="9395" w:type="dxa"/>
            <w:gridSpan w:val="3"/>
            <w:shd w:val="clear" w:color="auto" w:fill="BFBFBF" w:themeFill="background1" w:themeFillShade="BF"/>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Cuadro comparativo de las 32 Entidades Federativas, en materia de asignación de guarda y custodia en caso de divorcio o separación de conyugues</w:t>
            </w:r>
          </w:p>
        </w:tc>
      </w:tr>
      <w:tr w:rsidR="00470AD7" w:rsidRPr="006E437B" w:rsidTr="00470AD7">
        <w:tc>
          <w:tcPr>
            <w:tcW w:w="704"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N°</w:t>
            </w:r>
          </w:p>
        </w:tc>
        <w:tc>
          <w:tcPr>
            <w:tcW w:w="2693"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Disposición legal en donde se prevé</w:t>
            </w:r>
          </w:p>
        </w:tc>
        <w:tc>
          <w:tcPr>
            <w:tcW w:w="5998" w:type="dxa"/>
            <w:shd w:val="clear" w:color="auto" w:fill="D9D9D9" w:themeFill="background1" w:themeFillShade="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Síntesis de la disposición legal</w:t>
            </w:r>
          </w:p>
        </w:tc>
      </w:tr>
      <w:tr w:rsidR="00470AD7" w:rsidRPr="006E437B" w:rsidTr="00470AD7">
        <w:tc>
          <w:tcPr>
            <w:tcW w:w="704" w:type="dxa"/>
            <w:shd w:val="clear" w:color="auto" w:fill="auto"/>
          </w:tcPr>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32</w:t>
            </w:r>
          </w:p>
        </w:tc>
        <w:tc>
          <w:tcPr>
            <w:tcW w:w="2693"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234 fracción V </w:t>
            </w:r>
            <w:r w:rsidRPr="006E437B">
              <w:rPr>
                <w:rFonts w:ascii="Times New Roman" w:hAnsi="Times New Roman" w:cs="Times New Roman"/>
                <w:color w:val="auto"/>
              </w:rPr>
              <w:t>del Código Familiar del Estado de Zacatecas</w:t>
            </w:r>
            <w:r w:rsidRPr="006E437B">
              <w:rPr>
                <w:rFonts w:ascii="Times New Roman" w:hAnsi="Times New Roman" w:cs="Times New Roman"/>
                <w:color w:val="auto"/>
                <w:vertAlign w:val="superscript"/>
              </w:rPr>
              <w:t>42</w:t>
            </w:r>
            <w:r w:rsidRPr="006E437B">
              <w:rPr>
                <w:rFonts w:ascii="Times New Roman" w:hAnsi="Times New Roman" w:cs="Times New Roman"/>
                <w:color w:val="auto"/>
              </w:rPr>
              <w:t xml:space="preserve"> </w:t>
            </w:r>
          </w:p>
          <w:p w:rsidR="00470AD7" w:rsidRPr="006E437B" w:rsidRDefault="00470AD7" w:rsidP="00141629">
            <w:pPr>
              <w:pStyle w:val="Default"/>
              <w:jc w:val="both"/>
              <w:rPr>
                <w:rFonts w:ascii="Times New Roman" w:eastAsia="Arial" w:hAnsi="Times New Roman" w:cs="Times New Roman"/>
                <w:b/>
                <w:color w:val="auto"/>
              </w:rPr>
            </w:pPr>
          </w:p>
        </w:tc>
        <w:tc>
          <w:tcPr>
            <w:tcW w:w="5998" w:type="dxa"/>
            <w:shd w:val="clear" w:color="auto" w:fill="auto"/>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Mientras que se decreta el divorcio, al admitir la demanda el Juez, y en los casos que lo considere pertinente, con el auxilio de la instancia de mediación del Poder Judicial del Estado, de oficio dictará provisionalmente las siguientes medidas </w:t>
            </w:r>
            <w:r w:rsidRPr="006E437B">
              <w:rPr>
                <w:rFonts w:ascii="Times New Roman" w:hAnsi="Times New Roman" w:cs="Times New Roman"/>
                <w:b/>
                <w:bCs/>
                <w:color w:val="auto"/>
              </w:rPr>
              <w:t xml:space="preserve">poner a los hijos al cuidado de la persona que de común acuerdo hubieren designado los cónyuges, pudiendo ser </w:t>
            </w:r>
            <w:r w:rsidRPr="006E437B">
              <w:rPr>
                <w:rFonts w:ascii="Times New Roman" w:hAnsi="Times New Roman" w:cs="Times New Roman"/>
                <w:b/>
                <w:bCs/>
                <w:color w:val="auto"/>
                <w:u w:val="single"/>
              </w:rPr>
              <w:t>uno de éstos</w:t>
            </w:r>
            <w:r w:rsidRPr="006E437B">
              <w:rPr>
                <w:rFonts w:ascii="Times New Roman" w:hAnsi="Times New Roman" w:cs="Times New Roman"/>
                <w:color w:val="auto"/>
              </w:rPr>
              <w:t xml:space="preserve">. En defecto de ese acuerdo, el cónyuge que pide el divorcio propondrá la persona a cuyo cuidado deben quedar provisionalmente los hijos. El Juez, con audiencia del otro cónyuge, resolverá inmediatamente designando la persona que crea conveniente en caso de no ser aceptada la propuesta </w:t>
            </w:r>
          </w:p>
          <w:p w:rsidR="00470AD7" w:rsidRPr="006E437B" w:rsidRDefault="00470AD7" w:rsidP="00141629">
            <w:pPr>
              <w:pStyle w:val="Sinespaciado"/>
              <w:jc w:val="both"/>
              <w:rPr>
                <w:rFonts w:ascii="Times New Roman" w:eastAsia="Arial" w:hAnsi="Times New Roman" w:cs="Times New Roman"/>
                <w:b/>
                <w:sz w:val="24"/>
                <w:szCs w:val="24"/>
              </w:rPr>
            </w:pP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De lo anterior, se desprende que </w:t>
      </w:r>
      <w:r w:rsidRPr="006E437B">
        <w:rPr>
          <w:rFonts w:ascii="Times New Roman" w:eastAsia="Arial" w:hAnsi="Times New Roman" w:cs="Times New Roman"/>
          <w:b/>
          <w:sz w:val="24"/>
          <w:szCs w:val="24"/>
        </w:rPr>
        <w:t xml:space="preserve">en 18 Entidades Federativas (el 58.25 %) las disposiciones legales del Código Civil o familiar </w:t>
      </w:r>
      <w:r w:rsidRPr="006E437B">
        <w:rPr>
          <w:rFonts w:ascii="Times New Roman" w:eastAsia="Arial" w:hAnsi="Times New Roman" w:cs="Times New Roman"/>
          <w:b/>
          <w:sz w:val="24"/>
          <w:szCs w:val="24"/>
          <w:u w:val="thick" w:color="FF0000"/>
        </w:rPr>
        <w:t>aún siguen instruyendo que la designación (de manera preferente) de la guarda y custodia se asigne a la madre</w:t>
      </w:r>
      <w:r w:rsidRPr="006E437B">
        <w:rPr>
          <w:rFonts w:ascii="Times New Roman" w:eastAsia="Arial" w:hAnsi="Times New Roman" w:cs="Times New Roman"/>
          <w:sz w:val="24"/>
          <w:szCs w:val="24"/>
        </w:rPr>
        <w:t>, en el siguiente rango de edad:</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menores en </w:t>
      </w:r>
      <w:r w:rsidRPr="006E437B">
        <w:rPr>
          <w:rFonts w:ascii="Times New Roman" w:eastAsia="Arial" w:hAnsi="Times New Roman" w:cs="Times New Roman"/>
          <w:b/>
          <w:sz w:val="24"/>
          <w:szCs w:val="24"/>
        </w:rPr>
        <w:t>periodo de lactancia (cero a dos años)</w:t>
      </w:r>
      <w:r w:rsidRPr="006E437B">
        <w:rPr>
          <w:rFonts w:ascii="Times New Roman" w:eastAsia="Arial" w:hAnsi="Times New Roman" w:cs="Times New Roman"/>
          <w:sz w:val="24"/>
          <w:szCs w:val="24"/>
        </w:rPr>
        <w:t>: Nayarit y Tamaulipas</w:t>
      </w: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menores de </w:t>
      </w:r>
      <w:r w:rsidRPr="006E437B">
        <w:rPr>
          <w:rFonts w:ascii="Times New Roman" w:eastAsia="Arial" w:hAnsi="Times New Roman" w:cs="Times New Roman"/>
          <w:b/>
          <w:sz w:val="24"/>
          <w:szCs w:val="24"/>
        </w:rPr>
        <w:t>seis años</w:t>
      </w:r>
      <w:r w:rsidRPr="006E437B">
        <w:rPr>
          <w:rFonts w:ascii="Times New Roman" w:eastAsia="Arial" w:hAnsi="Times New Roman" w:cs="Times New Roman"/>
          <w:sz w:val="24"/>
          <w:szCs w:val="24"/>
        </w:rPr>
        <w:t>: Tlaxcala</w:t>
      </w: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menores de </w:t>
      </w:r>
      <w:r w:rsidRPr="006E437B">
        <w:rPr>
          <w:rFonts w:ascii="Times New Roman" w:eastAsia="Arial" w:hAnsi="Times New Roman" w:cs="Times New Roman"/>
          <w:b/>
          <w:sz w:val="24"/>
          <w:szCs w:val="24"/>
        </w:rPr>
        <w:t>siete años</w:t>
      </w:r>
      <w:r w:rsidRPr="006E437B">
        <w:rPr>
          <w:rFonts w:ascii="Times New Roman" w:eastAsia="Arial" w:hAnsi="Times New Roman" w:cs="Times New Roman"/>
          <w:sz w:val="24"/>
          <w:szCs w:val="24"/>
        </w:rPr>
        <w:t>: Baja California Sur, Chiapas, Chihuahua, Durango, Guerrero, Sonora y Tabasco</w:t>
      </w: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menores de </w:t>
      </w:r>
      <w:r w:rsidRPr="006E437B">
        <w:rPr>
          <w:rFonts w:ascii="Times New Roman" w:eastAsia="Arial" w:hAnsi="Times New Roman" w:cs="Times New Roman"/>
          <w:b/>
          <w:sz w:val="24"/>
          <w:szCs w:val="24"/>
        </w:rPr>
        <w:t xml:space="preserve">doce años </w:t>
      </w:r>
      <w:r w:rsidRPr="006E437B">
        <w:rPr>
          <w:rFonts w:ascii="Times New Roman" w:eastAsia="Arial" w:hAnsi="Times New Roman" w:cs="Times New Roman"/>
          <w:sz w:val="24"/>
          <w:szCs w:val="24"/>
        </w:rPr>
        <w:t>Guanajuato, Hidalgo, México, Nuevo León, Puebla, Quintana Roo y Sinaloa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En contraste, </w:t>
      </w:r>
      <w:r w:rsidRPr="006E437B">
        <w:rPr>
          <w:rFonts w:ascii="Times New Roman" w:eastAsia="Arial" w:hAnsi="Times New Roman" w:cs="Times New Roman"/>
          <w:b/>
          <w:sz w:val="24"/>
          <w:szCs w:val="24"/>
          <w:u w:val="thick" w:color="FF0000"/>
        </w:rPr>
        <w:t>14 Estados (el 43.75 por ciento) prevén una legislación en donde la guarda y</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FF0000"/>
        </w:rPr>
        <w:t>custodia de los menores puede otorgarse tanto a la madre como al padre</w:t>
      </w:r>
      <w:r w:rsidRPr="006E437B">
        <w:rPr>
          <w:rFonts w:ascii="Times New Roman" w:eastAsia="Arial" w:hAnsi="Times New Roman" w:cs="Times New Roman"/>
          <w:b/>
          <w:sz w:val="24"/>
          <w:szCs w:val="24"/>
        </w:rPr>
        <w:t xml:space="preserve"> (libre de estereotipos), </w:t>
      </w:r>
      <w:r w:rsidRPr="006E437B">
        <w:rPr>
          <w:rFonts w:ascii="Times New Roman" w:eastAsia="Arial" w:hAnsi="Times New Roman" w:cs="Times New Roman"/>
          <w:sz w:val="24"/>
          <w:szCs w:val="24"/>
        </w:rPr>
        <w:t xml:space="preserve">cada uno con sus particularidades y supuestos, siendo estos </w:t>
      </w:r>
      <w:r w:rsidRPr="006E437B">
        <w:rPr>
          <w:rFonts w:ascii="Times New Roman" w:eastAsia="Arial" w:hAnsi="Times New Roman" w:cs="Times New Roman"/>
          <w:b/>
          <w:sz w:val="24"/>
          <w:szCs w:val="24"/>
        </w:rPr>
        <w:t>Aguascalientes, Baja California, Coahuila de Zaragoza, Colima, Ciudad de México, Jalisco, Michoacán de Ocampo, Morelos, Oaxaca, Querétaro, San Luis Potosí, Veracruz de Ignacio De la Llave, Yucatán y Zacatecas</w:t>
      </w:r>
      <w:r w:rsidRPr="006E437B">
        <w:rPr>
          <w:rFonts w:ascii="Times New Roman" w:eastAsia="Arial" w:hAnsi="Times New Roman" w:cs="Times New Roman"/>
          <w:sz w:val="24"/>
          <w:szCs w:val="24"/>
        </w:rPr>
        <w:t>.</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0674C2">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42</w:t>
      </w:r>
      <w:r w:rsidRPr="006E437B">
        <w:rPr>
          <w:rFonts w:ascii="Times New Roman" w:hAnsi="Times New Roman" w:cs="Times New Roman"/>
          <w:color w:val="auto"/>
          <w:sz w:val="20"/>
        </w:rPr>
        <w:t xml:space="preserve"> Disponible en: https://www.congresozac.gob.mx/65/ley&amp;cual=104&amp;tipo=pdf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Bajo ese tenor y una vez realizado el análisis legislativo correspondiente, es necesario revisar las disposiciones legales de la materia, a efecto de generar una atinada propuesta de texto normativo.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Convención Americana sobre Derechos Humanos</w:t>
      </w:r>
      <w:r w:rsidRPr="006E437B">
        <w:rPr>
          <w:rFonts w:ascii="Times New Roman" w:eastAsia="Arial" w:hAnsi="Times New Roman" w:cs="Times New Roman"/>
          <w:sz w:val="24"/>
          <w:szCs w:val="24"/>
          <w:vertAlign w:val="superscript"/>
        </w:rPr>
        <w:t>43</w:t>
      </w:r>
      <w:r w:rsidRPr="006E437B">
        <w:rPr>
          <w:rFonts w:ascii="Times New Roman" w:eastAsia="Arial" w:hAnsi="Times New Roman" w:cs="Times New Roman"/>
          <w:sz w:val="24"/>
          <w:szCs w:val="24"/>
        </w:rPr>
        <w:t>, decreta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La familia es el elemento natural y fundamental de la sociedad y debe ser protegida por la sociedad y el Estado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Todo niño tiene derecho a las </w:t>
      </w:r>
      <w:r w:rsidRPr="006E437B">
        <w:rPr>
          <w:rFonts w:ascii="Times New Roman" w:eastAsia="Arial" w:hAnsi="Times New Roman" w:cs="Times New Roman"/>
          <w:b/>
          <w:i/>
          <w:sz w:val="24"/>
          <w:szCs w:val="24"/>
          <w:u w:val="thick" w:color="000000"/>
        </w:rPr>
        <w:t>medidas de protección que su condición de menor</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 xml:space="preserve">requieren </w:t>
      </w:r>
      <w:r w:rsidRPr="006E437B">
        <w:rPr>
          <w:rFonts w:ascii="Times New Roman" w:eastAsia="Arial" w:hAnsi="Times New Roman" w:cs="Times New Roman"/>
          <w:b/>
          <w:i/>
          <w:sz w:val="24"/>
          <w:szCs w:val="24"/>
        </w:rPr>
        <w:t>por parte de su familia</w:t>
      </w:r>
      <w:r w:rsidRPr="006E437B">
        <w:rPr>
          <w:rFonts w:ascii="Times New Roman" w:eastAsia="Arial" w:hAnsi="Times New Roman" w:cs="Times New Roman"/>
          <w:i/>
          <w:sz w:val="24"/>
          <w:szCs w:val="24"/>
        </w:rPr>
        <w:t xml:space="preserve">, de la sociedad y </w:t>
      </w:r>
      <w:r w:rsidRPr="006E437B">
        <w:rPr>
          <w:rFonts w:ascii="Times New Roman" w:eastAsia="Arial" w:hAnsi="Times New Roman" w:cs="Times New Roman"/>
          <w:b/>
          <w:i/>
          <w:sz w:val="24"/>
          <w:szCs w:val="24"/>
        </w:rPr>
        <w:t>del Estado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Convención sobre la eliminación de todas las formas de discriminación contra la mujer</w:t>
      </w:r>
      <w:r w:rsidRPr="006E437B">
        <w:rPr>
          <w:rFonts w:ascii="Times New Roman" w:eastAsia="Arial" w:hAnsi="Times New Roman" w:cs="Times New Roman"/>
          <w:sz w:val="24"/>
          <w:szCs w:val="24"/>
          <w:vertAlign w:val="superscript"/>
        </w:rPr>
        <w:t>44</w:t>
      </w:r>
      <w:r w:rsidRPr="006E437B">
        <w:rPr>
          <w:rFonts w:ascii="Times New Roman" w:eastAsia="Arial" w:hAnsi="Times New Roman" w:cs="Times New Roman"/>
          <w:sz w:val="24"/>
          <w:szCs w:val="24"/>
        </w:rPr>
        <w:t xml:space="preserve"> (CEDAW) determina que </w:t>
      </w:r>
      <w:r w:rsidRPr="006E437B">
        <w:rPr>
          <w:rFonts w:ascii="Times New Roman" w:eastAsia="Arial" w:hAnsi="Times New Roman" w:cs="Times New Roman"/>
          <w:b/>
          <w:i/>
          <w:sz w:val="24"/>
          <w:szCs w:val="24"/>
        </w:rPr>
        <w:t xml:space="preserve">los Estados Partes adoptarán todas las medidas adecuadas para eliminar la discriminación contra la mujer en todos los asuntos relacionados con </w:t>
      </w:r>
      <w:r w:rsidRPr="006E437B">
        <w:rPr>
          <w:rFonts w:ascii="Times New Roman" w:eastAsia="Arial" w:hAnsi="Times New Roman" w:cs="Times New Roman"/>
          <w:i/>
          <w:sz w:val="24"/>
          <w:szCs w:val="24"/>
        </w:rPr>
        <w:t xml:space="preserve">el matrimonio y </w:t>
      </w:r>
      <w:r w:rsidRPr="006E437B">
        <w:rPr>
          <w:rFonts w:ascii="Times New Roman" w:eastAsia="Arial" w:hAnsi="Times New Roman" w:cs="Times New Roman"/>
          <w:b/>
          <w:i/>
          <w:sz w:val="24"/>
          <w:szCs w:val="24"/>
        </w:rPr>
        <w:t>las relaciones familiares y, en particular, asegurarán en condiciones de igualdad entre hombres y mujeres</w:t>
      </w:r>
      <w:r w:rsidRPr="006E437B">
        <w:rPr>
          <w:rFonts w:ascii="Times New Roman" w:eastAsia="Arial" w:hAnsi="Times New Roman" w:cs="Times New Roman"/>
          <w:i/>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Los </w:t>
      </w:r>
      <w:r w:rsidRPr="006E437B">
        <w:rPr>
          <w:rFonts w:ascii="Times New Roman" w:eastAsia="Arial" w:hAnsi="Times New Roman" w:cs="Times New Roman"/>
          <w:b/>
          <w:i/>
          <w:sz w:val="24"/>
          <w:szCs w:val="24"/>
        </w:rPr>
        <w:t xml:space="preserve">mismos derechos y responsabilidades </w:t>
      </w:r>
      <w:r w:rsidRPr="006E437B">
        <w:rPr>
          <w:rFonts w:ascii="Times New Roman" w:eastAsia="Arial" w:hAnsi="Times New Roman" w:cs="Times New Roman"/>
          <w:i/>
          <w:sz w:val="24"/>
          <w:szCs w:val="24"/>
        </w:rPr>
        <w:t xml:space="preserve">durante el matrimonio </w:t>
      </w:r>
      <w:r w:rsidRPr="006E437B">
        <w:rPr>
          <w:rFonts w:ascii="Times New Roman" w:eastAsia="Arial" w:hAnsi="Times New Roman" w:cs="Times New Roman"/>
          <w:b/>
          <w:i/>
          <w:sz w:val="24"/>
          <w:szCs w:val="24"/>
        </w:rPr>
        <w:t>y con ocasión de su disolución</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8"/>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Los </w:t>
      </w:r>
      <w:r w:rsidRPr="006E437B">
        <w:rPr>
          <w:rFonts w:ascii="Times New Roman" w:eastAsia="Arial" w:hAnsi="Times New Roman" w:cs="Times New Roman"/>
          <w:b/>
          <w:i/>
          <w:sz w:val="24"/>
          <w:szCs w:val="24"/>
        </w:rPr>
        <w:t>mismos derechos y responsabilidades como progenitores, cualquiera que sea su estado civil</w:t>
      </w:r>
      <w:r w:rsidRPr="006E437B">
        <w:rPr>
          <w:rFonts w:ascii="Times New Roman" w:eastAsia="Arial" w:hAnsi="Times New Roman" w:cs="Times New Roman"/>
          <w:i/>
          <w:sz w:val="24"/>
          <w:szCs w:val="24"/>
        </w:rPr>
        <w:t xml:space="preserve">, en materias relacionadas con sus hijos; </w:t>
      </w:r>
      <w:r w:rsidRPr="006E437B">
        <w:rPr>
          <w:rFonts w:ascii="Times New Roman" w:eastAsia="Arial" w:hAnsi="Times New Roman" w:cs="Times New Roman"/>
          <w:b/>
          <w:i/>
          <w:sz w:val="24"/>
          <w:szCs w:val="24"/>
        </w:rPr>
        <w:t xml:space="preserve">en todos los casos, </w:t>
      </w:r>
      <w:r w:rsidRPr="006E437B">
        <w:rPr>
          <w:rFonts w:ascii="Times New Roman" w:eastAsia="Arial" w:hAnsi="Times New Roman" w:cs="Times New Roman"/>
          <w:b/>
          <w:i/>
          <w:sz w:val="24"/>
          <w:szCs w:val="24"/>
          <w:u w:val="thick" w:color="000000"/>
        </w:rPr>
        <w:t>los intereses de los hijos serán la consideración primordial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43</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https://www.cndh.org.mx/sites/default/files/doc/Programas/TrataPersonas/MarcoNormativoTrata/InsInternacionales/Regionales/Convencion_ADH.pdf </w:t>
      </w:r>
      <w:r w:rsidRPr="006E437B">
        <w:rPr>
          <w:rFonts w:ascii="Times New Roman" w:hAnsi="Times New Roman" w:cs="Times New Roman"/>
          <w:b/>
          <w:bCs/>
          <w:color w:val="auto"/>
          <w:sz w:val="20"/>
        </w:rPr>
        <w:t xml:space="preserve">art. 17, párrafo primero y art.19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44</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https://www.ohchr.org/es/instruments-mechanisms/instruments/convention-elimination-all-forms-discrimination-against-women </w:t>
      </w:r>
      <w:r w:rsidRPr="006E437B">
        <w:rPr>
          <w:rFonts w:ascii="Times New Roman" w:hAnsi="Times New Roman" w:cs="Times New Roman"/>
          <w:b/>
          <w:bCs/>
          <w:sz w:val="20"/>
          <w:szCs w:val="24"/>
        </w:rPr>
        <w:t xml:space="preserve">art. 16 párrafo primero, inciso c), d) y f)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Los </w:t>
      </w:r>
      <w:r w:rsidRPr="006E437B">
        <w:rPr>
          <w:rFonts w:ascii="Times New Roman" w:eastAsia="Arial" w:hAnsi="Times New Roman" w:cs="Times New Roman"/>
          <w:b/>
          <w:i/>
          <w:sz w:val="24"/>
          <w:szCs w:val="24"/>
        </w:rPr>
        <w:t xml:space="preserve">mismos derechos y responsabilidades respecto de la </w:t>
      </w:r>
      <w:r w:rsidRPr="006E437B">
        <w:rPr>
          <w:rFonts w:ascii="Times New Roman" w:eastAsia="Arial" w:hAnsi="Times New Roman" w:cs="Times New Roman"/>
          <w:i/>
          <w:sz w:val="24"/>
          <w:szCs w:val="24"/>
        </w:rPr>
        <w:t xml:space="preserve">tutela, curatela, </w:t>
      </w:r>
      <w:r w:rsidRPr="006E437B">
        <w:rPr>
          <w:rFonts w:ascii="Times New Roman" w:eastAsia="Arial" w:hAnsi="Times New Roman" w:cs="Times New Roman"/>
          <w:b/>
          <w:i/>
          <w:sz w:val="24"/>
          <w:szCs w:val="24"/>
        </w:rPr>
        <w:t xml:space="preserve">custodia </w:t>
      </w:r>
      <w:r w:rsidRPr="006E437B">
        <w:rPr>
          <w:rFonts w:ascii="Times New Roman" w:eastAsia="Arial" w:hAnsi="Times New Roman" w:cs="Times New Roman"/>
          <w:i/>
          <w:sz w:val="24"/>
          <w:szCs w:val="24"/>
        </w:rPr>
        <w:t xml:space="preserve">y adopción de los hijos, o instituciones análogas cuando quiera que estos conceptos existan en la legislación nacional; </w:t>
      </w:r>
      <w:r w:rsidRPr="006E437B">
        <w:rPr>
          <w:rFonts w:ascii="Times New Roman" w:eastAsia="Arial" w:hAnsi="Times New Roman" w:cs="Times New Roman"/>
          <w:b/>
          <w:i/>
          <w:sz w:val="24"/>
          <w:szCs w:val="24"/>
        </w:rPr>
        <w:t xml:space="preserve">en todos los casos, </w:t>
      </w:r>
      <w:r w:rsidRPr="006E437B">
        <w:rPr>
          <w:rFonts w:ascii="Times New Roman" w:eastAsia="Arial" w:hAnsi="Times New Roman" w:cs="Times New Roman"/>
          <w:b/>
          <w:i/>
          <w:sz w:val="24"/>
          <w:szCs w:val="24"/>
          <w:u w:val="thick" w:color="000000"/>
        </w:rPr>
        <w:t>los intereses de los hijos serán la consideración primordial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Convención sobre los Derechos de los Niños</w:t>
      </w:r>
      <w:r w:rsidRPr="006E437B">
        <w:rPr>
          <w:rFonts w:ascii="Times New Roman" w:eastAsia="Arial" w:hAnsi="Times New Roman" w:cs="Times New Roman"/>
          <w:i/>
          <w:sz w:val="24"/>
          <w:szCs w:val="24"/>
          <w:vertAlign w:val="superscript"/>
        </w:rPr>
        <w:t>45</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sz w:val="24"/>
          <w:szCs w:val="24"/>
        </w:rPr>
        <w:t>establece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Los Estados Partes adoptarán todas las medidas </w:t>
      </w:r>
      <w:r w:rsidRPr="006E437B">
        <w:rPr>
          <w:rFonts w:ascii="Times New Roman" w:eastAsia="Arial" w:hAnsi="Times New Roman" w:cs="Times New Roman"/>
          <w:i/>
          <w:sz w:val="24"/>
          <w:szCs w:val="24"/>
        </w:rPr>
        <w:t xml:space="preserve">administrativas, </w:t>
      </w:r>
      <w:r w:rsidRPr="006E437B">
        <w:rPr>
          <w:rFonts w:ascii="Times New Roman" w:eastAsia="Arial" w:hAnsi="Times New Roman" w:cs="Times New Roman"/>
          <w:b/>
          <w:i/>
          <w:sz w:val="24"/>
          <w:szCs w:val="24"/>
        </w:rPr>
        <w:t xml:space="preserve">legislativas </w:t>
      </w:r>
      <w:r w:rsidRPr="006E437B">
        <w:rPr>
          <w:rFonts w:ascii="Times New Roman" w:eastAsia="Arial" w:hAnsi="Times New Roman" w:cs="Times New Roman"/>
          <w:i/>
          <w:sz w:val="24"/>
          <w:szCs w:val="24"/>
        </w:rPr>
        <w:t xml:space="preserve">y de otra índole </w:t>
      </w:r>
      <w:r w:rsidRPr="006E437B">
        <w:rPr>
          <w:rFonts w:ascii="Times New Roman" w:eastAsia="Arial" w:hAnsi="Times New Roman" w:cs="Times New Roman"/>
          <w:b/>
          <w:i/>
          <w:sz w:val="24"/>
          <w:szCs w:val="24"/>
        </w:rPr>
        <w:t>para dar efectividad a los derechos reconocidos en la presente Convención</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En todas las medidas concernientes a los niños que tomen </w:t>
      </w:r>
      <w:r w:rsidRPr="006E437B">
        <w:rPr>
          <w:rFonts w:ascii="Times New Roman" w:eastAsia="Arial" w:hAnsi="Times New Roman" w:cs="Times New Roman"/>
          <w:i/>
          <w:sz w:val="24"/>
          <w:szCs w:val="24"/>
        </w:rPr>
        <w:t xml:space="preserve">las instituciones públicas o privadas de bienestar social, </w:t>
      </w:r>
      <w:r w:rsidRPr="006E437B">
        <w:rPr>
          <w:rFonts w:ascii="Times New Roman" w:eastAsia="Arial" w:hAnsi="Times New Roman" w:cs="Times New Roman"/>
          <w:b/>
          <w:i/>
          <w:sz w:val="24"/>
          <w:szCs w:val="24"/>
        </w:rPr>
        <w:t xml:space="preserve">los tribunales, las autoridades administrativas </w:t>
      </w:r>
      <w:r w:rsidRPr="006E437B">
        <w:rPr>
          <w:rFonts w:ascii="Times New Roman" w:eastAsia="Arial" w:hAnsi="Times New Roman" w:cs="Times New Roman"/>
          <w:i/>
          <w:sz w:val="24"/>
          <w:szCs w:val="24"/>
        </w:rPr>
        <w:t xml:space="preserve">o los órganos legislativos, </w:t>
      </w:r>
      <w:r w:rsidRPr="006E437B">
        <w:rPr>
          <w:rFonts w:ascii="Times New Roman" w:eastAsia="Arial" w:hAnsi="Times New Roman" w:cs="Times New Roman"/>
          <w:b/>
          <w:i/>
          <w:sz w:val="24"/>
          <w:szCs w:val="24"/>
        </w:rPr>
        <w:t xml:space="preserve">una consideración primordial a que se atenderá será el </w:t>
      </w:r>
      <w:r w:rsidRPr="006E437B">
        <w:rPr>
          <w:rFonts w:ascii="Times New Roman" w:eastAsia="Arial" w:hAnsi="Times New Roman" w:cs="Times New Roman"/>
          <w:b/>
          <w:i/>
          <w:sz w:val="24"/>
          <w:szCs w:val="24"/>
          <w:u w:val="thick" w:color="000000"/>
        </w:rPr>
        <w:t>interés superior del niño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Los Estados Partes velarán por que el niño no sea separado de sus padres contra la voluntad de éstos, excepto cuando, a reserva de revisión judicial, las autoridades competentes determinen, </w:t>
      </w:r>
      <w:r w:rsidRPr="006E437B">
        <w:rPr>
          <w:rFonts w:ascii="Times New Roman" w:eastAsia="Arial" w:hAnsi="Times New Roman" w:cs="Times New Roman"/>
          <w:b/>
          <w:i/>
          <w:sz w:val="24"/>
          <w:szCs w:val="24"/>
          <w:u w:val="thick" w:color="000000"/>
        </w:rPr>
        <w:t>de conformidad con la ley y los procedimientos aplicables</w:t>
      </w:r>
      <w:r w:rsidRPr="006E437B">
        <w:rPr>
          <w:rFonts w:ascii="Times New Roman" w:eastAsia="Arial" w:hAnsi="Times New Roman" w:cs="Times New Roman"/>
          <w:i/>
          <w:sz w:val="24"/>
          <w:szCs w:val="24"/>
        </w:rPr>
        <w:t>, que tal separación es necesaria en el interés superior del niño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Los Estados Partes </w:t>
      </w:r>
      <w:r w:rsidRPr="006E437B">
        <w:rPr>
          <w:rFonts w:ascii="Times New Roman" w:eastAsia="Arial" w:hAnsi="Times New Roman" w:cs="Times New Roman"/>
          <w:b/>
          <w:i/>
          <w:sz w:val="24"/>
          <w:szCs w:val="24"/>
        </w:rPr>
        <w:t xml:space="preserve">garantizarán al niño que esté en condiciones de </w:t>
      </w:r>
      <w:r w:rsidRPr="006E437B">
        <w:rPr>
          <w:rFonts w:ascii="Times New Roman" w:eastAsia="Arial" w:hAnsi="Times New Roman" w:cs="Times New Roman"/>
          <w:b/>
          <w:i/>
          <w:sz w:val="24"/>
          <w:szCs w:val="24"/>
          <w:u w:val="thick" w:color="000000"/>
        </w:rPr>
        <w:t>formarse un</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juicio propio</w:t>
      </w:r>
      <w:r w:rsidRPr="006E437B">
        <w:rPr>
          <w:rFonts w:ascii="Times New Roman" w:eastAsia="Arial" w:hAnsi="Times New Roman" w:cs="Times New Roman"/>
          <w:b/>
          <w:i/>
          <w:sz w:val="24"/>
          <w:szCs w:val="24"/>
        </w:rPr>
        <w:t xml:space="preserve"> el </w:t>
      </w:r>
      <w:r w:rsidRPr="006E437B">
        <w:rPr>
          <w:rFonts w:ascii="Times New Roman" w:eastAsia="Arial" w:hAnsi="Times New Roman" w:cs="Times New Roman"/>
          <w:b/>
          <w:i/>
          <w:sz w:val="24"/>
          <w:szCs w:val="24"/>
          <w:u w:val="thick" w:color="000000"/>
        </w:rPr>
        <w:t>derecho de expresar su opinión libremente en todos los asuntos que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afectan al niño</w:t>
      </w:r>
      <w:r w:rsidRPr="006E437B">
        <w:rPr>
          <w:rFonts w:ascii="Times New Roman" w:eastAsia="Arial" w:hAnsi="Times New Roman" w:cs="Times New Roman"/>
          <w:i/>
          <w:sz w:val="24"/>
          <w:szCs w:val="24"/>
          <w:u w:val="thick" w:color="000000"/>
        </w:rPr>
        <w:t>,</w:t>
      </w:r>
      <w:r w:rsidRPr="006E437B">
        <w:rPr>
          <w:rFonts w:ascii="Times New Roman" w:eastAsia="Arial" w:hAnsi="Times New Roman" w:cs="Times New Roman"/>
          <w:i/>
          <w:sz w:val="24"/>
          <w:szCs w:val="24"/>
        </w:rPr>
        <w:t xml:space="preserve"> teniéndose debidamente en cuenta las opiniones del niño, en función de la edad y madurez del niño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u w:val="thick" w:color="000000"/>
        </w:rPr>
        <w:t>Se dará en particular al niño oportunidad de ser escuchado, en todo procedimiento</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judicial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i/>
          <w:sz w:val="24"/>
          <w:szCs w:val="24"/>
        </w:rPr>
        <w:t xml:space="preserve">o administrativo </w:t>
      </w:r>
      <w:r w:rsidRPr="006E437B">
        <w:rPr>
          <w:rFonts w:ascii="Times New Roman" w:eastAsia="Arial" w:hAnsi="Times New Roman" w:cs="Times New Roman"/>
          <w:b/>
          <w:i/>
          <w:sz w:val="24"/>
          <w:szCs w:val="24"/>
        </w:rPr>
        <w:t xml:space="preserve">que afecte al niño, </w:t>
      </w:r>
      <w:r w:rsidRPr="006E437B">
        <w:rPr>
          <w:rFonts w:ascii="Times New Roman" w:eastAsia="Arial" w:hAnsi="Times New Roman" w:cs="Times New Roman"/>
          <w:b/>
          <w:i/>
          <w:sz w:val="24"/>
          <w:szCs w:val="24"/>
          <w:u w:val="thick" w:color="000000"/>
        </w:rPr>
        <w:t>ya sea directamente o por medio de un</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representante o de un órgano apropiado</w:t>
      </w:r>
      <w:r w:rsidRPr="006E437B">
        <w:rPr>
          <w:rFonts w:ascii="Times New Roman" w:eastAsia="Arial" w:hAnsi="Times New Roman" w:cs="Times New Roman"/>
          <w:b/>
          <w:i/>
          <w:sz w:val="24"/>
          <w:szCs w:val="24"/>
        </w:rPr>
        <w:t>, en consonancia con las normas de</w:t>
      </w:r>
      <w:r w:rsidR="003107E1"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rPr>
        <w:t>procedimiento de la ley nacional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45</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https://www.un.org/es/events/childrenday/pdf/derechos.pdf </w:t>
      </w:r>
      <w:r w:rsidRPr="006E437B">
        <w:rPr>
          <w:rFonts w:ascii="Times New Roman" w:hAnsi="Times New Roman" w:cs="Times New Roman"/>
          <w:b/>
          <w:bCs/>
          <w:sz w:val="20"/>
          <w:szCs w:val="24"/>
        </w:rPr>
        <w:t>art. 3 primer párrafo, 9 párrafo primero, 12 primer y segundo párrafo y 18 primer párrafo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Los Estados Partes pondrán el máximo empeño en </w:t>
      </w:r>
      <w:r w:rsidRPr="006E437B">
        <w:rPr>
          <w:rFonts w:ascii="Times New Roman" w:eastAsia="Arial" w:hAnsi="Times New Roman" w:cs="Times New Roman"/>
          <w:b/>
          <w:i/>
          <w:sz w:val="24"/>
          <w:szCs w:val="24"/>
        </w:rPr>
        <w:t>garantizar el reconocimiento del principio de que ambos padres tienen obligaciones comunes en lo que respecta a la crianza y el desarrollo del niño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El Protocolo Adicional a la </w:t>
      </w:r>
      <w:r w:rsidRPr="006E437B">
        <w:rPr>
          <w:rFonts w:ascii="Times New Roman" w:eastAsia="Arial" w:hAnsi="Times New Roman" w:cs="Times New Roman"/>
          <w:i/>
          <w:sz w:val="24"/>
          <w:szCs w:val="24"/>
        </w:rPr>
        <w:t>Convención Americana sobre Derechos Humanos en materia de Derechos Económicos, Sociales y Culturales</w:t>
      </w:r>
      <w:r w:rsidRPr="006E437B">
        <w:rPr>
          <w:rFonts w:ascii="Times New Roman" w:eastAsia="Arial" w:hAnsi="Times New Roman" w:cs="Times New Roman"/>
          <w:i/>
          <w:sz w:val="24"/>
          <w:szCs w:val="24"/>
          <w:vertAlign w:val="superscript"/>
        </w:rPr>
        <w:t>46</w:t>
      </w:r>
      <w:r w:rsidRPr="006E437B">
        <w:rPr>
          <w:rFonts w:ascii="Times New Roman" w:eastAsia="Arial" w:hAnsi="Times New Roman" w:cs="Times New Roman"/>
          <w:i/>
          <w:sz w:val="24"/>
          <w:szCs w:val="24"/>
        </w:rPr>
        <w:t xml:space="preserve"> “Protocolo de San Salvador”</w:t>
      </w:r>
      <w:r w:rsidRPr="006E437B">
        <w:rPr>
          <w:rFonts w:ascii="Times New Roman" w:eastAsia="Arial" w:hAnsi="Times New Roman" w:cs="Times New Roman"/>
          <w:sz w:val="24"/>
          <w:szCs w:val="24"/>
        </w:rPr>
        <w:t xml:space="preserve">, instituye que </w:t>
      </w:r>
      <w:r w:rsidRPr="006E437B">
        <w:rPr>
          <w:rFonts w:ascii="Times New Roman" w:eastAsia="Arial" w:hAnsi="Times New Roman" w:cs="Times New Roman"/>
          <w:b/>
          <w:i/>
          <w:sz w:val="24"/>
          <w:szCs w:val="24"/>
          <w:u w:val="thick" w:color="000000"/>
        </w:rPr>
        <w:t>todo</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niño sea cual fuere su filiación tiene derecho a las medidas de protección que su condición</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de menor requiere por parte de su familia</w:t>
      </w:r>
      <w:r w:rsidRPr="006E437B">
        <w:rPr>
          <w:rFonts w:ascii="Times New Roman" w:eastAsia="Arial" w:hAnsi="Times New Roman" w:cs="Times New Roman"/>
          <w:i/>
          <w:sz w:val="24"/>
          <w:szCs w:val="24"/>
        </w:rPr>
        <w:t xml:space="preserve">, de la sociedad y del Estado. </w:t>
      </w:r>
      <w:r w:rsidRPr="006E437B">
        <w:rPr>
          <w:rFonts w:ascii="Times New Roman" w:eastAsia="Arial" w:hAnsi="Times New Roman" w:cs="Times New Roman"/>
          <w:b/>
          <w:i/>
          <w:sz w:val="24"/>
          <w:szCs w:val="24"/>
        </w:rPr>
        <w:t>Todo niño tiene el derecho a crecer al amparo y bajo la responsabilidad de sus padres; salvo circunstancias excepcionales, reconocidas judicialmente</w:t>
      </w:r>
      <w:r w:rsidRPr="006E437B">
        <w:rPr>
          <w:rFonts w:ascii="Times New Roman" w:eastAsia="Arial" w:hAnsi="Times New Roman" w:cs="Times New Roman"/>
          <w:i/>
          <w:sz w:val="24"/>
          <w:szCs w:val="24"/>
        </w:rPr>
        <w:t>, el niño de corta edad no debe ser separado de su madre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Constitución Política de los Estados Unidos Mexicanos</w:t>
      </w:r>
      <w:r w:rsidRPr="006E437B">
        <w:rPr>
          <w:rFonts w:ascii="Times New Roman" w:eastAsia="Arial" w:hAnsi="Times New Roman" w:cs="Times New Roman"/>
          <w:sz w:val="24"/>
          <w:szCs w:val="24"/>
          <w:vertAlign w:val="superscript"/>
        </w:rPr>
        <w:t>47</w:t>
      </w:r>
      <w:r w:rsidRPr="006E437B">
        <w:rPr>
          <w:rFonts w:ascii="Times New Roman" w:eastAsia="Arial" w:hAnsi="Times New Roman" w:cs="Times New Roman"/>
          <w:sz w:val="24"/>
          <w:szCs w:val="24"/>
        </w:rPr>
        <w:t xml:space="preserve"> ordena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La mujer y el hombre son iguales ante la ley</w:t>
      </w:r>
      <w:r w:rsidRPr="006E437B">
        <w:rPr>
          <w:rFonts w:ascii="Times New Roman" w:eastAsia="Arial" w:hAnsi="Times New Roman" w:cs="Times New Roman"/>
          <w:i/>
          <w:sz w:val="24"/>
          <w:szCs w:val="24"/>
        </w:rPr>
        <w:t xml:space="preserve">. Ésta protegerá la organización y el desarrollo de las familias. </w:t>
      </w:r>
      <w:r w:rsidRPr="006E437B">
        <w:rPr>
          <w:rFonts w:ascii="Times New Roman" w:eastAsia="Arial" w:hAnsi="Times New Roman" w:cs="Times New Roman"/>
          <w:b/>
          <w:i/>
          <w:sz w:val="24"/>
          <w:szCs w:val="24"/>
        </w:rPr>
        <w:t>El Estado garantizará el goce y ejercicio del derecho a la igualdad sustantiva de las mujeres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En todas las decisiones </w:t>
      </w:r>
      <w:r w:rsidRPr="006E437B">
        <w:rPr>
          <w:rFonts w:ascii="Times New Roman" w:eastAsia="Arial" w:hAnsi="Times New Roman" w:cs="Times New Roman"/>
          <w:i/>
          <w:sz w:val="24"/>
          <w:szCs w:val="24"/>
        </w:rPr>
        <w:t xml:space="preserve">y actuaciones </w:t>
      </w:r>
      <w:r w:rsidRPr="006E437B">
        <w:rPr>
          <w:rFonts w:ascii="Times New Roman" w:eastAsia="Arial" w:hAnsi="Times New Roman" w:cs="Times New Roman"/>
          <w:b/>
          <w:i/>
          <w:sz w:val="24"/>
          <w:szCs w:val="24"/>
        </w:rPr>
        <w:t xml:space="preserve">del Estado </w:t>
      </w:r>
      <w:r w:rsidRPr="006E437B">
        <w:rPr>
          <w:rFonts w:ascii="Times New Roman" w:eastAsia="Arial" w:hAnsi="Times New Roman" w:cs="Times New Roman"/>
          <w:b/>
          <w:i/>
          <w:sz w:val="24"/>
          <w:szCs w:val="24"/>
          <w:u w:val="thick" w:color="000000"/>
        </w:rPr>
        <w:t>se velará y cumplirá con el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principio del interés superior de la niñez</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b/>
          <w:i/>
          <w:sz w:val="24"/>
          <w:szCs w:val="24"/>
        </w:rPr>
        <w:t>garantizando de manera plena sus derechos</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b/>
          <w:i/>
          <w:sz w:val="24"/>
          <w:szCs w:val="24"/>
          <w:u w:val="thick" w:color="000000"/>
        </w:rPr>
        <w:t>Los niños y las niñas tienen derecho a la satisfacción de sus necesidades</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de alimentación, salud, educación y sano esparcimiento para su desarrollo integral</w:t>
      </w:r>
      <w:r w:rsidRPr="006E437B">
        <w:rPr>
          <w:rFonts w:ascii="Times New Roman" w:eastAsia="Arial" w:hAnsi="Times New Roman" w:cs="Times New Roman"/>
          <w:i/>
          <w:sz w:val="24"/>
          <w:szCs w:val="24"/>
        </w:rPr>
        <w:t>. Este principio deberá guiar el diseño, ejecución, seguimiento y evaluación de las políticas públicas dirigidas a la niñez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El Congreso General tiene facultad para expedir la </w:t>
      </w:r>
      <w:r w:rsidRPr="006E437B">
        <w:rPr>
          <w:rFonts w:ascii="Times New Roman" w:eastAsia="Arial" w:hAnsi="Times New Roman" w:cs="Times New Roman"/>
          <w:b/>
          <w:i/>
          <w:sz w:val="24"/>
          <w:szCs w:val="24"/>
          <w:u w:val="thick" w:color="000000"/>
        </w:rPr>
        <w:t>legislación única en materia</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procesal civil y familiar</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Ley General de los Derechos de Niñas, Niños y Adolescentes</w:t>
      </w:r>
      <w:r w:rsidRPr="006E437B">
        <w:rPr>
          <w:rFonts w:ascii="Times New Roman" w:eastAsia="Arial" w:hAnsi="Times New Roman" w:cs="Times New Roman"/>
          <w:sz w:val="24"/>
          <w:szCs w:val="24"/>
          <w:vertAlign w:val="superscript"/>
        </w:rPr>
        <w:t>48</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sz w:val="24"/>
          <w:szCs w:val="24"/>
        </w:rPr>
        <w:t>prevé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46</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https://www.oas.org/juridico/spanish/Tratados/a-52.html </w:t>
      </w:r>
      <w:r w:rsidRPr="006E437B">
        <w:rPr>
          <w:rFonts w:ascii="Times New Roman" w:hAnsi="Times New Roman" w:cs="Times New Roman"/>
          <w:b/>
          <w:bCs/>
          <w:color w:val="auto"/>
          <w:sz w:val="20"/>
        </w:rPr>
        <w:t xml:space="preserve">art. 16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47</w:t>
      </w:r>
      <w:r w:rsidRPr="006E437B">
        <w:rPr>
          <w:rFonts w:ascii="Times New Roman" w:hAnsi="Times New Roman" w:cs="Times New Roman"/>
          <w:color w:val="auto"/>
          <w:sz w:val="20"/>
        </w:rPr>
        <w:t xml:space="preserve"> Disponible en: </w:t>
      </w:r>
    </w:p>
    <w:p w:rsidR="00470AD7" w:rsidRPr="006E437B" w:rsidRDefault="00470AD7"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rPr>
        <w:t xml:space="preserve">https://www.diputados.gob.mx/LeyesBiblio/pdf/CPEUM.pdf </w:t>
      </w:r>
      <w:r w:rsidRPr="006E437B">
        <w:rPr>
          <w:rFonts w:ascii="Times New Roman" w:hAnsi="Times New Roman" w:cs="Times New Roman"/>
          <w:b/>
          <w:bCs/>
          <w:color w:val="auto"/>
          <w:sz w:val="20"/>
        </w:rPr>
        <w:t xml:space="preserve">art. 4, párrafo primero y decimo primero y art. 73 fr. XXX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48</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b/>
          <w:bCs/>
          <w:sz w:val="20"/>
          <w:szCs w:val="24"/>
        </w:rPr>
      </w:pPr>
      <w:r w:rsidRPr="006E437B">
        <w:rPr>
          <w:rFonts w:ascii="Times New Roman" w:hAnsi="Times New Roman" w:cs="Times New Roman"/>
          <w:sz w:val="20"/>
          <w:szCs w:val="24"/>
        </w:rPr>
        <w:t xml:space="preserve">https://www.diputados.gob.mx/LeyesBiblio/pdf/LGDNNA.pdf </w:t>
      </w:r>
      <w:r w:rsidRPr="006E437B">
        <w:rPr>
          <w:rFonts w:ascii="Times New Roman" w:hAnsi="Times New Roman" w:cs="Times New Roman"/>
          <w:b/>
          <w:bCs/>
          <w:sz w:val="20"/>
          <w:szCs w:val="24"/>
        </w:rPr>
        <w:t>art. 18, art. 22 párrafo primero, segundo y cuarto y 23 párrafo primero</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En todas las medidas concernientes a niñas, niños y adolescentes que tomen los órganos jurisdiccionales</w:t>
      </w:r>
      <w:r w:rsidRPr="006E437B">
        <w:rPr>
          <w:rFonts w:ascii="Times New Roman" w:eastAsia="Arial" w:hAnsi="Times New Roman" w:cs="Times New Roman"/>
          <w:i/>
          <w:sz w:val="24"/>
          <w:szCs w:val="24"/>
        </w:rPr>
        <w:t xml:space="preserve">, autoridades administrativas y órganos legislativos, </w:t>
      </w:r>
      <w:r w:rsidRPr="006E437B">
        <w:rPr>
          <w:rFonts w:ascii="Times New Roman" w:eastAsia="Arial" w:hAnsi="Times New Roman" w:cs="Times New Roman"/>
          <w:b/>
          <w:i/>
          <w:sz w:val="24"/>
          <w:szCs w:val="24"/>
        </w:rPr>
        <w:t xml:space="preserve">se tomará en cuenta, como consideración primordial, el interés superior de la niñez. </w:t>
      </w:r>
      <w:r w:rsidRPr="006E437B">
        <w:rPr>
          <w:rFonts w:ascii="Times New Roman" w:eastAsia="Arial" w:hAnsi="Times New Roman" w:cs="Times New Roman"/>
          <w:i/>
          <w:sz w:val="24"/>
          <w:szCs w:val="24"/>
        </w:rPr>
        <w:t>Dichas autoridades elaborarán los mecanismos necesarios para garantizar este principio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Niñas, niños y adolescentes tienen derecho a vivir en familia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Niñas, niños y adolescentes no podrán ser separados de las personas que ejerzan la patria potestad o de sus tutores y, en términos de las disposiciones aplicables</w:t>
      </w:r>
      <w:r w:rsidRPr="006E437B">
        <w:rPr>
          <w:rFonts w:ascii="Times New Roman" w:eastAsia="Arial" w:hAnsi="Times New Roman" w:cs="Times New Roman"/>
          <w:i/>
          <w:sz w:val="24"/>
          <w:szCs w:val="24"/>
        </w:rPr>
        <w:t xml:space="preserve">, de las personas que los tengan bajo su guarda y custodia, </w:t>
      </w:r>
      <w:r w:rsidRPr="006E437B">
        <w:rPr>
          <w:rFonts w:ascii="Times New Roman" w:eastAsia="Arial" w:hAnsi="Times New Roman" w:cs="Times New Roman"/>
          <w:b/>
          <w:i/>
          <w:sz w:val="24"/>
          <w:szCs w:val="24"/>
          <w:u w:val="thick" w:color="000000"/>
        </w:rPr>
        <w:t>salvo que medie orden de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autoridad competente, en la que se determine la procedencia de la separación</w:t>
      </w:r>
      <w:r w:rsidRPr="006E437B">
        <w:rPr>
          <w:rFonts w:ascii="Times New Roman" w:eastAsia="Arial" w:hAnsi="Times New Roman" w:cs="Times New Roman"/>
          <w:i/>
          <w:sz w:val="24"/>
          <w:szCs w:val="24"/>
        </w:rPr>
        <w:t>, en cumplimiento a la preservación del interés superior de la niñez</w:t>
      </w:r>
      <w:r w:rsidRPr="006E437B">
        <w:rPr>
          <w:rFonts w:ascii="Times New Roman" w:eastAsia="Arial" w:hAnsi="Times New Roman" w:cs="Times New Roman"/>
          <w:b/>
          <w:i/>
          <w:sz w:val="24"/>
          <w:szCs w:val="24"/>
        </w:rPr>
        <w:t xml:space="preserve">, de conformidad con las causas previstas en las leyes y </w:t>
      </w:r>
      <w:r w:rsidRPr="006E437B">
        <w:rPr>
          <w:rFonts w:ascii="Times New Roman" w:eastAsia="Arial" w:hAnsi="Times New Roman" w:cs="Times New Roman"/>
          <w:b/>
          <w:i/>
          <w:sz w:val="24"/>
          <w:szCs w:val="24"/>
          <w:u w:val="thick" w:color="000000"/>
        </w:rPr>
        <w:t>mediante el debido proceso en el que se garantice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el derecho de audiencia de todas las partes involucradas</w:t>
      </w:r>
      <w:r w:rsidRPr="006E437B">
        <w:rPr>
          <w:rFonts w:ascii="Times New Roman" w:eastAsia="Arial" w:hAnsi="Times New Roman" w:cs="Times New Roman"/>
          <w:b/>
          <w:i/>
          <w:sz w:val="24"/>
          <w:szCs w:val="24"/>
        </w:rPr>
        <w:t xml:space="preserve">. En todos los casos, </w:t>
      </w:r>
      <w:r w:rsidRPr="006E437B">
        <w:rPr>
          <w:rFonts w:ascii="Times New Roman" w:eastAsia="Arial" w:hAnsi="Times New Roman" w:cs="Times New Roman"/>
          <w:b/>
          <w:i/>
          <w:sz w:val="24"/>
          <w:szCs w:val="24"/>
          <w:u w:val="thick" w:color="000000"/>
        </w:rPr>
        <w:t>se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tendrá en cuenta la opinión de niñas, niños y adolescentes conforme a su edad, desarrollo evolutivo, cognoscitivo y madurez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Las autoridades federales, de las entidades federativas y municipales, en el ámbito de sus respectivas competencias, </w:t>
      </w:r>
      <w:r w:rsidRPr="006E437B">
        <w:rPr>
          <w:rFonts w:ascii="Times New Roman" w:eastAsia="Arial" w:hAnsi="Times New Roman" w:cs="Times New Roman"/>
          <w:b/>
          <w:i/>
          <w:sz w:val="24"/>
          <w:szCs w:val="24"/>
        </w:rPr>
        <w:t>establecerán políticas de fortalecimiento familiar para evitar la separación de niñas, niños y adolescentes de su entorno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Niñas, niños y adolescentes cuyas familias estén separadas, tendrán derecho a convivir o mantener relaciones personales y contacto directo con sus familiares de modo regular, </w:t>
      </w:r>
      <w:r w:rsidRPr="006E437B">
        <w:rPr>
          <w:rFonts w:ascii="Times New Roman" w:eastAsia="Arial" w:hAnsi="Times New Roman" w:cs="Times New Roman"/>
          <w:b/>
          <w:i/>
          <w:sz w:val="24"/>
          <w:szCs w:val="24"/>
        </w:rPr>
        <w:t>excepto en los casos en que el órgano jurisdiccional competente determine que ello es contrario al interés superior de la niñez</w:t>
      </w:r>
      <w:r w:rsidRPr="006E437B">
        <w:rPr>
          <w:rFonts w:ascii="Times New Roman" w:eastAsia="Arial" w:hAnsi="Times New Roman" w:cs="Times New Roman"/>
          <w:i/>
          <w:sz w:val="24"/>
          <w:szCs w:val="24"/>
        </w:rPr>
        <w:t>, sin perjuicio de las medidas cautelares y de protección que se dicten por las autoridades competentes en los procedimientos respectivos, en los que se deberá garantizar el derecho de audiencia de todas las partes involucradas, en especial de niñas, niños y adolescentes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Ley General de Acceso de las Mujeres a una Vida Libre de Violencias</w:t>
      </w:r>
      <w:r w:rsidRPr="006E437B">
        <w:rPr>
          <w:rFonts w:ascii="Times New Roman" w:eastAsia="Arial" w:hAnsi="Times New Roman" w:cs="Times New Roman"/>
          <w:sz w:val="24"/>
          <w:szCs w:val="24"/>
          <w:vertAlign w:val="superscript"/>
        </w:rPr>
        <w:t>49</w:t>
      </w:r>
      <w:r w:rsidRPr="006E437B">
        <w:rPr>
          <w:rFonts w:ascii="Times New Roman" w:eastAsia="Arial" w:hAnsi="Times New Roman" w:cs="Times New Roman"/>
          <w:sz w:val="24"/>
          <w:szCs w:val="24"/>
        </w:rPr>
        <w:t xml:space="preserve">, decreta que </w:t>
      </w:r>
      <w:r w:rsidRPr="006E437B">
        <w:rPr>
          <w:rFonts w:ascii="Times New Roman" w:eastAsia="Arial" w:hAnsi="Times New Roman" w:cs="Times New Roman"/>
          <w:i/>
          <w:sz w:val="24"/>
          <w:szCs w:val="24"/>
        </w:rPr>
        <w:t xml:space="preserve">los principios rectores para el acceso de todas las mujeres, adolescentes y niñas a una vida libre de violencias que deberán ser observados en la elaboración y ejecución de las políticas públicas federales y locales son La </w:t>
      </w:r>
      <w:r w:rsidRPr="006E437B">
        <w:rPr>
          <w:rFonts w:ascii="Times New Roman" w:eastAsia="Arial" w:hAnsi="Times New Roman" w:cs="Times New Roman"/>
          <w:b/>
          <w:i/>
          <w:sz w:val="24"/>
          <w:szCs w:val="24"/>
        </w:rPr>
        <w:t>igualdad jurídica, sustantiva</w:t>
      </w:r>
      <w:r w:rsidRPr="006E437B">
        <w:rPr>
          <w:rFonts w:ascii="Times New Roman" w:eastAsia="Arial" w:hAnsi="Times New Roman" w:cs="Times New Roman"/>
          <w:i/>
          <w:sz w:val="24"/>
          <w:szCs w:val="24"/>
        </w:rPr>
        <w:t xml:space="preserve">, de resultados y estructural; </w:t>
      </w:r>
      <w:r w:rsidRPr="006E437B">
        <w:rPr>
          <w:rFonts w:ascii="Times New Roman" w:eastAsia="Arial" w:hAnsi="Times New Roman" w:cs="Times New Roman"/>
          <w:b/>
          <w:i/>
          <w:sz w:val="24"/>
          <w:szCs w:val="24"/>
        </w:rPr>
        <w:t>la perspectiva de género</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77403D">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49</w:t>
      </w:r>
      <w:r w:rsidRPr="006E437B">
        <w:rPr>
          <w:rFonts w:ascii="Times New Roman" w:hAnsi="Times New Roman" w:cs="Times New Roman"/>
          <w:color w:val="auto"/>
          <w:sz w:val="20"/>
        </w:rPr>
        <w:t xml:space="preserve"> Disponible en: https://www.diputados.gob.mx/LeyesBiblio/pdf/LGAMVLV.pdf </w:t>
      </w:r>
      <w:r w:rsidRPr="006E437B">
        <w:rPr>
          <w:rFonts w:ascii="Times New Roman" w:hAnsi="Times New Roman" w:cs="Times New Roman"/>
          <w:b/>
          <w:bCs/>
          <w:color w:val="auto"/>
          <w:sz w:val="20"/>
        </w:rPr>
        <w:t>art. 4 fr. I y VI</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Ley General para la Igualdad Sustantiva entre Mujeres y Hombres</w:t>
      </w:r>
      <w:r w:rsidRPr="006E437B">
        <w:rPr>
          <w:rFonts w:ascii="Times New Roman" w:eastAsia="Arial" w:hAnsi="Times New Roman" w:cs="Times New Roman"/>
          <w:sz w:val="24"/>
          <w:szCs w:val="24"/>
          <w:vertAlign w:val="superscript"/>
        </w:rPr>
        <w:t>50</w:t>
      </w:r>
      <w:r w:rsidRPr="006E437B">
        <w:rPr>
          <w:rFonts w:ascii="Times New Roman" w:eastAsia="Arial" w:hAnsi="Times New Roman" w:cs="Times New Roman"/>
          <w:sz w:val="24"/>
          <w:szCs w:val="24"/>
        </w:rPr>
        <w:t xml:space="preserve"> instituye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Se entiende por igualdad sustantiva el </w:t>
      </w:r>
      <w:r w:rsidRPr="006E437B">
        <w:rPr>
          <w:rFonts w:ascii="Times New Roman" w:eastAsia="Arial" w:hAnsi="Times New Roman" w:cs="Times New Roman"/>
          <w:b/>
          <w:i/>
          <w:sz w:val="24"/>
          <w:szCs w:val="24"/>
        </w:rPr>
        <w:t>acceso al mismo trato y oportunidades para el reconocimiento, goce o ejercicio de los derechos humanos y las libertades fundamentales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Los Congresos de las Entidades Federativas</w:t>
      </w:r>
      <w:r w:rsidRPr="006E437B">
        <w:rPr>
          <w:rFonts w:ascii="Times New Roman" w:eastAsia="Arial" w:hAnsi="Times New Roman" w:cs="Times New Roman"/>
          <w:i/>
          <w:sz w:val="24"/>
          <w:szCs w:val="24"/>
        </w:rPr>
        <w:t xml:space="preserve">, con base en sus respectivas Constituciones, </w:t>
      </w:r>
      <w:r w:rsidRPr="006E437B">
        <w:rPr>
          <w:rFonts w:ascii="Times New Roman" w:eastAsia="Arial" w:hAnsi="Times New Roman" w:cs="Times New Roman"/>
          <w:b/>
          <w:i/>
          <w:sz w:val="24"/>
          <w:szCs w:val="24"/>
        </w:rPr>
        <w:t xml:space="preserve">expedirán las disposiciones legales necesarias para promover los principios, políticas y objetivos que sobre la igualdad sustantiva entre mujeres y hombres </w:t>
      </w:r>
      <w:r w:rsidRPr="006E437B">
        <w:rPr>
          <w:rFonts w:ascii="Times New Roman" w:eastAsia="Arial" w:hAnsi="Times New Roman" w:cs="Times New Roman"/>
          <w:i/>
          <w:sz w:val="24"/>
          <w:szCs w:val="24"/>
        </w:rPr>
        <w:t>prevén la Constitución Política de los Estados Unidos Mexicanos y esta Ley</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Constitución Política del Estado Libre y Soberano de México</w:t>
      </w:r>
      <w:r w:rsidRPr="006E437B">
        <w:rPr>
          <w:rFonts w:ascii="Times New Roman" w:eastAsia="Arial" w:hAnsi="Times New Roman" w:cs="Times New Roman"/>
          <w:i/>
          <w:sz w:val="24"/>
          <w:szCs w:val="24"/>
          <w:vertAlign w:val="superscript"/>
        </w:rPr>
        <w:t>51</w:t>
      </w:r>
      <w:r w:rsidRPr="006E437B">
        <w:rPr>
          <w:rFonts w:ascii="Times New Roman" w:eastAsia="Arial" w:hAnsi="Times New Roman" w:cs="Times New Roman"/>
          <w:i/>
          <w:sz w:val="24"/>
          <w:szCs w:val="24"/>
        </w:rPr>
        <w:t>, determina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En el Estado de México todas las personas gozarán de los derechos humanos reconocidos en la Constitución Política de los Estados Unidos Mexicanos, en los tratados internacionales en los que el Estado mexicano sea parte</w:t>
      </w:r>
      <w:r w:rsidRPr="006E437B">
        <w:rPr>
          <w:rFonts w:ascii="Times New Roman" w:eastAsia="Arial" w:hAnsi="Times New Roman" w:cs="Times New Roman"/>
          <w:i/>
          <w:sz w:val="24"/>
          <w:szCs w:val="24"/>
        </w:rPr>
        <w:t>,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El hombre y la mujer son iguales ante la ley, ésta garantizará el desarrollo pleno y la protección de la familia y sus miembros por ser base fundamental de la sociedad</w:t>
      </w:r>
      <w:r w:rsidRPr="006E437B">
        <w:rPr>
          <w:rFonts w:ascii="Times New Roman" w:eastAsia="Arial" w:hAnsi="Times New Roman" w:cs="Times New Roman"/>
          <w:i/>
          <w:sz w:val="24"/>
          <w:szCs w:val="24"/>
        </w:rPr>
        <w:t xml:space="preserve">. Bajo el principio de igualdad consagrado en este precepto, </w:t>
      </w:r>
      <w:r w:rsidRPr="006E437B">
        <w:rPr>
          <w:rFonts w:ascii="Times New Roman" w:eastAsia="Arial" w:hAnsi="Times New Roman" w:cs="Times New Roman"/>
          <w:b/>
          <w:i/>
          <w:sz w:val="24"/>
          <w:szCs w:val="24"/>
        </w:rPr>
        <w:t xml:space="preserve">debe considerarse la equidad entre hombre y mujer, en los ámbitos de desarrollo humano primordiales </w:t>
      </w:r>
      <w:r w:rsidRPr="006E437B">
        <w:rPr>
          <w:rFonts w:ascii="Times New Roman" w:eastAsia="Arial" w:hAnsi="Times New Roman" w:cs="Times New Roman"/>
          <w:i/>
          <w:sz w:val="24"/>
          <w:szCs w:val="24"/>
        </w:rPr>
        <w:t xml:space="preserve">como lo son el educativo, laboral, político, económico, social y en general, todos aquellos que dignifiquen a la persona, por consiguiente </w:t>
      </w:r>
      <w:r w:rsidRPr="006E437B">
        <w:rPr>
          <w:rFonts w:ascii="Times New Roman" w:eastAsia="Arial" w:hAnsi="Times New Roman" w:cs="Times New Roman"/>
          <w:b/>
          <w:i/>
          <w:sz w:val="24"/>
          <w:szCs w:val="24"/>
        </w:rPr>
        <w:t>las autoridades deben velar porque en los ordenamientos secundarios se prevean disposiciones que la garanticen</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50</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https://www.diputados.gob.mx/LeyesBiblio/pdf/LGISMH.pdf </w:t>
      </w:r>
      <w:r w:rsidRPr="006E437B">
        <w:rPr>
          <w:rFonts w:ascii="Times New Roman" w:hAnsi="Times New Roman" w:cs="Times New Roman"/>
          <w:b/>
          <w:bCs/>
          <w:color w:val="auto"/>
          <w:sz w:val="20"/>
        </w:rPr>
        <w:t xml:space="preserve">art. 5 fr. V y art. 14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51</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https://legislacion.edomex.gob.mx/sites/legislacion.edomex.gob.mx/files/files/pdf/ley/vig/leyvig001.pdf </w:t>
      </w:r>
      <w:r w:rsidRPr="006E437B">
        <w:rPr>
          <w:rFonts w:ascii="Times New Roman" w:hAnsi="Times New Roman" w:cs="Times New Roman"/>
          <w:b/>
          <w:bCs/>
          <w:sz w:val="20"/>
          <w:szCs w:val="24"/>
        </w:rPr>
        <w:t>art. 5 primer y décimo noveno párrafo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En todas las decisiones y actuaciones del Estado se velará y cumplirá con el principio del interés superior de la niñez</w:t>
      </w:r>
      <w:r w:rsidRPr="006E437B">
        <w:rPr>
          <w:rFonts w:ascii="Times New Roman" w:eastAsia="Arial" w:hAnsi="Times New Roman" w:cs="Times New Roman"/>
          <w:i/>
          <w:sz w:val="24"/>
          <w:szCs w:val="24"/>
        </w:rPr>
        <w:t xml:space="preserve">, garantizando de manera plena sus derechos. La lactancia materna forma parte del derecho a la alimentación y la nutrición desde la primera infancia. </w:t>
      </w:r>
      <w:r w:rsidRPr="006E437B">
        <w:rPr>
          <w:rFonts w:ascii="Times New Roman" w:eastAsia="Arial" w:hAnsi="Times New Roman" w:cs="Times New Roman"/>
          <w:b/>
          <w:i/>
          <w:sz w:val="24"/>
          <w:szCs w:val="24"/>
          <w:u w:val="thick" w:color="FF0000"/>
        </w:rPr>
        <w:t>Los niños y las niñas tienen derecho a la satisfacción de sus</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necesidades de alimentación, salud, educación y sano esparcimiento para su</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desarrollo integral</w:t>
      </w:r>
      <w:r w:rsidRPr="006E437B">
        <w:rPr>
          <w:rFonts w:ascii="Times New Roman" w:eastAsia="Arial" w:hAnsi="Times New Roman" w:cs="Times New Roman"/>
          <w:i/>
          <w:sz w:val="24"/>
          <w:szCs w:val="24"/>
        </w:rPr>
        <w:t xml:space="preserve">. Este principio deberá guiar el diseño, ejecución, seguimiento y evaluación de las políticas públicas dirigidas a la niñez. </w:t>
      </w:r>
      <w:r w:rsidRPr="006E437B">
        <w:rPr>
          <w:rFonts w:ascii="Times New Roman" w:eastAsia="Arial" w:hAnsi="Times New Roman" w:cs="Times New Roman"/>
          <w:b/>
          <w:i/>
          <w:sz w:val="24"/>
          <w:szCs w:val="24"/>
        </w:rPr>
        <w:t>Los ascendientes, tutores y custodios tienen la obligación de preservar y exigir el cumplimiento de estos derechos y principios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Ley Orgánica del Poder Judicial del Estado de México</w:t>
      </w:r>
      <w:r w:rsidRPr="006E437B">
        <w:rPr>
          <w:rFonts w:ascii="Times New Roman" w:eastAsia="Arial" w:hAnsi="Times New Roman" w:cs="Times New Roman"/>
          <w:sz w:val="24"/>
          <w:szCs w:val="24"/>
          <w:vertAlign w:val="superscript"/>
        </w:rPr>
        <w:t>52</w:t>
      </w:r>
      <w:r w:rsidRPr="006E437B">
        <w:rPr>
          <w:rFonts w:ascii="Times New Roman" w:eastAsia="Arial" w:hAnsi="Times New Roman" w:cs="Times New Roman"/>
          <w:sz w:val="24"/>
          <w:szCs w:val="24"/>
        </w:rPr>
        <w:t>, ordena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Son atribuciones y obligaciones de las magistradas y los magistrados del Tribunal Superior de Justicia </w:t>
      </w:r>
      <w:r w:rsidRPr="006E437B">
        <w:rPr>
          <w:rFonts w:ascii="Times New Roman" w:eastAsia="Arial" w:hAnsi="Times New Roman" w:cs="Times New Roman"/>
          <w:b/>
          <w:i/>
          <w:sz w:val="24"/>
          <w:szCs w:val="24"/>
        </w:rPr>
        <w:t>dirigir su actuar bajo un enfoque de derechos humanos y perspectiva de género</w:t>
      </w:r>
      <w:r w:rsidRPr="006E437B">
        <w:rPr>
          <w:rFonts w:ascii="Times New Roman" w:eastAsia="Arial" w:hAnsi="Times New Roman" w:cs="Times New Roman"/>
          <w:i/>
          <w:sz w:val="24"/>
          <w:szCs w:val="24"/>
        </w:rPr>
        <w:t>; y</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Son obligaciones y atribuciones de los jueces las siguientes </w:t>
      </w:r>
      <w:r w:rsidRPr="006E437B">
        <w:rPr>
          <w:rFonts w:ascii="Times New Roman" w:eastAsia="Arial" w:hAnsi="Times New Roman" w:cs="Times New Roman"/>
          <w:b/>
          <w:i/>
          <w:sz w:val="24"/>
          <w:szCs w:val="24"/>
        </w:rPr>
        <w:t>juzgar bajo el enfoque de derechos humanos y perspectiva de género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El Órgano de Administración Judicial y el Tribunal de Disciplina Judicial incorporarán la perspectiva de género, de forma transversal, progresiva y equitativa en el desempeño de sus atribuciones, programas y acciones, con el objeto de garantizar a las mujeres y hombres, el ejercicio y goce de sus derechos humanos, en igualdad de condiciones y velarán por que los órganos a su cargo así lo hagan.</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La </w:t>
      </w:r>
      <w:r w:rsidRPr="006E437B">
        <w:rPr>
          <w:rFonts w:ascii="Times New Roman" w:eastAsia="Arial" w:hAnsi="Times New Roman" w:cs="Times New Roman"/>
          <w:i/>
          <w:sz w:val="24"/>
          <w:szCs w:val="24"/>
        </w:rPr>
        <w:t>Ley de los Derechos de Niñas, Niños y Adolescentes del Estado de México</w:t>
      </w:r>
      <w:r w:rsidRPr="006E437B">
        <w:rPr>
          <w:rFonts w:ascii="Times New Roman" w:eastAsia="Arial" w:hAnsi="Times New Roman" w:cs="Times New Roman"/>
          <w:sz w:val="24"/>
          <w:szCs w:val="24"/>
          <w:vertAlign w:val="superscript"/>
        </w:rPr>
        <w:t>53</w:t>
      </w:r>
      <w:r w:rsidRPr="006E437B">
        <w:rPr>
          <w:rFonts w:ascii="Times New Roman" w:eastAsia="Arial" w:hAnsi="Times New Roman" w:cs="Times New Roman"/>
          <w:sz w:val="24"/>
          <w:szCs w:val="24"/>
        </w:rPr>
        <w:t>, estable que: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52</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https://legislacion.edomex.gob.mx/sites/legislacion.edomex.gob.mx/files/files/pdf/ley/vig/leyvig020.pdf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b/>
          <w:bCs/>
          <w:color w:val="auto"/>
          <w:sz w:val="20"/>
        </w:rPr>
        <w:t xml:space="preserve">art. 12 fr. XVII, art. 57 fr. XIV y 132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53</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https://legislacion.edomex.gob.mx/sites/legislacion.edomex.gob.mx/files/files/pdf/ley/vig/leyvig098.pdf </w:t>
      </w:r>
    </w:p>
    <w:p w:rsidR="00470AD7" w:rsidRPr="006E437B" w:rsidRDefault="00470AD7" w:rsidP="00141629">
      <w:pPr>
        <w:pStyle w:val="Sinespaciado"/>
        <w:jc w:val="both"/>
        <w:rPr>
          <w:rFonts w:ascii="Times New Roman" w:eastAsia="Arial" w:hAnsi="Times New Roman" w:cs="Times New Roman"/>
          <w:sz w:val="20"/>
          <w:szCs w:val="24"/>
        </w:rPr>
      </w:pPr>
      <w:r w:rsidRPr="006E437B">
        <w:rPr>
          <w:rFonts w:ascii="Times New Roman" w:hAnsi="Times New Roman" w:cs="Times New Roman"/>
          <w:b/>
          <w:bCs/>
          <w:sz w:val="20"/>
          <w:szCs w:val="24"/>
        </w:rPr>
        <w:t xml:space="preserve">art. 5 fr. V y XXV, 16 primer párrafo, art. 18 y art. 58 fr. I </w:t>
      </w:r>
      <w:r w:rsidRPr="006E437B">
        <w:rPr>
          <w:rFonts w:ascii="Times New Roman" w:hAnsi="Times New Roman" w:cs="Times New Roman"/>
          <w:sz w:val="20"/>
          <w:szCs w:val="24"/>
        </w:rPr>
        <w:t xml:space="preserve"> </w:t>
      </w:r>
    </w:p>
    <w:p w:rsidR="00470AD7" w:rsidRPr="006E437B" w:rsidRDefault="00470AD7" w:rsidP="00141629">
      <w:pPr>
        <w:pStyle w:val="Sinespaciado"/>
        <w:jc w:val="both"/>
        <w:rPr>
          <w:rFonts w:ascii="Times New Roman" w:eastAsia="Arial"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Se entiende por adolescente </w:t>
      </w:r>
      <w:r w:rsidRPr="006E437B">
        <w:rPr>
          <w:rFonts w:ascii="Times New Roman" w:eastAsia="Arial" w:hAnsi="Times New Roman" w:cs="Times New Roman"/>
          <w:b/>
          <w:i/>
          <w:sz w:val="24"/>
          <w:szCs w:val="24"/>
        </w:rPr>
        <w:t>a toda persona cuya edad esté comprendida entre los doce años y menor a los dieciocho años</w:t>
      </w:r>
      <w:r w:rsidRPr="006E437B">
        <w:rPr>
          <w:rFonts w:ascii="Times New Roman" w:eastAsia="Arial" w:hAnsi="Times New Roman" w:cs="Times New Roman"/>
          <w:i/>
          <w:sz w:val="24"/>
          <w:szCs w:val="24"/>
        </w:rPr>
        <w:t>, cuando exista duda de si se trata de una persona mayor de dieciocho años de edad, se presumirá que es adolescente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Se entiende por Niña o Niño a </w:t>
      </w:r>
      <w:r w:rsidRPr="006E437B">
        <w:rPr>
          <w:rFonts w:ascii="Times New Roman" w:eastAsia="Arial" w:hAnsi="Times New Roman" w:cs="Times New Roman"/>
          <w:b/>
          <w:i/>
          <w:sz w:val="24"/>
          <w:szCs w:val="24"/>
        </w:rPr>
        <w:t>toda persona cuya edad sea menor a doce años</w:t>
      </w:r>
      <w:r w:rsidRPr="006E437B">
        <w:rPr>
          <w:rFonts w:ascii="Times New Roman" w:eastAsia="Arial" w:hAnsi="Times New Roman" w:cs="Times New Roman"/>
          <w:i/>
          <w:sz w:val="24"/>
          <w:szCs w:val="24"/>
        </w:rPr>
        <w:t>, cuando exista duda de si se trata de una persona mayor o menor de doce años de edad, se presumirá que es niña o niño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Niñas, niños y adolescentes no podrán ser separados de sus padres o de quienes que ejerzan la patria potestad sobre ellos o de sus tutores</w:t>
      </w:r>
      <w:r w:rsidRPr="006E437B">
        <w:rPr>
          <w:rFonts w:ascii="Times New Roman" w:eastAsia="Arial" w:hAnsi="Times New Roman" w:cs="Times New Roman"/>
          <w:i/>
          <w:sz w:val="24"/>
          <w:szCs w:val="24"/>
        </w:rPr>
        <w:t xml:space="preserve">, y en términos de las disposiciones aplicables de quienes ejercen la custodia, </w:t>
      </w:r>
      <w:r w:rsidRPr="006E437B">
        <w:rPr>
          <w:rFonts w:ascii="Times New Roman" w:eastAsia="Arial" w:hAnsi="Times New Roman" w:cs="Times New Roman"/>
          <w:b/>
          <w:i/>
          <w:sz w:val="24"/>
          <w:szCs w:val="24"/>
        </w:rPr>
        <w:t xml:space="preserve">sino mediante orden de autoridad competente que así lo declare </w:t>
      </w:r>
      <w:r w:rsidRPr="006E437B">
        <w:rPr>
          <w:rFonts w:ascii="Times New Roman" w:eastAsia="Arial" w:hAnsi="Times New Roman" w:cs="Times New Roman"/>
          <w:i/>
          <w:sz w:val="24"/>
          <w:szCs w:val="24"/>
        </w:rPr>
        <w:t>velando en todo momento por su integridad física y escuchando la opinión de niñas, niños y adolescentes, conforme a su edad, desarrollo evolutivo, cognoscitivo y madurez y atendiendo a la preservación del interés superior de la niñez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u w:val="thick" w:color="000000"/>
        </w:rPr>
        <w:t>En todas las medidas concernientes a niñas, niños y adolescentes que tomen los</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órganos jurisdiccionales</w:t>
      </w:r>
      <w:r w:rsidRPr="006E437B">
        <w:rPr>
          <w:rFonts w:ascii="Times New Roman" w:eastAsia="Arial" w:hAnsi="Times New Roman" w:cs="Times New Roman"/>
          <w:i/>
          <w:sz w:val="24"/>
          <w:szCs w:val="24"/>
        </w:rPr>
        <w:t xml:space="preserve">, autoridades administrativas y órganos legislativos </w:t>
      </w:r>
      <w:r w:rsidRPr="006E437B">
        <w:rPr>
          <w:rFonts w:ascii="Times New Roman" w:eastAsia="Arial" w:hAnsi="Times New Roman" w:cs="Times New Roman"/>
          <w:b/>
          <w:i/>
          <w:sz w:val="24"/>
          <w:szCs w:val="24"/>
          <w:u w:val="thick" w:color="000000"/>
        </w:rPr>
        <w:t>se tomará</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en cuenta como consideración primordial el interés superior de la niñez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 xml:space="preserve">Las autoridades estatales que sustancien procedimientos de carácter jurisdiccional </w:t>
      </w:r>
      <w:r w:rsidRPr="006E437B">
        <w:rPr>
          <w:rFonts w:ascii="Times New Roman" w:eastAsia="Arial" w:hAnsi="Times New Roman" w:cs="Times New Roman"/>
          <w:i/>
          <w:sz w:val="24"/>
          <w:szCs w:val="24"/>
        </w:rPr>
        <w:t xml:space="preserve">o administrativo o que realicen cualquier acto de autoridad en los que estén relacionados niñas, niños y adolescentes </w:t>
      </w:r>
      <w:r w:rsidRPr="006E437B">
        <w:rPr>
          <w:rFonts w:ascii="Times New Roman" w:eastAsia="Arial" w:hAnsi="Times New Roman" w:cs="Times New Roman"/>
          <w:b/>
          <w:i/>
          <w:sz w:val="24"/>
          <w:szCs w:val="24"/>
        </w:rPr>
        <w:t>estarán obligadas a garantizar la protección y prevalencia del interés superior de la niñez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Criterios jurisprudenciales (citados de manera enunciativa más no limitativa)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AMPARO</w:t>
      </w:r>
      <w:r w:rsidRPr="006E437B">
        <w:rPr>
          <w:rFonts w:ascii="Times New Roman" w:eastAsia="Arial" w:hAnsi="Times New Roman" w:cs="Times New Roman"/>
          <w:b/>
          <w:i/>
          <w:sz w:val="24"/>
          <w:szCs w:val="24"/>
          <w:vertAlign w:val="superscript"/>
        </w:rPr>
        <w:t>54</w:t>
      </w:r>
      <w:r w:rsidRPr="006E437B">
        <w:rPr>
          <w:rFonts w:ascii="Times New Roman" w:eastAsia="Arial" w:hAnsi="Times New Roman" w:cs="Times New Roman"/>
          <w:b/>
          <w:i/>
          <w:sz w:val="24"/>
          <w:szCs w:val="24"/>
        </w:rPr>
        <w:t xml:space="preserve"> DIRECTO EN REVISIÓN 553/2014</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AMPARO</w:t>
      </w:r>
      <w:r w:rsidRPr="006E437B">
        <w:rPr>
          <w:rFonts w:ascii="Times New Roman" w:eastAsia="Arial" w:hAnsi="Times New Roman" w:cs="Times New Roman"/>
          <w:b/>
          <w:i/>
          <w:sz w:val="24"/>
          <w:szCs w:val="24"/>
          <w:vertAlign w:val="superscript"/>
        </w:rPr>
        <w:t>55</w:t>
      </w:r>
      <w:r w:rsidRPr="006E437B">
        <w:rPr>
          <w:rFonts w:ascii="Times New Roman" w:eastAsia="Arial" w:hAnsi="Times New Roman" w:cs="Times New Roman"/>
          <w:b/>
          <w:i/>
          <w:sz w:val="24"/>
          <w:szCs w:val="24"/>
        </w:rPr>
        <w:t xml:space="preserve"> DIRECTO EN REVISIÓN 1958/2017</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54</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https://www2.scjn.gob.mx/juridica/engroses/1/2014/10/2_162077_2207_firmado.pdf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55</w:t>
      </w:r>
      <w:r w:rsidRPr="006E437B">
        <w:rPr>
          <w:rFonts w:ascii="Times New Roman" w:hAnsi="Times New Roman" w:cs="Times New Roman"/>
          <w:color w:val="auto"/>
          <w:sz w:val="20"/>
        </w:rPr>
        <w:t xml:space="preserve"> Disponible en: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https://www2.scjn.gob.mx/juridica/engroses/1/2017/10/2_213507_3690_firmado.pdf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AMPARO</w:t>
      </w:r>
      <w:r w:rsidRPr="006E437B">
        <w:rPr>
          <w:rFonts w:ascii="Times New Roman" w:eastAsia="Arial" w:hAnsi="Times New Roman" w:cs="Times New Roman"/>
          <w:b/>
          <w:i/>
          <w:sz w:val="24"/>
          <w:szCs w:val="24"/>
          <w:vertAlign w:val="superscript"/>
        </w:rPr>
        <w:t>56</w:t>
      </w:r>
      <w:r w:rsidRPr="006E437B">
        <w:rPr>
          <w:rFonts w:ascii="Times New Roman" w:eastAsia="Arial" w:hAnsi="Times New Roman" w:cs="Times New Roman"/>
          <w:b/>
          <w:i/>
          <w:sz w:val="24"/>
          <w:szCs w:val="24"/>
        </w:rPr>
        <w:t xml:space="preserve"> EN REVISIÓN 331/2019</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9"/>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GUARDA Y CUSTODIA DE LOS MENORES DE EDAD. LA DECISIÓN JUDICIAL RELATIVA A SU OTORGAMIENTO DEBERÁ ATENDER A AQUEL ESCENARIO QUE RESULTE MÁS BENÉFICO PARA EL MENOR [INTERPRETACIÓN DEL ARTÍCULO 4.228, FRACCIÓN II, INCISO A), DEL CÓDIGO CIVIL DEL ESTADO DE MÉXICO]</w:t>
      </w:r>
      <w:r w:rsidRPr="006E437B">
        <w:rPr>
          <w:rFonts w:ascii="Times New Roman" w:eastAsia="Arial" w:hAnsi="Times New Roman" w:cs="Times New Roman"/>
          <w:b/>
          <w:i/>
          <w:sz w:val="24"/>
          <w:szCs w:val="24"/>
          <w:vertAlign w:val="superscript"/>
        </w:rPr>
        <w:t>57</w:t>
      </w:r>
      <w:r w:rsidRPr="006E437B">
        <w:rPr>
          <w:rFonts w:ascii="Times New Roman" w:eastAsia="Arial" w:hAnsi="Times New Roman" w:cs="Times New Roman"/>
          <w:b/>
          <w:i/>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ind w:left="567"/>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Como ya lo ha establecido esta Primera Sala de la Suprema Corte de Justicia de la Nación, no existe en nuestro ordenamiento jurídico una suerte de presunción de idoneidad absoluta que juegue a favor de alguno de los progenitores pues, en principio, tanto el padre como la madre están igualmente capacitados para atender de modo conveniente a los hijos. Así las cosas, el intérprete, al momento de aplicar el </w:t>
      </w:r>
      <w:r w:rsidRPr="006E437B">
        <w:rPr>
          <w:rFonts w:ascii="Times New Roman" w:eastAsia="Arial" w:hAnsi="Times New Roman" w:cs="Times New Roman"/>
          <w:b/>
          <w:i/>
          <w:sz w:val="24"/>
          <w:szCs w:val="24"/>
          <w:u w:val="thick" w:color="000000"/>
        </w:rPr>
        <w:t>inciso a), de la</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fracción II, del artículo 4.228 del Código Civil del Estado de México</w:t>
      </w:r>
      <w:r w:rsidRPr="006E437B">
        <w:rPr>
          <w:rFonts w:ascii="Times New Roman" w:eastAsia="Arial" w:hAnsi="Times New Roman" w:cs="Times New Roman"/>
          <w:i/>
          <w:sz w:val="24"/>
          <w:szCs w:val="24"/>
        </w:rPr>
        <w:t xml:space="preserve">, que dispone que si no se llega a ningún acuerdo respecto a la guarda y custodia, "los menores de diez años quedarán al cuidado de la madre, salvo que sea perjudicial para el menor", deberá atender, en todo momento, al interés superior del menor. Lo anterior significa que </w:t>
      </w:r>
      <w:r w:rsidRPr="006E437B">
        <w:rPr>
          <w:rFonts w:ascii="Times New Roman" w:eastAsia="Arial" w:hAnsi="Times New Roman" w:cs="Times New Roman"/>
          <w:b/>
          <w:i/>
          <w:sz w:val="24"/>
          <w:szCs w:val="24"/>
        </w:rPr>
        <w:t>la decisión judicial al respecto no sólo deberá atender a aquel escenario que resulte menos perjudicial para el menor</w:t>
      </w:r>
      <w:r w:rsidRPr="006E437B">
        <w:rPr>
          <w:rFonts w:ascii="Times New Roman" w:eastAsia="Arial" w:hAnsi="Times New Roman" w:cs="Times New Roman"/>
          <w:i/>
          <w:sz w:val="24"/>
          <w:szCs w:val="24"/>
        </w:rPr>
        <w:t xml:space="preserve">, sino, por el contrario, </w:t>
      </w:r>
      <w:r w:rsidRPr="006E437B">
        <w:rPr>
          <w:rFonts w:ascii="Times New Roman" w:eastAsia="Arial" w:hAnsi="Times New Roman" w:cs="Times New Roman"/>
          <w:b/>
          <w:i/>
          <w:sz w:val="24"/>
          <w:szCs w:val="24"/>
        </w:rPr>
        <w:t>deberá buscar una solución estable, justa y equitativa que resulte lo más benéfica para éste (el menor)</w:t>
      </w:r>
      <w:r w:rsidRPr="006E437B">
        <w:rPr>
          <w:rFonts w:ascii="Times New Roman" w:eastAsia="Arial" w:hAnsi="Times New Roman" w:cs="Times New Roman"/>
          <w:i/>
          <w:sz w:val="24"/>
          <w:szCs w:val="24"/>
        </w:rPr>
        <w:t xml:space="preserve">. La dificultad estriba en determinar y delimitar el contenido del interés superior del menor, ya que no puede ser establecido con carácter general y de forma abstracta; la dinámica de las relaciones familiares es extraordinariamente compleja y variada y es dicha dinámica, así como las consecuencias y efectos que la ruptura haya ocasionado en los integrantes de la familia, la que determinará cuál es el sistema de custodia más beneficioso para los menores. Así las cosas, el juez habrá de </w:t>
      </w:r>
      <w:r w:rsidRPr="006E437B">
        <w:rPr>
          <w:rFonts w:ascii="Times New Roman" w:eastAsia="Arial" w:hAnsi="Times New Roman" w:cs="Times New Roman"/>
          <w:b/>
          <w:i/>
          <w:sz w:val="24"/>
          <w:szCs w:val="24"/>
        </w:rPr>
        <w:t>valorar las especiales circunstancias que concurran en cada progenitor y determinar cuál es el ambiente más propicio para el desarrollo integral de la personalidad del menor</w:t>
      </w:r>
      <w:r w:rsidRPr="006E437B">
        <w:rPr>
          <w:rFonts w:ascii="Times New Roman" w:eastAsia="Arial" w:hAnsi="Times New Roman" w:cs="Times New Roman"/>
          <w:i/>
          <w:sz w:val="24"/>
          <w:szCs w:val="24"/>
        </w:rPr>
        <w:t xml:space="preserve">, lo cual se puede dar con ambos progenitores o con uno solo de ellos, ya sea la madre o el padre. En conclusión, </w:t>
      </w:r>
      <w:r w:rsidRPr="006E437B">
        <w:rPr>
          <w:rFonts w:ascii="Times New Roman" w:eastAsia="Arial" w:hAnsi="Times New Roman" w:cs="Times New Roman"/>
          <w:b/>
          <w:i/>
          <w:sz w:val="24"/>
          <w:szCs w:val="24"/>
        </w:rPr>
        <w:t>la tutela del interés preferente de los hijos exige, siempre y en cualquier caso, que se otorgue la guarda y custodia en aquella forma (exclusiva o compartida, a favor del padre o de la madre), que se revele como la más benéfica para el menor.</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56</w:t>
      </w:r>
      <w:r w:rsidRPr="006E437B">
        <w:rPr>
          <w:rFonts w:ascii="Times New Roman" w:hAnsi="Times New Roman" w:cs="Times New Roman"/>
          <w:color w:val="auto"/>
          <w:sz w:val="20"/>
          <w:szCs w:val="20"/>
        </w:rPr>
        <w:t xml:space="preserve"> Disponible en: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rPr>
        <w:t xml:space="preserve">https://www.scjn.gob.mx/sites/default/files/listas/documento_dos/2019-10/AR-331-2019-191004.pdf </w:t>
      </w: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57</w:t>
      </w:r>
      <w:r w:rsidRPr="006E437B">
        <w:rPr>
          <w:rFonts w:ascii="Times New Roman" w:hAnsi="Times New Roman" w:cs="Times New Roman"/>
          <w:color w:val="auto"/>
          <w:sz w:val="20"/>
          <w:szCs w:val="20"/>
        </w:rPr>
        <w:t xml:space="preserve"> Disponible en: https://sjf2.scjn.gob.mx/detalle/tesis/2006791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b/>
          <w:bCs/>
          <w:sz w:val="20"/>
          <w:szCs w:val="20"/>
        </w:rPr>
        <w:t xml:space="preserve">Tesis, </w:t>
      </w:r>
      <w:r w:rsidRPr="006E437B">
        <w:rPr>
          <w:rFonts w:ascii="Times New Roman" w:hAnsi="Times New Roman" w:cs="Times New Roman"/>
          <w:sz w:val="20"/>
          <w:szCs w:val="20"/>
        </w:rPr>
        <w:t xml:space="preserve">Registro digital: </w:t>
      </w:r>
      <w:r w:rsidRPr="006E437B">
        <w:rPr>
          <w:rFonts w:ascii="Times New Roman" w:hAnsi="Times New Roman" w:cs="Times New Roman"/>
          <w:b/>
          <w:bCs/>
          <w:sz w:val="20"/>
          <w:szCs w:val="20"/>
        </w:rPr>
        <w:t xml:space="preserve">2006791; </w:t>
      </w:r>
      <w:r w:rsidRPr="006E437B">
        <w:rPr>
          <w:rFonts w:ascii="Times New Roman" w:hAnsi="Times New Roman" w:cs="Times New Roman"/>
          <w:sz w:val="20"/>
          <w:szCs w:val="20"/>
        </w:rPr>
        <w:t xml:space="preserve">Instancia: </w:t>
      </w:r>
      <w:r w:rsidRPr="006E437B">
        <w:rPr>
          <w:rFonts w:ascii="Times New Roman" w:hAnsi="Times New Roman" w:cs="Times New Roman"/>
          <w:b/>
          <w:bCs/>
          <w:sz w:val="20"/>
          <w:szCs w:val="20"/>
        </w:rPr>
        <w:t xml:space="preserve">Primera Sala, Décima Época; </w:t>
      </w:r>
      <w:r w:rsidRPr="006E437B">
        <w:rPr>
          <w:rFonts w:ascii="Times New Roman" w:hAnsi="Times New Roman" w:cs="Times New Roman"/>
          <w:sz w:val="20"/>
          <w:szCs w:val="20"/>
        </w:rPr>
        <w:t xml:space="preserve">Materia(s): </w:t>
      </w:r>
      <w:r w:rsidRPr="006E437B">
        <w:rPr>
          <w:rFonts w:ascii="Times New Roman" w:hAnsi="Times New Roman" w:cs="Times New Roman"/>
          <w:b/>
          <w:bCs/>
          <w:sz w:val="20"/>
          <w:szCs w:val="20"/>
        </w:rPr>
        <w:t xml:space="preserve">Constitucional, Civil; </w:t>
      </w:r>
      <w:r w:rsidRPr="006E437B">
        <w:rPr>
          <w:rFonts w:ascii="Times New Roman" w:hAnsi="Times New Roman" w:cs="Times New Roman"/>
          <w:sz w:val="20"/>
          <w:szCs w:val="20"/>
        </w:rPr>
        <w:t xml:space="preserve">Tesis: </w:t>
      </w:r>
      <w:r w:rsidRPr="006E437B">
        <w:rPr>
          <w:rFonts w:ascii="Times New Roman" w:hAnsi="Times New Roman" w:cs="Times New Roman"/>
          <w:b/>
          <w:bCs/>
          <w:sz w:val="20"/>
          <w:szCs w:val="20"/>
        </w:rPr>
        <w:t xml:space="preserve">1a./J. 53/2014 (10a.); </w:t>
      </w:r>
      <w:r w:rsidRPr="006E437B">
        <w:rPr>
          <w:rFonts w:ascii="Times New Roman" w:hAnsi="Times New Roman" w:cs="Times New Roman"/>
          <w:sz w:val="20"/>
          <w:szCs w:val="20"/>
        </w:rPr>
        <w:t>Fuente: Gaceta del Semanario Judicial de la Federación. Libro 7, junio de 2014, Tomo I, página 217</w:t>
      </w:r>
      <w:r w:rsidRPr="006E437B">
        <w:rPr>
          <w:rFonts w:ascii="Times New Roman" w:hAnsi="Times New Roman" w:cs="Times New Roman"/>
          <w:b/>
          <w:bCs/>
          <w:sz w:val="20"/>
          <w:szCs w:val="20"/>
        </w:rPr>
        <w:t xml:space="preserve">; </w:t>
      </w:r>
      <w:r w:rsidRPr="006E437B">
        <w:rPr>
          <w:rFonts w:ascii="Times New Roman" w:hAnsi="Times New Roman" w:cs="Times New Roman"/>
          <w:sz w:val="20"/>
          <w:szCs w:val="20"/>
        </w:rPr>
        <w:t xml:space="preserve">Tipo: </w:t>
      </w:r>
      <w:r w:rsidRPr="006E437B">
        <w:rPr>
          <w:rFonts w:ascii="Times New Roman" w:hAnsi="Times New Roman" w:cs="Times New Roman"/>
          <w:b/>
          <w:bCs/>
          <w:sz w:val="20"/>
          <w:szCs w:val="20"/>
        </w:rPr>
        <w:t xml:space="preserve">Jurisprudencia </w:t>
      </w:r>
      <w:r w:rsidRPr="006E437B">
        <w:rPr>
          <w:rFonts w:ascii="Times New Roman" w:hAnsi="Times New Roman" w:cs="Times New Roman"/>
          <w:sz w:val="20"/>
          <w:szCs w:val="20"/>
        </w:rPr>
        <w:t xml:space="preserve"> </w:t>
      </w:r>
    </w:p>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Sinespaciado"/>
        <w:jc w:val="right"/>
        <w:rPr>
          <w:rFonts w:ascii="Times New Roman" w:eastAsia="Arial" w:hAnsi="Times New Roman" w:cs="Times New Roman"/>
          <w:sz w:val="24"/>
          <w:szCs w:val="24"/>
        </w:rPr>
      </w:pPr>
      <w:r w:rsidRPr="006E437B">
        <w:rPr>
          <w:rFonts w:ascii="Times New Roman" w:eastAsia="Arial" w:hAnsi="Times New Roman" w:cs="Times New Roman"/>
          <w:b/>
          <w:i/>
          <w:sz w:val="24"/>
          <w:szCs w:val="24"/>
        </w:rPr>
        <w:t>El énfasis es propio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DA64DA">
      <w:pPr>
        <w:pStyle w:val="Sinespaciado"/>
        <w:numPr>
          <w:ilvl w:val="0"/>
          <w:numId w:val="10"/>
        </w:numPr>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GUARDA Y CUSTODIA DE LOS MENORES DE EDAD. EL ARTÍCULO 4.228, FRACCIÓN II, INCISO A), DEL CÓDIGO CIVIL DEL ESTADO DE MÉXICO, INTERPRETADO A LA LUZ DEL INTERÉS SUPERIOR DE LOS MENORES Y DEL PRINCIPIO DE IGUALDAD PREVISTOS EN LA CONSTITUCIÓN POLÍTICA DE LOS</w:t>
      </w:r>
      <w:r w:rsidRPr="006E437B">
        <w:rPr>
          <w:rFonts w:ascii="Times New Roman" w:eastAsia="Arial" w:hAnsi="Times New Roman" w:cs="Times New Roman"/>
          <w:b/>
          <w:i/>
          <w:sz w:val="24"/>
          <w:szCs w:val="24"/>
        </w:rPr>
        <w:tab/>
        <w:t>ESTADOS UNIDOS MEXICANOS, ES CONSTITUCIONAL</w:t>
      </w:r>
      <w:r w:rsidRPr="006E437B">
        <w:rPr>
          <w:rFonts w:ascii="Times New Roman" w:eastAsia="Arial" w:hAnsi="Times New Roman" w:cs="Times New Roman"/>
          <w:b/>
          <w:i/>
          <w:sz w:val="24"/>
          <w:szCs w:val="24"/>
          <w:vertAlign w:val="superscript"/>
        </w:rPr>
        <w:t>58</w:t>
      </w:r>
      <w:r w:rsidRPr="006E437B">
        <w:rPr>
          <w:rFonts w:ascii="Times New Roman" w:eastAsia="Arial" w:hAnsi="Times New Roman" w:cs="Times New Roman"/>
          <w:b/>
          <w:i/>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El </w:t>
      </w:r>
      <w:r w:rsidRPr="006E437B">
        <w:rPr>
          <w:rFonts w:ascii="Times New Roman" w:eastAsia="Arial" w:hAnsi="Times New Roman" w:cs="Times New Roman"/>
          <w:b/>
          <w:i/>
          <w:sz w:val="24"/>
          <w:szCs w:val="24"/>
          <w:u w:val="thick" w:color="000000"/>
        </w:rPr>
        <w:t>artículo 4.228 del Código Civil del Estado de México</w:t>
      </w:r>
      <w:r w:rsidRPr="006E437B">
        <w:rPr>
          <w:rFonts w:ascii="Times New Roman" w:eastAsia="Arial" w:hAnsi="Times New Roman" w:cs="Times New Roman"/>
          <w:i/>
          <w:sz w:val="24"/>
          <w:szCs w:val="24"/>
        </w:rPr>
        <w:t xml:space="preserve">, establece que: "Cuando sólo uno de los que ejercen la patria potestad deba hacerse cargo provisional o definitivamente de la guarda y custodia de un menor, se aplicarán las siguientes disposiciones: I. Los que ejerzan la patria potestad convendrán quién de ellos se hará cargo de la guarda y custodia del menor. II. Si no llegan a ningún acuerdo: a) Los menores de diez años quedarán al cuidado de la madre, salvo que sea perjudicial para el menor.". </w:t>
      </w:r>
      <w:r w:rsidRPr="006E437B">
        <w:rPr>
          <w:rFonts w:ascii="Times New Roman" w:eastAsia="Arial" w:hAnsi="Times New Roman" w:cs="Times New Roman"/>
          <w:b/>
          <w:i/>
          <w:sz w:val="24"/>
          <w:szCs w:val="24"/>
        </w:rPr>
        <w:t xml:space="preserve">A juicio de la Primera Sala de la Suprema Corte de Justicia de la Nación, </w:t>
      </w:r>
      <w:r w:rsidRPr="006E437B">
        <w:rPr>
          <w:rFonts w:ascii="Times New Roman" w:eastAsia="Arial" w:hAnsi="Times New Roman" w:cs="Times New Roman"/>
          <w:b/>
          <w:i/>
          <w:sz w:val="24"/>
          <w:szCs w:val="24"/>
          <w:u w:val="thick" w:color="FF0000"/>
        </w:rPr>
        <w:t>esta porción normativa resulta constitucional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siempre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y cuando se interprete a la luz del interés superior de los menores y</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del principio de igualdad</w:t>
      </w:r>
      <w:r w:rsidRPr="006E437B">
        <w:rPr>
          <w:rFonts w:ascii="Times New Roman" w:eastAsia="Arial" w:hAnsi="Times New Roman" w:cs="Times New Roman"/>
          <w:i/>
          <w:sz w:val="24"/>
          <w:szCs w:val="24"/>
        </w:rPr>
        <w:t xml:space="preserve">. En primer término, es necesario señalar que al momento de decidir la forma de atribución a los progenitores de la guarda y custodia, </w:t>
      </w:r>
      <w:r w:rsidRPr="006E437B">
        <w:rPr>
          <w:rFonts w:ascii="Times New Roman" w:eastAsia="Arial" w:hAnsi="Times New Roman" w:cs="Times New Roman"/>
          <w:b/>
          <w:i/>
          <w:sz w:val="24"/>
          <w:szCs w:val="24"/>
        </w:rPr>
        <w:t>hay que tener en cuenta que la regulación de cuantos deberes y facultades configuran la patria potestad, siempre está pensada y orientada en beneficio de los hijos</w:t>
      </w:r>
      <w:r w:rsidRPr="006E437B">
        <w:rPr>
          <w:rFonts w:ascii="Times New Roman" w:eastAsia="Arial" w:hAnsi="Times New Roman" w:cs="Times New Roman"/>
          <w:i/>
          <w:sz w:val="24"/>
          <w:szCs w:val="24"/>
        </w:rPr>
        <w:t xml:space="preserve">, finalidad que es común para el conjunto de las relaciones paterno-filiales y, cabría agregar, este criterio proteccionista debe reflejarse también en las medidas judiciales que han de adoptarse en relación con el cuidado y educación de los hijos. En esta lógica, el legislador puede optar por otorgar preferencia a la madre en el momento de atribuir la guarda y custodia de un menor; sin embargo, </w:t>
      </w:r>
      <w:r w:rsidRPr="006E437B">
        <w:rPr>
          <w:rFonts w:ascii="Times New Roman" w:eastAsia="Arial" w:hAnsi="Times New Roman" w:cs="Times New Roman"/>
          <w:b/>
          <w:i/>
          <w:sz w:val="24"/>
          <w:szCs w:val="24"/>
          <w:u w:val="thick" w:color="FF0000"/>
        </w:rPr>
        <w:t>este tipo de normas no deben ser</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interpretadas en clave de un estereotipo</w:t>
      </w:r>
      <w:r w:rsidRPr="006E437B">
        <w:rPr>
          <w:rFonts w:ascii="Times New Roman" w:eastAsia="Arial" w:hAnsi="Times New Roman" w:cs="Times New Roman"/>
          <w:b/>
          <w:i/>
          <w:sz w:val="24"/>
          <w:szCs w:val="24"/>
        </w:rPr>
        <w:t xml:space="preserve"> en el que la mujer resulta, per se, la persona más preparada para tal tarea</w:t>
      </w:r>
      <w:r w:rsidRPr="006E437B">
        <w:rPr>
          <w:rFonts w:ascii="Times New Roman" w:eastAsia="Arial" w:hAnsi="Times New Roman" w:cs="Times New Roman"/>
          <w:i/>
          <w:sz w:val="24"/>
          <w:szCs w:val="24"/>
        </w:rPr>
        <w:t xml:space="preserve">. Es innegable que en los primeros meses y años de vida, las previsiones de la naturaleza conllevan una identificación total del hijo con la madre. Y no sólo nos referimos a las necesidades biológicas del menor en cuanto a la alimentación a través de la leche materna, sino, y como lo han desarrollado diversos especialistas en la materia a nivel internacional, el protagonismo de las madres en la conformación de la personalidad de sus hijos durante la primera etapa de su vida resulta determinante en el desarrollo de su conducta hacia el futuro. En esta lógica, la determinación de la guarda y custodia a favor de la mujer está basada en la preservación del interés superior del menor, el cual, como ya señalamos, resulta el criterio proteccionista al que se debe acudir. Esta idea, además, responde a un compromiso internacional del Estado mexicano contenido en el artículo </w:t>
      </w:r>
      <w:r w:rsidRPr="006E437B">
        <w:rPr>
          <w:rFonts w:ascii="Times New Roman" w:eastAsia="Arial" w:hAnsi="Times New Roman" w:cs="Times New Roman"/>
          <w:b/>
          <w:i/>
          <w:sz w:val="24"/>
          <w:szCs w:val="24"/>
          <w:u w:val="thick" w:color="000000"/>
        </w:rPr>
        <w:t>16 del Protocolo Adicional a la Convención Americana de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Derechos Humanos en materia de Derechos Económicos, Sociales</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y Culturales</w:t>
      </w:r>
      <w:r w:rsidRPr="006E437B">
        <w:rPr>
          <w:rFonts w:ascii="Times New Roman" w:eastAsia="Arial" w:hAnsi="Times New Roman" w:cs="Times New Roman"/>
          <w:i/>
          <w:sz w:val="24"/>
          <w:szCs w:val="24"/>
        </w:rPr>
        <w:t xml:space="preserve">. Ahora bien, </w:t>
      </w:r>
      <w:r w:rsidRPr="006E437B">
        <w:rPr>
          <w:rFonts w:ascii="Times New Roman" w:eastAsia="Arial" w:hAnsi="Times New Roman" w:cs="Times New Roman"/>
          <w:b/>
          <w:i/>
          <w:sz w:val="24"/>
          <w:szCs w:val="24"/>
        </w:rPr>
        <w:t xml:space="preserve">como también señalan los expertos, pasado cierto periodo de tiempo, se opera un progresivo proceso de individuación del niño a través de la necesaria e insustituible presencia de ambos progenitores. </w:t>
      </w:r>
      <w:r w:rsidRPr="006E437B">
        <w:rPr>
          <w:rFonts w:ascii="Times New Roman" w:eastAsia="Arial" w:hAnsi="Times New Roman" w:cs="Times New Roman"/>
          <w:b/>
          <w:i/>
          <w:sz w:val="24"/>
          <w:szCs w:val="24"/>
          <w:u w:val="thick" w:color="FF0000"/>
        </w:rPr>
        <w:t>El menor necesita tanto de su</w:t>
      </w:r>
      <w:r w:rsidRPr="006E437B">
        <w:rPr>
          <w:rFonts w:ascii="Times New Roman" w:eastAsia="Arial" w:hAnsi="Times New Roman" w:cs="Times New Roman"/>
          <w:b/>
          <w:i/>
          <w:sz w:val="24"/>
          <w:szCs w:val="24"/>
        </w:rPr>
        <w:t xml:space="preserve"> madre como de su padre, aunque de modo diferente, en función de la edad; ambos progenitores deben hacer posible y propiciar la presencia efectiva de esas funciones simbólicas en el proceso de maduración personal de los hijos.</w:t>
      </w:r>
    </w:p>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58</w:t>
      </w:r>
      <w:r w:rsidRPr="006E437B">
        <w:rPr>
          <w:rFonts w:ascii="Times New Roman" w:hAnsi="Times New Roman" w:cs="Times New Roman"/>
          <w:color w:val="auto"/>
          <w:sz w:val="20"/>
          <w:szCs w:val="20"/>
        </w:rPr>
        <w:t xml:space="preserve"> Disponible en: https://sjf2.scjn.gob.mx/detalle/tesis/2006790 </w:t>
      </w:r>
    </w:p>
    <w:p w:rsidR="00470AD7" w:rsidRPr="006E437B" w:rsidRDefault="00470AD7" w:rsidP="00141629">
      <w:pPr>
        <w:pStyle w:val="Sinespaciado"/>
        <w:jc w:val="both"/>
        <w:rPr>
          <w:rFonts w:ascii="Times New Roman" w:hAnsi="Times New Roman" w:cs="Times New Roman"/>
          <w:b/>
          <w:bCs/>
          <w:sz w:val="20"/>
          <w:szCs w:val="20"/>
        </w:rPr>
      </w:pPr>
      <w:r w:rsidRPr="006E437B">
        <w:rPr>
          <w:rFonts w:ascii="Times New Roman" w:hAnsi="Times New Roman" w:cs="Times New Roman"/>
          <w:b/>
          <w:bCs/>
          <w:sz w:val="20"/>
          <w:szCs w:val="20"/>
        </w:rPr>
        <w:t>Tesis</w:t>
      </w:r>
      <w:r w:rsidRPr="006E437B">
        <w:rPr>
          <w:rFonts w:ascii="Times New Roman" w:hAnsi="Times New Roman" w:cs="Times New Roman"/>
          <w:sz w:val="20"/>
          <w:szCs w:val="20"/>
        </w:rPr>
        <w:t xml:space="preserve">, Registro digital: </w:t>
      </w:r>
      <w:r w:rsidRPr="006E437B">
        <w:rPr>
          <w:rFonts w:ascii="Times New Roman" w:hAnsi="Times New Roman" w:cs="Times New Roman"/>
          <w:b/>
          <w:bCs/>
          <w:sz w:val="20"/>
          <w:szCs w:val="20"/>
        </w:rPr>
        <w:t>2006790</w:t>
      </w:r>
      <w:r w:rsidRPr="006E437B">
        <w:rPr>
          <w:rFonts w:ascii="Times New Roman" w:hAnsi="Times New Roman" w:cs="Times New Roman"/>
          <w:sz w:val="20"/>
          <w:szCs w:val="20"/>
        </w:rPr>
        <w:t xml:space="preserve">; Instancia: </w:t>
      </w:r>
      <w:r w:rsidRPr="006E437B">
        <w:rPr>
          <w:rFonts w:ascii="Times New Roman" w:hAnsi="Times New Roman" w:cs="Times New Roman"/>
          <w:b/>
          <w:bCs/>
          <w:sz w:val="20"/>
          <w:szCs w:val="20"/>
        </w:rPr>
        <w:t>Primera Sala</w:t>
      </w:r>
      <w:r w:rsidRPr="006E437B">
        <w:rPr>
          <w:rFonts w:ascii="Times New Roman" w:hAnsi="Times New Roman" w:cs="Times New Roman"/>
          <w:sz w:val="20"/>
          <w:szCs w:val="20"/>
        </w:rPr>
        <w:t xml:space="preserve">; </w:t>
      </w:r>
      <w:r w:rsidRPr="006E437B">
        <w:rPr>
          <w:rFonts w:ascii="Times New Roman" w:hAnsi="Times New Roman" w:cs="Times New Roman"/>
          <w:b/>
          <w:bCs/>
          <w:sz w:val="20"/>
          <w:szCs w:val="20"/>
        </w:rPr>
        <w:t>Décima Época</w:t>
      </w:r>
      <w:r w:rsidRPr="006E437B">
        <w:rPr>
          <w:rFonts w:ascii="Times New Roman" w:hAnsi="Times New Roman" w:cs="Times New Roman"/>
          <w:sz w:val="20"/>
          <w:szCs w:val="20"/>
        </w:rPr>
        <w:t xml:space="preserve">; Materia(s): </w:t>
      </w:r>
      <w:r w:rsidRPr="006E437B">
        <w:rPr>
          <w:rFonts w:ascii="Times New Roman" w:hAnsi="Times New Roman" w:cs="Times New Roman"/>
          <w:b/>
          <w:bCs/>
          <w:sz w:val="20"/>
          <w:szCs w:val="20"/>
        </w:rPr>
        <w:t xml:space="preserve">Constitucional, Civil; </w:t>
      </w:r>
      <w:r w:rsidRPr="006E437B">
        <w:rPr>
          <w:rFonts w:ascii="Times New Roman" w:hAnsi="Times New Roman" w:cs="Times New Roman"/>
          <w:sz w:val="20"/>
          <w:szCs w:val="20"/>
        </w:rPr>
        <w:t xml:space="preserve">Tesis: </w:t>
      </w:r>
      <w:r w:rsidRPr="006E437B">
        <w:rPr>
          <w:rFonts w:ascii="Times New Roman" w:hAnsi="Times New Roman" w:cs="Times New Roman"/>
          <w:b/>
          <w:bCs/>
          <w:sz w:val="20"/>
          <w:szCs w:val="20"/>
        </w:rPr>
        <w:t xml:space="preserve">1a./J. 52/2014 (10a.); </w:t>
      </w:r>
      <w:r w:rsidRPr="006E437B">
        <w:rPr>
          <w:rFonts w:ascii="Times New Roman" w:hAnsi="Times New Roman" w:cs="Times New Roman"/>
          <w:sz w:val="20"/>
          <w:szCs w:val="20"/>
        </w:rPr>
        <w:t>Fuente: Gaceta del Semanario Judicial de la Federación. Libro 7, junio de 2014, Tomo I, página 215</w:t>
      </w:r>
      <w:r w:rsidRPr="006E437B">
        <w:rPr>
          <w:rFonts w:ascii="Times New Roman" w:hAnsi="Times New Roman" w:cs="Times New Roman"/>
          <w:b/>
          <w:bCs/>
          <w:sz w:val="20"/>
          <w:szCs w:val="20"/>
        </w:rPr>
        <w:t xml:space="preserve">; </w:t>
      </w:r>
      <w:r w:rsidRPr="006E437B">
        <w:rPr>
          <w:rFonts w:ascii="Times New Roman" w:hAnsi="Times New Roman" w:cs="Times New Roman"/>
          <w:sz w:val="20"/>
          <w:szCs w:val="20"/>
        </w:rPr>
        <w:t xml:space="preserve">Tipo: </w:t>
      </w:r>
      <w:r w:rsidRPr="006E437B">
        <w:rPr>
          <w:rFonts w:ascii="Times New Roman" w:hAnsi="Times New Roman" w:cs="Times New Roman"/>
          <w:b/>
          <w:bCs/>
          <w:sz w:val="20"/>
          <w:szCs w:val="20"/>
        </w:rPr>
        <w:t>Jurisprudencia</w:t>
      </w:r>
    </w:p>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Sinespaciado"/>
        <w:jc w:val="right"/>
        <w:rPr>
          <w:rFonts w:ascii="Times New Roman" w:eastAsia="Arial" w:hAnsi="Times New Roman" w:cs="Times New Roman"/>
          <w:sz w:val="24"/>
          <w:szCs w:val="24"/>
        </w:rPr>
      </w:pPr>
      <w:r w:rsidRPr="006E437B">
        <w:rPr>
          <w:rFonts w:ascii="Times New Roman" w:eastAsia="Arial" w:hAnsi="Times New Roman" w:cs="Times New Roman"/>
          <w:b/>
          <w:i/>
          <w:sz w:val="24"/>
          <w:szCs w:val="24"/>
        </w:rPr>
        <w:t>El énfasis es propio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DERECHOS DE LAS NIÑAS, NIÑOS Y ADOLESCENTES. EL INTERÉS SUPERIOR DEL MENOR SE ERIGE COMO LA CONSIDERACIÓN PRIMORDIAL QUE DEBE DE ATENDERSE EN CUALQUIER DECISIÓN QUE LES AFECTE</w:t>
      </w:r>
      <w:r w:rsidRPr="006E437B">
        <w:rPr>
          <w:rFonts w:ascii="Times New Roman" w:eastAsia="Arial" w:hAnsi="Times New Roman" w:cs="Times New Roman"/>
          <w:b/>
          <w:sz w:val="24"/>
          <w:szCs w:val="24"/>
          <w:vertAlign w:val="superscript"/>
        </w:rPr>
        <w:t>59</w:t>
      </w: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El artículo </w:t>
      </w:r>
      <w:r w:rsidRPr="006E437B">
        <w:rPr>
          <w:rFonts w:ascii="Times New Roman" w:eastAsia="Arial" w:hAnsi="Times New Roman" w:cs="Times New Roman"/>
          <w:b/>
          <w:sz w:val="24"/>
          <w:szCs w:val="24"/>
          <w:u w:val="thick" w:color="000000"/>
        </w:rPr>
        <w:t>2, segundo párrafo, de la Ley General de los Derechos de</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Niñas, Niños y Adolescentes</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sz w:val="24"/>
          <w:szCs w:val="24"/>
        </w:rPr>
        <w:t xml:space="preserve">prevé que el "interés superior de la niñez deberá ser considerado de manera primordial en la toma de decisiones sobre una cuestión debatida que involucre niñas, niños y adolescentes"; de ahí que cuando se tome una decisión que les afecte en lo individual o colectivo, "se deberán evaluar y ponderar las posibles repercusiones a fin de salvaguardar su interés superior y sus garantías procesales". Al respecto, debe destacarse que </w:t>
      </w:r>
      <w:r w:rsidRPr="006E437B">
        <w:rPr>
          <w:rFonts w:ascii="Times New Roman" w:eastAsia="Arial" w:hAnsi="Times New Roman" w:cs="Times New Roman"/>
          <w:b/>
          <w:sz w:val="24"/>
          <w:szCs w:val="24"/>
        </w:rPr>
        <w:t xml:space="preserve">el interés superior del menor es un concepto triple, al ser: (I) </w:t>
      </w:r>
      <w:r w:rsidRPr="006E437B">
        <w:rPr>
          <w:rFonts w:ascii="Times New Roman" w:eastAsia="Arial" w:hAnsi="Times New Roman" w:cs="Times New Roman"/>
          <w:b/>
          <w:sz w:val="24"/>
          <w:szCs w:val="24"/>
          <w:u w:val="thick" w:color="FF0000"/>
        </w:rPr>
        <w:t>un derecho sustantivo</w:t>
      </w:r>
      <w:r w:rsidRPr="006E437B">
        <w:rPr>
          <w:rFonts w:ascii="Times New Roman" w:eastAsia="Arial" w:hAnsi="Times New Roman" w:cs="Times New Roman"/>
          <w:b/>
          <w:sz w:val="24"/>
          <w:szCs w:val="24"/>
        </w:rPr>
        <w:t xml:space="preserve">; (II) un </w:t>
      </w:r>
      <w:r w:rsidRPr="006E437B">
        <w:rPr>
          <w:rFonts w:ascii="Times New Roman" w:eastAsia="Arial" w:hAnsi="Times New Roman" w:cs="Times New Roman"/>
          <w:b/>
          <w:sz w:val="24"/>
          <w:szCs w:val="24"/>
          <w:u w:val="thick" w:color="FF0000"/>
        </w:rPr>
        <w:t>principio</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FF0000"/>
        </w:rPr>
        <w:t>jurídico interpretativo fundamental</w:t>
      </w:r>
      <w:r w:rsidRPr="006E437B">
        <w:rPr>
          <w:rFonts w:ascii="Times New Roman" w:eastAsia="Arial" w:hAnsi="Times New Roman" w:cs="Times New Roman"/>
          <w:b/>
          <w:sz w:val="24"/>
          <w:szCs w:val="24"/>
        </w:rPr>
        <w:t xml:space="preserve">; y (III) una </w:t>
      </w:r>
      <w:r w:rsidRPr="006E437B">
        <w:rPr>
          <w:rFonts w:ascii="Times New Roman" w:eastAsia="Arial" w:hAnsi="Times New Roman" w:cs="Times New Roman"/>
          <w:b/>
          <w:sz w:val="24"/>
          <w:szCs w:val="24"/>
          <w:u w:val="thick" w:color="FF0000"/>
        </w:rPr>
        <w:t>norma de</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FF0000"/>
        </w:rPr>
        <w:t>procedimiento</w:t>
      </w:r>
      <w:r w:rsidRPr="006E437B">
        <w:rPr>
          <w:rFonts w:ascii="Times New Roman" w:eastAsia="Arial" w:hAnsi="Times New Roman" w:cs="Times New Roman"/>
          <w:sz w:val="24"/>
          <w:szCs w:val="24"/>
        </w:rPr>
        <w:t xml:space="preserve">. El derecho del interés superior del menor prescribe que se observe "en todas las decisiones y medidas relacionadas con el niño", lo que significa que, en "cualquier medida que tenga que ver con uno o varios niños, su interés superior deberá ser una consideración primordial a que se atenderá", lo cual incluye no sólo las decisiones, sino también todos los actos, conductas, propuestas, servicios, procedimientos y demás iniciativas. Así, </w:t>
      </w:r>
      <w:r w:rsidRPr="006E437B">
        <w:rPr>
          <w:rFonts w:ascii="Times New Roman" w:eastAsia="Arial" w:hAnsi="Times New Roman" w:cs="Times New Roman"/>
          <w:b/>
          <w:sz w:val="24"/>
          <w:szCs w:val="24"/>
        </w:rPr>
        <w:t xml:space="preserve">las decisiones particulares adoptadas por las autoridades administrativas –en esferas relativas a </w:t>
      </w:r>
      <w:r w:rsidRPr="006E437B">
        <w:rPr>
          <w:rFonts w:ascii="Times New Roman" w:eastAsia="Arial" w:hAnsi="Times New Roman" w:cs="Times New Roman"/>
          <w:sz w:val="24"/>
          <w:szCs w:val="24"/>
        </w:rPr>
        <w:t xml:space="preserve">la educación, </w:t>
      </w:r>
      <w:r w:rsidRPr="006E437B">
        <w:rPr>
          <w:rFonts w:ascii="Times New Roman" w:eastAsia="Arial" w:hAnsi="Times New Roman" w:cs="Times New Roman"/>
          <w:b/>
          <w:sz w:val="24"/>
          <w:szCs w:val="24"/>
        </w:rPr>
        <w:t>el cuidado</w:t>
      </w:r>
      <w:r w:rsidRPr="006E437B">
        <w:rPr>
          <w:rFonts w:ascii="Times New Roman" w:eastAsia="Arial" w:hAnsi="Times New Roman" w:cs="Times New Roman"/>
          <w:sz w:val="24"/>
          <w:szCs w:val="24"/>
        </w:rPr>
        <w:t xml:space="preserve">, la salud, el medio ambiente, </w:t>
      </w:r>
      <w:r w:rsidRPr="006E437B">
        <w:rPr>
          <w:rFonts w:ascii="Times New Roman" w:eastAsia="Arial" w:hAnsi="Times New Roman" w:cs="Times New Roman"/>
          <w:b/>
          <w:sz w:val="24"/>
          <w:szCs w:val="24"/>
        </w:rPr>
        <w:t>las condiciones de vida, la protección</w:t>
      </w:r>
      <w:r w:rsidRPr="006E437B">
        <w:rPr>
          <w:rFonts w:ascii="Times New Roman" w:eastAsia="Arial" w:hAnsi="Times New Roman" w:cs="Times New Roman"/>
          <w:sz w:val="24"/>
          <w:szCs w:val="24"/>
        </w:rPr>
        <w:t xml:space="preserve">, el asilo, la inmigración y el acceso a la nacionalidad, entre otras– </w:t>
      </w:r>
      <w:r w:rsidRPr="006E437B">
        <w:rPr>
          <w:rFonts w:ascii="Times New Roman" w:eastAsia="Arial" w:hAnsi="Times New Roman" w:cs="Times New Roman"/>
          <w:b/>
          <w:sz w:val="24"/>
          <w:szCs w:val="24"/>
        </w:rPr>
        <w:t>deben evaluarse en función del interés superior del niño y han de estar guiadas por él, al igual que todas las medidas de aplicación</w:t>
      </w:r>
      <w:r w:rsidRPr="006E437B">
        <w:rPr>
          <w:rFonts w:ascii="Times New Roman" w:eastAsia="Arial" w:hAnsi="Times New Roman" w:cs="Times New Roman"/>
          <w:sz w:val="24"/>
          <w:szCs w:val="24"/>
        </w:rPr>
        <w:t>, ya que la consideración del interés superior del niño como algo primordial requiere tomar conciencia de la importancia de sus intereses en todas las medidas y tener la voluntad de dar prioridad a esos intereses en todas las circunstancias, pero sobre todo cuando las medidas tengan efectos indiscutibles en los niños de que se trate.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59</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https://sjf2.scjn.gob.mx/detalle/tesis/2020401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Tesis; Registro digital: </w:t>
      </w:r>
      <w:r w:rsidRPr="006E437B">
        <w:rPr>
          <w:rFonts w:ascii="Times New Roman" w:hAnsi="Times New Roman" w:cs="Times New Roman"/>
          <w:b/>
          <w:bCs/>
          <w:sz w:val="20"/>
          <w:szCs w:val="24"/>
        </w:rPr>
        <w:t>2020401</w:t>
      </w:r>
      <w:r w:rsidRPr="006E437B">
        <w:rPr>
          <w:rFonts w:ascii="Times New Roman" w:hAnsi="Times New Roman" w:cs="Times New Roman"/>
          <w:sz w:val="20"/>
          <w:szCs w:val="24"/>
        </w:rPr>
        <w:t xml:space="preserve">; Instancia: Segunda Sala; </w:t>
      </w:r>
      <w:r w:rsidRPr="006E437B">
        <w:rPr>
          <w:rFonts w:ascii="Times New Roman" w:hAnsi="Times New Roman" w:cs="Times New Roman"/>
          <w:b/>
          <w:bCs/>
          <w:sz w:val="20"/>
          <w:szCs w:val="24"/>
        </w:rPr>
        <w:t>Décima Época</w:t>
      </w:r>
      <w:r w:rsidRPr="006E437B">
        <w:rPr>
          <w:rFonts w:ascii="Times New Roman" w:hAnsi="Times New Roman" w:cs="Times New Roman"/>
          <w:sz w:val="20"/>
          <w:szCs w:val="24"/>
        </w:rPr>
        <w:t xml:space="preserve">; Materia(s): </w:t>
      </w:r>
      <w:r w:rsidRPr="006E437B">
        <w:rPr>
          <w:rFonts w:ascii="Times New Roman" w:hAnsi="Times New Roman" w:cs="Times New Roman"/>
          <w:b/>
          <w:bCs/>
          <w:sz w:val="20"/>
          <w:szCs w:val="24"/>
        </w:rPr>
        <w:t>Constitucional</w:t>
      </w:r>
      <w:r w:rsidRPr="006E437B">
        <w:rPr>
          <w:rFonts w:ascii="Times New Roman" w:hAnsi="Times New Roman" w:cs="Times New Roman"/>
          <w:sz w:val="20"/>
          <w:szCs w:val="24"/>
        </w:rPr>
        <w:t xml:space="preserve">; </w:t>
      </w:r>
      <w:r w:rsidRPr="006E437B">
        <w:rPr>
          <w:rFonts w:ascii="Times New Roman" w:hAnsi="Times New Roman" w:cs="Times New Roman"/>
          <w:b/>
          <w:bCs/>
          <w:sz w:val="20"/>
          <w:szCs w:val="24"/>
        </w:rPr>
        <w:t>Tesis: 2a./J. 113/2019 (10a.)</w:t>
      </w:r>
      <w:r w:rsidRPr="006E437B">
        <w:rPr>
          <w:rFonts w:ascii="Times New Roman" w:hAnsi="Times New Roman" w:cs="Times New Roman"/>
          <w:sz w:val="20"/>
          <w:szCs w:val="24"/>
        </w:rPr>
        <w:t xml:space="preserve">; Fuente: Gaceta del Semanario Judicial de la Federación. Libro 69, agosto de 2019, Tomo III, página 2328; Tipo: </w:t>
      </w:r>
      <w:r w:rsidRPr="006E437B">
        <w:rPr>
          <w:rFonts w:ascii="Times New Roman" w:hAnsi="Times New Roman" w:cs="Times New Roman"/>
          <w:b/>
          <w:bCs/>
          <w:sz w:val="20"/>
          <w:szCs w:val="24"/>
        </w:rPr>
        <w:t>Jurisprudencia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right"/>
        <w:rPr>
          <w:rFonts w:ascii="Times New Roman" w:eastAsia="Arial" w:hAnsi="Times New Roman" w:cs="Times New Roman"/>
          <w:sz w:val="24"/>
          <w:szCs w:val="24"/>
        </w:rPr>
      </w:pPr>
      <w:r w:rsidRPr="006E437B">
        <w:rPr>
          <w:rFonts w:ascii="Times New Roman" w:eastAsia="Arial" w:hAnsi="Times New Roman" w:cs="Times New Roman"/>
          <w:b/>
          <w:i/>
          <w:sz w:val="24"/>
          <w:szCs w:val="24"/>
        </w:rPr>
        <w:t>El énfasis es propio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INTERÉS SUPERIOR DEL MENOR. SU CONCEPTO.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En términos de los artículos </w:t>
      </w:r>
      <w:r w:rsidRPr="006E437B">
        <w:rPr>
          <w:rFonts w:ascii="Times New Roman" w:eastAsia="Arial" w:hAnsi="Times New Roman" w:cs="Times New Roman"/>
          <w:b/>
          <w:i/>
          <w:sz w:val="24"/>
          <w:szCs w:val="24"/>
          <w:u w:val="thick" w:color="000000"/>
        </w:rPr>
        <w:t>4o., párrafo octavo, de la Constitución</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Política de los Estados Unidos Mexicanos; 3 de la Convención sobre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los Derechos del Niño</w:t>
      </w:r>
      <w:r w:rsidRPr="006E437B">
        <w:rPr>
          <w:rFonts w:ascii="Times New Roman" w:eastAsia="Arial" w:hAnsi="Times New Roman" w:cs="Times New Roman"/>
          <w:i/>
          <w:sz w:val="24"/>
          <w:szCs w:val="24"/>
        </w:rPr>
        <w:t xml:space="preserve">, ratificada por México y publicada en el Diario Oficial de la Federación el 25 de enero de 1991; y </w:t>
      </w:r>
      <w:r w:rsidRPr="006E437B">
        <w:rPr>
          <w:rFonts w:ascii="Times New Roman" w:eastAsia="Arial" w:hAnsi="Times New Roman" w:cs="Times New Roman"/>
          <w:b/>
          <w:i/>
          <w:sz w:val="24"/>
          <w:szCs w:val="24"/>
          <w:u w:val="thick" w:color="000000"/>
        </w:rPr>
        <w:t>3, 4, 6 y 7 de la Ley</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para la Protección de los Derechos de Niñas, Niños y Adolescentes</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b/>
          <w:i/>
          <w:sz w:val="24"/>
          <w:szCs w:val="24"/>
        </w:rPr>
        <w:t>los tribunales, en todas las medidas que tomen relacionadas con los menores, deben atender primordialmente al interés superior del niño</w:t>
      </w:r>
      <w:r w:rsidRPr="006E437B">
        <w:rPr>
          <w:rFonts w:ascii="Times New Roman" w:eastAsia="Arial" w:hAnsi="Times New Roman" w:cs="Times New Roman"/>
          <w:i/>
          <w:sz w:val="24"/>
          <w:szCs w:val="24"/>
        </w:rPr>
        <w:t>; concepto que interpretó la Corte Interamericana de Derechos Humanos (cuya competencia contenciosa aceptó el Estado Mexicano el 16 de diciembre de 1998) de la siguiente manera: "la expresión ‘interés superior del niño’ ... implica que el desarrollo de éste y el ejercicio pleno de sus derechos deben ser considerados como criterios rectores para la elaboración de normas y la aplicación de éstas en todos los órdenes relativos a la vida del niño".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right"/>
        <w:rPr>
          <w:rFonts w:ascii="Times New Roman" w:eastAsia="Arial" w:hAnsi="Times New Roman" w:cs="Times New Roman"/>
          <w:sz w:val="24"/>
          <w:szCs w:val="24"/>
        </w:rPr>
      </w:pPr>
      <w:r w:rsidRPr="006E437B">
        <w:rPr>
          <w:rFonts w:ascii="Times New Roman" w:eastAsia="Arial" w:hAnsi="Times New Roman" w:cs="Times New Roman"/>
          <w:b/>
          <w:i/>
          <w:sz w:val="24"/>
          <w:szCs w:val="24"/>
        </w:rPr>
        <w:t>El énfasis es propio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i/>
          <w:sz w:val="24"/>
          <w:szCs w:val="24"/>
        </w:rPr>
        <w:t>DERECHO DE LOS MENORES DE EDAD A PARTICIPAR EN LOS PROCEDIMIENTOS JURISDICCIONALES QUE AFECTEN SU ESFERA JURÍDICA. DEBE EJERCERSE DE MANERA DIRECTA ANTE EL JUZGADOR, POR LO QUE NO PUEDE CONSIDERARSE SATISFECHO CUANDO OCURRA DE FORMA INDIRECTA</w:t>
      </w:r>
      <w:r w:rsidRPr="006E437B">
        <w:rPr>
          <w:rFonts w:ascii="Times New Roman" w:eastAsia="Arial" w:hAnsi="Times New Roman" w:cs="Times New Roman"/>
          <w:b/>
          <w:i/>
          <w:sz w:val="24"/>
          <w:szCs w:val="24"/>
          <w:vertAlign w:val="superscript"/>
        </w:rPr>
        <w:t>60</w:t>
      </w:r>
      <w:r w:rsidRPr="006E437B">
        <w:rPr>
          <w:rFonts w:ascii="Times New Roman" w:eastAsia="Arial" w:hAnsi="Times New Roman" w:cs="Times New Roman"/>
          <w:b/>
          <w:i/>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Hechos: Un señor demandó por su propio derecho y en representación de su hija menor de edad, entre otras prestaciones, su guarda y custodia; por su parte, la madre reconvino la misma prestación. El Juez de primera instancia declaró que el actor principal no probó los elementos constitutivos de su acción, y la demandada principal y actora reconvencional sí probó sus excepciones, así como los elementos constitutivos de su acción reconvencional; por tanto, concedió a ésta la guarda y custodia definitiva de la menor de edad; inconforme el actor principal interpuso recurso de apelación y el Tribunal de Alzada confirmó la sentencia recurrida; determinación que fue señalada como acto reclamado en el amparo directo promovido por el padre de la menor de edad, por derecho propio y en representación de la misma; juicio en el cual le fue negada la protección constitucional. Resolución que fue impugnada en revisión, aduciendo esencialmente </w:t>
      </w:r>
      <w:r w:rsidRPr="006E437B">
        <w:rPr>
          <w:rFonts w:ascii="Times New Roman" w:eastAsia="Arial" w:hAnsi="Times New Roman" w:cs="Times New Roman"/>
          <w:b/>
          <w:i/>
          <w:sz w:val="24"/>
          <w:szCs w:val="24"/>
          <w:u w:val="thick" w:color="FF0000"/>
        </w:rPr>
        <w:t>que no fue respetado</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el derecho de la menor de edad a ser escuchada y que</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indebidamente el Tribunal Colegiado de Circuito estimó que ello</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había ocurrido de manera indirecta</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b/>
          <w:i/>
          <w:sz w:val="24"/>
          <w:szCs w:val="24"/>
        </w:rPr>
        <w:t>y quedaba satisfecho a través del reporte que, de las convivencias celebradas entre la menor de edad y su madre, presentó la psicóloga encargada de supervisarlas.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 xml:space="preserve">Criterio jurídico: La Primera Sala de la Suprema Corte de Justicia de la Nación considera que </w:t>
      </w:r>
      <w:r w:rsidRPr="006E437B">
        <w:rPr>
          <w:rFonts w:ascii="Times New Roman" w:eastAsia="Arial" w:hAnsi="Times New Roman" w:cs="Times New Roman"/>
          <w:b/>
          <w:i/>
          <w:sz w:val="24"/>
          <w:szCs w:val="24"/>
        </w:rPr>
        <w:t>el derecho de los menores de edad a ser escuchados en los procedimientos judiciales que afecten su esfera jurídica, consagrado en el artículo 12 de la Convención sobre los Derechos del Niño</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b/>
          <w:i/>
          <w:sz w:val="24"/>
          <w:szCs w:val="24"/>
          <w:u w:val="thick" w:color="FF0000"/>
        </w:rPr>
        <w:t>no puede estimarse satisfecho de manera</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indirecta, específicamente a través de un informe rendido por el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profesional en psicología que supervisó las convivencias con</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alguno de los progenitores, sino que debe ejercerse en forma directa</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FF0000"/>
        </w:rPr>
        <w:t>ante el juzgador, pero adoptando los ajustes necesarios y acordes a la edad y madurez del menor de edad.</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vertAlign w:val="superscript"/>
        </w:rPr>
        <w:t>60</w:t>
      </w:r>
      <w:r w:rsidRPr="006E437B">
        <w:rPr>
          <w:rFonts w:ascii="Times New Roman" w:hAnsi="Times New Roman" w:cs="Times New Roman"/>
          <w:color w:val="auto"/>
          <w:sz w:val="20"/>
        </w:rPr>
        <w:t xml:space="preserve"> Disponible en: </w:t>
      </w:r>
    </w:p>
    <w:p w:rsidR="00470AD7" w:rsidRPr="006E437B" w:rsidRDefault="00470AD7" w:rsidP="00141629">
      <w:pPr>
        <w:pStyle w:val="Default"/>
        <w:rPr>
          <w:rFonts w:ascii="Times New Roman" w:hAnsi="Times New Roman" w:cs="Times New Roman"/>
          <w:color w:val="auto"/>
          <w:sz w:val="20"/>
        </w:rPr>
      </w:pPr>
      <w:r w:rsidRPr="006E437B">
        <w:rPr>
          <w:rFonts w:ascii="Times New Roman" w:hAnsi="Times New Roman" w:cs="Times New Roman"/>
          <w:color w:val="auto"/>
          <w:sz w:val="20"/>
        </w:rPr>
        <w:t xml:space="preserve">https://sjf2.scjn.gob.mx/detalle/tesis/2024783 </w:t>
      </w:r>
    </w:p>
    <w:p w:rsidR="00470AD7" w:rsidRPr="006E437B" w:rsidRDefault="00470AD7"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 xml:space="preserve">Registro digital: </w:t>
      </w:r>
      <w:r w:rsidRPr="006E437B">
        <w:rPr>
          <w:rFonts w:ascii="Times New Roman" w:hAnsi="Times New Roman" w:cs="Times New Roman"/>
          <w:b/>
          <w:bCs/>
          <w:sz w:val="20"/>
          <w:szCs w:val="24"/>
        </w:rPr>
        <w:t>2024783</w:t>
      </w:r>
      <w:r w:rsidRPr="006E437B">
        <w:rPr>
          <w:rFonts w:ascii="Times New Roman" w:hAnsi="Times New Roman" w:cs="Times New Roman"/>
          <w:sz w:val="20"/>
          <w:szCs w:val="24"/>
        </w:rPr>
        <w:t xml:space="preserve">; Instancia: </w:t>
      </w:r>
      <w:r w:rsidRPr="006E437B">
        <w:rPr>
          <w:rFonts w:ascii="Times New Roman" w:hAnsi="Times New Roman" w:cs="Times New Roman"/>
          <w:b/>
          <w:bCs/>
          <w:sz w:val="20"/>
          <w:szCs w:val="24"/>
        </w:rPr>
        <w:t>Primera Sala</w:t>
      </w:r>
      <w:r w:rsidRPr="006E437B">
        <w:rPr>
          <w:rFonts w:ascii="Times New Roman" w:hAnsi="Times New Roman" w:cs="Times New Roman"/>
          <w:sz w:val="20"/>
          <w:szCs w:val="24"/>
        </w:rPr>
        <w:t xml:space="preserve">; </w:t>
      </w:r>
      <w:r w:rsidRPr="006E437B">
        <w:rPr>
          <w:rFonts w:ascii="Times New Roman" w:hAnsi="Times New Roman" w:cs="Times New Roman"/>
          <w:b/>
          <w:bCs/>
          <w:sz w:val="20"/>
          <w:szCs w:val="24"/>
        </w:rPr>
        <w:t xml:space="preserve">Undécima Época; </w:t>
      </w:r>
      <w:r w:rsidRPr="006E437B">
        <w:rPr>
          <w:rFonts w:ascii="Times New Roman" w:hAnsi="Times New Roman" w:cs="Times New Roman"/>
          <w:sz w:val="20"/>
          <w:szCs w:val="24"/>
        </w:rPr>
        <w:t xml:space="preserve">Materia(s): </w:t>
      </w:r>
      <w:r w:rsidRPr="006E437B">
        <w:rPr>
          <w:rFonts w:ascii="Times New Roman" w:hAnsi="Times New Roman" w:cs="Times New Roman"/>
          <w:b/>
          <w:bCs/>
          <w:sz w:val="20"/>
          <w:szCs w:val="24"/>
        </w:rPr>
        <w:t xml:space="preserve">Civil, Constitucional; </w:t>
      </w:r>
      <w:r w:rsidRPr="006E437B">
        <w:rPr>
          <w:rFonts w:ascii="Times New Roman" w:hAnsi="Times New Roman" w:cs="Times New Roman"/>
          <w:sz w:val="20"/>
          <w:szCs w:val="24"/>
        </w:rPr>
        <w:t xml:space="preserve">Tesis: </w:t>
      </w:r>
      <w:r w:rsidRPr="006E437B">
        <w:rPr>
          <w:rFonts w:ascii="Times New Roman" w:hAnsi="Times New Roman" w:cs="Times New Roman"/>
          <w:b/>
          <w:bCs/>
          <w:sz w:val="20"/>
          <w:szCs w:val="24"/>
        </w:rPr>
        <w:t>1a./J. 68/2022 (11a.)</w:t>
      </w:r>
      <w:r w:rsidRPr="006E437B">
        <w:rPr>
          <w:rFonts w:ascii="Times New Roman" w:hAnsi="Times New Roman" w:cs="Times New Roman"/>
          <w:sz w:val="20"/>
          <w:szCs w:val="24"/>
        </w:rPr>
        <w:t xml:space="preserve">; Fuente: Gaceta del Semanario Judicial de la Federación. Libro 14, Junio de 2022, Tomo V, página 4331; Tipo: </w:t>
      </w:r>
      <w:r w:rsidRPr="006E437B">
        <w:rPr>
          <w:rFonts w:ascii="Times New Roman" w:hAnsi="Times New Roman" w:cs="Times New Roman"/>
          <w:b/>
          <w:bCs/>
          <w:sz w:val="20"/>
          <w:szCs w:val="24"/>
        </w:rPr>
        <w:t>Jurisprudencia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i/>
          <w:sz w:val="24"/>
          <w:szCs w:val="24"/>
        </w:rPr>
        <w:t>Justificación: El derecho de los menores de edad a ser escuchados en los procedimientos que afecten su esfera jurídica, consagrado en el artículo 12 de la Convención sobre los Derechos del Niño, no es irrestricto, pues el juzgador de manera fundada y motivada puede determinar una excepción a su ejercicio. Sin embargo</w:t>
      </w:r>
      <w:r w:rsidRPr="006E437B">
        <w:rPr>
          <w:rFonts w:ascii="Times New Roman" w:eastAsia="Arial" w:hAnsi="Times New Roman" w:cs="Times New Roman"/>
          <w:b/>
          <w:i/>
          <w:sz w:val="24"/>
          <w:szCs w:val="24"/>
        </w:rPr>
        <w:t>, para satisfacer esa prerrogativa deben atenderse los parámetros y lineamientos que en aras del respeto de su interés superior ha establecido esta Suprema Corte en el Protocolo para Juzgar con Perspectiva de Infancia y Adolescencia</w:t>
      </w:r>
      <w:r w:rsidRPr="006E437B">
        <w:rPr>
          <w:rFonts w:ascii="Times New Roman" w:eastAsia="Arial" w:hAnsi="Times New Roman" w:cs="Times New Roman"/>
          <w:i/>
          <w:sz w:val="24"/>
          <w:szCs w:val="24"/>
        </w:rPr>
        <w:t xml:space="preserve">, conforme al cual los menores de edad deben ser informados sobre su participación, externar su voluntad de hacerlo, encontrarse asistidos por un especialista en temas de infancia, así como por un representante que no constituya un conflicto de intereses, e incluso por una persona de su confianza. Además, </w:t>
      </w:r>
      <w:r w:rsidRPr="006E437B">
        <w:rPr>
          <w:rFonts w:ascii="Times New Roman" w:eastAsia="Arial" w:hAnsi="Times New Roman" w:cs="Times New Roman"/>
          <w:b/>
          <w:i/>
          <w:sz w:val="24"/>
          <w:szCs w:val="24"/>
        </w:rPr>
        <w:t>su opinión debe expresarse en una diligencia desarrollada a manera de entrevista, en la que se utilice material de apoyo que facilite su expresión, tomando en cuenta la existencia de formas verbales y no verbales de comunicación</w:t>
      </w:r>
      <w:r w:rsidRPr="006E437B">
        <w:rPr>
          <w:rFonts w:ascii="Times New Roman" w:eastAsia="Arial" w:hAnsi="Times New Roman" w:cs="Times New Roman"/>
          <w:i/>
          <w:sz w:val="24"/>
          <w:szCs w:val="24"/>
        </w:rPr>
        <w:t>; debiendo registrarse la entrevista por algún medio, a fin de que puedan acceder a ella los tribunales de apelación y de amparo, con el objeto de evitar la revictimización de los infantes. Lo anterior, en el entendido de que el juzgador además de ordenar el respeto a ese derecho de la forma indicada, se encuentra en aptitud de desahogar, de oficio, los medios de convicción que estime pertinentes a efecto de contar con elementos suficientes que le permitan emitir una determinación que procure el menor riesgo para el menor de edad.</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right"/>
        <w:rPr>
          <w:rFonts w:ascii="Times New Roman" w:eastAsia="Arial" w:hAnsi="Times New Roman" w:cs="Times New Roman"/>
          <w:sz w:val="24"/>
          <w:szCs w:val="24"/>
        </w:rPr>
      </w:pPr>
      <w:r w:rsidRPr="006E437B">
        <w:rPr>
          <w:rFonts w:ascii="Times New Roman" w:eastAsia="Arial" w:hAnsi="Times New Roman" w:cs="Times New Roman"/>
          <w:b/>
          <w:i/>
          <w:sz w:val="24"/>
          <w:szCs w:val="24"/>
        </w:rPr>
        <w:t>El énfasis es propio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También, </w:t>
      </w:r>
      <w:r w:rsidRPr="006E437B">
        <w:rPr>
          <w:rFonts w:ascii="Times New Roman" w:eastAsia="Arial" w:hAnsi="Times New Roman" w:cs="Times New Roman"/>
          <w:b/>
          <w:sz w:val="24"/>
          <w:szCs w:val="24"/>
        </w:rPr>
        <w:t>dicha Iniciativa se correlaciona con el Plan de Desarrollo del Estado de México 2023-2029</w:t>
      </w:r>
      <w:r w:rsidRPr="006E437B">
        <w:rPr>
          <w:rFonts w:ascii="Times New Roman" w:eastAsia="Arial" w:hAnsi="Times New Roman" w:cs="Times New Roman"/>
          <w:sz w:val="24"/>
          <w:szCs w:val="24"/>
        </w:rPr>
        <w:t xml:space="preserve">, Eje 4. Bienestar social; Objetivo 4.3 Reducir las desigualdades enfrentadas por las personas pertenecientes a grupos vulnerables y abatir la incidencia en ellos en su </w:t>
      </w:r>
      <w:r w:rsidRPr="006E437B">
        <w:rPr>
          <w:rFonts w:ascii="Times New Roman" w:eastAsia="Arial" w:hAnsi="Times New Roman" w:cs="Times New Roman"/>
          <w:b/>
          <w:i/>
          <w:sz w:val="24"/>
          <w:szCs w:val="24"/>
        </w:rPr>
        <w:t xml:space="preserve">Estrategia 4.3.2 Promover el pleno goce, respeto, protección y promoción de los derechos humanos de niñas, niños y adolescentes </w:t>
      </w:r>
      <w:r w:rsidRPr="006E437B">
        <w:rPr>
          <w:rFonts w:ascii="Times New Roman" w:eastAsia="Arial" w:hAnsi="Times New Roman" w:cs="Times New Roman"/>
          <w:sz w:val="24"/>
          <w:szCs w:val="24"/>
        </w:rPr>
        <w:t xml:space="preserve">y el Eje Transversal 1. Igualdad de género; Objetivo T1.1 Promover la institucionalización y transversalización de la perspectiva de género, en su </w:t>
      </w:r>
      <w:r w:rsidRPr="006E437B">
        <w:rPr>
          <w:rFonts w:ascii="Times New Roman" w:eastAsia="Arial" w:hAnsi="Times New Roman" w:cs="Times New Roman"/>
          <w:b/>
          <w:i/>
          <w:sz w:val="24"/>
          <w:szCs w:val="24"/>
        </w:rPr>
        <w:t>Estrategia T1.1.1 Fortalecer el marco normativo institucional en materia de perspectiva de género</w:t>
      </w:r>
      <w:r w:rsidRPr="006E437B">
        <w:rPr>
          <w:rFonts w:ascii="Times New Roman" w:eastAsia="Arial" w:hAnsi="Times New Roman" w:cs="Times New Roman"/>
          <w:b/>
          <w:i/>
          <w:sz w:val="24"/>
          <w:szCs w:val="24"/>
          <w:vertAlign w:val="superscript"/>
        </w:rPr>
        <w:t>61</w:t>
      </w:r>
      <w:r w:rsidRPr="006E437B">
        <w:rPr>
          <w:rFonts w:ascii="Times New Roman" w:eastAsia="Arial" w:hAnsi="Times New Roman" w:cs="Times New Roman"/>
          <w:b/>
          <w:i/>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Bajo ese tenor, la presente Iniciativa con Proyecto de Decreto tiene como finalidad:</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ind w:left="993" w:hanging="426"/>
        <w:jc w:val="both"/>
        <w:rPr>
          <w:rFonts w:ascii="Times New Roman" w:eastAsia="Arial" w:hAnsi="Times New Roman" w:cs="Times New Roman"/>
          <w:sz w:val="24"/>
          <w:szCs w:val="24"/>
        </w:rPr>
      </w:pPr>
      <w:r w:rsidRPr="006E437B">
        <w:rPr>
          <w:rFonts w:ascii="Times New Roman" w:eastAsia="Arial" w:hAnsi="Times New Roman" w:cs="Times New Roman"/>
          <w:b/>
          <w:noProof/>
          <w:sz w:val="24"/>
          <w:szCs w:val="24"/>
        </w:rPr>
        <w:drawing>
          <wp:inline distT="0" distB="0" distL="0" distR="0" wp14:anchorId="6ACBA9FE" wp14:editId="22456A9D">
            <wp:extent cx="231568" cy="129823"/>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142" cy="142479"/>
                    </a:xfrm>
                    <a:prstGeom prst="rect">
                      <a:avLst/>
                    </a:prstGeom>
                    <a:noFill/>
                    <a:ln>
                      <a:noFill/>
                    </a:ln>
                  </pic:spPr>
                </pic:pic>
              </a:graphicData>
            </a:graphic>
          </wp:inline>
        </w:drawing>
      </w:r>
      <w:r w:rsidRPr="006E437B">
        <w:rPr>
          <w:rFonts w:ascii="Times New Roman" w:eastAsia="Arial" w:hAnsi="Times New Roman" w:cs="Times New Roman"/>
          <w:b/>
          <w:sz w:val="24"/>
          <w:szCs w:val="24"/>
        </w:rPr>
        <w:t xml:space="preserve"> PRIMERO: Reformar diversas disposiciones del Código Civil del Estado de México, a efecto de establecer </w:t>
      </w:r>
      <w:r w:rsidRPr="006E437B">
        <w:rPr>
          <w:rFonts w:ascii="Times New Roman" w:eastAsia="Arial" w:hAnsi="Times New Roman" w:cs="Times New Roman"/>
          <w:sz w:val="24"/>
          <w:szCs w:val="24"/>
        </w:rPr>
        <w:t xml:space="preserve">que </w:t>
      </w:r>
      <w:r w:rsidRPr="006E437B">
        <w:rPr>
          <w:rFonts w:ascii="Times New Roman" w:eastAsia="Arial" w:hAnsi="Times New Roman" w:cs="Times New Roman"/>
          <w:b/>
          <w:i/>
          <w:sz w:val="24"/>
          <w:szCs w:val="24"/>
        </w:rPr>
        <w:t>el otorgamiento de la guarda y custodia de las niñas, los niños y los adolescentes o incapaces deberá de realizarse libre de estereotipos, con perspectiva de género, igualdad sustantiva y perspectiva de infancia, expresado la capacidad real de cuidado, un entorno libre de violencia, la protección especial, contra toda forma de sufrimiento, abuso o descuido, incluidos el físico, psicológico, mental o emocional, así como también las redes de apoyo</w:t>
      </w:r>
      <w:r w:rsidRPr="006E437B">
        <w:rPr>
          <w:rFonts w:ascii="Times New Roman" w:eastAsia="Arial" w:hAnsi="Times New Roman" w:cs="Times New Roman"/>
          <w:sz w:val="24"/>
          <w:szCs w:val="24"/>
        </w:rPr>
        <w:t xml:space="preserve">, a menos que exista una causa justificada a criterio de </w:t>
      </w:r>
      <w:r w:rsidRPr="006E437B">
        <w:rPr>
          <w:rFonts w:ascii="Times New Roman" w:eastAsia="Arial" w:hAnsi="Times New Roman" w:cs="Times New Roman"/>
          <w:b/>
          <w:sz w:val="24"/>
          <w:szCs w:val="24"/>
        </w:rPr>
        <w:t>autoridad jurisdiccional</w:t>
      </w:r>
      <w:r w:rsidRPr="006E437B">
        <w:rPr>
          <w:rFonts w:ascii="Times New Roman" w:eastAsia="Arial" w:hAnsi="Times New Roman" w:cs="Times New Roman"/>
          <w:sz w:val="24"/>
          <w:szCs w:val="24"/>
        </w:rPr>
        <w:t xml:space="preserve">. Así como también establecer que no </w:t>
      </w:r>
      <w:r w:rsidRPr="006E437B">
        <w:rPr>
          <w:rFonts w:ascii="Times New Roman" w:eastAsia="Arial" w:hAnsi="Times New Roman" w:cs="Times New Roman"/>
          <w:b/>
          <w:sz w:val="24"/>
          <w:szCs w:val="24"/>
        </w:rPr>
        <w:t xml:space="preserve">podrá considerarse como </w:t>
      </w:r>
      <w:r w:rsidRPr="006E437B">
        <w:rPr>
          <w:rFonts w:ascii="Times New Roman" w:eastAsia="Arial" w:hAnsi="Times New Roman" w:cs="Times New Roman"/>
          <w:sz w:val="24"/>
          <w:szCs w:val="24"/>
        </w:rPr>
        <w:t xml:space="preserve">obstáculo </w:t>
      </w:r>
      <w:r w:rsidRPr="006E437B">
        <w:rPr>
          <w:rFonts w:ascii="Times New Roman" w:eastAsia="Arial" w:hAnsi="Times New Roman" w:cs="Times New Roman"/>
          <w:b/>
          <w:sz w:val="24"/>
          <w:szCs w:val="24"/>
        </w:rPr>
        <w:t>para el otorgamiento de la guarda y custodia</w:t>
      </w:r>
      <w:r w:rsidRPr="006E437B">
        <w:rPr>
          <w:rFonts w:ascii="Times New Roman" w:eastAsia="Arial" w:hAnsi="Times New Roman" w:cs="Times New Roman"/>
          <w:sz w:val="24"/>
          <w:szCs w:val="24"/>
        </w:rPr>
        <w:t>, el hecho de que la madre</w:t>
      </w:r>
      <w:r w:rsidRPr="006E437B">
        <w:rPr>
          <w:rFonts w:ascii="Times New Roman" w:eastAsia="Arial" w:hAnsi="Times New Roman" w:cs="Times New Roman"/>
          <w:b/>
          <w:sz w:val="24"/>
          <w:szCs w:val="24"/>
        </w:rPr>
        <w:t>, padre, familiar o persona cuidadora por dedicarse al trabajo de cuidados en el hogar, entre otros aspectos relevantes.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Lo anterior, </w:t>
      </w:r>
      <w:r w:rsidRPr="006E437B">
        <w:rPr>
          <w:rFonts w:ascii="Times New Roman" w:eastAsia="Arial" w:hAnsi="Times New Roman" w:cs="Times New Roman"/>
          <w:b/>
          <w:sz w:val="24"/>
          <w:szCs w:val="24"/>
        </w:rPr>
        <w:t xml:space="preserve">en el sentido de realizar las adecuaciones legislativas correspondientes que señala el </w:t>
      </w:r>
      <w:r w:rsidRPr="006E437B">
        <w:rPr>
          <w:rFonts w:ascii="Times New Roman" w:eastAsia="Arial" w:hAnsi="Times New Roman" w:cs="Times New Roman"/>
          <w:b/>
          <w:i/>
          <w:sz w:val="24"/>
          <w:szCs w:val="24"/>
        </w:rPr>
        <w:t xml:space="preserve">máximo Tribunal Constitucional de los Estados Unidos Mexicanos </w:t>
      </w:r>
      <w:r w:rsidRPr="006E437B">
        <w:rPr>
          <w:rFonts w:ascii="Times New Roman" w:eastAsia="Arial" w:hAnsi="Times New Roman" w:cs="Times New Roman"/>
          <w:b/>
          <w:sz w:val="24"/>
          <w:szCs w:val="24"/>
        </w:rPr>
        <w:t>en materia de igualdad sustantiva en la guarda y custodia, así como el interés superior de las niñas, niños, adolescente.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ind w:left="993" w:hanging="426"/>
        <w:jc w:val="both"/>
        <w:rPr>
          <w:rFonts w:ascii="Times New Roman" w:eastAsia="Arial" w:hAnsi="Times New Roman" w:cs="Times New Roman"/>
          <w:sz w:val="24"/>
          <w:szCs w:val="24"/>
        </w:rPr>
      </w:pPr>
      <w:r w:rsidRPr="006E437B">
        <w:rPr>
          <w:rFonts w:ascii="Times New Roman" w:hAnsi="Times New Roman" w:cs="Times New Roman"/>
          <w:noProof/>
        </w:rPr>
        <w:drawing>
          <wp:inline distT="0" distB="0" distL="0" distR="0">
            <wp:extent cx="231775" cy="130810"/>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130810"/>
                    </a:xfrm>
                    <a:prstGeom prst="rect">
                      <a:avLst/>
                    </a:prstGeom>
                    <a:noFill/>
                    <a:ln>
                      <a:noFill/>
                    </a:ln>
                  </pic:spPr>
                </pic:pic>
              </a:graphicData>
            </a:graphic>
          </wp:inline>
        </w:drawing>
      </w:r>
      <w:r w:rsidRPr="006E437B">
        <w:rPr>
          <w:rFonts w:ascii="Times New Roman" w:hAnsi="Times New Roman" w:cs="Times New Roman"/>
        </w:rPr>
        <w:t xml:space="preserve"> </w:t>
      </w:r>
      <w:r w:rsidRPr="006E437B">
        <w:rPr>
          <w:rFonts w:ascii="Times New Roman" w:eastAsia="Arial" w:hAnsi="Times New Roman" w:cs="Times New Roman"/>
          <w:b/>
          <w:sz w:val="24"/>
          <w:szCs w:val="24"/>
        </w:rPr>
        <w:t>SEGUNDO: Reformar diversas disposiciones de la Ley de los Derechos de Niñas, Niños y Adolescentes del Estado de México, a efecto de establecer que las niñas, niños y adolescentes tengan el derecho a recibir una crianza positiva, libre de estereotipos por razón de género, así como también en un ambiente de respeto, igualdad y corresponsabilidad familiar.</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61</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https://copladem.edomex.gob.mx/sites/copladem.edomex.gob.mx/files/files/pdf/Planes%20y%20programas/23-29/PDEM_2023-2029_DIGITAL.pdf</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Advertimos, que esta propuesta legislativa </w:t>
      </w:r>
      <w:r w:rsidRPr="006E437B">
        <w:rPr>
          <w:rFonts w:ascii="Times New Roman" w:eastAsia="Arial" w:hAnsi="Times New Roman" w:cs="Times New Roman"/>
          <w:b/>
          <w:sz w:val="24"/>
          <w:szCs w:val="24"/>
        </w:rPr>
        <w:t xml:space="preserve">bajo ninguna circunstancia implica un retroceso a los derechos humanos como lo son el interés superior del menor, el derecho a la familia o en materia de género, si no que atienden las resoluciones de la </w:t>
      </w:r>
      <w:r w:rsidRPr="006E437B">
        <w:rPr>
          <w:rFonts w:ascii="Times New Roman" w:eastAsia="Arial" w:hAnsi="Times New Roman" w:cs="Times New Roman"/>
          <w:b/>
          <w:i/>
          <w:sz w:val="24"/>
          <w:szCs w:val="24"/>
        </w:rPr>
        <w:t>Suprema Corte de Justicia de la Nación (SCJN)</w:t>
      </w:r>
      <w:r w:rsidRPr="006E437B">
        <w:rPr>
          <w:rFonts w:ascii="Times New Roman" w:eastAsia="Arial" w:hAnsi="Times New Roman" w:cs="Times New Roman"/>
          <w:b/>
          <w:sz w:val="24"/>
          <w:szCs w:val="24"/>
        </w:rPr>
        <w:t xml:space="preserve">, en el tenor de no otorgar custodias de manera automática, así como también la eliminación de estereotipos de género, </w:t>
      </w:r>
      <w:r w:rsidRPr="006E437B">
        <w:rPr>
          <w:rFonts w:ascii="Times New Roman" w:eastAsia="Arial" w:hAnsi="Times New Roman" w:cs="Times New Roman"/>
          <w:sz w:val="24"/>
          <w:szCs w:val="24"/>
        </w:rPr>
        <w:t xml:space="preserve">así como también </w:t>
      </w:r>
      <w:r w:rsidRPr="006E437B">
        <w:rPr>
          <w:rFonts w:ascii="Times New Roman" w:eastAsia="Arial" w:hAnsi="Times New Roman" w:cs="Times New Roman"/>
          <w:b/>
          <w:sz w:val="24"/>
          <w:szCs w:val="24"/>
        </w:rPr>
        <w:t xml:space="preserve">garantizar que cada niña, niño o adolescente acceda a sus derechos humanos más imprescindibles </w:t>
      </w:r>
      <w:r w:rsidRPr="006E437B">
        <w:rPr>
          <w:rFonts w:ascii="Times New Roman" w:eastAsia="Arial" w:hAnsi="Times New Roman" w:cs="Times New Roman"/>
          <w:sz w:val="24"/>
          <w:szCs w:val="24"/>
        </w:rPr>
        <w:t>como lo son el derecho a la vida, supervivencia y desarrollo, derecho a vivir en familia, derecho a vivir en condiciones de bienestar y a un sano desarrollo integral, derecho a la seguridad jurídica y al debido proceso y derecho a no ser discriminado.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Por lo que bajo ninguna circunstancia </w:t>
      </w:r>
      <w:r w:rsidRPr="006E437B">
        <w:rPr>
          <w:rFonts w:ascii="Times New Roman" w:eastAsia="Arial" w:hAnsi="Times New Roman" w:cs="Times New Roman"/>
          <w:b/>
          <w:sz w:val="24"/>
          <w:szCs w:val="24"/>
        </w:rPr>
        <w:t>esta Iniciativa debe de tomarse como un elemento de confrontación entre progenitores, ni tampoco de revictimizar a las niñas, niños o adolescentes</w:t>
      </w:r>
      <w:r w:rsidRPr="006E437B">
        <w:rPr>
          <w:rFonts w:ascii="Times New Roman" w:eastAsia="Arial" w:hAnsi="Times New Roman" w:cs="Times New Roman"/>
          <w:sz w:val="24"/>
          <w:szCs w:val="24"/>
        </w:rPr>
        <w:t xml:space="preserve">, sino que busca que se garantice en lo mayor posible el interés superior de la niñez, </w:t>
      </w:r>
      <w:r w:rsidRPr="006E437B">
        <w:rPr>
          <w:rFonts w:ascii="Times New Roman" w:eastAsia="Arial" w:hAnsi="Times New Roman" w:cs="Times New Roman"/>
          <w:b/>
          <w:sz w:val="24"/>
          <w:szCs w:val="24"/>
        </w:rPr>
        <w:t>que en juicios familiares se realicen decisiones judiciales que mejor protejan su vida, seguridad estabilidad emocional y desarrollo</w:t>
      </w:r>
      <w:r w:rsidRPr="006E437B">
        <w:rPr>
          <w:rFonts w:ascii="Times New Roman" w:eastAsia="Arial" w:hAnsi="Times New Roman" w:cs="Times New Roman"/>
          <w:sz w:val="24"/>
          <w:szCs w:val="24"/>
        </w:rPr>
        <w:t xml:space="preserve">, que las niñas, niños y adolescentes </w:t>
      </w:r>
      <w:r w:rsidRPr="006E437B">
        <w:rPr>
          <w:rFonts w:ascii="Times New Roman" w:eastAsia="Arial" w:hAnsi="Times New Roman" w:cs="Times New Roman"/>
          <w:b/>
          <w:sz w:val="24"/>
          <w:szCs w:val="24"/>
        </w:rPr>
        <w:t>reciban una crianza positiva, libre de estereotipos por razón de género, así como también vivir en un ambiente de respeto, igualdad y fortalecer la corresponsabilidad familiar</w:t>
      </w:r>
      <w:r w:rsidRPr="006E437B">
        <w:rPr>
          <w:rFonts w:ascii="Times New Roman" w:eastAsia="Arial" w:hAnsi="Times New Roman" w:cs="Times New Roman"/>
          <w:sz w:val="24"/>
          <w:szCs w:val="24"/>
          <w:vertAlign w:val="superscript"/>
        </w:rPr>
        <w:t>62</w:t>
      </w:r>
      <w:r w:rsidRPr="006E437B">
        <w:rPr>
          <w:rFonts w:ascii="Times New Roman" w:eastAsia="Arial" w:hAnsi="Times New Roman" w:cs="Times New Roman"/>
          <w:b/>
          <w:sz w:val="24"/>
          <w:szCs w:val="24"/>
        </w:rPr>
        <w:t>, hablamos pues de una reforma para las infancias, con la adecuación de ordenamientos legislativos del ámbito estatal a efecto de establecer que las niñas, niños y adolescentes tengan el derecho</w:t>
      </w:r>
      <w:r w:rsidRPr="006E437B">
        <w:rPr>
          <w:rFonts w:ascii="Times New Roman" w:eastAsia="Arial" w:hAnsi="Times New Roman" w:cs="Times New Roman"/>
          <w:sz w:val="24"/>
          <w:szCs w:val="24"/>
        </w:rPr>
        <w:t xml:space="preserve">, puesto que </w:t>
      </w:r>
      <w:r w:rsidRPr="006E437B">
        <w:rPr>
          <w:rFonts w:ascii="Times New Roman" w:eastAsia="Arial" w:hAnsi="Times New Roman" w:cs="Times New Roman"/>
          <w:b/>
          <w:sz w:val="24"/>
          <w:szCs w:val="24"/>
        </w:rPr>
        <w:t>en procedimientos judiciales o administrativos las niñas, niños y adolescentes no ven un debate de ideologías, intereses particulares de las personas o de egos entre quienes se disputan la guarda y custodia, sino más bien de que se garantice su derecho a tener una familia, una la cual garantice su derecho a un hogar libre de todo tipo de violencia, a que le proporcione amor y un correcto desarrollo integral, el cual le permita alcanzar sus metas, sueños y anhelos.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62</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https://legislacion.edomex.gob.mx/sites/legislacion.edomex.gob.mx/files/files/pdf/gct/2026/marzo/mar272/mar272c.pdf</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Para una mejor ilustración del alcance de esta propuesta legislativa, se presenta el siguiente cuadro comparativo:</w:t>
      </w:r>
    </w:p>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A35A63">
        <w:trPr>
          <w:trHeight w:hRule="exact" w:val="755"/>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9B4F11">
        <w:trPr>
          <w:trHeight w:hRule="exact" w:val="567"/>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1491"/>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Medidas precautorias en el divorcio</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4.95.- </w:t>
            </w:r>
            <w:r w:rsidRPr="006E437B">
              <w:rPr>
                <w:rFonts w:ascii="Times New Roman" w:eastAsia="Arial" w:hAnsi="Times New Roman" w:cs="Times New Roman"/>
                <w:sz w:val="24"/>
                <w:szCs w:val="24"/>
              </w:rPr>
              <w:t>Al admitirse la solicitud de divorcio, o antes, si hubiere urgencia, podrán dictarse sólo mientras dure el procedimiento, las disposiciones siguientes:</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Medidas precautorias en el divorcio</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4.95.- …</w:t>
            </w:r>
          </w:p>
        </w:tc>
      </w:tr>
      <w:tr w:rsidR="00470AD7" w:rsidRPr="006E437B" w:rsidTr="00470AD7">
        <w:trPr>
          <w:trHeight w:val="1404"/>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Separar a los cónyuges, tomando siempre en cuenta las circunstancias personales de cada uno y el interés superior de los hijos menores y de los sujetos a tutela;</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 xml:space="preserve">Separar a los cónyuges, tomando siempre en cuenta las circunstancias personales de cada uno y el interés superior de </w:t>
            </w:r>
            <w:r w:rsidRPr="006E437B">
              <w:rPr>
                <w:rFonts w:ascii="Times New Roman" w:eastAsia="Arial" w:hAnsi="Times New Roman" w:cs="Times New Roman"/>
                <w:b/>
                <w:sz w:val="24"/>
                <w:szCs w:val="24"/>
              </w:rPr>
              <w:t xml:space="preserve">la niñez </w:t>
            </w:r>
            <w:r w:rsidRPr="006E437B">
              <w:rPr>
                <w:rFonts w:ascii="Times New Roman" w:eastAsia="Arial" w:hAnsi="Times New Roman" w:cs="Times New Roman"/>
                <w:sz w:val="24"/>
                <w:szCs w:val="24"/>
              </w:rPr>
              <w:t>y de los sujetos a tutela;</w:t>
            </w:r>
          </w:p>
        </w:tc>
      </w:tr>
      <w:tr w:rsidR="00470AD7" w:rsidRPr="006E437B" w:rsidTr="00470AD7">
        <w:trPr>
          <w:trHeight w:val="979"/>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II. </w:t>
            </w:r>
            <w:r w:rsidRPr="006E437B">
              <w:rPr>
                <w:rFonts w:ascii="Times New Roman" w:eastAsia="Arial" w:hAnsi="Times New Roman" w:cs="Times New Roman"/>
                <w:sz w:val="24"/>
                <w:szCs w:val="24"/>
              </w:rPr>
              <w:t>Fijar y asegurar los alimentos que debe dar el cónyuge alimentario al acreedor y a los hijos;</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II. …</w:t>
            </w:r>
          </w:p>
        </w:tc>
      </w:tr>
      <w:tr w:rsidR="00470AD7" w:rsidRPr="006E437B" w:rsidTr="00470AD7">
        <w:trPr>
          <w:trHeight w:val="1859"/>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III. </w:t>
            </w:r>
            <w:r w:rsidRPr="006E437B">
              <w:rPr>
                <w:rFonts w:ascii="Times New Roman" w:eastAsia="Arial" w:hAnsi="Times New Roman" w:cs="Times New Roman"/>
                <w:sz w:val="24"/>
                <w:szCs w:val="24"/>
              </w:rPr>
              <w:t xml:space="preserve">A falta de acuerdo entre los cónyuges, la guarda y custodia provisional de las y los hijos se decretará por el Juez quedando preferentemente al cuidado de la madre, debiendo escuchar a ambos progenitores, a las hijas o hijos y a </w:t>
            </w:r>
            <w:r w:rsidRPr="006E437B">
              <w:rPr>
                <w:rFonts w:ascii="Times New Roman" w:hAnsi="Times New Roman" w:cs="Times New Roman"/>
                <w:sz w:val="24"/>
                <w:szCs w:val="24"/>
              </w:rPr>
              <w:t>cualquier otro interesado, en función del interés superior de las niñas, niños y adolescentes y de los sujetos a tutela. El Juez actuará de la misma manera para determinar el régimen de convivencia.</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III. </w:t>
            </w:r>
            <w:r w:rsidRPr="006E437B">
              <w:rPr>
                <w:rFonts w:ascii="Times New Roman" w:eastAsia="Arial" w:hAnsi="Times New Roman" w:cs="Times New Roman"/>
                <w:sz w:val="24"/>
                <w:szCs w:val="24"/>
              </w:rPr>
              <w:t xml:space="preserve">A falta de acuerdo entre los cónyuges, la guarda y custodia provisional de las y los hijos se decretará por </w:t>
            </w:r>
            <w:r w:rsidRPr="006E437B">
              <w:rPr>
                <w:rFonts w:ascii="Times New Roman" w:eastAsia="Arial" w:hAnsi="Times New Roman" w:cs="Times New Roman"/>
                <w:b/>
                <w:sz w:val="24"/>
                <w:szCs w:val="24"/>
              </w:rPr>
              <w:t xml:space="preserve">autoridad jurisdiccional, la cual deberá de cumplir de manera enunciativa más </w:t>
            </w:r>
            <w:r w:rsidRPr="006E437B">
              <w:rPr>
                <w:rFonts w:ascii="Times New Roman" w:hAnsi="Times New Roman" w:cs="Times New Roman"/>
                <w:b/>
                <w:bCs/>
                <w:sz w:val="24"/>
                <w:szCs w:val="24"/>
              </w:rPr>
              <w:t>no limitativa con las siguientes disposiciones:</w:t>
            </w:r>
          </w:p>
          <w:p w:rsidR="00470AD7" w:rsidRPr="006E437B" w:rsidRDefault="00470AD7" w:rsidP="00141629">
            <w:pPr>
              <w:pStyle w:val="Sinespaciado"/>
              <w:jc w:val="both"/>
              <w:rPr>
                <w:rFonts w:ascii="Times New Roman" w:eastAsia="Arial" w:hAnsi="Times New Roman" w:cs="Times New Roman"/>
                <w:sz w:val="24"/>
                <w:szCs w:val="24"/>
              </w:rPr>
            </w:pPr>
          </w:p>
        </w:tc>
      </w:tr>
    </w:tbl>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63</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 xml:space="preserve">https://legislacion.edomex.gob.mx/sites/legislacion.edomex.gob.mx/files/files/pdf/cod/vig/codvig001.pdf </w:t>
      </w:r>
    </w:p>
    <w:p w:rsidR="00470AD7" w:rsidRPr="006E437B" w:rsidRDefault="00470AD7" w:rsidP="00141629">
      <w:pPr>
        <w:pStyle w:val="Sinespaciado"/>
        <w:jc w:val="both"/>
        <w:rPr>
          <w:rFonts w:ascii="Times New Roman" w:hAnsi="Times New Roman" w:cs="Times New Roman"/>
          <w:sz w:val="24"/>
          <w:szCs w:val="20"/>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D322F2">
        <w:trPr>
          <w:trHeight w:hRule="exact" w:val="777"/>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D322F2">
        <w:trPr>
          <w:trHeight w:hRule="exact" w:val="419"/>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1491"/>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 Atender las circunstancias concretas del caso específico, las particularidades de la decisión en relación con los tipos de derechos que están en juego, los riesgos que asumirán las niñas, niños y adolescentes, las consecuencias de las decisiones a corto y largo plazo;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b) Valorar la disponibilidad y capacidad real de cuidado, estabilidad emocional, el derecho a la protección especial contra toda forma de sufrimiento, abuso o descuido, incluidos el físico, psicológico, mental y emocional, un entorno libre de violencia, el vínculo afectivo, el cumplimiento de obligaciones alimentarias, las condiciones del hogar, las redes de apoyo, los antecedentes de violencia familiar o violencia de género y demás elementos que conlleven al esclarecimiento de la verdad de los hechos controvertidos para resolver de la mejor manera los asuntos que involucren derechos de niñas, niños y adolescentes;</w:t>
            </w:r>
          </w:p>
          <w:p w:rsidR="00470AD7" w:rsidRPr="006E437B" w:rsidRDefault="00470AD7" w:rsidP="00141629">
            <w:pPr>
              <w:pStyle w:val="Sinespaciado"/>
              <w:jc w:val="both"/>
              <w:rPr>
                <w:rFonts w:ascii="Times New Roman" w:eastAsia="Arial" w:hAnsi="Times New Roman" w:cs="Times New Roman"/>
                <w:sz w:val="24"/>
                <w:szCs w:val="24"/>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C920E1">
        <w:trPr>
          <w:trHeight w:hRule="exact" w:val="719"/>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8A5757">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C920E1">
        <w:trPr>
          <w:trHeight w:hRule="exact" w:val="436"/>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1491"/>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c) Garantizar las mejores condiciones para el desarrollo, cuidado y protección para las niñas, niños o adolescentes, si éstos quedan al cuidado de la madre, del padre, familiares o persona cuidadoras;</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d) Realizar la ponderación para la valoración de las características individuales de las niñas, niños o adolescentes, como la edad, nivel de madurez, habilidades cognitivas, medio social y cultural, estado emocional, experiencia de vida y entorno;</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r w:rsidRPr="006E437B">
              <w:rPr>
                <w:rFonts w:ascii="Times New Roman" w:hAnsi="Times New Roman" w:cs="Times New Roman"/>
                <w:b/>
                <w:bCs/>
                <w:color w:val="auto"/>
              </w:rPr>
              <w:t>SIN CORRELATIVO</w:t>
            </w: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e) Escuchar la opinión de niñas, niños y adolescentes, conforme a su edad, desarrollo evolutivo, cognoscitivo y madurez y atendiendo a la preservación del interés superior de la niñez y valorará la opinión o testimonio con perspectiva de infancia. De igual forma, se deberá de escuchar a ambos progenitores, familiares o persona cuidadoras, en función del interés superior de las niñas, niños y adolescentes y de los sujetos a tutela. La autoridad jurisdiccional actuará de la misma manera para determinar el régimen de convivencia;</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r w:rsidRPr="006E437B">
              <w:rPr>
                <w:rFonts w:ascii="Times New Roman" w:hAnsi="Times New Roman" w:cs="Times New Roman"/>
                <w:b/>
                <w:bCs/>
                <w:color w:val="auto"/>
              </w:rPr>
              <w:t>SIN CORRELATIVO</w:t>
            </w: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f) Actuar más allá de la demanda que se le presenta cuando esto sea en aras del interés superior de la infancia; </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b/>
                <w:bCs/>
                <w:color w:val="auto"/>
              </w:rPr>
            </w:pPr>
            <w:r w:rsidRPr="006E437B">
              <w:rPr>
                <w:rFonts w:ascii="Times New Roman" w:hAnsi="Times New Roman" w:cs="Times New Roman"/>
                <w:b/>
                <w:bCs/>
                <w:color w:val="auto"/>
              </w:rPr>
              <w:t>SIN CORRELATIVO</w:t>
            </w: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g) Ordenar las disposiciones que determine oportunas para salvaguardar el interés superior de las niñas, niños y adolescentes. </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IV</w:t>
            </w:r>
            <w:r w:rsidRPr="006E437B">
              <w:rPr>
                <w:rFonts w:ascii="Times New Roman" w:hAnsi="Times New Roman" w:cs="Times New Roman"/>
                <w:color w:val="auto"/>
              </w:rPr>
              <w:t>. Dictar las medidas convenientes respecto a la mujer que esté embarazada;</w:t>
            </w:r>
          </w:p>
          <w:p w:rsidR="00470AD7" w:rsidRPr="006E437B" w:rsidRDefault="00470AD7" w:rsidP="00141629">
            <w:pPr>
              <w:pStyle w:val="Default"/>
              <w:jc w:val="both"/>
              <w:rPr>
                <w:rFonts w:ascii="Times New Roman"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IV. … </w:t>
            </w:r>
          </w:p>
        </w:tc>
      </w:tr>
      <w:tr w:rsidR="00470AD7" w:rsidRPr="006E437B" w:rsidTr="00470AD7">
        <w:trPr>
          <w:trHeight w:val="270"/>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V. </w:t>
            </w:r>
            <w:r w:rsidRPr="006E437B">
              <w:rPr>
                <w:rFonts w:ascii="Times New Roman" w:hAnsi="Times New Roman" w:cs="Times New Roman"/>
                <w:color w:val="auto"/>
              </w:rPr>
              <w:t>Las necesarias para que los cónyuges no se causen daños en su persona, en sus bienes, en los de la sociedad conyugal o en los bienes de los hijos.</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 xml:space="preserve">V. </w:t>
            </w:r>
            <w:r w:rsidRPr="006E437B">
              <w:rPr>
                <w:rFonts w:ascii="Times New Roman" w:hAnsi="Times New Roman" w:cs="Times New Roman"/>
                <w:color w:val="auto"/>
              </w:rPr>
              <w:t>Las necesarias para que los cónyuges no se causen daños en su persona, en sus bienes, en los de la sociedad conyugal o en los bienes de los hijos</w:t>
            </w:r>
            <w:r w:rsidRPr="006E437B">
              <w:rPr>
                <w:rFonts w:ascii="Times New Roman" w:hAnsi="Times New Roman" w:cs="Times New Roman"/>
                <w:b/>
                <w:bCs/>
                <w:color w:val="auto"/>
              </w:rPr>
              <w:t>, así como también aquellas que resulten más beneficias para las niñas, niños y adolescentes.</w:t>
            </w:r>
          </w:p>
          <w:p w:rsidR="00470AD7" w:rsidRPr="006E437B" w:rsidRDefault="00470AD7" w:rsidP="00141629">
            <w:pPr>
              <w:pStyle w:val="Default"/>
              <w:jc w:val="both"/>
              <w:rPr>
                <w:rFonts w:ascii="Times New Roman" w:hAnsi="Times New Roman" w:cs="Times New Roman"/>
                <w:b/>
                <w:bCs/>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C920E1">
        <w:trPr>
          <w:trHeight w:hRule="exact" w:val="719"/>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C920E1">
        <w:trPr>
          <w:trHeight w:hRule="exact" w:val="432"/>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1491"/>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El otorgamiento de la guarda y custodia de las niñas, los niños y los adolescentes o incapaces quedará preferentemente al cuidado de la madre, atendiendo al interés superior de las niñas, niños y adolescentes, a menos que exista una causa justificada a criterio del Juez. No será obstáculo para la preferencia maternal en la custodia, el hecho de que la madre carezca de recursos económicos.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El otorgamiento de la guarda y custodia de las niñas, los niños y los adolescentes o incapaces </w:t>
            </w:r>
            <w:r w:rsidRPr="006E437B">
              <w:rPr>
                <w:rFonts w:ascii="Times New Roman" w:hAnsi="Times New Roman" w:cs="Times New Roman"/>
                <w:b/>
                <w:bCs/>
                <w:color w:val="auto"/>
              </w:rPr>
              <w:t xml:space="preserve">se realizará libre de estereotipos, con perspectiva de género, igualdad sustantiva, con enfoque de derechos humanos como lo es la perspectiva de infancia y adolescencia, </w:t>
            </w:r>
            <w:r w:rsidRPr="006E437B">
              <w:rPr>
                <w:rFonts w:ascii="Times New Roman" w:hAnsi="Times New Roman" w:cs="Times New Roman"/>
                <w:color w:val="auto"/>
              </w:rPr>
              <w:t xml:space="preserve">atendiendo al interés superior de las niñas, niños y adolescentes, a menos que exista una causa justificada a criterio </w:t>
            </w:r>
            <w:r w:rsidRPr="006E437B">
              <w:rPr>
                <w:rFonts w:ascii="Times New Roman" w:hAnsi="Times New Roman" w:cs="Times New Roman"/>
                <w:b/>
                <w:bCs/>
                <w:color w:val="auto"/>
              </w:rPr>
              <w:t xml:space="preserve">de la autoridad jurisdiccional.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No </w:t>
            </w:r>
            <w:r w:rsidRPr="006E437B">
              <w:rPr>
                <w:rFonts w:ascii="Times New Roman" w:hAnsi="Times New Roman" w:cs="Times New Roman"/>
                <w:b/>
                <w:bCs/>
                <w:color w:val="auto"/>
              </w:rPr>
              <w:t xml:space="preserve">podrá considerarse como </w:t>
            </w:r>
            <w:r w:rsidRPr="006E437B">
              <w:rPr>
                <w:rFonts w:ascii="Times New Roman" w:hAnsi="Times New Roman" w:cs="Times New Roman"/>
                <w:color w:val="auto"/>
              </w:rPr>
              <w:t xml:space="preserve">obstáculo </w:t>
            </w:r>
            <w:r w:rsidRPr="006E437B">
              <w:rPr>
                <w:rFonts w:ascii="Times New Roman" w:hAnsi="Times New Roman" w:cs="Times New Roman"/>
                <w:b/>
                <w:bCs/>
                <w:color w:val="auto"/>
              </w:rPr>
              <w:t>para el otorgamiento de la guarda y custodia</w:t>
            </w:r>
            <w:r w:rsidRPr="006E437B">
              <w:rPr>
                <w:rFonts w:ascii="Times New Roman" w:hAnsi="Times New Roman" w:cs="Times New Roman"/>
                <w:color w:val="auto"/>
              </w:rPr>
              <w:t>, el hecho de que la madre</w:t>
            </w:r>
            <w:r w:rsidRPr="006E437B">
              <w:rPr>
                <w:rFonts w:ascii="Times New Roman" w:hAnsi="Times New Roman" w:cs="Times New Roman"/>
                <w:b/>
                <w:bCs/>
                <w:color w:val="auto"/>
              </w:rPr>
              <w:t xml:space="preserve">, padre, familiar o persona cuidadora por dedicarse al trabajo de cuidados en el hogar </w:t>
            </w:r>
            <w:r w:rsidRPr="006E437B">
              <w:rPr>
                <w:rFonts w:ascii="Times New Roman" w:hAnsi="Times New Roman" w:cs="Times New Roman"/>
                <w:color w:val="auto"/>
              </w:rPr>
              <w:t xml:space="preserve">carezca de recursos económicos.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Convenio en el divorcio voluntario Artículo 4.102.- </w:t>
            </w:r>
            <w:r w:rsidRPr="006E437B">
              <w:rPr>
                <w:rFonts w:ascii="Times New Roman" w:hAnsi="Times New Roman" w:cs="Times New Roman"/>
                <w:color w:val="auto"/>
              </w:rPr>
              <w:t xml:space="preserve">Los cónyuges pueden divorciarse voluntariamente ocurriendo al Juez competente, presentando un convenio en que se fijen los siguientes puntos: </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Convenio en el divorcio voluntario </w:t>
            </w:r>
          </w:p>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 xml:space="preserve">Artículo 4.102.- … </w:t>
            </w:r>
          </w:p>
          <w:p w:rsidR="00470AD7" w:rsidRPr="006E437B" w:rsidRDefault="00470AD7" w:rsidP="00141629">
            <w:pPr>
              <w:pStyle w:val="Default"/>
              <w:jc w:val="both"/>
              <w:rPr>
                <w:rFonts w:ascii="Times New Roman" w:hAnsi="Times New Roman" w:cs="Times New Roman"/>
                <w:b/>
                <w:bCs/>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C920E1">
        <w:trPr>
          <w:trHeight w:hRule="exact" w:val="707"/>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C920E1">
        <w:trPr>
          <w:trHeight w:hRule="exact" w:val="419"/>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96AC5">
        <w:trPr>
          <w:trHeight w:val="699"/>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 </w:t>
            </w:r>
            <w:r w:rsidRPr="006E437B">
              <w:rPr>
                <w:rFonts w:ascii="Times New Roman" w:hAnsi="Times New Roman" w:cs="Times New Roman"/>
                <w:color w:val="auto"/>
              </w:rPr>
              <w:t xml:space="preserve">a la </w:t>
            </w:r>
            <w:r w:rsidRPr="006E437B">
              <w:rPr>
                <w:rFonts w:ascii="Times New Roman" w:hAnsi="Times New Roman" w:cs="Times New Roman"/>
                <w:b/>
                <w:bCs/>
                <w:color w:val="auto"/>
              </w:rPr>
              <w:t xml:space="preserve">II. …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 </w:t>
            </w:r>
            <w:r w:rsidRPr="006E437B">
              <w:rPr>
                <w:rFonts w:ascii="Times New Roman" w:hAnsi="Times New Roman" w:cs="Times New Roman"/>
                <w:color w:val="auto"/>
              </w:rPr>
              <w:t xml:space="preserve">a la </w:t>
            </w:r>
            <w:r w:rsidRPr="006E437B">
              <w:rPr>
                <w:rFonts w:ascii="Times New Roman" w:hAnsi="Times New Roman" w:cs="Times New Roman"/>
                <w:b/>
                <w:bCs/>
                <w:color w:val="auto"/>
              </w:rPr>
              <w:t xml:space="preserve">II. …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III. </w:t>
            </w:r>
            <w:r w:rsidRPr="006E437B">
              <w:rPr>
                <w:rFonts w:ascii="Times New Roman" w:hAnsi="Times New Roman" w:cs="Times New Roman"/>
                <w:color w:val="auto"/>
              </w:rPr>
              <w:t xml:space="preserve">Si hubiere hijos, la mención de quien deba tener su guardia y custodia durante y después del procedimiento y el régimen de convivencia; Siempre velarán por lograr un ambiente sano acorde a las necesidades del menor evitando en todo momento generar sentimientos negativos, como odio, desprecio, rencor o rechazo hacia uno de los progenitores, de lo contrario serán sujetos a la suspensión o pérdida de la guarda y custodia;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III. </w:t>
            </w:r>
            <w:r w:rsidRPr="006E437B">
              <w:rPr>
                <w:rFonts w:ascii="Times New Roman" w:hAnsi="Times New Roman" w:cs="Times New Roman"/>
                <w:color w:val="auto"/>
              </w:rPr>
              <w:t xml:space="preserve">Si hubiere hijos, la mención de quien deba tener su guardia y custodia durante y después del procedimiento y el régimen de convivencia, </w:t>
            </w:r>
            <w:r w:rsidRPr="006E437B">
              <w:rPr>
                <w:rFonts w:ascii="Times New Roman" w:hAnsi="Times New Roman" w:cs="Times New Roman"/>
                <w:b/>
                <w:bCs/>
                <w:color w:val="auto"/>
              </w:rPr>
              <w:t xml:space="preserve">el cual deberá de realizarse libre de estereotipos, con perspectiva de género, igualdad sustantiva y perspectiva de infancia, expresado la capacidad real de cuidado, un entorno libre de violencia, la protección especial, contra toda forma de sufrimiento, abuso o descuido, incluidos el físico, psicológico, mental o emocional, así como también las redes de apoyo. </w:t>
            </w:r>
            <w:r w:rsidRPr="006E437B">
              <w:rPr>
                <w:rFonts w:ascii="Times New Roman" w:hAnsi="Times New Roman" w:cs="Times New Roman"/>
                <w:color w:val="auto"/>
              </w:rPr>
              <w:t xml:space="preserve">Siempre velarán por lograr un ambiente sano acorde a las necesidades de </w:t>
            </w:r>
            <w:r w:rsidRPr="006E437B">
              <w:rPr>
                <w:rFonts w:ascii="Times New Roman" w:hAnsi="Times New Roman" w:cs="Times New Roman"/>
                <w:b/>
                <w:bCs/>
                <w:color w:val="auto"/>
              </w:rPr>
              <w:t xml:space="preserve">las niñas, niños y adolescentes </w:t>
            </w:r>
            <w:r w:rsidRPr="006E437B">
              <w:rPr>
                <w:rFonts w:ascii="Times New Roman" w:hAnsi="Times New Roman" w:cs="Times New Roman"/>
                <w:color w:val="auto"/>
              </w:rPr>
              <w:t>evitando en todo momento generar sentimientos negativos, como odio, desprecio, rencor o rechazo hacia uno de los progenitores, de lo contrario serán sujetos a la suspensión o pérdida de la guarda y custodia;</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496AC5">
        <w:trPr>
          <w:trHeight w:hRule="exact" w:val="750"/>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496AC5">
        <w:trPr>
          <w:trHeight w:hRule="exact" w:val="436"/>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IV</w:t>
            </w:r>
            <w:r w:rsidRPr="006E437B">
              <w:rPr>
                <w:rFonts w:ascii="Times New Roman" w:hAnsi="Times New Roman" w:cs="Times New Roman"/>
                <w:color w:val="auto"/>
              </w:rPr>
              <w:t xml:space="preserve">. a la </w:t>
            </w:r>
            <w:r w:rsidRPr="006E437B">
              <w:rPr>
                <w:rFonts w:ascii="Times New Roman" w:hAnsi="Times New Roman" w:cs="Times New Roman"/>
                <w:b/>
                <w:bCs/>
                <w:color w:val="auto"/>
              </w:rPr>
              <w:t xml:space="preserve">V. …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IV</w:t>
            </w:r>
            <w:r w:rsidRPr="006E437B">
              <w:rPr>
                <w:rFonts w:ascii="Times New Roman" w:hAnsi="Times New Roman" w:cs="Times New Roman"/>
                <w:color w:val="auto"/>
              </w:rPr>
              <w:t xml:space="preserve">. a la </w:t>
            </w:r>
            <w:r w:rsidRPr="006E437B">
              <w:rPr>
                <w:rFonts w:ascii="Times New Roman" w:hAnsi="Times New Roman" w:cs="Times New Roman"/>
                <w:b/>
                <w:bCs/>
                <w:color w:val="auto"/>
              </w:rPr>
              <w:t xml:space="preserve">V. …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La patria potestad en caso de separación de la pareja que la ejerce </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hAnsi="Times New Roman" w:cs="Times New Roman"/>
                <w:b/>
                <w:bCs/>
                <w:sz w:val="24"/>
                <w:szCs w:val="24"/>
              </w:rPr>
              <w:t xml:space="preserve">Artículo 4.205. </w:t>
            </w:r>
            <w:r w:rsidRPr="006E437B">
              <w:rPr>
                <w:rFonts w:ascii="Times New Roman" w:hAnsi="Times New Roman" w:cs="Times New Roman"/>
                <w:sz w:val="24"/>
                <w:szCs w:val="24"/>
              </w:rPr>
              <w:t xml:space="preserve">En caso de separación de quienes ejerzan la patria potestad y no exista acuerdo sobre la custodia, la o el Juez resolverá, quedando preferentemente al cuidado de la madre y atendiendo al interés superior de las niñas, niños y adolescentes. </w:t>
            </w: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La patria potestad en caso de separación de la pareja que la ejerce </w:t>
            </w: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4.205. </w:t>
            </w:r>
            <w:r w:rsidRPr="006E437B">
              <w:rPr>
                <w:rFonts w:ascii="Times New Roman" w:hAnsi="Times New Roman" w:cs="Times New Roman"/>
                <w:color w:val="auto"/>
              </w:rPr>
              <w:t xml:space="preserve">En caso de separación de quienes ejerzan la patria potestad y no exista acuerdo sobre la custodia, la </w:t>
            </w:r>
            <w:r w:rsidRPr="006E437B">
              <w:rPr>
                <w:rFonts w:ascii="Times New Roman" w:hAnsi="Times New Roman" w:cs="Times New Roman"/>
                <w:b/>
                <w:bCs/>
                <w:color w:val="auto"/>
              </w:rPr>
              <w:t xml:space="preserve">autoridad jurisdiccional </w:t>
            </w:r>
            <w:r w:rsidRPr="006E437B">
              <w:rPr>
                <w:rFonts w:ascii="Times New Roman" w:hAnsi="Times New Roman" w:cs="Times New Roman"/>
                <w:color w:val="auto"/>
              </w:rPr>
              <w:t xml:space="preserve">resolverá, </w:t>
            </w:r>
            <w:r w:rsidRPr="006E437B">
              <w:rPr>
                <w:rFonts w:ascii="Times New Roman" w:hAnsi="Times New Roman" w:cs="Times New Roman"/>
                <w:b/>
                <w:bCs/>
                <w:color w:val="auto"/>
              </w:rPr>
              <w:t xml:space="preserve">garantizando las mejores condiciones para el desarrollo, cuidado y protección de niñas, niños o adolescentes, si estas o estos quedan al cuidado de la madre, padre, o bien de manera excepcional a familiares o persona cuidadora, </w:t>
            </w:r>
            <w:r w:rsidRPr="006E437B">
              <w:rPr>
                <w:rFonts w:ascii="Times New Roman" w:hAnsi="Times New Roman" w:cs="Times New Roman"/>
                <w:color w:val="auto"/>
              </w:rPr>
              <w:t xml:space="preserve">atendiendo </w:t>
            </w:r>
            <w:r w:rsidRPr="006E437B">
              <w:rPr>
                <w:rFonts w:ascii="Times New Roman" w:hAnsi="Times New Roman" w:cs="Times New Roman"/>
                <w:b/>
                <w:bCs/>
                <w:color w:val="auto"/>
              </w:rPr>
              <w:t xml:space="preserve">y priorizando el </w:t>
            </w:r>
            <w:r w:rsidRPr="006E437B">
              <w:rPr>
                <w:rFonts w:ascii="Times New Roman" w:hAnsi="Times New Roman" w:cs="Times New Roman"/>
                <w:color w:val="auto"/>
              </w:rPr>
              <w:t xml:space="preserve">interés superior de las niñas, niños y adolescentes. </w:t>
            </w:r>
          </w:p>
          <w:p w:rsidR="00496AC5" w:rsidRPr="006E437B" w:rsidRDefault="00496AC5"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Guarda y custodia en la patria potestad </w:t>
            </w:r>
          </w:p>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4.228. </w:t>
            </w:r>
            <w:r w:rsidRPr="006E437B">
              <w:rPr>
                <w:rFonts w:ascii="Times New Roman" w:hAnsi="Times New Roman" w:cs="Times New Roman"/>
                <w:color w:val="auto"/>
              </w:rPr>
              <w:t xml:space="preserve">Cuando sólo uno de los que ejercen la patria potestad deba hacerse cargo provisional o definitivamente de la guarda y custodia de un menor, se aplicarán las siguientes disposiciones: </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Guarda y custodia en la patria potestad </w:t>
            </w:r>
          </w:p>
          <w:p w:rsidR="00470AD7" w:rsidRPr="006E437B" w:rsidRDefault="00470AD7" w:rsidP="00141629">
            <w:pPr>
              <w:pStyle w:val="Default"/>
              <w:jc w:val="both"/>
              <w:rPr>
                <w:rFonts w:ascii="Times New Roman" w:hAnsi="Times New Roman" w:cs="Times New Roman"/>
                <w:b/>
                <w:bCs/>
                <w:color w:val="auto"/>
              </w:rPr>
            </w:pPr>
            <w:r w:rsidRPr="006E437B">
              <w:rPr>
                <w:rFonts w:ascii="Times New Roman" w:hAnsi="Times New Roman" w:cs="Times New Roman"/>
                <w:b/>
                <w:bCs/>
                <w:color w:val="auto"/>
              </w:rPr>
              <w:t xml:space="preserve">Artículo 4.228. …. </w:t>
            </w: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496AC5">
        <w:trPr>
          <w:trHeight w:hRule="exact" w:val="697"/>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496AC5">
        <w:trPr>
          <w:trHeight w:hRule="exact" w:val="423"/>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 Los que ejerzan la patria potestad convendrán quién de ellos se hará cargo de la guarda y custodia del menor;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 Los que ejerzan la patria potestad convendrán quién de ellos se hará cargo de la guarda y custodia de las hijas o hijos debiendo expresar con elementos probatorios la capacidad real de cuidado, un entorno libre de violencia, la protección especial, contra toda forma de sufrimiento, abuso o descuido, incluidos el físico, psicológico, mental o emocional, así como también las redes de apoyo;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II. </w:t>
            </w:r>
            <w:r w:rsidRPr="006E437B">
              <w:rPr>
                <w:rFonts w:ascii="Times New Roman" w:hAnsi="Times New Roman" w:cs="Times New Roman"/>
                <w:color w:val="auto"/>
              </w:rPr>
              <w:t xml:space="preserve">Si no llegan a algún acuerdo, el Juez atendiendo a los elementos de prueba que obren en el sumario, con base en el resultado de las pruebas periciales en materia de psicología familiar que oficiosamente habrán de practicárseles y habiendo escuchado a la niña, niño o adolescente determinará: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II. …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 </w:t>
            </w:r>
            <w:r w:rsidRPr="006E437B">
              <w:rPr>
                <w:rFonts w:ascii="Times New Roman" w:hAnsi="Times New Roman" w:cs="Times New Roman"/>
                <w:color w:val="auto"/>
              </w:rPr>
              <w:t>El otorgamiento de la guarda y custodia de menores de doce años quedará preferentemente al cuidado de la madre y atendiendo al interés superior de las niñas, niños y adolescentes.</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 </w:t>
            </w:r>
            <w:r w:rsidRPr="006E437B">
              <w:rPr>
                <w:rFonts w:ascii="Times New Roman" w:hAnsi="Times New Roman" w:cs="Times New Roman"/>
                <w:color w:val="auto"/>
              </w:rPr>
              <w:t xml:space="preserve">El otorgamiento de la guarda y custodia </w:t>
            </w:r>
            <w:r w:rsidRPr="006E437B">
              <w:rPr>
                <w:rFonts w:ascii="Times New Roman" w:hAnsi="Times New Roman" w:cs="Times New Roman"/>
                <w:b/>
                <w:bCs/>
                <w:color w:val="auto"/>
              </w:rPr>
              <w:t xml:space="preserve">se realizará libre de estereotipos, con perspectiva de género, perspectiva de infancia e igualdad sustantiva, </w:t>
            </w:r>
            <w:r w:rsidRPr="006E437B">
              <w:rPr>
                <w:rFonts w:ascii="Times New Roman" w:hAnsi="Times New Roman" w:cs="Times New Roman"/>
                <w:color w:val="auto"/>
              </w:rPr>
              <w:t xml:space="preserve">atendiendo al interés superior de las niñas, niños y adolescentes. </w:t>
            </w:r>
          </w:p>
          <w:p w:rsidR="00470AD7" w:rsidRPr="006E437B" w:rsidRDefault="00470AD7" w:rsidP="00141629">
            <w:pPr>
              <w:pStyle w:val="Default"/>
              <w:jc w:val="both"/>
              <w:rPr>
                <w:rFonts w:ascii="Times New Roman" w:hAnsi="Times New Roman" w:cs="Times New Roman"/>
                <w:b/>
                <w:bCs/>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63500">
        <w:trPr>
          <w:trHeight w:hRule="exact" w:val="684"/>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Código Civil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28 de abril de 2026</w:t>
            </w:r>
          </w:p>
        </w:tc>
      </w:tr>
      <w:tr w:rsidR="00470AD7" w:rsidRPr="006E437B" w:rsidTr="00563500">
        <w:trPr>
          <w:trHeight w:hRule="exact" w:val="426"/>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63</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Para el otorgamiento de la guarda y custodia de persona lactante la autoridad jurisdiccional que conozca el caso, atenderá las circunstancias concretas del caso específico, las particularidades de la decisión en relación con los tipos de derechos que están en juego, los riesgos, así como las consecuencias de las decisiones a corto y largo plazo.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b) </w:t>
            </w:r>
            <w:r w:rsidRPr="006E437B">
              <w:rPr>
                <w:rFonts w:ascii="Times New Roman" w:hAnsi="Times New Roman" w:cs="Times New Roman"/>
                <w:color w:val="auto"/>
              </w:rPr>
              <w:t xml:space="preserve">a la </w:t>
            </w:r>
            <w:r w:rsidRPr="006E437B">
              <w:rPr>
                <w:rFonts w:ascii="Times New Roman" w:hAnsi="Times New Roman" w:cs="Times New Roman"/>
                <w:b/>
                <w:bCs/>
                <w:color w:val="auto"/>
              </w:rPr>
              <w:t xml:space="preserve">c). …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b) </w:t>
            </w:r>
            <w:r w:rsidRPr="006E437B">
              <w:rPr>
                <w:rFonts w:ascii="Times New Roman" w:hAnsi="Times New Roman" w:cs="Times New Roman"/>
                <w:color w:val="auto"/>
              </w:rPr>
              <w:t xml:space="preserve">a la </w:t>
            </w:r>
            <w:r w:rsidRPr="006E437B">
              <w:rPr>
                <w:rFonts w:ascii="Times New Roman" w:hAnsi="Times New Roman" w:cs="Times New Roman"/>
                <w:b/>
                <w:bCs/>
                <w:color w:val="auto"/>
              </w:rPr>
              <w:t xml:space="preserve">c). … </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63500">
        <w:trPr>
          <w:trHeight w:hRule="exact" w:val="767"/>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563500">
        <w:trPr>
          <w:trHeight w:hRule="exact" w:val="423"/>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15. </w:t>
            </w:r>
            <w:r w:rsidRPr="006E437B">
              <w:rPr>
                <w:rFonts w:ascii="Times New Roman" w:hAnsi="Times New Roman" w:cs="Times New Roman"/>
                <w:color w:val="auto"/>
              </w:rPr>
              <w:t>Niñas, niños y adolescentes tienen derecho a vivir en una familia. Siempre que sea posible deberán crecer bajo la responsabilidad y el cuidado de sus padres, y recibir una crianza positiva en un ambiente de afecto y de seguridad física, moral, intelectual y material.</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15. </w:t>
            </w:r>
            <w:r w:rsidRPr="006E437B">
              <w:rPr>
                <w:rFonts w:ascii="Times New Roman" w:hAnsi="Times New Roman" w:cs="Times New Roman"/>
                <w:color w:val="auto"/>
              </w:rPr>
              <w:t xml:space="preserve">Niñas, niños y adolescentes tienen derecho a vivir en una familia. Siempre que sea posible deberán crecer bajo la responsabilidad y el cuidado </w:t>
            </w:r>
            <w:r w:rsidRPr="006E437B">
              <w:rPr>
                <w:rFonts w:ascii="Times New Roman" w:hAnsi="Times New Roman" w:cs="Times New Roman"/>
                <w:b/>
                <w:bCs/>
                <w:color w:val="auto"/>
              </w:rPr>
              <w:t xml:space="preserve">mutuo </w:t>
            </w:r>
            <w:r w:rsidRPr="006E437B">
              <w:rPr>
                <w:rFonts w:ascii="Times New Roman" w:hAnsi="Times New Roman" w:cs="Times New Roman"/>
                <w:color w:val="auto"/>
              </w:rPr>
              <w:t xml:space="preserve">de sus padres, </w:t>
            </w:r>
            <w:r w:rsidRPr="006E437B">
              <w:rPr>
                <w:rFonts w:ascii="Times New Roman" w:hAnsi="Times New Roman" w:cs="Times New Roman"/>
                <w:b/>
                <w:bCs/>
                <w:color w:val="auto"/>
              </w:rPr>
              <w:t xml:space="preserve">a </w:t>
            </w:r>
            <w:r w:rsidRPr="006E437B">
              <w:rPr>
                <w:rFonts w:ascii="Times New Roman" w:hAnsi="Times New Roman" w:cs="Times New Roman"/>
                <w:color w:val="auto"/>
              </w:rPr>
              <w:t>recibir una crianza positiva</w:t>
            </w:r>
            <w:r w:rsidRPr="006E437B">
              <w:rPr>
                <w:rFonts w:ascii="Times New Roman" w:hAnsi="Times New Roman" w:cs="Times New Roman"/>
                <w:b/>
                <w:bCs/>
                <w:color w:val="auto"/>
              </w:rPr>
              <w:t xml:space="preserve">, libre de estereotipos por razón de género, </w:t>
            </w:r>
            <w:r w:rsidRPr="006E437B">
              <w:rPr>
                <w:rFonts w:ascii="Times New Roman" w:hAnsi="Times New Roman" w:cs="Times New Roman"/>
                <w:color w:val="auto"/>
              </w:rPr>
              <w:t>en un ambiente de afecto y de seguridad física, moral, intelectual y material</w:t>
            </w:r>
            <w:r w:rsidRPr="006E437B">
              <w:rPr>
                <w:rFonts w:ascii="Times New Roman" w:hAnsi="Times New Roman" w:cs="Times New Roman"/>
                <w:b/>
                <w:bCs/>
                <w:color w:val="auto"/>
              </w:rPr>
              <w:t>, así como también en un entorno de respeto, igualdad y corresponsabilidad familiar.</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La falta de recursos no podrá considerarse motivo suficiente para separarlos de sus padres o de los familiares con los que convivan ni causa para la pérdida de la patria potestad. Estas condiciones imputables directas exclusivamente a la pobreza económica y material no constituirán la única justificación para separar a niñas, niños o adolescentes del cuidado de sus padres, sino que deberán considerarse como un indicio de la necesidad de proporcionar a la familia el apoyo apropiado.</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bl>
    <w:p w:rsidR="00470AD7" w:rsidRPr="006E437B" w:rsidRDefault="00470AD7" w:rsidP="00141629">
      <w:pPr>
        <w:pStyle w:val="Sinespaciado"/>
        <w:jc w:val="both"/>
        <w:rPr>
          <w:rFonts w:ascii="Times New Roman" w:hAnsi="Times New Roman" w:cs="Times New Roman"/>
          <w:sz w:val="24"/>
          <w:szCs w:val="20"/>
        </w:rPr>
      </w:pPr>
    </w:p>
    <w:p w:rsidR="00470AD7" w:rsidRPr="006E437B" w:rsidRDefault="00470AD7" w:rsidP="00141629">
      <w:pPr>
        <w:pStyle w:val="Default"/>
        <w:rPr>
          <w:rFonts w:ascii="Times New Roman" w:hAnsi="Times New Roman" w:cs="Times New Roman"/>
          <w:color w:val="auto"/>
          <w:sz w:val="20"/>
          <w:szCs w:val="20"/>
        </w:rPr>
      </w:pPr>
      <w:r w:rsidRPr="006E437B">
        <w:rPr>
          <w:rFonts w:ascii="Times New Roman" w:hAnsi="Times New Roman" w:cs="Times New Roman"/>
          <w:color w:val="auto"/>
          <w:sz w:val="20"/>
          <w:szCs w:val="20"/>
          <w:vertAlign w:val="superscript"/>
        </w:rPr>
        <w:t>64</w:t>
      </w:r>
      <w:r w:rsidRPr="006E437B">
        <w:rPr>
          <w:rFonts w:ascii="Times New Roman" w:hAnsi="Times New Roman" w:cs="Times New Roman"/>
          <w:color w:val="auto"/>
          <w:sz w:val="20"/>
          <w:szCs w:val="20"/>
        </w:rPr>
        <w:t xml:space="preserve"> Disponible en: </w:t>
      </w:r>
    </w:p>
    <w:p w:rsidR="00470AD7" w:rsidRPr="006E437B" w:rsidRDefault="00470AD7"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https://legislacion.edomex.gob.mx/sites/legislacion.edomex.gob.mx/files/files/pdf/ley/vig/leyvig098.pdf</w:t>
      </w:r>
    </w:p>
    <w:p w:rsidR="00470AD7" w:rsidRPr="006E437B" w:rsidRDefault="00470AD7" w:rsidP="00141629">
      <w:pPr>
        <w:pStyle w:val="Sinespaciado"/>
        <w:jc w:val="both"/>
        <w:rPr>
          <w:rFonts w:ascii="Times New Roman" w:hAnsi="Times New Roman" w:cs="Times New Roman"/>
          <w:sz w:val="24"/>
          <w:szCs w:val="20"/>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63500">
        <w:trPr>
          <w:trHeight w:hRule="exact" w:val="787"/>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563500">
        <w:trPr>
          <w:trHeight w:hRule="exact" w:val="429"/>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No serán considerados como supuestos de exposición o estado de abandono los casos en que las personas que ejerzan la patria potestad, por extrema pobreza o por necesidad de ganarse el sustento lejos del lugar de residencia, tengan dificultades para atender a niñas, niños y adolescentes de manera permanente, siempre y cuando los mantengan al cuidado de otras personas, libres de violencia y provean su subsistencia.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Las autoridades estatales y municipales, en el ámbito de sus respectivas competencias, están obligadas a instaurar políticas de fortalecimiento familiar con la finalidad de evitar la separación de niñas, niños y adolescentes de quienes ejerzan la patria potestad y en su caso, la tutela; de acuerdo a lo dispuesto en el Código Civil del Estado de México respecto de las relaciones jurídicas familiares y los deberes derivados de éstas.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Artículo 16. </w:t>
            </w:r>
            <w:r w:rsidRPr="006E437B">
              <w:rPr>
                <w:rFonts w:ascii="Times New Roman" w:hAnsi="Times New Roman" w:cs="Times New Roman"/>
                <w:color w:val="auto"/>
                <w:szCs w:val="23"/>
              </w:rPr>
              <w:t>Niñas, niños y adolescentes no podrán ser separados de sus padres o de quienes que ejerzan la patria potestad sobre ellos o de sus tutores, y en términos de las disposiciones aplicables de quienes ejercen la custodia, sino mediante orden de autoridad competente que así lo declare velando en todo momento por su integridad física y escuchando la opinión de niñas, niños y adolescentes, conforme a su edad, desarrollo evolutivo, cognoscitivo y madurez y atendiendo a la preservación del interés superior de la niñez.</w:t>
            </w:r>
          </w:p>
          <w:p w:rsidR="00470AD7" w:rsidRPr="006E437B" w:rsidRDefault="00470AD7" w:rsidP="00141629">
            <w:pPr>
              <w:pStyle w:val="Default"/>
              <w:jc w:val="both"/>
              <w:rPr>
                <w:rFonts w:ascii="Times New Roman"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Artículo 16. </w:t>
            </w:r>
            <w:r w:rsidRPr="006E437B">
              <w:rPr>
                <w:rFonts w:ascii="Times New Roman" w:hAnsi="Times New Roman" w:cs="Times New Roman"/>
                <w:color w:val="auto"/>
                <w:szCs w:val="23"/>
              </w:rPr>
              <w:t>Niñas, niños y adolescentes no podrán ser separados de sus padres o de quienes que ejerzan la patria potestad sobre ellos o de sus tutores, y en términos de las disposiciones aplicables de quienes ejercen la custodia, sino mediante orden de autoridad competente que así lo declare velando en todo momento por su integridad física</w:t>
            </w:r>
            <w:r w:rsidRPr="006E437B">
              <w:rPr>
                <w:rFonts w:ascii="Times New Roman" w:hAnsi="Times New Roman" w:cs="Times New Roman"/>
                <w:b/>
                <w:bCs/>
                <w:color w:val="auto"/>
                <w:szCs w:val="23"/>
              </w:rPr>
              <w:t xml:space="preserve">, psicológica, mental y emocional, así como también garantizar dentro del ámbito de sus atribuciones espacios y eternos libres de violencia, sufrimiento, abuso o descuidos. Las autoridades jurisdiccionales o administrativas deberán hacer efectiva la participación y </w:t>
            </w:r>
            <w:r w:rsidRPr="006E437B">
              <w:rPr>
                <w:rFonts w:ascii="Times New Roman" w:hAnsi="Times New Roman" w:cs="Times New Roman"/>
                <w:color w:val="auto"/>
                <w:szCs w:val="23"/>
              </w:rPr>
              <w:t>opinión de niñas, niños y adolescentes, conforme a su edad, desarrollo evolutivo, cognoscitivo y madurez</w:t>
            </w:r>
            <w:r w:rsidRPr="006E437B">
              <w:rPr>
                <w:rFonts w:ascii="Times New Roman" w:hAnsi="Times New Roman" w:cs="Times New Roman"/>
                <w:b/>
                <w:bCs/>
                <w:color w:val="auto"/>
                <w:szCs w:val="23"/>
              </w:rPr>
              <w:t xml:space="preserve">, valorando </w:t>
            </w:r>
            <w:r w:rsidRPr="006E437B">
              <w:rPr>
                <w:rFonts w:ascii="Times New Roman" w:hAnsi="Times New Roman" w:cs="Times New Roman"/>
                <w:color w:val="auto"/>
                <w:szCs w:val="23"/>
              </w:rPr>
              <w:t xml:space="preserve">y atendiendo a la preservación del interés superior de la niñez </w:t>
            </w:r>
            <w:r w:rsidRPr="006E437B">
              <w:rPr>
                <w:rFonts w:ascii="Times New Roman" w:hAnsi="Times New Roman" w:cs="Times New Roman"/>
                <w:b/>
                <w:bCs/>
                <w:color w:val="auto"/>
                <w:szCs w:val="23"/>
              </w:rPr>
              <w:t>conforme a las disposiciones jurídicas aplicables.</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63500">
        <w:trPr>
          <w:trHeight w:hRule="exact" w:val="720"/>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A0614B">
        <w:trPr>
          <w:trHeight w:hRule="exact" w:val="434"/>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Niñas, niños y adolescentes, cuyos padres o familiares que estén a su cargo se encuentren separados tendrán derecho a convivir o a mantener contacto directo de modo regular con ellos, salvo en los casos en que el órgano jurisdiccional competente determine que ello es contrario al interés superior de la niñez.</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 xml:space="preserve">Así mismo, niñas, niños y adolescentes tienen derecho a convivir con sus padres o familiares cuando estos se encuentren privados de su libertad. Las autoridades competentes en materia jurisdiccional y penitenciaria deberán garantizar este derecho y establecer las condiciones necesarias para que esta convivencia se realice de forma adecuada, conforme con las disposiciones jurídicas aplicables. Este derecho solo podrá ser restringido por resolución del órgano jurisdiccional competente, siempre y cuando no sea contrario a su interés superior.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Cuando nazca una niña o un niño de una madre que se encuentre cumpliendo una pena privativa de libertad, las autoridades penitenciarias correspondientes deberán informar a la Procuraduría de Protección de este hecho, a fin de que esta última garantice que la niña o niño tenga acceso a las medidas de protección especial correspondientes, asegurando que la niña o el niño mantenga relaciones personales y un contacto directo con su madre, cuando ello responda a su interés superior. </w:t>
            </w:r>
          </w:p>
          <w:p w:rsidR="00470AD7" w:rsidRPr="006E437B" w:rsidRDefault="00470AD7" w:rsidP="00141629">
            <w:pPr>
              <w:pStyle w:val="Default"/>
              <w:jc w:val="both"/>
              <w:rPr>
                <w:rFonts w:ascii="Times New Roman"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A0614B">
        <w:trPr>
          <w:trHeight w:hRule="exact" w:val="802"/>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A0614B">
        <w:trPr>
          <w:trHeight w:hRule="exact" w:val="417"/>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todo momento se privilegiará el derecho de los lactantes a acceder a una alimentación nutricionalmente adecuada con base en una lactancia materna óptima, por lo cual las autoridades en materia penitenciaria favorecerán el establecimiento de salas de lactancia y la operación de programas que favorezcan la lactancia materna y la alimentación complementaria que resulten apropiadas.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18. </w:t>
            </w:r>
            <w:r w:rsidRPr="006E437B">
              <w:rPr>
                <w:rFonts w:ascii="Times New Roman" w:hAnsi="Times New Roman" w:cs="Times New Roman"/>
                <w:color w:val="auto"/>
              </w:rPr>
              <w:t xml:space="preserve">En todas las medidas concernientes a niñas, niños y adolescentes que tomen los órganos jurisdiccionales, autoridades administrativas y órganos legislativos se tomará en cuenta como consideración primordial el interés superior de la niñez.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18. </w:t>
            </w:r>
            <w:r w:rsidRPr="006E437B">
              <w:rPr>
                <w:rFonts w:ascii="Times New Roman" w:hAnsi="Times New Roman" w:cs="Times New Roman"/>
                <w:color w:val="auto"/>
              </w:rPr>
              <w:t xml:space="preserve">En todas las medidas concernientes a niñas, niños y adolescentes que tomen los órganos jurisdiccionales, autoridades administrativas y órganos legislativos </w:t>
            </w:r>
            <w:r w:rsidRPr="006E437B">
              <w:rPr>
                <w:rFonts w:ascii="Times New Roman" w:hAnsi="Times New Roman" w:cs="Times New Roman"/>
                <w:b/>
                <w:bCs/>
                <w:color w:val="auto"/>
              </w:rPr>
              <w:t xml:space="preserve">se tendrá en cuenta su participación y opinión conforme a su edad, desarrollo evolutivo, cognoscitivo y madurez, valorando y atendiendo a la preservación del interés superior de la niñez. </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A0614B">
        <w:trPr>
          <w:trHeight w:hRule="exact" w:val="713"/>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A0614B">
        <w:trPr>
          <w:trHeight w:hRule="exact" w:val="436"/>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 xml:space="preserve">Dichas autoridades elaborarán los mecanismos necesarios para garantizar este principio.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 xml:space="preserve">En los casos de traslados o retenciones ilícitas de niñas, niños y adolescentes originarios del Estado de México y que se encuentren fuera del territorio nacional, la persona interesada podrá presentar la solicitud de restitución respectiva ante la Delegación de la Secretaría de Relaciones Exteriores correspondiente, para que ésta lleve a cabo las acciones correspondientes en el marco de sus atribuciones, de conformidad con lo dispuesto en los instrumentos internacionales y demás disposiciones aplicables.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 xml:space="preserve">Cuando las autoridades estatales tengan conocimiento de casos de niñas, niños y adolescentes originarios del Estado de México trasladados o retenidos de manera ilícita en el extranjero, se coordinarán con las autoridades federales competentes, conforme a las demás disposiciones aplicables, para su localización y restitución. </w:t>
            </w:r>
          </w:p>
          <w:p w:rsidR="00470AD7" w:rsidRPr="006E437B" w:rsidRDefault="00470AD7" w:rsidP="00141629">
            <w:pPr>
              <w:pStyle w:val="Default"/>
              <w:jc w:val="both"/>
              <w:rPr>
                <w:rFonts w:ascii="Times New Roman" w:hAnsi="Times New Roman" w:cs="Times New Roman"/>
                <w:color w:val="auto"/>
                <w:sz w:val="23"/>
                <w:szCs w:val="23"/>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A0614B">
        <w:trPr>
          <w:trHeight w:hRule="exact" w:val="689"/>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A0614B">
        <w:trPr>
          <w:trHeight w:hRule="exact" w:val="416"/>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Cuando una niña, niño o adolescente sea trasladado o retenido ilícitamente en territorio estatal, o haya sido trasladado legalmente pero retenido ilícitamente, las autoridades estatales y municipales, en el ámbito de sus respectivas competencias, estarán obligadas a coadyuvar en su localización, a través de los programas para la búsqueda, localización y recuperación, así como en la adopción de todas las medidas necesarias para prevenir que sufran mayores daños y en la sustanciación de los procedimientos de urgencia necesarios para garantizar su restitución inmediata, cuando la misma resulte procedente conforme a los tratados internacionales en materia de sustracción de menores. </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49. </w:t>
            </w:r>
            <w:r w:rsidRPr="006E437B">
              <w:rPr>
                <w:rFonts w:ascii="Times New Roman" w:hAnsi="Times New Roman" w:cs="Times New Roman"/>
                <w:color w:val="auto"/>
              </w:rPr>
              <w:t>Niñas, niños y adolescentes tienen derecho, de manera individual y colectiva, a ser escuchados en todo procedimiento judicial o administrativo que les afecte, ya sea directamente o por medio de representante u órgano apropiado de acuerdo con las disposiciones jurídicas aplicables.</w:t>
            </w:r>
          </w:p>
          <w:p w:rsidR="00470AD7" w:rsidRPr="006E437B" w:rsidRDefault="00470AD7" w:rsidP="00141629">
            <w:pPr>
              <w:pStyle w:val="Sinespaciado"/>
              <w:jc w:val="both"/>
              <w:rPr>
                <w:rFonts w:ascii="Times New Roman" w:eastAsia="Arial" w:hAnsi="Times New Roman" w:cs="Times New Roman"/>
                <w:sz w:val="24"/>
                <w:szCs w:val="24"/>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49. </w:t>
            </w:r>
            <w:r w:rsidRPr="006E437B">
              <w:rPr>
                <w:rFonts w:ascii="Times New Roman" w:hAnsi="Times New Roman" w:cs="Times New Roman"/>
                <w:color w:val="auto"/>
              </w:rPr>
              <w:t xml:space="preserve">Niñas, niños y adolescentes tienen derecho, de manera individual y colectiva, </w:t>
            </w:r>
            <w:r w:rsidRPr="006E437B">
              <w:rPr>
                <w:rFonts w:ascii="Times New Roman" w:hAnsi="Times New Roman" w:cs="Times New Roman"/>
                <w:b/>
                <w:bCs/>
                <w:color w:val="auto"/>
              </w:rPr>
              <w:t xml:space="preserve">a participar y ser escuchadas o </w:t>
            </w:r>
            <w:r w:rsidRPr="006E437B">
              <w:rPr>
                <w:rFonts w:ascii="Times New Roman" w:hAnsi="Times New Roman" w:cs="Times New Roman"/>
                <w:color w:val="auto"/>
              </w:rPr>
              <w:t>escuchados en todo procedimiento judicial o administrativo que les afecte, ya sea directamente o por medio de representante u órgano apropiado de acuerdo con las disposiciones jurídicas aplicables.</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A0614B">
        <w:trPr>
          <w:trHeight w:hRule="exact" w:val="747"/>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F81793">
        <w:trPr>
          <w:trHeight w:hRule="exact" w:val="431"/>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 Procuraduría de Protección estatal o municipal, en su respectivo ámbito de competencia podrá promover la imposición de sanciones a los medios de comunicación locales, según lo establece la Ley General.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Se garantiza el ejercicio de este derecho, especialmente en todo procedimiento que conduzca a una decisión que afecte sus derechos, garantías e intereses, de acuerdo con su edad, desarrollo evolutivo, cognoscitivo y madurez, atendiendo el interés superior de la niñez.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Se garantiza el ejercicio de este derecho, especialmente en todo procedimiento que conduzca a una decisión que afecte sus derechos, garantías e intereses, de acuerdo con su edad, desarrollo evolutivo, cognoscitivo</w:t>
            </w:r>
            <w:r w:rsidRPr="006E437B">
              <w:rPr>
                <w:rFonts w:ascii="Times New Roman" w:hAnsi="Times New Roman" w:cs="Times New Roman"/>
                <w:b/>
                <w:bCs/>
                <w:color w:val="auto"/>
              </w:rPr>
              <w:t xml:space="preserve">, madurez, estado emocional, experiencia de vida y entorno, </w:t>
            </w:r>
            <w:r w:rsidRPr="006E437B">
              <w:rPr>
                <w:rFonts w:ascii="Times New Roman" w:hAnsi="Times New Roman" w:cs="Times New Roman"/>
                <w:color w:val="auto"/>
              </w:rPr>
              <w:t xml:space="preserve">atendiendo el interés superior de la niñez.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52. </w:t>
            </w:r>
            <w:r w:rsidRPr="006E437B">
              <w:rPr>
                <w:rFonts w:ascii="Times New Roman" w:hAnsi="Times New Roman" w:cs="Times New Roman"/>
                <w:color w:val="auto"/>
              </w:rPr>
              <w:t>Niñas, niños y adolescentes tienen derecho a participar libre y activamente en la vida familiar, social, escolar, científica, cultural, deportiva y recreativa, conforme a su edad, desarrollo evolutivo, cognoscitivo y madurez.</w:t>
            </w:r>
          </w:p>
          <w:p w:rsidR="00470AD7" w:rsidRPr="006E437B" w:rsidRDefault="00470AD7" w:rsidP="00141629">
            <w:pPr>
              <w:pStyle w:val="Default"/>
              <w:jc w:val="both"/>
              <w:rPr>
                <w:rFonts w:ascii="Times New Roman"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52. </w:t>
            </w:r>
            <w:r w:rsidRPr="006E437B">
              <w:rPr>
                <w:rFonts w:ascii="Times New Roman" w:hAnsi="Times New Roman" w:cs="Times New Roman"/>
                <w:color w:val="auto"/>
              </w:rPr>
              <w:t>Niñas, niños y adolescentes tienen derecho a participar libre y activamente en la vida familiar, social, escolar, científica, cultural, deportiva y recreativa, conforme a su edad, desarrollo evolutivo, cognoscitivo</w:t>
            </w:r>
            <w:r w:rsidRPr="006E437B">
              <w:rPr>
                <w:rFonts w:ascii="Times New Roman" w:hAnsi="Times New Roman" w:cs="Times New Roman"/>
                <w:b/>
                <w:bCs/>
                <w:color w:val="auto"/>
              </w:rPr>
              <w:t xml:space="preserve">, madurez, estado emocional, experiencia de vida y entorno. </w:t>
            </w:r>
          </w:p>
          <w:p w:rsidR="00470AD7" w:rsidRPr="006E437B" w:rsidRDefault="00470AD7" w:rsidP="00141629">
            <w:pPr>
              <w:pStyle w:val="Default"/>
              <w:jc w:val="both"/>
              <w:rPr>
                <w:rFonts w:ascii="Times New Roman"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F81793">
        <w:trPr>
          <w:trHeight w:hRule="exact" w:val="689"/>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F81793">
        <w:trPr>
          <w:trHeight w:hRule="exact" w:val="429"/>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Este derecho implica la posibilidad de expresar su opinión, ser escuchados y tomados en cuenta respecto de los asuntos de su familia, su comunidad y su país, así como todos aquellos temas que les afecten, por lo que la familia, la sociedad y el Estado deberán propiciar y fomentar oportunidades de participación de niñas, niños y adolescentes.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Las autoridades estatales y municipales fomentarán la participación de niñas, niños y adolescentes en foros municipales y estatales y la creación de espacios de participación a fin de que puedan opinar, analizar, y en general, puedan expresar su punto de vista y propuestas, de forma individual o colectiva, en aquellos ámbitos que no vulneren su integridad física o moral.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Las autoridades estatales y municipales fomentarán la participación de niñas, niños y adolescentes en foros municipales y estatales y la creación de espacios de participación a fin de que puedan opinar, analizar, y en general, puedan expresar su punto de vista y propuestas, de forma individual o colectiva, en aquellos ámbitos que no vulneren su integridad física</w:t>
            </w:r>
            <w:r w:rsidRPr="006E437B">
              <w:rPr>
                <w:rFonts w:ascii="Times New Roman" w:hAnsi="Times New Roman" w:cs="Times New Roman"/>
                <w:b/>
                <w:bCs/>
                <w:color w:val="auto"/>
              </w:rPr>
              <w:t xml:space="preserve">, psicológica, mental o emocional. </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F81793">
        <w:trPr>
          <w:trHeight w:hRule="exact" w:val="780"/>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F81793">
        <w:trPr>
          <w:trHeight w:hRule="exact" w:val="438"/>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 xml:space="preserve">Es responsabilidad del Estado, de la sociedad civil y de las instituciones públicas y privadas, diseñar los mecanismos que den un peso específico a la opinión de niñas, niños y adolescentes, en todos los aspectos que determinen su vida y su desarrollo, sin menoscabo del deber de cuidado y orientación de quienes ejercen la patria potestad, tutela o custodia.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 xml:space="preserve">Es responsabilidad del Estado, de la sociedad civil y de las instituciones públicas y privadas, diseñar los mecanismos que den un peso específico a la </w:t>
            </w:r>
            <w:r w:rsidRPr="006E437B">
              <w:rPr>
                <w:rFonts w:ascii="Times New Roman" w:hAnsi="Times New Roman" w:cs="Times New Roman"/>
                <w:b/>
                <w:bCs/>
                <w:color w:val="auto"/>
                <w:szCs w:val="23"/>
              </w:rPr>
              <w:t xml:space="preserve">participación y </w:t>
            </w:r>
            <w:r w:rsidRPr="006E437B">
              <w:rPr>
                <w:rFonts w:ascii="Times New Roman" w:hAnsi="Times New Roman" w:cs="Times New Roman"/>
                <w:color w:val="auto"/>
                <w:szCs w:val="23"/>
              </w:rPr>
              <w:t xml:space="preserve">opinión de niñas, niños y adolescentes, en todos los aspectos que determinen su vida y su desarrollo, sin menoscabo del deber de cuidado y orientación de quienes ejercen la patria potestad, tutela o custodia.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Artículo 58. </w:t>
            </w:r>
            <w:r w:rsidRPr="006E437B">
              <w:rPr>
                <w:rFonts w:ascii="Times New Roman" w:hAnsi="Times New Roman" w:cs="Times New Roman"/>
                <w:color w:val="auto"/>
                <w:szCs w:val="23"/>
              </w:rPr>
              <w:t xml:space="preserve">Niñas, niños y adolescentes gozan de los derechos y garantías de seguridad jurídica y debido proceso, establecidos en la Constitución Federal y Estatal, los tratados internacionales, la Ley General, esta Ley y demás disposiciones jurídicas aplicables, por lo que las autoridades estatales están obligadas a garantizar el goce de estos derechos y la protección y prevalencia del interés superior de la niñez.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Artículo 58. …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color w:val="auto"/>
                <w:szCs w:val="23"/>
              </w:rPr>
              <w:t>Las autoridades estatales que sustancien procedimientos de carácter jurisdiccional o administrativo o que realicen cualquier acto de autoridad en los que estén relacionados niñas, niños y adolescentes estarán obligadas a:</w:t>
            </w:r>
          </w:p>
          <w:p w:rsidR="00470AD7" w:rsidRPr="006E437B" w:rsidRDefault="00470AD7" w:rsidP="00141629">
            <w:pPr>
              <w:pStyle w:val="Default"/>
              <w:jc w:val="both"/>
              <w:rPr>
                <w:rFonts w:ascii="Times New Roman" w:hAnsi="Times New Roman" w:cs="Times New Roman"/>
                <w:b/>
                <w:bCs/>
                <w:color w:val="auto"/>
                <w:szCs w:val="23"/>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b/>
                <w:bCs/>
                <w:color w:val="auto"/>
                <w:szCs w:val="23"/>
              </w:rPr>
            </w:pPr>
            <w:r w:rsidRPr="006E437B">
              <w:rPr>
                <w:rFonts w:ascii="Times New Roman" w:hAnsi="Times New Roman" w:cs="Times New Roman"/>
                <w:b/>
                <w:bCs/>
                <w:color w:val="auto"/>
                <w:szCs w:val="23"/>
              </w:rPr>
              <w:t>…</w:t>
            </w: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F81793">
        <w:trPr>
          <w:trHeight w:hRule="exact" w:val="719"/>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585CDF">
        <w:trPr>
          <w:trHeight w:hRule="exact" w:val="433"/>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 </w:t>
            </w:r>
            <w:r w:rsidRPr="006E437B">
              <w:rPr>
                <w:rFonts w:ascii="Times New Roman" w:hAnsi="Times New Roman" w:cs="Times New Roman"/>
                <w:color w:val="auto"/>
                <w:szCs w:val="23"/>
              </w:rPr>
              <w:t xml:space="preserve">Garantizar la protección y prevalencia del interés superior de la niñez.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 </w:t>
            </w:r>
            <w:r w:rsidRPr="006E437B">
              <w:rPr>
                <w:rFonts w:ascii="Times New Roman" w:hAnsi="Times New Roman" w:cs="Times New Roman"/>
                <w:color w:val="auto"/>
                <w:szCs w:val="23"/>
              </w:rPr>
              <w:t xml:space="preserve">Garantizar la protección y prevalencia del interés superior de la niñez </w:t>
            </w:r>
            <w:r w:rsidRPr="006E437B">
              <w:rPr>
                <w:rFonts w:ascii="Times New Roman" w:hAnsi="Times New Roman" w:cs="Times New Roman"/>
                <w:b/>
                <w:bCs/>
                <w:color w:val="auto"/>
                <w:szCs w:val="23"/>
              </w:rPr>
              <w:t xml:space="preserve">de manera trasversal y con enfoque de interseccionalidad.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szCs w:val="23"/>
              </w:rPr>
            </w:pPr>
          </w:p>
          <w:p w:rsidR="00470AD7" w:rsidRPr="006E437B" w:rsidRDefault="00470AD7" w:rsidP="00141629">
            <w:pPr>
              <w:pStyle w:val="Default"/>
              <w:jc w:val="center"/>
              <w:rPr>
                <w:rFonts w:ascii="Times New Roman" w:hAnsi="Times New Roman" w:cs="Times New Roman"/>
                <w:b/>
                <w:bCs/>
                <w:color w:val="auto"/>
                <w:szCs w:val="23"/>
              </w:rPr>
            </w:pPr>
          </w:p>
          <w:p w:rsidR="00470AD7" w:rsidRPr="006E437B" w:rsidRDefault="00470AD7" w:rsidP="00141629">
            <w:pPr>
              <w:pStyle w:val="Default"/>
              <w:jc w:val="center"/>
              <w:rPr>
                <w:rFonts w:ascii="Times New Roman" w:hAnsi="Times New Roman" w:cs="Times New Roman"/>
                <w:color w:val="auto"/>
                <w:szCs w:val="23"/>
              </w:rPr>
            </w:pPr>
            <w:r w:rsidRPr="006E437B">
              <w:rPr>
                <w:rFonts w:ascii="Times New Roman" w:hAnsi="Times New Roman" w:cs="Times New Roman"/>
                <w:b/>
                <w:bCs/>
                <w:color w:val="auto"/>
                <w:szCs w:val="23"/>
              </w:rPr>
              <w:t>SIN CORRELATIVO</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 Bis. Allegarse de los elementos necesarios para poder deliberar respecto a un determinado asunto, evaluando las consecuencias de sus decisiones en razón de sus atribuciones.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II. </w:t>
            </w:r>
            <w:r w:rsidRPr="006E437B">
              <w:rPr>
                <w:rFonts w:ascii="Times New Roman" w:hAnsi="Times New Roman" w:cs="Times New Roman"/>
                <w:color w:val="auto"/>
                <w:szCs w:val="23"/>
              </w:rPr>
              <w:t xml:space="preserve">Garantizar el ejercicio de los derechos de niñas, niños y adolescentes. </w:t>
            </w:r>
          </w:p>
          <w:p w:rsidR="00470AD7" w:rsidRPr="006E437B" w:rsidRDefault="00470AD7" w:rsidP="00141629">
            <w:pPr>
              <w:pStyle w:val="Default"/>
              <w:jc w:val="both"/>
              <w:rPr>
                <w:rFonts w:ascii="Times New Roman" w:hAnsi="Times New Roman" w:cs="Times New Roman"/>
                <w:b/>
                <w:bCs/>
                <w:color w:val="auto"/>
                <w:szCs w:val="23"/>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II. </w:t>
            </w:r>
            <w:r w:rsidRPr="006E437B">
              <w:rPr>
                <w:rFonts w:ascii="Times New Roman" w:hAnsi="Times New Roman" w:cs="Times New Roman"/>
                <w:color w:val="auto"/>
                <w:szCs w:val="23"/>
              </w:rPr>
              <w:t xml:space="preserve">Garantizar el ejercicio de los derechos de niñas, niños y adolescentes </w:t>
            </w:r>
            <w:r w:rsidRPr="006E437B">
              <w:rPr>
                <w:rFonts w:ascii="Times New Roman" w:hAnsi="Times New Roman" w:cs="Times New Roman"/>
                <w:b/>
                <w:bCs/>
                <w:color w:val="auto"/>
                <w:szCs w:val="23"/>
              </w:rPr>
              <w:t xml:space="preserve">en las diferentes etapas del procedimiento de su competencia, protegiendo sus derechos en posible riesgo en tanto se dicta una resolución o sentencia. </w:t>
            </w:r>
          </w:p>
          <w:p w:rsidR="00470AD7" w:rsidRPr="006E437B" w:rsidRDefault="00470AD7" w:rsidP="00141629">
            <w:pPr>
              <w:pStyle w:val="Default"/>
              <w:jc w:val="both"/>
              <w:rPr>
                <w:rFonts w:ascii="Times New Roman" w:hAnsi="Times New Roman" w:cs="Times New Roman"/>
                <w:b/>
                <w:bCs/>
                <w:color w:val="auto"/>
                <w:szCs w:val="23"/>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II Bis. </w:t>
            </w:r>
            <w:r w:rsidRPr="006E437B">
              <w:rPr>
                <w:rFonts w:ascii="Times New Roman" w:hAnsi="Times New Roman" w:cs="Times New Roman"/>
                <w:color w:val="auto"/>
                <w:szCs w:val="23"/>
              </w:rPr>
              <w:t>Establecer las acciones necesarias para que, en el marco de las disposiciones Constitucionales y legales en la materia, niñas, niños y adolescentes tengan acceso a la justicia en el marco de la justicia adaptada a las infancias y adolescencias.</w:t>
            </w:r>
          </w:p>
          <w:p w:rsidR="00470AD7" w:rsidRPr="006E437B" w:rsidRDefault="00470AD7" w:rsidP="00141629">
            <w:pPr>
              <w:pStyle w:val="Default"/>
              <w:jc w:val="both"/>
              <w:rPr>
                <w:rFonts w:ascii="Times New Roman" w:hAnsi="Times New Roman" w:cs="Times New Roman"/>
                <w:b/>
                <w:bCs/>
                <w:color w:val="auto"/>
                <w:szCs w:val="23"/>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II Bis. … </w:t>
            </w:r>
          </w:p>
          <w:p w:rsidR="00470AD7" w:rsidRPr="006E437B" w:rsidRDefault="00470AD7" w:rsidP="00141629">
            <w:pPr>
              <w:pStyle w:val="Default"/>
              <w:jc w:val="both"/>
              <w:rPr>
                <w:rFonts w:ascii="Times New Roman" w:hAnsi="Times New Roman" w:cs="Times New Roman"/>
                <w:b/>
                <w:bCs/>
                <w:color w:val="auto"/>
                <w:szCs w:val="23"/>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85CDF">
        <w:trPr>
          <w:trHeight w:hRule="exact" w:val="708"/>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585CDF">
        <w:trPr>
          <w:trHeight w:hRule="exact" w:val="436"/>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III. </w:t>
            </w:r>
            <w:r w:rsidRPr="006E437B">
              <w:rPr>
                <w:rFonts w:ascii="Times New Roman" w:hAnsi="Times New Roman" w:cs="Times New Roman"/>
                <w:color w:val="auto"/>
                <w:szCs w:val="23"/>
              </w:rPr>
              <w:t xml:space="preserve">Proporcionar información clara, sencilla y comprensible para niñas, niños y adolescentes sobre el procedimiento judicial o administrativo de que se trate y la importancia de su participación en el mismo, incluyendo formatos accesibles, apoyos ordinarios o extraordinarios, atendiendo a su edad, nivel de madurez y discapacidad según sea el caso.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III. …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IV. </w:t>
            </w:r>
            <w:r w:rsidRPr="006E437B">
              <w:rPr>
                <w:rFonts w:ascii="Times New Roman" w:hAnsi="Times New Roman" w:cs="Times New Roman"/>
                <w:color w:val="auto"/>
                <w:szCs w:val="23"/>
              </w:rPr>
              <w:t xml:space="preserve">Implementar mecanismos de apoyo al presentar una denuncia, participar en una investigación o en un proceso judicial, proporcionar la asistencia de un traductor o intérprete o de profesionales especializados cuando la naturaleza del procedimiento lo requiera.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IV. …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V. </w:t>
            </w:r>
            <w:r w:rsidRPr="006E437B">
              <w:rPr>
                <w:rFonts w:ascii="Times New Roman" w:hAnsi="Times New Roman" w:cs="Times New Roman"/>
                <w:color w:val="auto"/>
                <w:szCs w:val="23"/>
              </w:rPr>
              <w:t>Garantizar el derecho de niñas, niños y adolescentes a ser representados de manera coadyuvante o en suplencia por las procuradurías de protección estatal o municipales, en los términos establecidos en la Ley General, esta Ley y en las demás disposiciones aplicables, así como recibir información sobre las medidas de protección disponibles.</w:t>
            </w:r>
          </w:p>
          <w:p w:rsidR="00470AD7" w:rsidRPr="006E437B" w:rsidRDefault="00470AD7" w:rsidP="00141629">
            <w:pPr>
              <w:pStyle w:val="Default"/>
              <w:jc w:val="both"/>
              <w:rPr>
                <w:rFonts w:ascii="Times New Roman" w:hAnsi="Times New Roman" w:cs="Times New Roman"/>
                <w:b/>
                <w:bCs/>
                <w:color w:val="auto"/>
                <w:szCs w:val="23"/>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V. … </w:t>
            </w:r>
          </w:p>
          <w:p w:rsidR="00470AD7" w:rsidRPr="006E437B" w:rsidRDefault="00470AD7" w:rsidP="00141629">
            <w:pPr>
              <w:pStyle w:val="Default"/>
              <w:jc w:val="both"/>
              <w:rPr>
                <w:rFonts w:ascii="Times New Roman" w:hAnsi="Times New Roman" w:cs="Times New Roman"/>
                <w:b/>
                <w:bCs/>
                <w:color w:val="auto"/>
                <w:szCs w:val="23"/>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85CDF">
        <w:trPr>
          <w:trHeight w:hRule="exact" w:val="791"/>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585CDF">
        <w:trPr>
          <w:trHeight w:hRule="exact" w:val="419"/>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VI. </w:t>
            </w:r>
            <w:r w:rsidRPr="006E437B">
              <w:rPr>
                <w:rFonts w:ascii="Times New Roman" w:hAnsi="Times New Roman" w:cs="Times New Roman"/>
                <w:color w:val="auto"/>
                <w:szCs w:val="23"/>
              </w:rPr>
              <w:t xml:space="preserve">Garantizar el acompañamiento de quien ejerza sobre ellos la patria potestad, tutela, guarda o custodia durante la sustanciación de todo el procedimiento, salvo disposición judicial en contrario.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VI. …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VII. </w:t>
            </w:r>
            <w:r w:rsidRPr="006E437B">
              <w:rPr>
                <w:rFonts w:ascii="Times New Roman" w:hAnsi="Times New Roman" w:cs="Times New Roman"/>
                <w:color w:val="auto"/>
                <w:szCs w:val="23"/>
              </w:rPr>
              <w:t xml:space="preserve">Garantizar el derecho de audiencia de niñas, niños y adolescentes en los procedimientos a los que sean sometidos, cuidando que las decisiones que se emitan sobre sus derechos estén construidas garantizando el pleno acceso a la impartición de justicia sin dañar o poner en riesgo su integridad y desarrollo; basando en los principios de participación, interés superior, dignidad y protección frente a la discriminación, debiendo tener en cuenta el nivel de madurez y entendimiento de la niña, el niño y adolescente, así como las circunstancias del caso.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szCs w:val="23"/>
              </w:rPr>
            </w:pPr>
            <w:r w:rsidRPr="006E437B">
              <w:rPr>
                <w:rFonts w:ascii="Times New Roman" w:hAnsi="Times New Roman" w:cs="Times New Roman"/>
                <w:b/>
                <w:bCs/>
                <w:color w:val="auto"/>
                <w:szCs w:val="23"/>
              </w:rPr>
              <w:t xml:space="preserve">VII. </w:t>
            </w:r>
            <w:r w:rsidRPr="006E437B">
              <w:rPr>
                <w:rFonts w:ascii="Times New Roman" w:hAnsi="Times New Roman" w:cs="Times New Roman"/>
                <w:color w:val="auto"/>
                <w:szCs w:val="23"/>
              </w:rPr>
              <w:t>Garantizar el derecho de audiencia de niñas, niños y adolescentes en los procedimientos a los que sean sometidos, cuidando que las decisiones que se emitan sobre sus derechos estén construidas garantizando el pleno acceso a la impartición de justicia sin dañar o poner en riesgo su integridad</w:t>
            </w:r>
            <w:r w:rsidRPr="006E437B">
              <w:rPr>
                <w:rFonts w:ascii="Times New Roman" w:hAnsi="Times New Roman" w:cs="Times New Roman"/>
                <w:b/>
                <w:bCs/>
                <w:color w:val="auto"/>
                <w:szCs w:val="23"/>
              </w:rPr>
              <w:t xml:space="preserve">, privacidad, intimidad o </w:t>
            </w:r>
            <w:r w:rsidRPr="006E437B">
              <w:rPr>
                <w:rFonts w:ascii="Times New Roman" w:hAnsi="Times New Roman" w:cs="Times New Roman"/>
                <w:color w:val="auto"/>
                <w:szCs w:val="23"/>
              </w:rPr>
              <w:t xml:space="preserve">desarrollo; basando en los principios de participación, interés superior, dignidad y protección frente a la discriminación, debiendo tener en cuenta el nivel de madurez y entendimiento de la niña, el niño y adolescente, así como las circunstancias del caso. </w:t>
            </w:r>
          </w:p>
          <w:p w:rsidR="00470AD7" w:rsidRPr="006E437B" w:rsidRDefault="00470AD7" w:rsidP="00141629">
            <w:pPr>
              <w:pStyle w:val="Default"/>
              <w:jc w:val="both"/>
              <w:rPr>
                <w:rFonts w:ascii="Times New Roman" w:eastAsia="Arial" w:hAnsi="Times New Roman" w:cs="Times New Roman"/>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585CDF">
        <w:trPr>
          <w:trHeight w:hRule="exact" w:val="700"/>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272D33">
        <w:trPr>
          <w:trHeight w:hRule="exact" w:val="414"/>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VIII. </w:t>
            </w:r>
            <w:r w:rsidRPr="006E437B">
              <w:rPr>
                <w:rFonts w:ascii="Times New Roman" w:hAnsi="Times New Roman" w:cs="Times New Roman"/>
                <w:color w:val="auto"/>
              </w:rPr>
              <w:t xml:space="preserve">Ponderar, antes de citar a una niña, niño o adolescente a alguna audiencia, la pertinencia de esta, considerando su edad, madurez, estado psicológico, así como cualquier otra condición específica que les revictimice y atente contra su dignidad; por lo que se deberá considerar hacer uso de la testimonial única y la prueba anticipada; así como, la adecuación del lenguaje al contexto de las infancias y el empleo de materiales de apoyo sustentado en métodos psicológicos y didácticos acordes con sus características cognitivas y emocionales.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VIII. </w:t>
            </w:r>
            <w:r w:rsidRPr="006E437B">
              <w:rPr>
                <w:rFonts w:ascii="Times New Roman" w:hAnsi="Times New Roman" w:cs="Times New Roman"/>
                <w:color w:val="auto"/>
              </w:rPr>
              <w:t>Ponderar, antes de citar a una niña, niño o adolescente a alguna audiencia, la pertinencia de esta, considerando su edad, madurez, estado psicológico</w:t>
            </w:r>
            <w:r w:rsidRPr="006E437B">
              <w:rPr>
                <w:rFonts w:ascii="Times New Roman" w:hAnsi="Times New Roman" w:cs="Times New Roman"/>
                <w:b/>
                <w:bCs/>
                <w:color w:val="auto"/>
              </w:rPr>
              <w:t xml:space="preserve">, experiencia de vida y entorno, </w:t>
            </w:r>
            <w:r w:rsidRPr="006E437B">
              <w:rPr>
                <w:rFonts w:ascii="Times New Roman" w:hAnsi="Times New Roman" w:cs="Times New Roman"/>
                <w:color w:val="auto"/>
              </w:rPr>
              <w:t xml:space="preserve">así como cualquier otra condición específica que les revictimice y atente contra su dignidad; por lo que se deberá considerar hacer uso de la testimonial única y la prueba anticipada; así como, la adecuación del lenguaje al contexto de las infancias y el empleo de materiales de apoyo sustentado en métodos psicológicos y didácticos acordes con sus características cognitivas y emocionales. </w:t>
            </w:r>
          </w:p>
          <w:p w:rsidR="00470AD7" w:rsidRPr="006E437B" w:rsidRDefault="00470AD7" w:rsidP="00141629">
            <w:pPr>
              <w:pStyle w:val="Sinespaciado"/>
              <w:jc w:val="both"/>
              <w:rPr>
                <w:rFonts w:ascii="Times New Roman" w:eastAsia="Arial" w:hAnsi="Times New Roman" w:cs="Times New Roman"/>
                <w:sz w:val="24"/>
                <w:szCs w:val="24"/>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En todo momento, se deberá mantener a niñas, niños o adolescentes apartados de los adultos que puedan influir negativamente en su comportamiento o estabilidad emocional, cuando así lo determine la autoridad competente, antes y durante la realización de la audiencia o comparecencia respectiva; así como recibir acompañamiento de especialistas en psicología, pedagogía y trabajo social.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272D33">
        <w:trPr>
          <w:trHeight w:hRule="exact" w:val="703"/>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272D33">
        <w:trPr>
          <w:trHeight w:hRule="exact" w:val="429"/>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VIII Bis. </w:t>
            </w:r>
            <w:r w:rsidRPr="006E437B">
              <w:rPr>
                <w:rFonts w:ascii="Times New Roman" w:hAnsi="Times New Roman" w:cs="Times New Roman"/>
                <w:color w:val="auto"/>
              </w:rPr>
              <w:t xml:space="preserve">Deberán habilitar salas de espera que propicien un ambiente tranquilo; así como adecuar salas de enjuiciamiento o de escucha; contar con material didáctico para que puedan expresarse o narrar lo ocurrido a través de otras herramientas diversas al lenguaje verbal; establecer mecanismos de videograbación o circuitos cerrados de televisión que permitan mantener sus testimonios u opiniones para evitar repeticiones de pruebas innecesarias.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VIII Bis. …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IX. </w:t>
            </w:r>
            <w:r w:rsidRPr="006E437B">
              <w:rPr>
                <w:rFonts w:ascii="Times New Roman" w:hAnsi="Times New Roman" w:cs="Times New Roman"/>
                <w:color w:val="auto"/>
              </w:rPr>
              <w:t xml:space="preserve">Destinar espacios lúdicos, de descanso y aseo para niñas, niños y adolescentes en los recintos en que se lleven a cabo procedimientos en que deban intervenir.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IX. …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 </w:t>
            </w:r>
            <w:r w:rsidRPr="006E437B">
              <w:rPr>
                <w:rFonts w:ascii="Times New Roman" w:hAnsi="Times New Roman" w:cs="Times New Roman"/>
                <w:color w:val="auto"/>
              </w:rPr>
              <w:t xml:space="preserve">Atendiendo al principio de celeridad procesal ajustarse al tiempo de participación máximo para la intervención de niñas, niños o adolescentes durante la sustanciación de los procedimientos. </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 … </w:t>
            </w:r>
          </w:p>
          <w:p w:rsidR="00470AD7" w:rsidRPr="006E437B" w:rsidRDefault="00470AD7" w:rsidP="00141629">
            <w:pPr>
              <w:pStyle w:val="Default"/>
              <w:jc w:val="both"/>
              <w:rPr>
                <w:rFonts w:ascii="Times New Roman" w:hAnsi="Times New Roman" w:cs="Times New Roman"/>
                <w:b/>
                <w:bCs/>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272D33">
        <w:trPr>
          <w:trHeight w:hRule="exact" w:val="719"/>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272D33">
        <w:trPr>
          <w:trHeight w:hRule="exact" w:val="433"/>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 </w:t>
            </w:r>
            <w:r w:rsidRPr="006E437B">
              <w:rPr>
                <w:rFonts w:ascii="Times New Roman" w:hAnsi="Times New Roman" w:cs="Times New Roman"/>
                <w:color w:val="auto"/>
              </w:rPr>
              <w:t xml:space="preserve">Implementar medidas para garantizar el resguardo de la intimidad y datos personales de niñas, niños y adolescentes.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 …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XII. </w:t>
            </w:r>
            <w:r w:rsidRPr="006E437B">
              <w:rPr>
                <w:rFonts w:ascii="Times New Roman" w:hAnsi="Times New Roman" w:cs="Times New Roman"/>
                <w:color w:val="auto"/>
              </w:rPr>
              <w:t xml:space="preserve">Dictar medidas de protección a favor de niñas, niños o adolescentes, cuando esté en riesgo su integridad física o emocional, procurando su interés superior.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XII. </w:t>
            </w:r>
            <w:r w:rsidRPr="006E437B">
              <w:rPr>
                <w:rFonts w:ascii="Times New Roman" w:hAnsi="Times New Roman" w:cs="Times New Roman"/>
                <w:color w:val="auto"/>
              </w:rPr>
              <w:t>Dictar medidas de protección a favor de niñas, niños o adolescentes, cuando esté en riesgo su integridad física integridad física</w:t>
            </w:r>
            <w:r w:rsidRPr="006E437B">
              <w:rPr>
                <w:rFonts w:ascii="Times New Roman" w:hAnsi="Times New Roman" w:cs="Times New Roman"/>
                <w:b/>
                <w:bCs/>
                <w:color w:val="auto"/>
              </w:rPr>
              <w:t xml:space="preserve">, psicológica, mental </w:t>
            </w:r>
            <w:r w:rsidRPr="006E437B">
              <w:rPr>
                <w:rFonts w:ascii="Times New Roman" w:hAnsi="Times New Roman" w:cs="Times New Roman"/>
                <w:color w:val="auto"/>
              </w:rPr>
              <w:t xml:space="preserve">o emocional, procurando su interés superior.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XIII. </w:t>
            </w:r>
            <w:r w:rsidRPr="006E437B">
              <w:rPr>
                <w:rFonts w:ascii="Times New Roman" w:hAnsi="Times New Roman" w:cs="Times New Roman"/>
                <w:color w:val="auto"/>
              </w:rPr>
              <w:t xml:space="preserve">Realizar de forma oficiosa y gratuita las pruebas psicológicas y de entorno social para garantizar la prevención y protección adecuada de niñas, niños y adolescentes víctimas de violencia. </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XIII. … </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73. </w:t>
            </w:r>
            <w:r w:rsidRPr="006E437B">
              <w:rPr>
                <w:rFonts w:ascii="Times New Roman" w:hAnsi="Times New Roman" w:cs="Times New Roman"/>
                <w:color w:val="auto"/>
              </w:rPr>
              <w:t xml:space="preserve">Atendiendo al interés superior de las niñas, niños y adolescentes, quienes ejercen la patria potestad, tutela o guarda y custodia, deberán: </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73. … </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 </w:t>
            </w:r>
            <w:r w:rsidRPr="006E437B">
              <w:rPr>
                <w:rFonts w:ascii="Times New Roman" w:hAnsi="Times New Roman" w:cs="Times New Roman"/>
                <w:color w:val="auto"/>
              </w:rPr>
              <w:t xml:space="preserve">a la </w:t>
            </w:r>
            <w:r w:rsidRPr="006E437B">
              <w:rPr>
                <w:rFonts w:ascii="Times New Roman" w:hAnsi="Times New Roman" w:cs="Times New Roman"/>
                <w:b/>
                <w:bCs/>
                <w:color w:val="auto"/>
              </w:rPr>
              <w:t xml:space="preserve">XVII. …. </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 </w:t>
            </w:r>
            <w:r w:rsidRPr="006E437B">
              <w:rPr>
                <w:rFonts w:ascii="Times New Roman" w:hAnsi="Times New Roman" w:cs="Times New Roman"/>
                <w:color w:val="auto"/>
              </w:rPr>
              <w:t xml:space="preserve">a la </w:t>
            </w:r>
            <w:r w:rsidRPr="006E437B">
              <w:rPr>
                <w:rFonts w:ascii="Times New Roman" w:hAnsi="Times New Roman" w:cs="Times New Roman"/>
                <w:b/>
                <w:bCs/>
                <w:color w:val="auto"/>
              </w:rPr>
              <w:t xml:space="preserve">XVII. …. </w:t>
            </w:r>
          </w:p>
          <w:p w:rsidR="00470AD7" w:rsidRPr="006E437B" w:rsidRDefault="00470AD7" w:rsidP="00141629">
            <w:pPr>
              <w:pStyle w:val="Default"/>
              <w:jc w:val="both"/>
              <w:rPr>
                <w:rFonts w:ascii="Times New Roman" w:hAnsi="Times New Roman" w:cs="Times New Roman"/>
                <w:b/>
                <w:bCs/>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XVIII. </w:t>
            </w:r>
            <w:r w:rsidRPr="006E437B">
              <w:rPr>
                <w:rFonts w:ascii="Times New Roman" w:hAnsi="Times New Roman" w:cs="Times New Roman"/>
                <w:color w:val="auto"/>
              </w:rPr>
              <w:t>Protegerlas y protegerlos de toda forma y tipo de violencia, castigo corporal o castigo humillante, maltrato, agresión, perjuicio, daño, abuso, venta, trata de personas, explotación o cualquier acto que atente contra su integridad física, psíquica y moral que menoscabe su desarrollo integral.</w:t>
            </w:r>
          </w:p>
          <w:p w:rsidR="00470AD7" w:rsidRPr="006E437B" w:rsidRDefault="00470AD7" w:rsidP="00141629">
            <w:pPr>
              <w:pStyle w:val="Default"/>
              <w:jc w:val="both"/>
              <w:rPr>
                <w:rFonts w:ascii="Times New Roman" w:hAnsi="Times New Roman" w:cs="Times New Roman"/>
                <w:b/>
                <w:bCs/>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XVIII. </w:t>
            </w:r>
            <w:r w:rsidRPr="006E437B">
              <w:rPr>
                <w:rFonts w:ascii="Times New Roman" w:hAnsi="Times New Roman" w:cs="Times New Roman"/>
                <w:color w:val="auto"/>
              </w:rPr>
              <w:t>Protegerlas y protegerlos de toda forma y tipo de violencia, castigo corporal o castigo humillante, maltrato, agresión, perjuicio, daño, abuso, venta, trata de personas, explotación o cualquier acto que atente contra su integridad física, psíquica y moral que menoscabe su desarrollo integral</w:t>
            </w:r>
            <w:r w:rsidRPr="006E437B">
              <w:rPr>
                <w:rFonts w:ascii="Times New Roman" w:hAnsi="Times New Roman" w:cs="Times New Roman"/>
                <w:b/>
                <w:bCs/>
                <w:color w:val="auto"/>
              </w:rPr>
              <w:t>; y</w:t>
            </w:r>
          </w:p>
          <w:p w:rsidR="00470AD7" w:rsidRPr="006E437B" w:rsidRDefault="00470AD7" w:rsidP="00141629">
            <w:pPr>
              <w:pStyle w:val="Default"/>
              <w:jc w:val="both"/>
              <w:rPr>
                <w:rFonts w:ascii="Times New Roman" w:hAnsi="Times New Roman" w:cs="Times New Roman"/>
                <w:b/>
                <w:bCs/>
                <w:color w:val="auto"/>
              </w:rPr>
            </w:pPr>
          </w:p>
        </w:tc>
      </w:tr>
    </w:tbl>
    <w:p w:rsidR="00470AD7" w:rsidRPr="006E437B" w:rsidRDefault="00470AD7" w:rsidP="00141629">
      <w:pPr>
        <w:pStyle w:val="Sinespaciado"/>
        <w:jc w:val="both"/>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470AD7" w:rsidRPr="006E437B" w:rsidTr="00272D33">
        <w:trPr>
          <w:trHeight w:hRule="exact" w:val="720"/>
          <w:jc w:val="center"/>
        </w:trPr>
        <w:tc>
          <w:tcPr>
            <w:tcW w:w="8829" w:type="dxa"/>
            <w:gridSpan w:val="2"/>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Ley de los Derechos de Niñas, Niños y Adolescentes del Estado de México</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Última reforma POGG: 20 de mayo de 2026</w:t>
            </w:r>
          </w:p>
        </w:tc>
      </w:tr>
      <w:tr w:rsidR="00470AD7" w:rsidRPr="006E437B" w:rsidTr="00272D33">
        <w:trPr>
          <w:trHeight w:hRule="exact" w:val="420"/>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vigente</w:t>
            </w:r>
            <w:r w:rsidRPr="006E437B">
              <w:rPr>
                <w:rFonts w:ascii="Times New Roman" w:eastAsia="Arial" w:hAnsi="Times New Roman" w:cs="Times New Roman"/>
                <w:b/>
                <w:sz w:val="24"/>
                <w:szCs w:val="24"/>
                <w:vertAlign w:val="superscript"/>
              </w:rPr>
              <w:t>64</w:t>
            </w:r>
          </w:p>
        </w:tc>
        <w:tc>
          <w:tcPr>
            <w:tcW w:w="4415" w:type="dxa"/>
            <w:tcBorders>
              <w:top w:val="single" w:sz="5" w:space="0" w:color="000000"/>
              <w:left w:val="single" w:sz="5" w:space="0" w:color="000000"/>
              <w:bottom w:val="single" w:sz="5" w:space="0" w:color="000000"/>
              <w:right w:val="single" w:sz="5" w:space="0" w:color="000000"/>
            </w:tcBorders>
            <w:shd w:val="clear" w:color="auto" w:fill="D9D9D9"/>
          </w:tcPr>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Texto que se propone</w:t>
            </w:r>
          </w:p>
        </w:tc>
      </w:tr>
      <w:tr w:rsidR="00470AD7" w:rsidRPr="006E437B" w:rsidTr="00470AD7">
        <w:trPr>
          <w:trHeight w:val="455"/>
          <w:jc w:val="center"/>
        </w:trPr>
        <w:tc>
          <w:tcPr>
            <w:tcW w:w="4414" w:type="dxa"/>
            <w:tcBorders>
              <w:top w:val="single" w:sz="5" w:space="0" w:color="000000"/>
              <w:left w:val="single" w:sz="5" w:space="0" w:color="000000"/>
              <w:right w:val="single" w:sz="5" w:space="0" w:color="000000"/>
            </w:tcBorders>
          </w:tcPr>
          <w:p w:rsidR="00470AD7" w:rsidRPr="006E437B" w:rsidRDefault="00470AD7" w:rsidP="00141629">
            <w:pPr>
              <w:pStyle w:val="Default"/>
              <w:jc w:val="center"/>
              <w:rPr>
                <w:rFonts w:ascii="Times New Roman" w:hAnsi="Times New Roman" w:cs="Times New Roman"/>
                <w:b/>
                <w:bCs/>
                <w:color w:val="auto"/>
              </w:rPr>
            </w:pPr>
          </w:p>
          <w:p w:rsidR="00470AD7" w:rsidRPr="006E437B" w:rsidRDefault="00470AD7" w:rsidP="00141629">
            <w:pPr>
              <w:pStyle w:val="Default"/>
              <w:jc w:val="center"/>
              <w:rPr>
                <w:rFonts w:ascii="Times New Roman" w:hAnsi="Times New Roman" w:cs="Times New Roman"/>
                <w:color w:val="auto"/>
              </w:rPr>
            </w:pPr>
            <w:r w:rsidRPr="006E437B">
              <w:rPr>
                <w:rFonts w:ascii="Times New Roman" w:hAnsi="Times New Roman" w:cs="Times New Roman"/>
                <w:b/>
                <w:bCs/>
                <w:color w:val="auto"/>
              </w:rPr>
              <w:t>SIN CORRELATIVO</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XIX. Garantizar a niñas, niños y adolescentes ambientes de respeto, igualdad y corresponsabilidad familiar en el hogar. </w:t>
            </w:r>
          </w:p>
          <w:p w:rsidR="00470AD7" w:rsidRPr="006E437B" w:rsidRDefault="00470AD7" w:rsidP="00141629">
            <w:pPr>
              <w:pStyle w:val="Default"/>
              <w:jc w:val="both"/>
              <w:rPr>
                <w:rFonts w:ascii="Times New Roman" w:eastAsia="Arial" w:hAnsi="Times New Roman" w:cs="Times New Roman"/>
                <w:color w:val="auto"/>
              </w:rPr>
            </w:pPr>
          </w:p>
        </w:tc>
      </w:tr>
      <w:tr w:rsidR="00470AD7" w:rsidRPr="006E437B" w:rsidTr="00470AD7">
        <w:trPr>
          <w:trHeight w:val="270"/>
          <w:jc w:val="center"/>
        </w:trPr>
        <w:tc>
          <w:tcPr>
            <w:tcW w:w="4414"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Las autoridades del Estado de México y sus municipios tienen el compromiso y el deber de respetar y garantizar a quienes ejercen la patria potestad, tutela o guarda y custodia, el goce y ejercicio efectivo de los derechos reconocidos en Constitución Federal y Estatal, esta Ley, los tratados internacionales y demás legislación aplicable. </w:t>
            </w:r>
          </w:p>
          <w:p w:rsidR="00470AD7" w:rsidRPr="006E437B" w:rsidRDefault="00470AD7" w:rsidP="00141629">
            <w:pPr>
              <w:pStyle w:val="Default"/>
              <w:jc w:val="both"/>
              <w:rPr>
                <w:rFonts w:ascii="Times New Roman" w:eastAsia="Arial" w:hAnsi="Times New Roman" w:cs="Times New Roman"/>
                <w:color w:val="auto"/>
              </w:rPr>
            </w:pPr>
          </w:p>
        </w:tc>
        <w:tc>
          <w:tcPr>
            <w:tcW w:w="4415" w:type="dxa"/>
            <w:tcBorders>
              <w:top w:val="single" w:sz="5" w:space="0" w:color="000000"/>
              <w:left w:val="single" w:sz="5" w:space="0" w:color="000000"/>
              <w:bottom w:val="single" w:sz="5" w:space="0" w:color="000000"/>
              <w:right w:val="single" w:sz="5" w:space="0" w:color="000000"/>
            </w:tcBorders>
          </w:tcPr>
          <w:p w:rsidR="00470AD7" w:rsidRPr="006E437B" w:rsidRDefault="00470AD7" w:rsidP="00141629">
            <w:pPr>
              <w:pStyle w:val="Default"/>
              <w:jc w:val="both"/>
              <w:rPr>
                <w:rFonts w:ascii="Times New Roman" w:eastAsia="Arial" w:hAnsi="Times New Roman" w:cs="Times New Roman"/>
                <w:color w:val="auto"/>
              </w:rPr>
            </w:pPr>
            <w:r w:rsidRPr="006E437B">
              <w:rPr>
                <w:rFonts w:ascii="Times New Roman" w:eastAsia="Arial" w:hAnsi="Times New Roman" w:cs="Times New Roman"/>
                <w:color w:val="auto"/>
              </w:rPr>
              <w:t>…</w:t>
            </w:r>
          </w:p>
        </w:tc>
      </w:tr>
    </w:tbl>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Es de advertirse que, </w:t>
      </w:r>
      <w:r w:rsidRPr="006E437B">
        <w:rPr>
          <w:rFonts w:ascii="Times New Roman" w:eastAsia="Arial" w:hAnsi="Times New Roman" w:cs="Times New Roman"/>
          <w:b/>
          <w:sz w:val="24"/>
          <w:szCs w:val="24"/>
        </w:rPr>
        <w:t>si bien en la actualidad el Código de Procedimientos Civiles del Estado de México aún tiene vigencia</w:t>
      </w:r>
      <w:r w:rsidRPr="006E437B">
        <w:rPr>
          <w:rFonts w:ascii="Times New Roman" w:eastAsia="Arial" w:hAnsi="Times New Roman" w:cs="Times New Roman"/>
          <w:sz w:val="24"/>
          <w:szCs w:val="24"/>
        </w:rPr>
        <w:t xml:space="preserve">, lo cierto es que acorde con la </w:t>
      </w:r>
      <w:r w:rsidRPr="006E437B">
        <w:rPr>
          <w:rFonts w:ascii="Times New Roman" w:eastAsia="Arial" w:hAnsi="Times New Roman" w:cs="Times New Roman"/>
          <w:i/>
          <w:sz w:val="24"/>
          <w:szCs w:val="24"/>
        </w:rPr>
        <w:t>Acción</w:t>
      </w:r>
      <w:r w:rsidRPr="006E437B">
        <w:rPr>
          <w:rFonts w:ascii="Times New Roman" w:eastAsia="Arial" w:hAnsi="Times New Roman" w:cs="Times New Roman"/>
          <w:i/>
          <w:sz w:val="24"/>
          <w:szCs w:val="24"/>
          <w:vertAlign w:val="superscript"/>
        </w:rPr>
        <w:t>65</w:t>
      </w:r>
      <w:r w:rsidRPr="006E437B">
        <w:rPr>
          <w:rFonts w:ascii="Times New Roman" w:eastAsia="Arial" w:hAnsi="Times New Roman" w:cs="Times New Roman"/>
          <w:i/>
          <w:sz w:val="24"/>
          <w:szCs w:val="24"/>
        </w:rPr>
        <w:t xml:space="preserve"> de Inconstitucionalidad 144/2017 </w:t>
      </w:r>
      <w:r w:rsidRPr="006E437B">
        <w:rPr>
          <w:rFonts w:ascii="Times New Roman" w:eastAsia="Arial" w:hAnsi="Times New Roman" w:cs="Times New Roman"/>
          <w:sz w:val="24"/>
          <w:szCs w:val="24"/>
        </w:rPr>
        <w:t xml:space="preserve">en correlación con la </w:t>
      </w:r>
      <w:r w:rsidRPr="006E437B">
        <w:rPr>
          <w:rFonts w:ascii="Times New Roman" w:eastAsia="Arial" w:hAnsi="Times New Roman" w:cs="Times New Roman"/>
          <w:i/>
          <w:sz w:val="24"/>
          <w:szCs w:val="24"/>
        </w:rPr>
        <w:t>Acción</w:t>
      </w:r>
      <w:r w:rsidRPr="006E437B">
        <w:rPr>
          <w:rFonts w:ascii="Times New Roman" w:eastAsia="Arial" w:hAnsi="Times New Roman" w:cs="Times New Roman"/>
          <w:i/>
          <w:sz w:val="24"/>
          <w:szCs w:val="24"/>
          <w:vertAlign w:val="superscript"/>
        </w:rPr>
        <w:t>66</w:t>
      </w:r>
      <w:r w:rsidRPr="006E437B">
        <w:rPr>
          <w:rFonts w:ascii="Times New Roman" w:eastAsia="Arial" w:hAnsi="Times New Roman" w:cs="Times New Roman"/>
          <w:i/>
          <w:sz w:val="24"/>
          <w:szCs w:val="24"/>
        </w:rPr>
        <w:t xml:space="preserve"> de Inconstitucionalidad 118/2021 </w:t>
      </w:r>
      <w:r w:rsidRPr="006E437B">
        <w:rPr>
          <w:rFonts w:ascii="Times New Roman" w:eastAsia="Arial" w:hAnsi="Times New Roman" w:cs="Times New Roman"/>
          <w:b/>
          <w:sz w:val="24"/>
          <w:szCs w:val="24"/>
        </w:rPr>
        <w:t xml:space="preserve">las entidades federativas están </w:t>
      </w:r>
      <w:r w:rsidRPr="006E437B">
        <w:rPr>
          <w:rFonts w:ascii="Times New Roman" w:eastAsia="Arial" w:hAnsi="Times New Roman" w:cs="Times New Roman"/>
          <w:b/>
          <w:sz w:val="24"/>
          <w:szCs w:val="24"/>
          <w:u w:val="thick" w:color="000000"/>
        </w:rPr>
        <w:t>impedidas para legislar en materia procesal civil y familiar</w:t>
      </w:r>
      <w:r w:rsidRPr="006E437B">
        <w:rPr>
          <w:rFonts w:ascii="Times New Roman" w:eastAsia="Arial" w:hAnsi="Times New Roman" w:cs="Times New Roman"/>
          <w:b/>
          <w:sz w:val="24"/>
          <w:szCs w:val="24"/>
        </w:rPr>
        <w:t xml:space="preserve"> y que </w:t>
      </w:r>
      <w:r w:rsidRPr="006E437B">
        <w:rPr>
          <w:rFonts w:ascii="Times New Roman" w:eastAsia="Arial" w:hAnsi="Times New Roman" w:cs="Times New Roman"/>
          <w:b/>
          <w:sz w:val="24"/>
          <w:szCs w:val="24"/>
          <w:u w:val="thick" w:color="000000"/>
        </w:rPr>
        <w:t>sólo podrán ejercer las facultades concurrentes que se les reconozcan en la</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thick" w:color="000000"/>
        </w:rPr>
        <w:t>legislación única que se expida</w:t>
      </w:r>
      <w:r w:rsidRPr="006E437B">
        <w:rPr>
          <w:rFonts w:ascii="Times New Roman" w:eastAsia="Arial" w:hAnsi="Times New Roman" w:cs="Times New Roman"/>
          <w:sz w:val="24"/>
          <w:szCs w:val="24"/>
        </w:rPr>
        <w:t xml:space="preserve">, lo cual nos acota a evitar realizar reformas de derecho adjetivo (procesal) en la materia civil y familiar. Tampoco podemos soslayar que </w:t>
      </w:r>
      <w:r w:rsidRPr="006E437B">
        <w:rPr>
          <w:rFonts w:ascii="Times New Roman" w:eastAsia="Arial" w:hAnsi="Times New Roman" w:cs="Times New Roman"/>
          <w:b/>
          <w:sz w:val="24"/>
          <w:szCs w:val="24"/>
        </w:rPr>
        <w:t>a partir del 1 de abril de 2027 entrara en vigor para todas las entidades federativas el Código Nacional de Procedimientos Civiles y Familiares</w:t>
      </w:r>
      <w:r w:rsidRPr="006E437B">
        <w:rPr>
          <w:rFonts w:ascii="Times New Roman" w:eastAsia="Arial" w:hAnsi="Times New Roman" w:cs="Times New Roman"/>
          <w:sz w:val="24"/>
          <w:szCs w:val="24"/>
        </w:rPr>
        <w:t xml:space="preserve">, de hecho el régimen transitorio por el que se expide el ordenamiento jurídico nacional ya referido determina que </w:t>
      </w:r>
      <w:r w:rsidRPr="006E437B">
        <w:rPr>
          <w:rFonts w:ascii="Times New Roman" w:eastAsia="Arial" w:hAnsi="Times New Roman" w:cs="Times New Roman"/>
          <w:b/>
          <w:i/>
          <w:sz w:val="24"/>
          <w:szCs w:val="24"/>
          <w:u w:val="thick" w:color="000000"/>
        </w:rPr>
        <w:t>los procedimientos civiles y</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familiares que a la entrada en vigor del Código Nacional de Procedimientos Civiles y</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Familiares se encuentren en trámite</w:t>
      </w:r>
      <w:r w:rsidRPr="006E437B">
        <w:rPr>
          <w:rFonts w:ascii="Times New Roman" w:eastAsia="Arial" w:hAnsi="Times New Roman" w:cs="Times New Roman"/>
          <w:i/>
          <w:sz w:val="24"/>
          <w:szCs w:val="24"/>
          <w:u w:val="thick" w:color="000000"/>
        </w:rPr>
        <w:t xml:space="preserve">, </w:t>
      </w:r>
      <w:r w:rsidRPr="006E437B">
        <w:rPr>
          <w:rFonts w:ascii="Times New Roman" w:eastAsia="Arial" w:hAnsi="Times New Roman" w:cs="Times New Roman"/>
          <w:b/>
          <w:i/>
          <w:sz w:val="24"/>
          <w:szCs w:val="24"/>
          <w:u w:val="thick" w:color="000000"/>
        </w:rPr>
        <w:t>continuarán su sustanciación de conformidad con la</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i/>
          <w:sz w:val="24"/>
          <w:szCs w:val="24"/>
          <w:u w:val="thick" w:color="000000"/>
        </w:rPr>
        <w:t>legislación aplicable en el momento del inicio de los mismos</w:t>
      </w:r>
      <w:r w:rsidRPr="006E437B">
        <w:rPr>
          <w:rFonts w:ascii="Times New Roman" w:eastAsia="Arial" w:hAnsi="Times New Roman" w:cs="Times New Roman"/>
          <w:b/>
          <w:i/>
          <w:sz w:val="24"/>
          <w:szCs w:val="24"/>
        </w:rPr>
        <w:t>, salvo que las partes conjuntamente opten por la regulación del Código Nacional</w:t>
      </w:r>
      <w:r w:rsidRPr="006E437B">
        <w:rPr>
          <w:rFonts w:ascii="Times New Roman" w:eastAsia="Arial" w:hAnsi="Times New Roman" w:cs="Times New Roman"/>
          <w:sz w:val="24"/>
          <w:szCs w:val="24"/>
        </w:rPr>
        <w:t xml:space="preserve">. Por lo que </w:t>
      </w:r>
      <w:r w:rsidRPr="006E437B">
        <w:rPr>
          <w:rFonts w:ascii="Times New Roman" w:eastAsia="Arial" w:hAnsi="Times New Roman" w:cs="Times New Roman"/>
          <w:b/>
          <w:sz w:val="24"/>
          <w:szCs w:val="24"/>
        </w:rPr>
        <w:t>la disposición jurídica del inciso a) de la fracción III del artículo 2.373 del Código de Procedimientos Civiles del Estado de México</w:t>
      </w:r>
      <w:r w:rsidRPr="006E437B">
        <w:rPr>
          <w:rFonts w:ascii="Times New Roman" w:eastAsia="Arial" w:hAnsi="Times New Roman" w:cs="Times New Roman"/>
          <w:sz w:val="24"/>
          <w:szCs w:val="24"/>
          <w:vertAlign w:val="superscript"/>
        </w:rPr>
        <w:t>67</w:t>
      </w:r>
      <w:r w:rsidRPr="006E437B">
        <w:rPr>
          <w:rFonts w:ascii="Times New Roman" w:eastAsia="Arial" w:hAnsi="Times New Roman" w:cs="Times New Roman"/>
          <w:sz w:val="24"/>
          <w:szCs w:val="24"/>
        </w:rPr>
        <w:t xml:space="preserve"> (última reforma POGG 14 de mayo de 2021) relativo a que “</w:t>
      </w:r>
      <w:r w:rsidRPr="006E437B">
        <w:rPr>
          <w:rFonts w:ascii="Times New Roman" w:eastAsia="Arial" w:hAnsi="Times New Roman" w:cs="Times New Roman"/>
          <w:i/>
          <w:sz w:val="24"/>
          <w:szCs w:val="24"/>
        </w:rPr>
        <w:t>la designación sobre la guarda y custodia de las niñas, los niños y los adolescentes o incapaces quedará preferentemente al cuidado de la madre y el domicilio donde vivirán”</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 xml:space="preserve">será subsanada con la entrada en vigor del Código Nacional de Procedimientos Civiles y Familiares, el cual prevé una legislación más imparcial y libre de estereotipos tradicionales en materia de guarda y custodia, así como también, en su caso, con las reformas que propone la presente Iniciativa con Proyecto de Decreto, </w:t>
      </w:r>
      <w:r w:rsidRPr="006E437B">
        <w:rPr>
          <w:rFonts w:ascii="Times New Roman" w:eastAsia="Arial" w:hAnsi="Times New Roman" w:cs="Times New Roman"/>
          <w:sz w:val="24"/>
          <w:szCs w:val="24"/>
        </w:rPr>
        <w:t xml:space="preserve">sin olvidar mencionar que por cuanto hace a determinados </w:t>
      </w:r>
      <w:r w:rsidRPr="006E437B">
        <w:rPr>
          <w:rFonts w:ascii="Times New Roman" w:eastAsia="Arial" w:hAnsi="Times New Roman" w:cs="Times New Roman"/>
          <w:b/>
          <w:sz w:val="24"/>
          <w:szCs w:val="24"/>
        </w:rPr>
        <w:t xml:space="preserve">procedimientos relacionados con niñas, niños y adolescentes ya se encuentran determinados de cierta manera en los artículos 5.1, 5.2 fracción I, 5.3 bis, 5.4 5.16, 5.35 y 5.44 </w:t>
      </w:r>
      <w:r w:rsidRPr="006E437B">
        <w:rPr>
          <w:rFonts w:ascii="Times New Roman" w:eastAsia="Arial" w:hAnsi="Times New Roman" w:cs="Times New Roman"/>
          <w:sz w:val="24"/>
          <w:szCs w:val="24"/>
        </w:rPr>
        <w:t>todos del ya referido Código de Procedimientos Civiles de la esfera estatal.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En el Grupo Parlamentario de morena, tenemos la convicción de que la salvaguarda de los derechos humanos de grupos vulnerables como lo son las infancias deben de ser valorados antes que cualquier interés personal o de nocivos estereotipos de género, en el tenor de que ninguna niña, niño o adolescente se encuentre atrapada o atrapado en</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arquetipos que afecten sus derechos humanos o su desarrollo integral, por lo que expresamos de manera contundente y responsable, debemos de ajustar aquella legislación que no está acorde a la realidad social, de manera responsable, sensible y sobre todo con atención prioritaria a grupos vulnerables.</w:t>
      </w:r>
    </w:p>
    <w:p w:rsidR="00470AD7" w:rsidRPr="006E437B" w:rsidRDefault="00470AD7" w:rsidP="00141629">
      <w:pPr>
        <w:pStyle w:val="Sinespaciado"/>
        <w:jc w:val="both"/>
        <w:rPr>
          <w:rFonts w:ascii="Times New Roman" w:hAnsi="Times New Roman" w:cs="Times New Roman"/>
          <w:sz w:val="24"/>
          <w:szCs w:val="24"/>
        </w:rPr>
      </w:pPr>
    </w:p>
    <w:p w:rsidR="00217035" w:rsidRPr="006E437B" w:rsidRDefault="00217035" w:rsidP="00217035">
      <w:pPr>
        <w:autoSpaceDE w:val="0"/>
        <w:autoSpaceDN w:val="0"/>
        <w:adjustRightInd w:val="0"/>
        <w:spacing w:after="0" w:line="240" w:lineRule="auto"/>
        <w:rPr>
          <w:rFonts w:ascii="Times New Roman" w:hAnsi="Times New Roman" w:cs="Times New Roman"/>
          <w:sz w:val="20"/>
          <w:szCs w:val="20"/>
        </w:rPr>
      </w:pPr>
      <w:r w:rsidRPr="006E437B">
        <w:rPr>
          <w:rFonts w:ascii="Times New Roman" w:hAnsi="Times New Roman" w:cs="Times New Roman"/>
          <w:sz w:val="20"/>
          <w:szCs w:val="20"/>
          <w:vertAlign w:val="superscript"/>
        </w:rPr>
        <w:t>65</w:t>
      </w:r>
      <w:r w:rsidRPr="006E437B">
        <w:rPr>
          <w:rFonts w:ascii="Times New Roman" w:hAnsi="Times New Roman" w:cs="Times New Roman"/>
          <w:sz w:val="20"/>
          <w:szCs w:val="20"/>
        </w:rPr>
        <w:t xml:space="preserve"> Disponible en: </w:t>
      </w:r>
    </w:p>
    <w:p w:rsidR="00217035" w:rsidRPr="006E437B" w:rsidRDefault="00217035" w:rsidP="00217035">
      <w:pPr>
        <w:autoSpaceDE w:val="0"/>
        <w:autoSpaceDN w:val="0"/>
        <w:adjustRightInd w:val="0"/>
        <w:spacing w:after="0" w:line="240" w:lineRule="auto"/>
        <w:rPr>
          <w:rFonts w:ascii="Times New Roman" w:hAnsi="Times New Roman" w:cs="Times New Roman"/>
          <w:sz w:val="20"/>
          <w:szCs w:val="20"/>
        </w:rPr>
      </w:pPr>
      <w:r w:rsidRPr="006E437B">
        <w:rPr>
          <w:rFonts w:ascii="Times New Roman" w:hAnsi="Times New Roman" w:cs="Times New Roman"/>
          <w:sz w:val="20"/>
          <w:szCs w:val="20"/>
        </w:rPr>
        <w:t xml:space="preserve">https://www2.scjn.gob.mx/juridica/engroses/3/2017/19/3_225499_4580_firmado.pdf </w:t>
      </w:r>
    </w:p>
    <w:p w:rsidR="00217035" w:rsidRPr="006E437B" w:rsidRDefault="00217035" w:rsidP="00217035">
      <w:pPr>
        <w:autoSpaceDE w:val="0"/>
        <w:autoSpaceDN w:val="0"/>
        <w:adjustRightInd w:val="0"/>
        <w:spacing w:after="0" w:line="240" w:lineRule="auto"/>
        <w:rPr>
          <w:rFonts w:ascii="Times New Roman" w:hAnsi="Times New Roman" w:cs="Times New Roman"/>
          <w:sz w:val="20"/>
          <w:szCs w:val="20"/>
        </w:rPr>
      </w:pPr>
      <w:r w:rsidRPr="006E437B">
        <w:rPr>
          <w:rFonts w:ascii="Times New Roman" w:hAnsi="Times New Roman" w:cs="Times New Roman"/>
          <w:sz w:val="20"/>
          <w:szCs w:val="20"/>
          <w:vertAlign w:val="superscript"/>
        </w:rPr>
        <w:t>66</w:t>
      </w:r>
      <w:r w:rsidRPr="006E437B">
        <w:rPr>
          <w:rFonts w:ascii="Times New Roman" w:hAnsi="Times New Roman" w:cs="Times New Roman"/>
          <w:sz w:val="20"/>
          <w:szCs w:val="20"/>
        </w:rPr>
        <w:t xml:space="preserve"> Disponible en: </w:t>
      </w:r>
    </w:p>
    <w:p w:rsidR="00217035" w:rsidRPr="006E437B" w:rsidRDefault="00217035" w:rsidP="00217035">
      <w:pPr>
        <w:autoSpaceDE w:val="0"/>
        <w:autoSpaceDN w:val="0"/>
        <w:adjustRightInd w:val="0"/>
        <w:spacing w:after="0" w:line="240" w:lineRule="auto"/>
        <w:rPr>
          <w:rFonts w:ascii="Times New Roman" w:hAnsi="Times New Roman" w:cs="Times New Roman"/>
          <w:sz w:val="20"/>
          <w:szCs w:val="20"/>
        </w:rPr>
      </w:pPr>
      <w:r w:rsidRPr="006E437B">
        <w:rPr>
          <w:rFonts w:ascii="Times New Roman" w:hAnsi="Times New Roman" w:cs="Times New Roman"/>
          <w:sz w:val="20"/>
          <w:szCs w:val="20"/>
        </w:rPr>
        <w:t xml:space="preserve">https://www2.scjn.gob.mx/juridica/engroses/3/2021/19/3_286421_6398_firmado.pdf </w:t>
      </w:r>
    </w:p>
    <w:p w:rsidR="00217035" w:rsidRPr="006E437B" w:rsidRDefault="00217035" w:rsidP="00217035">
      <w:pPr>
        <w:autoSpaceDE w:val="0"/>
        <w:autoSpaceDN w:val="0"/>
        <w:adjustRightInd w:val="0"/>
        <w:spacing w:after="0" w:line="240" w:lineRule="auto"/>
        <w:rPr>
          <w:rFonts w:ascii="Times New Roman" w:hAnsi="Times New Roman" w:cs="Times New Roman"/>
          <w:sz w:val="20"/>
          <w:szCs w:val="20"/>
        </w:rPr>
      </w:pPr>
      <w:r w:rsidRPr="006E437B">
        <w:rPr>
          <w:rFonts w:ascii="Times New Roman" w:hAnsi="Times New Roman" w:cs="Times New Roman"/>
          <w:sz w:val="20"/>
          <w:szCs w:val="20"/>
          <w:vertAlign w:val="superscript"/>
        </w:rPr>
        <w:t>67</w:t>
      </w:r>
      <w:r w:rsidRPr="006E437B">
        <w:rPr>
          <w:rFonts w:ascii="Times New Roman" w:hAnsi="Times New Roman" w:cs="Times New Roman"/>
          <w:sz w:val="20"/>
          <w:szCs w:val="20"/>
        </w:rPr>
        <w:t xml:space="preserve"> Disponible en: </w:t>
      </w:r>
    </w:p>
    <w:p w:rsidR="00217035" w:rsidRPr="006E437B" w:rsidRDefault="00217035" w:rsidP="00217035">
      <w:pPr>
        <w:pStyle w:val="Sinespaciado"/>
        <w:jc w:val="both"/>
        <w:rPr>
          <w:rFonts w:ascii="Times New Roman" w:hAnsi="Times New Roman" w:cs="Times New Roman"/>
          <w:sz w:val="20"/>
          <w:szCs w:val="20"/>
        </w:rPr>
      </w:pPr>
      <w:r w:rsidRPr="006E437B">
        <w:rPr>
          <w:rFonts w:ascii="Times New Roman" w:hAnsi="Times New Roman" w:cs="Times New Roman"/>
          <w:sz w:val="20"/>
          <w:szCs w:val="20"/>
        </w:rPr>
        <w:t xml:space="preserve">https://legislacion.edomex.gob.mx/sites/legislacion.edomex.gob.mx/files/files/pdf/cod/vig/codvig003.pdf </w:t>
      </w:r>
    </w:p>
    <w:p w:rsidR="00217035" w:rsidRPr="006E437B" w:rsidRDefault="00217035"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Por todo lo anteriormente expuesto, se somete a la más elevada consideración de esta Honorable Asamblea la presente Iniciativa con Proyecto de Decreto</w:t>
      </w:r>
      <w:r w:rsidRPr="006E437B">
        <w:rPr>
          <w:rFonts w:ascii="Times New Roman" w:eastAsia="Arial" w:hAnsi="Times New Roman" w:cs="Times New Roman"/>
          <w:b/>
          <w:sz w:val="24"/>
          <w:szCs w:val="24"/>
        </w:rPr>
        <w:t>, a efecto de que sea estudiada en los órganos técnicos correspondientes de esta Legislatura, se nutra de los aportes o adecuaciones correspondientes y en su momento sea aprobada en los mejores términos para el beneficio de las personas que pertenezcan a grupos sociales que se encuentren en situación de vulnerabilidad.</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A T E N T A M E N T 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center"/>
        <w:rPr>
          <w:rFonts w:ascii="Times New Roman" w:eastAsia="Arial" w:hAnsi="Times New Roman" w:cs="Times New Roman"/>
          <w:b/>
          <w:sz w:val="24"/>
          <w:szCs w:val="24"/>
        </w:rPr>
      </w:pPr>
      <w:r w:rsidRPr="006E437B">
        <w:rPr>
          <w:rFonts w:ascii="Times New Roman" w:eastAsia="Arial" w:hAnsi="Times New Roman" w:cs="Times New Roman"/>
          <w:b/>
          <w:sz w:val="24"/>
          <w:szCs w:val="24"/>
        </w:rPr>
        <w:t>DIPUTADA MARÍA DEL CARMEN DE LA ROSA MENDOZA</w:t>
      </w: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PRESENTANTE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PROYECTO DE DECRETO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DECRETO NÚMERO_</w:t>
      </w:r>
      <w:r w:rsidRPr="006E437B">
        <w:rPr>
          <w:rFonts w:ascii="Times New Roman" w:eastAsia="Arial" w:hAnsi="Times New Roman" w:cs="Times New Roman"/>
          <w:b/>
          <w:sz w:val="24"/>
          <w:szCs w:val="24"/>
          <w:u w:val="thick" w:color="000000"/>
        </w:rPr>
        <w:t xml:space="preserve"> </w:t>
      </w:r>
      <w:r w:rsidRPr="006E437B">
        <w:rPr>
          <w:rFonts w:ascii="Times New Roman" w:eastAsia="Arial" w:hAnsi="Times New Roman" w:cs="Times New Roman"/>
          <w:b/>
          <w:sz w:val="24"/>
          <w:szCs w:val="24"/>
          <w:u w:val="thick" w:color="000000"/>
        </w:rPr>
        <w:tab/>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EL H. CONGRESO DEL ESTADO LIBRE Y SOBERANO DE MÉXICO</w:t>
      </w:r>
    </w:p>
    <w:p w:rsidR="00470AD7" w:rsidRPr="006E437B" w:rsidRDefault="00470AD7"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i/>
          <w:sz w:val="24"/>
          <w:szCs w:val="24"/>
        </w:rPr>
        <w:t xml:space="preserve">“LXII” </w:t>
      </w:r>
      <w:r w:rsidRPr="006E437B">
        <w:rPr>
          <w:rFonts w:ascii="Times New Roman" w:eastAsia="Arial" w:hAnsi="Times New Roman" w:cs="Times New Roman"/>
          <w:b/>
          <w:sz w:val="24"/>
          <w:szCs w:val="24"/>
        </w:rPr>
        <w:t>LEGISLATURA</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DECRETA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PRIMERO: </w:t>
      </w:r>
      <w:r w:rsidRPr="006E437B">
        <w:rPr>
          <w:rFonts w:ascii="Times New Roman" w:eastAsia="Arial" w:hAnsi="Times New Roman" w:cs="Times New Roman"/>
          <w:sz w:val="24"/>
          <w:szCs w:val="24"/>
        </w:rPr>
        <w:t xml:space="preserve">Se </w:t>
      </w:r>
      <w:r w:rsidRPr="006E437B">
        <w:rPr>
          <w:rFonts w:ascii="Times New Roman" w:eastAsia="Arial" w:hAnsi="Times New Roman" w:cs="Times New Roman"/>
          <w:b/>
          <w:sz w:val="24"/>
          <w:szCs w:val="24"/>
        </w:rPr>
        <w:t xml:space="preserve">reforma </w:t>
      </w:r>
      <w:r w:rsidRPr="006E437B">
        <w:rPr>
          <w:rFonts w:ascii="Times New Roman" w:eastAsia="Arial" w:hAnsi="Times New Roman" w:cs="Times New Roman"/>
          <w:sz w:val="24"/>
          <w:szCs w:val="24"/>
        </w:rPr>
        <w:t>la fracción I, III y el último párrafo del artículo 4.95, la fracción III del artículo 4.102, el artículo 4.205, la fracción I y el inciso a) de la fracción II del artículo 4.228, todos del Código Civil del Estado de México, para quedar de la siguiente manera: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Medidas precautorias en el divorcio</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4.95.-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 xml:space="preserve">Separar a los cónyuges, tomando siempre en cuenta las circunstancias personales de cada uno y el interés superior de </w:t>
      </w:r>
      <w:r w:rsidRPr="006E437B">
        <w:rPr>
          <w:rFonts w:ascii="Times New Roman" w:eastAsia="Arial" w:hAnsi="Times New Roman" w:cs="Times New Roman"/>
          <w:b/>
          <w:sz w:val="24"/>
          <w:szCs w:val="24"/>
        </w:rPr>
        <w:t xml:space="preserve">la niñez </w:t>
      </w:r>
      <w:r w:rsidRPr="006E437B">
        <w:rPr>
          <w:rFonts w:ascii="Times New Roman" w:eastAsia="Arial" w:hAnsi="Times New Roman" w:cs="Times New Roman"/>
          <w:sz w:val="24"/>
          <w:szCs w:val="24"/>
        </w:rPr>
        <w:t>y de los sujetos a tutela;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III. </w:t>
      </w:r>
      <w:r w:rsidRPr="006E437B">
        <w:rPr>
          <w:rFonts w:ascii="Times New Roman" w:eastAsia="Arial" w:hAnsi="Times New Roman" w:cs="Times New Roman"/>
          <w:sz w:val="24"/>
          <w:szCs w:val="24"/>
        </w:rPr>
        <w:t xml:space="preserve">A falta de acuerdo entre los cónyuges, la guarda y custodia provisional de las y los hijos se decretará por </w:t>
      </w:r>
      <w:r w:rsidRPr="006E437B">
        <w:rPr>
          <w:rFonts w:ascii="Times New Roman" w:eastAsia="Arial" w:hAnsi="Times New Roman" w:cs="Times New Roman"/>
          <w:b/>
          <w:sz w:val="24"/>
          <w:szCs w:val="24"/>
        </w:rPr>
        <w:t>autoridad jurisdiccional, la cual deberá de cumplir de manera enunciativa más no limitativa con las siguientes disposiciones: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 Atender las circunstancias concretas del caso específico, las particularidades de la decisión en relación con los tipos de derechos que están en juego, los riesgos que asumirán las niñas, niños y adolescentes, las consecuencias de las decisiones a corto y largo plazo;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b) Valorar la disponibilidad y capacidad real de cuidado, estabilidad emocional, el derecho a la protección especial contra toda forma de sufrimiento, abuso o descuido, incluidos el físico, psicológico, mental y emocional, un entorno libre de violencia, el vínculo afectivo, el cumplimiento de obligaciones alimentarias, las condiciones del hogar, las redes de apoyo, los antecedentes de violencia familiar o violencia de género y demás elementos</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que conlleven al esclarecimiento de la verdad de los hechos controvertidos para resolver de la mejor manera los asuntos que involucren derechos de niñas, niños y adolescentes;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c) Garantizar las mejores condiciones para el desarrollo, cuidado y protección para las niñas, niños o adolescentes, si éstos quedan al cuidado de la madre, del padre, familiares o persona cuidadoras;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d) Realizar la ponderación para la valoración de las características individuales de las niñas, niños o adolescentes, como la edad, nivel de madurez, habilidades cognitivas, medio social y cultural, estado emocional, experiencia de vida y entorno;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e) Escuchar la opinión de niñas, niños y adolescentes, conforme a su edad, desarrollo evolutivo, cognoscitivo y madurez y atendiendo a la preservación del interés superior de la niñez y valorará la opinión o testimonio con perspectiva de infancia. De igual forma, se deberá de escuchar a ambos progenitores, familiares o persona cuidadoras, en función del interés superior de las niñas, niños y adolescentes y de los sujetos a tutela. La autoridad jurisdiccional actuará de la misma manera para determinar el régimen de convivencia;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f) Actuar más allá de la demanda que se le presenta cuando esto sea en aras del interés superior de la infancia;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g) Ordenar las disposiciones que determine oportunas para salvaguardar el interés superior de las niñas, niños y adolescentes.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IV.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V. </w:t>
      </w:r>
      <w:r w:rsidRPr="006E437B">
        <w:rPr>
          <w:rFonts w:ascii="Times New Roman" w:eastAsia="Arial" w:hAnsi="Times New Roman" w:cs="Times New Roman"/>
          <w:sz w:val="24"/>
          <w:szCs w:val="24"/>
        </w:rPr>
        <w:t>Las necesarias para que los cónyuges no se causen daños en su persona, en sus bienes, en los de la sociedad conyugal o en los bienes de los hijos</w:t>
      </w:r>
      <w:r w:rsidRPr="006E437B">
        <w:rPr>
          <w:rFonts w:ascii="Times New Roman" w:eastAsia="Arial" w:hAnsi="Times New Roman" w:cs="Times New Roman"/>
          <w:b/>
          <w:sz w:val="24"/>
          <w:szCs w:val="24"/>
        </w:rPr>
        <w:t>, así como también aquellas que resulten más beneficias para las niñas, niños y adolescentes.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El otorgamiento de la guarda y custodia de las niñas, los niños y los adolescentes o incapaces </w:t>
      </w:r>
      <w:r w:rsidRPr="006E437B">
        <w:rPr>
          <w:rFonts w:ascii="Times New Roman" w:eastAsia="Arial" w:hAnsi="Times New Roman" w:cs="Times New Roman"/>
          <w:b/>
          <w:sz w:val="24"/>
          <w:szCs w:val="24"/>
        </w:rPr>
        <w:t>se realizará libre de estereotipos, con perspectiva de género, igualdad sustantiva, con</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 xml:space="preserve">enfoque de derechos humanos como lo es la perspectiva de infancia y adolescencia, </w:t>
      </w:r>
      <w:r w:rsidRPr="006E437B">
        <w:rPr>
          <w:rFonts w:ascii="Times New Roman" w:eastAsia="Arial" w:hAnsi="Times New Roman" w:cs="Times New Roman"/>
          <w:sz w:val="24"/>
          <w:szCs w:val="24"/>
        </w:rPr>
        <w:t xml:space="preserve">atendiendo al interés superior de las niñas, niños y adolescentes, a menos que exista una causa justificada a criterio </w:t>
      </w:r>
      <w:r w:rsidRPr="006E437B">
        <w:rPr>
          <w:rFonts w:ascii="Times New Roman" w:eastAsia="Arial" w:hAnsi="Times New Roman" w:cs="Times New Roman"/>
          <w:b/>
          <w:sz w:val="24"/>
          <w:szCs w:val="24"/>
        </w:rPr>
        <w:t>de la autoridad jurisdiccional.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No </w:t>
      </w:r>
      <w:r w:rsidRPr="006E437B">
        <w:rPr>
          <w:rFonts w:ascii="Times New Roman" w:eastAsia="Arial" w:hAnsi="Times New Roman" w:cs="Times New Roman"/>
          <w:b/>
          <w:sz w:val="24"/>
          <w:szCs w:val="24"/>
        </w:rPr>
        <w:t xml:space="preserve">podrá considerarse como </w:t>
      </w:r>
      <w:r w:rsidRPr="006E437B">
        <w:rPr>
          <w:rFonts w:ascii="Times New Roman" w:eastAsia="Arial" w:hAnsi="Times New Roman" w:cs="Times New Roman"/>
          <w:sz w:val="24"/>
          <w:szCs w:val="24"/>
        </w:rPr>
        <w:t xml:space="preserve">obstáculo </w:t>
      </w:r>
      <w:r w:rsidRPr="006E437B">
        <w:rPr>
          <w:rFonts w:ascii="Times New Roman" w:eastAsia="Arial" w:hAnsi="Times New Roman" w:cs="Times New Roman"/>
          <w:b/>
          <w:sz w:val="24"/>
          <w:szCs w:val="24"/>
        </w:rPr>
        <w:t>para el otorgamiento de la guarda y custodia</w:t>
      </w:r>
      <w:r w:rsidRPr="006E437B">
        <w:rPr>
          <w:rFonts w:ascii="Times New Roman" w:eastAsia="Arial" w:hAnsi="Times New Roman" w:cs="Times New Roman"/>
          <w:sz w:val="24"/>
          <w:szCs w:val="24"/>
        </w:rPr>
        <w:t>, el hecho de que la madre</w:t>
      </w:r>
      <w:r w:rsidRPr="006E437B">
        <w:rPr>
          <w:rFonts w:ascii="Times New Roman" w:eastAsia="Arial" w:hAnsi="Times New Roman" w:cs="Times New Roman"/>
          <w:b/>
          <w:sz w:val="24"/>
          <w:szCs w:val="24"/>
        </w:rPr>
        <w:t xml:space="preserve">, padre, familiar o persona cuidadora por dedicarse al trabajo de cuidados en el hogar </w:t>
      </w:r>
      <w:r w:rsidRPr="006E437B">
        <w:rPr>
          <w:rFonts w:ascii="Times New Roman" w:eastAsia="Arial" w:hAnsi="Times New Roman" w:cs="Times New Roman"/>
          <w:sz w:val="24"/>
          <w:szCs w:val="24"/>
        </w:rPr>
        <w:t>carezca de recursos económicos.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Convenio en el divorcio voluntario</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4.102.-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 xml:space="preserve">a la </w:t>
      </w:r>
      <w:r w:rsidRPr="006E437B">
        <w:rPr>
          <w:rFonts w:ascii="Times New Roman" w:eastAsia="Arial" w:hAnsi="Times New Roman" w:cs="Times New Roman"/>
          <w:b/>
          <w:sz w:val="24"/>
          <w:szCs w:val="24"/>
        </w:rPr>
        <w:t>II.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III. </w:t>
      </w:r>
      <w:r w:rsidRPr="006E437B">
        <w:rPr>
          <w:rFonts w:ascii="Times New Roman" w:eastAsia="Arial" w:hAnsi="Times New Roman" w:cs="Times New Roman"/>
          <w:sz w:val="24"/>
          <w:szCs w:val="24"/>
        </w:rPr>
        <w:t xml:space="preserve">Si hubiere hijos, la mención de quien deba tener su guardia y custodia durante y después del procedimiento y el régimen de convivencia, </w:t>
      </w:r>
      <w:r w:rsidRPr="006E437B">
        <w:rPr>
          <w:rFonts w:ascii="Times New Roman" w:eastAsia="Arial" w:hAnsi="Times New Roman" w:cs="Times New Roman"/>
          <w:b/>
          <w:sz w:val="24"/>
          <w:szCs w:val="24"/>
        </w:rPr>
        <w:t xml:space="preserve">el cual deberá de realizarse libre de estereotipos, con perspectiva de género, igualdad sustantiva y perspectiva de infancia, expresado la capacidad real de cuidado, un entorno libre de violencia, la protección especial, contra toda forma de sufrimiento, abuso o descuido, incluidos el físico, psicológico, mental o emocional, así como también las redes de apoyo. </w:t>
      </w:r>
      <w:r w:rsidRPr="006E437B">
        <w:rPr>
          <w:rFonts w:ascii="Times New Roman" w:eastAsia="Arial" w:hAnsi="Times New Roman" w:cs="Times New Roman"/>
          <w:sz w:val="24"/>
          <w:szCs w:val="24"/>
        </w:rPr>
        <w:t xml:space="preserve">Siempre velarán por lograr un ambiente sano acorde a las necesidades de </w:t>
      </w:r>
      <w:r w:rsidRPr="006E437B">
        <w:rPr>
          <w:rFonts w:ascii="Times New Roman" w:eastAsia="Arial" w:hAnsi="Times New Roman" w:cs="Times New Roman"/>
          <w:b/>
          <w:sz w:val="24"/>
          <w:szCs w:val="24"/>
        </w:rPr>
        <w:t xml:space="preserve">las niñas, niños y adolescentes </w:t>
      </w:r>
      <w:r w:rsidRPr="006E437B">
        <w:rPr>
          <w:rFonts w:ascii="Times New Roman" w:eastAsia="Arial" w:hAnsi="Times New Roman" w:cs="Times New Roman"/>
          <w:sz w:val="24"/>
          <w:szCs w:val="24"/>
        </w:rPr>
        <w:t>evitando en todo momento generar sentimientos negativos, como odio, desprecio, rencor o rechazo hacia uno de los progenitores, de lo contrario serán sujetos a la suspensión o pérdida de la guarda y custodia;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IV</w:t>
      </w:r>
      <w:r w:rsidRPr="006E437B">
        <w:rPr>
          <w:rFonts w:ascii="Times New Roman" w:eastAsia="Arial" w:hAnsi="Times New Roman" w:cs="Times New Roman"/>
          <w:sz w:val="24"/>
          <w:szCs w:val="24"/>
        </w:rPr>
        <w:t xml:space="preserve">. a la </w:t>
      </w:r>
      <w:r w:rsidRPr="006E437B">
        <w:rPr>
          <w:rFonts w:ascii="Times New Roman" w:eastAsia="Arial" w:hAnsi="Times New Roman" w:cs="Times New Roman"/>
          <w:b/>
          <w:sz w:val="24"/>
          <w:szCs w:val="24"/>
        </w:rPr>
        <w:t>V.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La patria potestad en caso de separación de la pareja que la ejerce Artículo 4.205. </w:t>
      </w:r>
      <w:r w:rsidRPr="006E437B">
        <w:rPr>
          <w:rFonts w:ascii="Times New Roman" w:eastAsia="Arial" w:hAnsi="Times New Roman" w:cs="Times New Roman"/>
          <w:sz w:val="24"/>
          <w:szCs w:val="24"/>
        </w:rPr>
        <w:t xml:space="preserve">En caso de separación de quienes ejerzan la patria potestad y no exista acuerdo sobre la custodia, la </w:t>
      </w:r>
      <w:r w:rsidRPr="006E437B">
        <w:rPr>
          <w:rFonts w:ascii="Times New Roman" w:eastAsia="Arial" w:hAnsi="Times New Roman" w:cs="Times New Roman"/>
          <w:b/>
          <w:sz w:val="24"/>
          <w:szCs w:val="24"/>
        </w:rPr>
        <w:t xml:space="preserve">autoridad jurisdiccional </w:t>
      </w:r>
      <w:r w:rsidRPr="006E437B">
        <w:rPr>
          <w:rFonts w:ascii="Times New Roman" w:eastAsia="Arial" w:hAnsi="Times New Roman" w:cs="Times New Roman"/>
          <w:sz w:val="24"/>
          <w:szCs w:val="24"/>
        </w:rPr>
        <w:t xml:space="preserve">resolverá, </w:t>
      </w:r>
      <w:r w:rsidRPr="006E437B">
        <w:rPr>
          <w:rFonts w:ascii="Times New Roman" w:eastAsia="Arial" w:hAnsi="Times New Roman" w:cs="Times New Roman"/>
          <w:b/>
          <w:sz w:val="24"/>
          <w:szCs w:val="24"/>
        </w:rPr>
        <w:t xml:space="preserve">garantizando las mejores condiciones para el desarrollo, cuidado y protección de niñas, niños o adolescentes, si estas o estos quedan al cuidado de la madre, padre, o bien de manera excepcional a familiares o persona cuidadora, </w:t>
      </w:r>
      <w:r w:rsidRPr="006E437B">
        <w:rPr>
          <w:rFonts w:ascii="Times New Roman" w:eastAsia="Arial" w:hAnsi="Times New Roman" w:cs="Times New Roman"/>
          <w:sz w:val="24"/>
          <w:szCs w:val="24"/>
        </w:rPr>
        <w:t xml:space="preserve">atendiendo </w:t>
      </w:r>
      <w:r w:rsidRPr="006E437B">
        <w:rPr>
          <w:rFonts w:ascii="Times New Roman" w:eastAsia="Arial" w:hAnsi="Times New Roman" w:cs="Times New Roman"/>
          <w:b/>
          <w:sz w:val="24"/>
          <w:szCs w:val="24"/>
        </w:rPr>
        <w:t xml:space="preserve">y priorizando el </w:t>
      </w:r>
      <w:r w:rsidRPr="006E437B">
        <w:rPr>
          <w:rFonts w:ascii="Times New Roman" w:eastAsia="Arial" w:hAnsi="Times New Roman" w:cs="Times New Roman"/>
          <w:sz w:val="24"/>
          <w:szCs w:val="24"/>
        </w:rPr>
        <w:t>interés superior de las niñas, niños y adolescentes.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Guarda y custodia en la patria potestad</w:t>
      </w: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4.228.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 Los que ejerzan la patria potestad convendrán quién de ellos se hará cargo de la guarda y custodia de las hijas o hijos debiendo expresar con elementos probatorios la capacidad real de cuidado, un entorno libre de violencia, la protección especial, contra toda forma de sufrimiento, abuso o descuido, incluidos el físico, psicológico, mental o emocional, así como también las redes de apoyo;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 </w:t>
      </w:r>
      <w:r w:rsidRPr="006E437B">
        <w:rPr>
          <w:rFonts w:ascii="Times New Roman" w:eastAsia="Arial" w:hAnsi="Times New Roman" w:cs="Times New Roman"/>
          <w:sz w:val="24"/>
          <w:szCs w:val="24"/>
        </w:rPr>
        <w:t xml:space="preserve">El otorgamiento de la guarda y custodia </w:t>
      </w:r>
      <w:r w:rsidRPr="006E437B">
        <w:rPr>
          <w:rFonts w:ascii="Times New Roman" w:eastAsia="Arial" w:hAnsi="Times New Roman" w:cs="Times New Roman"/>
          <w:b/>
          <w:sz w:val="24"/>
          <w:szCs w:val="24"/>
        </w:rPr>
        <w:t xml:space="preserve">se realizará libre de estereotipos, con perspectiva de género, perspectiva de infancia e igualdad sustantiva, </w:t>
      </w:r>
      <w:r w:rsidRPr="006E437B">
        <w:rPr>
          <w:rFonts w:ascii="Times New Roman" w:eastAsia="Arial" w:hAnsi="Times New Roman" w:cs="Times New Roman"/>
          <w:sz w:val="24"/>
          <w:szCs w:val="24"/>
        </w:rPr>
        <w:t>atendiendo al interés superior de las niñas, niños y adolescentes.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Para el otorgamiento de la guarda y custodia de persona lactante la autoridad jurisdiccional que conozca el caso, atenderá las circunstancias concretas del caso específico, las particularidades de la decisión en relación con los tipos de derechos que están en juego, los riesgos, así como las consecuencias de las decisiones a corto y largo plazo.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b) </w:t>
      </w:r>
      <w:r w:rsidRPr="006E437B">
        <w:rPr>
          <w:rFonts w:ascii="Times New Roman" w:eastAsia="Arial" w:hAnsi="Times New Roman" w:cs="Times New Roman"/>
          <w:sz w:val="24"/>
          <w:szCs w:val="24"/>
        </w:rPr>
        <w:t xml:space="preserve">a la </w:t>
      </w:r>
      <w:r w:rsidRPr="006E437B">
        <w:rPr>
          <w:rFonts w:ascii="Times New Roman" w:eastAsia="Arial" w:hAnsi="Times New Roman" w:cs="Times New Roman"/>
          <w:b/>
          <w:sz w:val="24"/>
          <w:szCs w:val="24"/>
        </w:rPr>
        <w:t>c).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SEGUNDO: </w:t>
      </w:r>
      <w:r w:rsidRPr="006E437B">
        <w:rPr>
          <w:rFonts w:ascii="Times New Roman" w:eastAsia="Arial" w:hAnsi="Times New Roman" w:cs="Times New Roman"/>
          <w:sz w:val="24"/>
          <w:szCs w:val="24"/>
        </w:rPr>
        <w:t xml:space="preserve">Se </w:t>
      </w:r>
      <w:r w:rsidRPr="006E437B">
        <w:rPr>
          <w:rFonts w:ascii="Times New Roman" w:eastAsia="Arial" w:hAnsi="Times New Roman" w:cs="Times New Roman"/>
          <w:b/>
          <w:sz w:val="24"/>
          <w:szCs w:val="24"/>
        </w:rPr>
        <w:t xml:space="preserve">reforma </w:t>
      </w:r>
      <w:r w:rsidRPr="006E437B">
        <w:rPr>
          <w:rFonts w:ascii="Times New Roman" w:eastAsia="Arial" w:hAnsi="Times New Roman" w:cs="Times New Roman"/>
          <w:sz w:val="24"/>
          <w:szCs w:val="24"/>
        </w:rPr>
        <w:t xml:space="preserve">el primer párrafo del artículo 15, el primer párrafo del artículo 16, el primer párrafo del artículo 18, el primer y tercer párrafo del artículo 49, el primer, tercer y cuarto párrafo del artículo 52, la fracción I, III, VII, VIII y XII del artículo 58 y la fracción XVIII del artículo 73 y </w:t>
      </w:r>
      <w:r w:rsidRPr="006E437B">
        <w:rPr>
          <w:rFonts w:ascii="Times New Roman" w:eastAsia="Arial" w:hAnsi="Times New Roman" w:cs="Times New Roman"/>
          <w:b/>
          <w:sz w:val="24"/>
          <w:szCs w:val="24"/>
        </w:rPr>
        <w:t xml:space="preserve">se adiciona </w:t>
      </w:r>
      <w:r w:rsidRPr="006E437B">
        <w:rPr>
          <w:rFonts w:ascii="Times New Roman" w:eastAsia="Arial" w:hAnsi="Times New Roman" w:cs="Times New Roman"/>
          <w:sz w:val="24"/>
          <w:szCs w:val="24"/>
        </w:rPr>
        <w:t>la fracción I. Bis al artículo 58 y la fracción XIX al artículo 73, todos de la Ley de los Derechos de Niñas, Niños y Adolescentes del Estado de México, para quedar como sigue:</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15. </w:t>
      </w:r>
      <w:r w:rsidRPr="006E437B">
        <w:rPr>
          <w:rFonts w:ascii="Times New Roman" w:eastAsia="Arial" w:hAnsi="Times New Roman" w:cs="Times New Roman"/>
          <w:sz w:val="24"/>
          <w:szCs w:val="24"/>
        </w:rPr>
        <w:t xml:space="preserve">Niñas, niños y adolescentes tienen derecho a vivir en una familia. Siempre que sea posible deberán crecer bajo la responsabilidad y el cuidado </w:t>
      </w:r>
      <w:r w:rsidRPr="006E437B">
        <w:rPr>
          <w:rFonts w:ascii="Times New Roman" w:eastAsia="Arial" w:hAnsi="Times New Roman" w:cs="Times New Roman"/>
          <w:b/>
          <w:sz w:val="24"/>
          <w:szCs w:val="24"/>
        </w:rPr>
        <w:t xml:space="preserve">mutuo </w:t>
      </w:r>
      <w:r w:rsidRPr="006E437B">
        <w:rPr>
          <w:rFonts w:ascii="Times New Roman" w:eastAsia="Arial" w:hAnsi="Times New Roman" w:cs="Times New Roman"/>
          <w:sz w:val="24"/>
          <w:szCs w:val="24"/>
        </w:rPr>
        <w:t xml:space="preserve">de sus padres, </w:t>
      </w:r>
      <w:r w:rsidRPr="006E437B">
        <w:rPr>
          <w:rFonts w:ascii="Times New Roman" w:eastAsia="Arial" w:hAnsi="Times New Roman" w:cs="Times New Roman"/>
          <w:b/>
          <w:sz w:val="24"/>
          <w:szCs w:val="24"/>
        </w:rPr>
        <w:t xml:space="preserve">a </w:t>
      </w:r>
      <w:r w:rsidRPr="006E437B">
        <w:rPr>
          <w:rFonts w:ascii="Times New Roman" w:eastAsia="Arial" w:hAnsi="Times New Roman" w:cs="Times New Roman"/>
          <w:sz w:val="24"/>
          <w:szCs w:val="24"/>
        </w:rPr>
        <w:t>recibir una crianza positiva</w:t>
      </w:r>
      <w:r w:rsidRPr="006E437B">
        <w:rPr>
          <w:rFonts w:ascii="Times New Roman" w:eastAsia="Arial" w:hAnsi="Times New Roman" w:cs="Times New Roman"/>
          <w:b/>
          <w:sz w:val="24"/>
          <w:szCs w:val="24"/>
        </w:rPr>
        <w:t xml:space="preserve">, libre de estereotipos por razón de género, </w:t>
      </w:r>
      <w:r w:rsidRPr="006E437B">
        <w:rPr>
          <w:rFonts w:ascii="Times New Roman" w:eastAsia="Arial" w:hAnsi="Times New Roman" w:cs="Times New Roman"/>
          <w:sz w:val="24"/>
          <w:szCs w:val="24"/>
        </w:rPr>
        <w:t>en un ambiente de afecto y de seguridad física, moral, intelectual y material</w:t>
      </w:r>
      <w:r w:rsidRPr="006E437B">
        <w:rPr>
          <w:rFonts w:ascii="Times New Roman" w:eastAsia="Arial" w:hAnsi="Times New Roman" w:cs="Times New Roman"/>
          <w:b/>
          <w:sz w:val="24"/>
          <w:szCs w:val="24"/>
        </w:rPr>
        <w:t>, así como también en un entorno de respeto, igualdad y corresponsabilidad familiar.</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16. </w:t>
      </w:r>
      <w:r w:rsidRPr="006E437B">
        <w:rPr>
          <w:rFonts w:ascii="Times New Roman" w:eastAsia="Arial" w:hAnsi="Times New Roman" w:cs="Times New Roman"/>
          <w:sz w:val="24"/>
          <w:szCs w:val="24"/>
        </w:rPr>
        <w:t>Niñas, niños y adolescentes no podrán ser separados de sus padres o de quienes que ejerzan la patria potestad sobre ellos o de sus tutores, y en términos de las disposiciones aplicables de quienes ejercen la custodia, sino mediante orden de autoridad competente que así lo declare velando en todo momento por su integridad física</w:t>
      </w:r>
      <w:r w:rsidRPr="006E437B">
        <w:rPr>
          <w:rFonts w:ascii="Times New Roman" w:eastAsia="Arial" w:hAnsi="Times New Roman" w:cs="Times New Roman"/>
          <w:b/>
          <w:sz w:val="24"/>
          <w:szCs w:val="24"/>
        </w:rPr>
        <w:t xml:space="preserve">, psicológica, mental y emocional, así como también garantizar dentro del ámbito de sus atribuciones espacios y eternos libres de violencia, sufrimiento, abuso o descuidos. Las autoridades jurisdiccionales o administrativas deberán hacer efectiva la participación y </w:t>
      </w:r>
      <w:r w:rsidRPr="006E437B">
        <w:rPr>
          <w:rFonts w:ascii="Times New Roman" w:eastAsia="Arial" w:hAnsi="Times New Roman" w:cs="Times New Roman"/>
          <w:sz w:val="24"/>
          <w:szCs w:val="24"/>
        </w:rPr>
        <w:t>opinión de niñas, niños y adolescentes, conforme a su edad, desarrollo evolutivo, cognoscitivo y madurez</w:t>
      </w:r>
      <w:r w:rsidRPr="006E437B">
        <w:rPr>
          <w:rFonts w:ascii="Times New Roman" w:eastAsia="Arial" w:hAnsi="Times New Roman" w:cs="Times New Roman"/>
          <w:b/>
          <w:sz w:val="24"/>
          <w:szCs w:val="24"/>
        </w:rPr>
        <w:t xml:space="preserve">, valorando </w:t>
      </w:r>
      <w:r w:rsidRPr="006E437B">
        <w:rPr>
          <w:rFonts w:ascii="Times New Roman" w:eastAsia="Arial" w:hAnsi="Times New Roman" w:cs="Times New Roman"/>
          <w:sz w:val="24"/>
          <w:szCs w:val="24"/>
        </w:rPr>
        <w:t xml:space="preserve">y atendiendo a la preservación del interés superior de la niñez </w:t>
      </w:r>
      <w:r w:rsidRPr="006E437B">
        <w:rPr>
          <w:rFonts w:ascii="Times New Roman" w:eastAsia="Arial" w:hAnsi="Times New Roman" w:cs="Times New Roman"/>
          <w:b/>
          <w:sz w:val="24"/>
          <w:szCs w:val="24"/>
        </w:rPr>
        <w:t>conforme a las disposiciones jurídicas aplicables.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18. </w:t>
      </w:r>
      <w:r w:rsidRPr="006E437B">
        <w:rPr>
          <w:rFonts w:ascii="Times New Roman" w:eastAsia="Arial" w:hAnsi="Times New Roman" w:cs="Times New Roman"/>
          <w:sz w:val="24"/>
          <w:szCs w:val="24"/>
        </w:rPr>
        <w:t xml:space="preserve">En todas las medidas concernientes a niñas, niños y adolescentes que tomen los órganos jurisdiccionales, autoridades administrativas y órganos legislativos </w:t>
      </w:r>
      <w:r w:rsidRPr="006E437B">
        <w:rPr>
          <w:rFonts w:ascii="Times New Roman" w:eastAsia="Arial" w:hAnsi="Times New Roman" w:cs="Times New Roman"/>
          <w:b/>
          <w:sz w:val="24"/>
          <w:szCs w:val="24"/>
        </w:rPr>
        <w:t>se tendrá en cuenta su participación y opinión conforme a su edad, desarrollo evolutivo, cognoscitivo y madurez, valorando y atendiendo a la preservación del interés superior de la niñez.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49. </w:t>
      </w:r>
      <w:r w:rsidRPr="006E437B">
        <w:rPr>
          <w:rFonts w:ascii="Times New Roman" w:eastAsia="Arial" w:hAnsi="Times New Roman" w:cs="Times New Roman"/>
          <w:sz w:val="24"/>
          <w:szCs w:val="24"/>
        </w:rPr>
        <w:t xml:space="preserve">Niñas, niños y adolescentes tienen derecho, de manera individual y colectiva, </w:t>
      </w:r>
      <w:r w:rsidRPr="006E437B">
        <w:rPr>
          <w:rFonts w:ascii="Times New Roman" w:eastAsia="Arial" w:hAnsi="Times New Roman" w:cs="Times New Roman"/>
          <w:b/>
          <w:sz w:val="24"/>
          <w:szCs w:val="24"/>
        </w:rPr>
        <w:t xml:space="preserve">a participar y ser escuchadas o </w:t>
      </w:r>
      <w:r w:rsidRPr="006E437B">
        <w:rPr>
          <w:rFonts w:ascii="Times New Roman" w:eastAsia="Arial" w:hAnsi="Times New Roman" w:cs="Times New Roman"/>
          <w:sz w:val="24"/>
          <w:szCs w:val="24"/>
        </w:rPr>
        <w:t>escuchados en todo procedimiento judicial o administrativo que les afecte, ya sea directamente o por medio de representante u órgano apropiado de acuerdo con las disposiciones jurídicas aplicables.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Se garantiza el ejercicio de este derecho, especialmente en todo procedimiento que conduzca a una decisión que afecte sus derechos, garantías e intereses, de acuerdo con su edad, desarrollo evolutivo, cognoscitivo</w:t>
      </w:r>
      <w:r w:rsidRPr="006E437B">
        <w:rPr>
          <w:rFonts w:ascii="Times New Roman" w:eastAsia="Arial" w:hAnsi="Times New Roman" w:cs="Times New Roman"/>
          <w:b/>
          <w:sz w:val="24"/>
          <w:szCs w:val="24"/>
        </w:rPr>
        <w:t xml:space="preserve">, madurez, estado emocional, experiencia de vida y entorno, </w:t>
      </w:r>
      <w:r w:rsidRPr="006E437B">
        <w:rPr>
          <w:rFonts w:ascii="Times New Roman" w:eastAsia="Arial" w:hAnsi="Times New Roman" w:cs="Times New Roman"/>
          <w:sz w:val="24"/>
          <w:szCs w:val="24"/>
        </w:rPr>
        <w:t>atendiendo el interés superior de la niñez.</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Artículo 52. </w:t>
      </w:r>
      <w:r w:rsidRPr="006E437B">
        <w:rPr>
          <w:rFonts w:ascii="Times New Roman" w:eastAsia="Arial" w:hAnsi="Times New Roman" w:cs="Times New Roman"/>
          <w:sz w:val="24"/>
          <w:szCs w:val="24"/>
        </w:rPr>
        <w:t>Niñas, niños y adolescentes tienen derecho a participar libre y activamente en la vida familiar, social, escolar, científica, cultural, deportiva y recreativa, conforme a su edad, desarrollo evolutivo, cognoscitivo</w:t>
      </w:r>
      <w:r w:rsidRPr="006E437B">
        <w:rPr>
          <w:rFonts w:ascii="Times New Roman" w:eastAsia="Arial" w:hAnsi="Times New Roman" w:cs="Times New Roman"/>
          <w:b/>
          <w:sz w:val="24"/>
          <w:szCs w:val="24"/>
        </w:rPr>
        <w:t>, madurez, estado emocional, experiencia de vida y entorno.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Las autoridades estatales y municipales fomentarán la participación de niñas, niños y adolescentes en foros municipales y estatales y la creación de espacios de participación a fin de que puedan opinar, analizar, y en general, puedan expresar su punto de vista y propuestas, de forma individual o colectiva, en aquellos ámbitos que no vulneren su integridad física</w:t>
      </w:r>
      <w:r w:rsidRPr="006E437B">
        <w:rPr>
          <w:rFonts w:ascii="Times New Roman" w:eastAsia="Arial" w:hAnsi="Times New Roman" w:cs="Times New Roman"/>
          <w:b/>
          <w:sz w:val="24"/>
          <w:szCs w:val="24"/>
        </w:rPr>
        <w:t>, psicológica, mental o emocional.</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Es responsabilidad del Estado, de la sociedad civil y de las instituciones públicas y privadas, diseñar los mecanismos que den un peso específico a la </w:t>
      </w:r>
      <w:r w:rsidRPr="006E437B">
        <w:rPr>
          <w:rFonts w:ascii="Times New Roman" w:eastAsia="Arial" w:hAnsi="Times New Roman" w:cs="Times New Roman"/>
          <w:b/>
          <w:sz w:val="24"/>
          <w:szCs w:val="24"/>
        </w:rPr>
        <w:t xml:space="preserve">participación y </w:t>
      </w:r>
      <w:r w:rsidRPr="006E437B">
        <w:rPr>
          <w:rFonts w:ascii="Times New Roman" w:eastAsia="Arial" w:hAnsi="Times New Roman" w:cs="Times New Roman"/>
          <w:sz w:val="24"/>
          <w:szCs w:val="24"/>
        </w:rPr>
        <w:t>opinión de niñas, niños y adolescentes, en todos los aspectos que determinen su vida y su desarrollo, sin menoscabo del deber de cuidado y orientación de quienes ejercen la patria potestad, tutela o custodia.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58.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 xml:space="preserve">Garantizar la protección y prevalencia del interés superior de la niñez </w:t>
      </w:r>
      <w:r w:rsidRPr="006E437B">
        <w:rPr>
          <w:rFonts w:ascii="Times New Roman" w:eastAsia="Arial" w:hAnsi="Times New Roman" w:cs="Times New Roman"/>
          <w:b/>
          <w:sz w:val="24"/>
          <w:szCs w:val="24"/>
        </w:rPr>
        <w:t>de manera trasversal y con enfoque de interseccionalidad.</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I. Bis. Allegarse de los elementos necesarios para poder deliberar respecto a un determinado asunto, evaluando las consecuencias de sus decisiones en razón de sus atribuciones.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II. </w:t>
      </w:r>
      <w:r w:rsidRPr="006E437B">
        <w:rPr>
          <w:rFonts w:ascii="Times New Roman" w:eastAsia="Arial" w:hAnsi="Times New Roman" w:cs="Times New Roman"/>
          <w:sz w:val="24"/>
          <w:szCs w:val="24"/>
        </w:rPr>
        <w:t xml:space="preserve">Garantizar el ejercicio de los derechos de niñas, niños y adolescentes </w:t>
      </w:r>
      <w:r w:rsidRPr="006E437B">
        <w:rPr>
          <w:rFonts w:ascii="Times New Roman" w:eastAsia="Arial" w:hAnsi="Times New Roman" w:cs="Times New Roman"/>
          <w:b/>
          <w:sz w:val="24"/>
          <w:szCs w:val="24"/>
        </w:rPr>
        <w:t>en las diferentes etapas del procedimiento de su competencia, protegiendo sus derechos en posible riesgo en tanto se dicta una resolución o sentencia.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II Bis. </w:t>
      </w:r>
      <w:r w:rsidRPr="006E437B">
        <w:rPr>
          <w:rFonts w:ascii="Times New Roman" w:eastAsia="Arial" w:hAnsi="Times New Roman" w:cs="Times New Roman"/>
          <w:sz w:val="24"/>
          <w:szCs w:val="24"/>
        </w:rPr>
        <w:t xml:space="preserve">a la </w:t>
      </w:r>
      <w:r w:rsidRPr="006E437B">
        <w:rPr>
          <w:rFonts w:ascii="Times New Roman" w:eastAsia="Arial" w:hAnsi="Times New Roman" w:cs="Times New Roman"/>
          <w:b/>
          <w:sz w:val="24"/>
          <w:szCs w:val="24"/>
        </w:rPr>
        <w:t>VI.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VII. </w:t>
      </w:r>
      <w:r w:rsidRPr="006E437B">
        <w:rPr>
          <w:rFonts w:ascii="Times New Roman" w:eastAsia="Arial" w:hAnsi="Times New Roman" w:cs="Times New Roman"/>
          <w:sz w:val="24"/>
          <w:szCs w:val="24"/>
        </w:rPr>
        <w:t>Garantizar el derecho de audiencia de niñas, niños y adolescentes en los procedimientos a los que sean sometidos, cuidando que las decisiones que se emitan sobre sus derechos estén construidas garantizando el pleno acceso a la impartición de justicia sin dañar o poner en riesgo su integridad</w:t>
      </w:r>
      <w:r w:rsidRPr="006E437B">
        <w:rPr>
          <w:rFonts w:ascii="Times New Roman" w:eastAsia="Arial" w:hAnsi="Times New Roman" w:cs="Times New Roman"/>
          <w:b/>
          <w:sz w:val="24"/>
          <w:szCs w:val="24"/>
        </w:rPr>
        <w:t xml:space="preserve">, privacidad, intimidad o </w:t>
      </w:r>
      <w:r w:rsidRPr="006E437B">
        <w:rPr>
          <w:rFonts w:ascii="Times New Roman" w:eastAsia="Arial" w:hAnsi="Times New Roman" w:cs="Times New Roman"/>
          <w:sz w:val="24"/>
          <w:szCs w:val="24"/>
        </w:rPr>
        <w:t>desarrollo; basando en los principios de participación, interés superior, dignidad y protección frente a la discriminación, debiendo tener en cuenta el nivel de madurez y entendimiento de la niña, el niño y adolescente, así como las circunstancias del caso.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VIII. </w:t>
      </w:r>
      <w:r w:rsidRPr="006E437B">
        <w:rPr>
          <w:rFonts w:ascii="Times New Roman" w:eastAsia="Arial" w:hAnsi="Times New Roman" w:cs="Times New Roman"/>
          <w:sz w:val="24"/>
          <w:szCs w:val="24"/>
        </w:rPr>
        <w:t>Ponderar, antes de citar a una niña, niño o adolescente a alguna audiencia, la pertinencia de esta, considerando su edad, madurez, estado psicológico</w:t>
      </w:r>
      <w:r w:rsidRPr="006E437B">
        <w:rPr>
          <w:rFonts w:ascii="Times New Roman" w:eastAsia="Arial" w:hAnsi="Times New Roman" w:cs="Times New Roman"/>
          <w:b/>
          <w:sz w:val="24"/>
          <w:szCs w:val="24"/>
        </w:rPr>
        <w:t xml:space="preserve">, experiencia de vida y entorno, </w:t>
      </w:r>
      <w:r w:rsidRPr="006E437B">
        <w:rPr>
          <w:rFonts w:ascii="Times New Roman" w:eastAsia="Arial" w:hAnsi="Times New Roman" w:cs="Times New Roman"/>
          <w:sz w:val="24"/>
          <w:szCs w:val="24"/>
        </w:rPr>
        <w:t>así como cualquier otra condición específica que les revictimice y atente contra su dignidad; por lo que se deberá considerar hacer uso de la testimonial única y la prueba anticipada; así como, la adecuación del lenguaje al contexto de las infancias y el empleo de materiales de apoyo sustentado en métodos psicológicos y didácticos acordes con sus características cognitivas y emocionales.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VIII Bis. </w:t>
      </w:r>
      <w:r w:rsidRPr="006E437B">
        <w:rPr>
          <w:rFonts w:ascii="Times New Roman" w:eastAsia="Arial" w:hAnsi="Times New Roman" w:cs="Times New Roman"/>
          <w:sz w:val="24"/>
          <w:szCs w:val="24"/>
        </w:rPr>
        <w:t xml:space="preserve">a la </w:t>
      </w:r>
      <w:r w:rsidRPr="006E437B">
        <w:rPr>
          <w:rFonts w:ascii="Times New Roman" w:eastAsia="Arial" w:hAnsi="Times New Roman" w:cs="Times New Roman"/>
          <w:b/>
          <w:sz w:val="24"/>
          <w:szCs w:val="24"/>
        </w:rPr>
        <w:t>XI.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XII. </w:t>
      </w:r>
      <w:r w:rsidRPr="006E437B">
        <w:rPr>
          <w:rFonts w:ascii="Times New Roman" w:eastAsia="Arial" w:hAnsi="Times New Roman" w:cs="Times New Roman"/>
          <w:sz w:val="24"/>
          <w:szCs w:val="24"/>
        </w:rPr>
        <w:t>Dictar medidas de protección a favor de niñas, niños o adolescentes, cuando esté en riesgo su integridad física integridad física</w:t>
      </w:r>
      <w:r w:rsidRPr="006E437B">
        <w:rPr>
          <w:rFonts w:ascii="Times New Roman" w:eastAsia="Arial" w:hAnsi="Times New Roman" w:cs="Times New Roman"/>
          <w:b/>
          <w:sz w:val="24"/>
          <w:szCs w:val="24"/>
        </w:rPr>
        <w:t xml:space="preserve">, psicológica, mental </w:t>
      </w:r>
      <w:r w:rsidRPr="006E437B">
        <w:rPr>
          <w:rFonts w:ascii="Times New Roman" w:eastAsia="Arial" w:hAnsi="Times New Roman" w:cs="Times New Roman"/>
          <w:sz w:val="24"/>
          <w:szCs w:val="24"/>
        </w:rPr>
        <w:t>o emocional, procurando su interés superior.</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XIII.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73.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I. </w:t>
      </w:r>
      <w:r w:rsidRPr="006E437B">
        <w:rPr>
          <w:rFonts w:ascii="Times New Roman" w:eastAsia="Arial" w:hAnsi="Times New Roman" w:cs="Times New Roman"/>
          <w:sz w:val="24"/>
          <w:szCs w:val="24"/>
        </w:rPr>
        <w:t xml:space="preserve">a la </w:t>
      </w:r>
      <w:r w:rsidRPr="006E437B">
        <w:rPr>
          <w:rFonts w:ascii="Times New Roman" w:eastAsia="Arial" w:hAnsi="Times New Roman" w:cs="Times New Roman"/>
          <w:b/>
          <w:sz w:val="24"/>
          <w:szCs w:val="24"/>
        </w:rPr>
        <w:t>XVII. ….</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XVIII. </w:t>
      </w:r>
      <w:r w:rsidRPr="006E437B">
        <w:rPr>
          <w:rFonts w:ascii="Times New Roman" w:eastAsia="Arial" w:hAnsi="Times New Roman" w:cs="Times New Roman"/>
          <w:sz w:val="24"/>
          <w:szCs w:val="24"/>
        </w:rPr>
        <w:t>Protegerlas y protegerlos de toda forma y tipo de violencia, castigo corporal o castigo humillante, maltrato, agresión, perjuicio, daño, abuso, venta, trata de personas, explotación o cualquier acto que atente contra su integridad física, psíquica y moral que menoscabe su desarrollo integral</w:t>
      </w:r>
      <w:r w:rsidRPr="006E437B">
        <w:rPr>
          <w:rFonts w:ascii="Times New Roman" w:eastAsia="Arial" w:hAnsi="Times New Roman" w:cs="Times New Roman"/>
          <w:b/>
          <w:sz w:val="24"/>
          <w:szCs w:val="24"/>
        </w:rPr>
        <w:t>; y</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XIX. Garantizar a niñas, niños y adolescentes ambientes de respeto, igualdad y corresponsabilidad familiar en el hogar.</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center"/>
        <w:rPr>
          <w:rFonts w:ascii="Times New Roman" w:eastAsia="Arial" w:hAnsi="Times New Roman" w:cs="Times New Roman"/>
          <w:sz w:val="24"/>
          <w:szCs w:val="24"/>
        </w:rPr>
      </w:pPr>
      <w:r w:rsidRPr="006E437B">
        <w:rPr>
          <w:rFonts w:ascii="Times New Roman" w:eastAsia="Arial" w:hAnsi="Times New Roman" w:cs="Times New Roman"/>
          <w:b/>
          <w:sz w:val="24"/>
          <w:szCs w:val="24"/>
        </w:rPr>
        <w:t>TRANSITORIOS</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PRIMERO. </w:t>
      </w:r>
      <w:r w:rsidRPr="006E437B">
        <w:rPr>
          <w:rFonts w:ascii="Times New Roman" w:eastAsia="Arial" w:hAnsi="Times New Roman" w:cs="Times New Roman"/>
          <w:sz w:val="24"/>
          <w:szCs w:val="24"/>
        </w:rPr>
        <w:t xml:space="preserve">Publíquese este Decreto en el Periódico Oficial </w:t>
      </w:r>
      <w:r w:rsidRPr="006E437B">
        <w:rPr>
          <w:rFonts w:ascii="Times New Roman" w:eastAsia="Arial" w:hAnsi="Times New Roman" w:cs="Times New Roman"/>
          <w:i/>
          <w:sz w:val="24"/>
          <w:szCs w:val="24"/>
        </w:rPr>
        <w:t>“Gaceta del Gobierno”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SEGUNDO. </w:t>
      </w:r>
      <w:r w:rsidRPr="006E437B">
        <w:rPr>
          <w:rFonts w:ascii="Times New Roman" w:eastAsia="Arial" w:hAnsi="Times New Roman" w:cs="Times New Roman"/>
          <w:sz w:val="24"/>
          <w:szCs w:val="24"/>
        </w:rPr>
        <w:t xml:space="preserve">Este Decreto entrará en vigor al día siguiente de su publicación en el Periódico Oficial </w:t>
      </w:r>
      <w:r w:rsidRPr="006E437B">
        <w:rPr>
          <w:rFonts w:ascii="Times New Roman" w:eastAsia="Arial" w:hAnsi="Times New Roman" w:cs="Times New Roman"/>
          <w:i/>
          <w:sz w:val="24"/>
          <w:szCs w:val="24"/>
        </w:rPr>
        <w:t>“Gaceta del Gobierno”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 xml:space="preserve">TERCERO. </w:t>
      </w:r>
      <w:r w:rsidRPr="006E437B">
        <w:rPr>
          <w:rFonts w:ascii="Times New Roman" w:eastAsia="Arial" w:hAnsi="Times New Roman" w:cs="Times New Roman"/>
          <w:sz w:val="24"/>
          <w:szCs w:val="24"/>
        </w:rPr>
        <w:t>Se derogan todas las disposiciones de igual o menor jerarquía que se opongan a lo dispuesto al presente Decreto.</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Lo tendrá entendido la Gobernadora del Estado, haciendo que se publique y se cumpla.</w:t>
      </w:r>
    </w:p>
    <w:p w:rsidR="00470AD7" w:rsidRPr="006E437B" w:rsidRDefault="00470AD7" w:rsidP="00141629">
      <w:pPr>
        <w:pStyle w:val="Sinespaciado"/>
        <w:jc w:val="both"/>
        <w:rPr>
          <w:rFonts w:ascii="Times New Roman" w:hAnsi="Times New Roman" w:cs="Times New Roman"/>
          <w:sz w:val="24"/>
          <w:szCs w:val="24"/>
        </w:rPr>
      </w:pPr>
    </w:p>
    <w:p w:rsidR="00470AD7" w:rsidRPr="006E437B" w:rsidRDefault="00470AD7"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Dado en el Palacio del Poder Legislativo, en la Ciudad de Toluca de Lerdo, a los días del mes de del año dos mil veintiséis.</w:t>
      </w:r>
    </w:p>
    <w:p w:rsidR="003C40F2" w:rsidRPr="006E437B" w:rsidRDefault="003C40F2" w:rsidP="00141629">
      <w:pPr>
        <w:pStyle w:val="Sinespaciado"/>
        <w:jc w:val="both"/>
        <w:rPr>
          <w:rFonts w:ascii="Times New Roman" w:hAnsi="Times New Roman" w:cs="Times New Roman"/>
          <w:sz w:val="24"/>
          <w:szCs w:val="24"/>
        </w:rPr>
      </w:pPr>
    </w:p>
    <w:p w:rsidR="003C40F2" w:rsidRPr="006E437B" w:rsidRDefault="003C40F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3C40F2" w:rsidRPr="006E437B" w:rsidRDefault="003C40F2" w:rsidP="00141629">
      <w:pPr>
        <w:pStyle w:val="Sinespaciado"/>
        <w:jc w:val="both"/>
        <w:rPr>
          <w:rFonts w:ascii="Times New Roman" w:hAnsi="Times New Roman" w:cs="Times New Roman"/>
          <w:sz w:val="24"/>
          <w:szCs w:val="24"/>
        </w:rPr>
      </w:pP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diputada.</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Se registra la iniciativa y se remite a las Comisiones Legislativas de Procuración y Administración de Justicia y Para la Protección de los Derechos de las Niñas, Niños, Adolescentes y la Primera Infancia para su estudio y dictaminación. </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Para sustanciar el punto 6, la diputada Itzel Daniela Ballesteros Lule, presenta, en nombre del Grupo Parlamentario del Partido morena, Iniciativa con Proyecto de Decreto por el que se reforma el artículo 4.71 y se adiciona un segundo párrafo al artículo 4.70 del Código Civil del Estado de México en materia de nulidad matrimonial por violencia</w:t>
      </w:r>
      <w:r w:rsidR="005265CE" w:rsidRPr="006E437B">
        <w:rPr>
          <w:rFonts w:ascii="Times New Roman" w:hAnsi="Times New Roman" w:cs="Times New Roman"/>
          <w:sz w:val="24"/>
          <w:szCs w:val="24"/>
        </w:rPr>
        <w:t>, a</w:t>
      </w:r>
      <w:r w:rsidRPr="006E437B">
        <w:rPr>
          <w:rFonts w:ascii="Times New Roman" w:hAnsi="Times New Roman" w:cs="Times New Roman"/>
          <w:sz w:val="24"/>
          <w:szCs w:val="24"/>
        </w:rPr>
        <w:t>delante diputada.</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ITZEL DANIELA BALLESTEROS LULE. Muchas gracias Presidente.</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Con la venia del </w:t>
      </w:r>
      <w:r w:rsidR="0009031A" w:rsidRPr="006E437B">
        <w:rPr>
          <w:rFonts w:ascii="Times New Roman" w:hAnsi="Times New Roman" w:cs="Times New Roman"/>
          <w:sz w:val="24"/>
          <w:szCs w:val="24"/>
        </w:rPr>
        <w:t>presidente</w:t>
      </w:r>
      <w:r w:rsidRPr="006E437B">
        <w:rPr>
          <w:rFonts w:ascii="Times New Roman" w:hAnsi="Times New Roman" w:cs="Times New Roman"/>
          <w:sz w:val="24"/>
          <w:szCs w:val="24"/>
        </w:rPr>
        <w:t xml:space="preserve"> de la Mesa Directiva.</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Saludo con agrado a mis compañeras, compañere, compañeros diputados, a los medios de comunicación y al público en general que nos sintoniza por las diferentes plataformas digitales.</w:t>
      </w:r>
    </w:p>
    <w:p w:rsidR="00AD5D58"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La Iniciativa que hoy pongo a consideración de esta Honorable Soberanía parte de una realidad que no podemos ignorar</w:t>
      </w:r>
      <w:r w:rsidR="00CF2679" w:rsidRPr="006E437B">
        <w:rPr>
          <w:rFonts w:ascii="Times New Roman" w:hAnsi="Times New Roman" w:cs="Times New Roman"/>
          <w:sz w:val="24"/>
          <w:szCs w:val="24"/>
        </w:rPr>
        <w:t>,</w:t>
      </w:r>
      <w:r w:rsidRPr="006E437B">
        <w:rPr>
          <w:rFonts w:ascii="Times New Roman" w:hAnsi="Times New Roman" w:cs="Times New Roman"/>
          <w:sz w:val="24"/>
          <w:szCs w:val="24"/>
        </w:rPr>
        <w:t xml:space="preserve"> es la violencia dentro de la relación matrimonial, que no siempre deja huellas visibles, muchas veces se manifiesta a través del miedo, de las amenazas, del control económico, de la dependencia emocional o sometiendo que poco a poco limita la capacidad de una persona para decidir libremente sobre su propia vida. </w:t>
      </w:r>
    </w:p>
    <w:p w:rsidR="000227AE" w:rsidRPr="006E437B" w:rsidRDefault="00AD5D5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ello, cuando hablamos de violencia, no podemos exigirle a una víctima que actúe como si se encontrara en igualdad de condiciones frente a quien le agrede, porque precisamente una de las características de la</w:t>
      </w:r>
      <w:r w:rsidR="00CD7CC7" w:rsidRPr="006E437B">
        <w:rPr>
          <w:rFonts w:ascii="Times New Roman" w:hAnsi="Times New Roman" w:cs="Times New Roman"/>
          <w:sz w:val="24"/>
          <w:szCs w:val="24"/>
        </w:rPr>
        <w:t xml:space="preserve"> </w:t>
      </w:r>
      <w:r w:rsidR="00CE615B" w:rsidRPr="006E437B">
        <w:rPr>
          <w:rFonts w:ascii="Times New Roman" w:hAnsi="Times New Roman" w:cs="Times New Roman"/>
          <w:sz w:val="24"/>
          <w:szCs w:val="24"/>
        </w:rPr>
        <w:t>violencia e</w:t>
      </w:r>
      <w:r w:rsidR="000227AE" w:rsidRPr="006E437B">
        <w:rPr>
          <w:rFonts w:ascii="Times New Roman" w:hAnsi="Times New Roman" w:cs="Times New Roman"/>
          <w:sz w:val="24"/>
          <w:szCs w:val="24"/>
        </w:rPr>
        <w:t>s que puede generar condiciones de dependencia, de temor y silencio que hacen mucho más difícil pedir ayuda, denunciar o incluso reconocer que se está viviendo una situación de violencia.</w:t>
      </w:r>
    </w:p>
    <w:p w:rsidR="006F6CB2" w:rsidRPr="006E437B" w:rsidRDefault="000227A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Actualmente el Código Civil del Estado de México</w:t>
      </w:r>
      <w:r w:rsidR="00402560" w:rsidRPr="006E437B">
        <w:rPr>
          <w:rFonts w:ascii="Times New Roman" w:hAnsi="Times New Roman" w:cs="Times New Roman"/>
          <w:sz w:val="24"/>
          <w:szCs w:val="24"/>
        </w:rPr>
        <w:t>,</w:t>
      </w:r>
      <w:r w:rsidRPr="006E437B">
        <w:rPr>
          <w:rFonts w:ascii="Times New Roman" w:hAnsi="Times New Roman" w:cs="Times New Roman"/>
          <w:sz w:val="24"/>
          <w:szCs w:val="24"/>
        </w:rPr>
        <w:t xml:space="preserve"> reconoce la violencia como una causa de nulidad matrimonial</w:t>
      </w:r>
      <w:r w:rsidR="00CB2520" w:rsidRPr="006E437B">
        <w:rPr>
          <w:rFonts w:ascii="Times New Roman" w:hAnsi="Times New Roman" w:cs="Times New Roman"/>
          <w:sz w:val="24"/>
          <w:szCs w:val="24"/>
        </w:rPr>
        <w:t>;</w:t>
      </w:r>
      <w:r w:rsidRPr="006E437B">
        <w:rPr>
          <w:rFonts w:ascii="Times New Roman" w:hAnsi="Times New Roman" w:cs="Times New Roman"/>
          <w:sz w:val="24"/>
          <w:szCs w:val="24"/>
        </w:rPr>
        <w:t xml:space="preserve"> sin embargo, </w:t>
      </w:r>
      <w:r w:rsidR="00CB2520" w:rsidRPr="006E437B">
        <w:rPr>
          <w:rFonts w:ascii="Times New Roman" w:hAnsi="Times New Roman" w:cs="Times New Roman"/>
          <w:sz w:val="24"/>
          <w:szCs w:val="24"/>
        </w:rPr>
        <w:t>é</w:t>
      </w:r>
      <w:r w:rsidRPr="006E437B">
        <w:rPr>
          <w:rFonts w:ascii="Times New Roman" w:hAnsi="Times New Roman" w:cs="Times New Roman"/>
          <w:sz w:val="24"/>
          <w:szCs w:val="24"/>
        </w:rPr>
        <w:t>sta establece un plazo de un año para ejercer esta acción, contando a partir de que cesa la violencia y es justamente ahí</w:t>
      </w:r>
      <w:r w:rsidR="006F6CB2" w:rsidRPr="006E437B">
        <w:rPr>
          <w:rFonts w:ascii="Times New Roman" w:hAnsi="Times New Roman" w:cs="Times New Roman"/>
          <w:sz w:val="24"/>
          <w:szCs w:val="24"/>
        </w:rPr>
        <w:t>,</w:t>
      </w:r>
      <w:r w:rsidRPr="006E437B">
        <w:rPr>
          <w:rFonts w:ascii="Times New Roman" w:hAnsi="Times New Roman" w:cs="Times New Roman"/>
          <w:sz w:val="24"/>
          <w:szCs w:val="24"/>
        </w:rPr>
        <w:t xml:space="preserve"> donde encontramos un problema que debemos atender, porque la violencia no funciona con calendarios y una víctima no siempre puede identificar el día exacto en que terminó el miedo, cuando recuperó su autonomía o en qué momento contó con las condiciones económicas, psicológicas y materiales necesarias para acudir ante el tribunal.</w:t>
      </w:r>
    </w:p>
    <w:p w:rsidR="000227AE" w:rsidRPr="006E437B" w:rsidRDefault="000227A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De hecho, la propia iniciativa señala que las víctimas de violencia familiar difícilmente pueden identificar un momento preciso en que la violencia haya cesado debido a que esta puede normalizarse, interiorizarse o prolongarse durante años por el control del agresor,</w:t>
      </w:r>
      <w:r w:rsidR="006F6CB2" w:rsidRPr="006E437B">
        <w:rPr>
          <w:rFonts w:ascii="Times New Roman" w:hAnsi="Times New Roman" w:cs="Times New Roman"/>
          <w:sz w:val="24"/>
          <w:szCs w:val="24"/>
        </w:rPr>
        <w:t xml:space="preserve"> </w:t>
      </w:r>
      <w:r w:rsidRPr="006E437B">
        <w:rPr>
          <w:rFonts w:ascii="Times New Roman" w:hAnsi="Times New Roman" w:cs="Times New Roman"/>
          <w:sz w:val="24"/>
          <w:szCs w:val="24"/>
        </w:rPr>
        <w:t xml:space="preserve">la dependencia económica o el temor a represalias. Es por eso que esta propuesta busca reformar los artículos 4.70 y 4.71 del Código Civil del Estado de México, con el propósito de que la acción de nulidad matrimonial por violencia no quede limitada por un plazo rígido cuando subsistan las condiciones que hayan impedido o limitado a la víctima para denunciar estableciendo además que la valoración de la violencia se realice con perspectiva de género y considerando el contexto de riesgo, la continuidad o repetición de los actos y las circunstancias particulares de cada persona. Porque no estamos hablando de eliminar responsabilidades ni de generar incertidumbre jurídica estamos hablando de garantizar que el acceso a la justicia sea realmente posible para quien ha vivido esta situación de violencia y que el derecho no termine convirtiéndose en una barrera para quien, después de haber enfrentado un proceso de sometimiento, finalmente encuentra las condiciones para recuperar su libertad. </w:t>
      </w:r>
    </w:p>
    <w:p w:rsidR="00C50A4C" w:rsidRPr="006E437B" w:rsidRDefault="000227A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Esta propuesta encuentra también sustento en los criterios que ha desarrollado la Suprema Corte de Justicia de la Nación, que ha reconocido que la violencia puede presentar características de continuidad, asimetría y sometimiento, particularmente cuando una persona permanece dentro de un entorno hostil y controlado, por lo que el análisis del consentimiento matrimonial</w:t>
      </w:r>
      <w:r w:rsidR="008E5F0E" w:rsidRPr="006E437B">
        <w:rPr>
          <w:rFonts w:ascii="Times New Roman" w:hAnsi="Times New Roman" w:cs="Times New Roman"/>
          <w:sz w:val="24"/>
          <w:szCs w:val="24"/>
        </w:rPr>
        <w:t>,</w:t>
      </w:r>
      <w:r w:rsidRPr="006E437B">
        <w:rPr>
          <w:rFonts w:ascii="Times New Roman" w:hAnsi="Times New Roman" w:cs="Times New Roman"/>
          <w:sz w:val="24"/>
          <w:szCs w:val="24"/>
        </w:rPr>
        <w:t xml:space="preserve"> no puede realizarse de manera aislada, sino atendiendo el contexto en el que fue otorgado. De ahí la importancia de que nuestro </w:t>
      </w:r>
      <w:r w:rsidR="00C50A4C" w:rsidRPr="006E437B">
        <w:rPr>
          <w:rFonts w:ascii="Times New Roman" w:hAnsi="Times New Roman" w:cs="Times New Roman"/>
          <w:sz w:val="24"/>
          <w:szCs w:val="24"/>
        </w:rPr>
        <w:t xml:space="preserve">Marco Jurídico </w:t>
      </w:r>
      <w:r w:rsidRPr="006E437B">
        <w:rPr>
          <w:rFonts w:ascii="Times New Roman" w:hAnsi="Times New Roman" w:cs="Times New Roman"/>
          <w:sz w:val="24"/>
          <w:szCs w:val="24"/>
        </w:rPr>
        <w:t>avance hacia una protección efectiva de las víctimas y elimine aquellos obstáculos que en los hechos pueden impedirles acceder a la justicia y esta reforma también forma parte de una visión más amplia del Estado, porque el Plan de Desarrollo del Estado de México 2023- 2029, impulsado por nuestra Gobernadora, la Maestra Delfina Gómez Álvarez, plantea una ruta de transformación orientada a fortalecer la igualdad de género, la protección de los derechos y el acceso a la justicia.</w:t>
      </w:r>
    </w:p>
    <w:p w:rsidR="000227AE" w:rsidRPr="006E437B" w:rsidRDefault="000227A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Por ello, quiero reconocer desde esta tribuna el trabajo que encabeza nuestra gobernadora, porque avanzar hacia un Estado libre de violencia</w:t>
      </w:r>
      <w:r w:rsidR="00C50A4C" w:rsidRPr="006E437B">
        <w:rPr>
          <w:rFonts w:ascii="Times New Roman" w:hAnsi="Times New Roman" w:cs="Times New Roman"/>
          <w:sz w:val="24"/>
          <w:szCs w:val="24"/>
        </w:rPr>
        <w:t>,</w:t>
      </w:r>
      <w:r w:rsidRPr="006E437B">
        <w:rPr>
          <w:rFonts w:ascii="Times New Roman" w:hAnsi="Times New Roman" w:cs="Times New Roman"/>
          <w:sz w:val="24"/>
          <w:szCs w:val="24"/>
        </w:rPr>
        <w:t xml:space="preserve"> requiere instituciones que no solamente reaccionen cuando el daño ya ocurrió</w:t>
      </w:r>
      <w:r w:rsidR="00C50A4C" w:rsidRPr="006E437B">
        <w:rPr>
          <w:rFonts w:ascii="Times New Roman" w:hAnsi="Times New Roman" w:cs="Times New Roman"/>
          <w:sz w:val="24"/>
          <w:szCs w:val="24"/>
        </w:rPr>
        <w:t>;</w:t>
      </w:r>
      <w:r w:rsidRPr="006E437B">
        <w:rPr>
          <w:rFonts w:ascii="Times New Roman" w:hAnsi="Times New Roman" w:cs="Times New Roman"/>
          <w:sz w:val="24"/>
          <w:szCs w:val="24"/>
        </w:rPr>
        <w:t xml:space="preserve"> sino que también sean capaces de identificar y remover las barreras que durante años han impedido a muchas mujeres ejercer plenamente sus derechos y esta iniciativa busca</w:t>
      </w:r>
      <w:r w:rsidR="00C50A4C" w:rsidRPr="006E437B">
        <w:rPr>
          <w:rFonts w:ascii="Times New Roman" w:hAnsi="Times New Roman" w:cs="Times New Roman"/>
          <w:sz w:val="24"/>
          <w:szCs w:val="24"/>
        </w:rPr>
        <w:t>,</w:t>
      </w:r>
      <w:r w:rsidRPr="006E437B">
        <w:rPr>
          <w:rFonts w:ascii="Times New Roman" w:hAnsi="Times New Roman" w:cs="Times New Roman"/>
          <w:sz w:val="24"/>
          <w:szCs w:val="24"/>
        </w:rPr>
        <w:t xml:space="preserve"> precisamente sumarse a ese esfuerzo desde nuestra responsabilidad como Poder Legislativo. Porque legislar con perspectiva de género no significa otorgar privilegios, significa reconocer que no todas las personas enfrentan las mismas condiciones y que cuando existe violencia</w:t>
      </w:r>
      <w:r w:rsidR="00D87086" w:rsidRPr="006E437B">
        <w:rPr>
          <w:rFonts w:ascii="Times New Roman" w:hAnsi="Times New Roman" w:cs="Times New Roman"/>
          <w:sz w:val="24"/>
          <w:szCs w:val="24"/>
        </w:rPr>
        <w:t>,</w:t>
      </w:r>
      <w:r w:rsidRPr="006E437B">
        <w:rPr>
          <w:rFonts w:ascii="Times New Roman" w:hAnsi="Times New Roman" w:cs="Times New Roman"/>
          <w:sz w:val="24"/>
          <w:szCs w:val="24"/>
        </w:rPr>
        <w:t xml:space="preserve"> el Estado tiene la responsabilidad de actuar con mayor protección, sensibilidad y justicia. Por eso la propuesta contempla también que cuando la violencia subsista al momento de solicitar la nulidad matrimonial, el órgano jurisdiccional pueda dictar de manera oficiosa las medidas de protección necesarias para salvaguardar la integridad y la seguridad de la víctima.</w:t>
      </w:r>
    </w:p>
    <w:p w:rsidR="000227AE" w:rsidRPr="006E437B" w:rsidRDefault="000227A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Porque la justicia no puede limitarse a llegar cuando el peligro ya terminó</w:t>
      </w:r>
      <w:r w:rsidR="00D87086" w:rsidRPr="006E437B">
        <w:rPr>
          <w:rFonts w:ascii="Times New Roman" w:hAnsi="Times New Roman" w:cs="Times New Roman"/>
          <w:sz w:val="24"/>
          <w:szCs w:val="24"/>
        </w:rPr>
        <w:t>;</w:t>
      </w:r>
      <w:r w:rsidRPr="006E437B">
        <w:rPr>
          <w:rFonts w:ascii="Times New Roman" w:hAnsi="Times New Roman" w:cs="Times New Roman"/>
          <w:sz w:val="24"/>
          <w:szCs w:val="24"/>
        </w:rPr>
        <w:t xml:space="preserve"> también debe servir para que una persona pueda salir de ese peligro y recuperar plenamente su capacidad de decidir sobre su propia vida.</w:t>
      </w:r>
    </w:p>
    <w:p w:rsidR="0039303B" w:rsidRPr="006E437B" w:rsidRDefault="000227A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Compañeras, compañere, compañeros diputados, no podemos pedirle a una mujer que denuncie dentro de un año, cuando quizás durante este tiempo estuvo tratando de sobrevivir, no podemos convertir un plazo procesal en una puerta cerrada para quien apenas logró recuperar su libertad y tampoco podemos permitir que una norma diseñada para brindar certeza jurídica termine produciendo en los hechos una injusticia. El matrimonio debe partir de un consentimiento libre y cuando ese consentimiento</w:t>
      </w:r>
      <w:r w:rsidR="00DF5AD2" w:rsidRPr="006E437B">
        <w:rPr>
          <w:rFonts w:ascii="Times New Roman" w:hAnsi="Times New Roman" w:cs="Times New Roman"/>
          <w:sz w:val="24"/>
          <w:szCs w:val="24"/>
        </w:rPr>
        <w:t xml:space="preserve"> estuvo c</w:t>
      </w:r>
      <w:r w:rsidR="00CE18A7" w:rsidRPr="006E437B">
        <w:rPr>
          <w:rFonts w:ascii="Times New Roman" w:hAnsi="Times New Roman" w:cs="Times New Roman"/>
          <w:sz w:val="24"/>
          <w:szCs w:val="24"/>
        </w:rPr>
        <w:t>ondicionado por la violencia, por el miedo o el sometimiento</w:t>
      </w:r>
      <w:r w:rsidR="0039303B" w:rsidRPr="006E437B">
        <w:rPr>
          <w:rFonts w:ascii="Times New Roman" w:hAnsi="Times New Roman" w:cs="Times New Roman"/>
          <w:sz w:val="24"/>
          <w:szCs w:val="24"/>
        </w:rPr>
        <w:t>,</w:t>
      </w:r>
      <w:r w:rsidR="00CE18A7" w:rsidRPr="006E437B">
        <w:rPr>
          <w:rFonts w:ascii="Times New Roman" w:hAnsi="Times New Roman" w:cs="Times New Roman"/>
          <w:sz w:val="24"/>
          <w:szCs w:val="24"/>
        </w:rPr>
        <w:t xml:space="preserve"> el Estado tiene la responsabilidad de reconocer esa realidad y ofrecer una respuesta jurídica acorde con ella</w:t>
      </w:r>
      <w:r w:rsidR="0039303B" w:rsidRPr="006E437B">
        <w:rPr>
          <w:rFonts w:ascii="Times New Roman" w:hAnsi="Times New Roman" w:cs="Times New Roman"/>
          <w:sz w:val="24"/>
          <w:szCs w:val="24"/>
        </w:rPr>
        <w:t>,</w:t>
      </w:r>
      <w:r w:rsidR="00CE18A7" w:rsidRPr="006E437B">
        <w:rPr>
          <w:rFonts w:ascii="Times New Roman" w:hAnsi="Times New Roman" w:cs="Times New Roman"/>
          <w:sz w:val="24"/>
          <w:szCs w:val="24"/>
        </w:rPr>
        <w:t xml:space="preserve"> es por lo mismo que este día presento y pongo a consideración de esta Honorable Soberanía</w:t>
      </w:r>
      <w:r w:rsidR="0039303B" w:rsidRPr="006E437B">
        <w:rPr>
          <w:rFonts w:ascii="Times New Roman" w:hAnsi="Times New Roman" w:cs="Times New Roman"/>
          <w:sz w:val="24"/>
          <w:szCs w:val="24"/>
        </w:rPr>
        <w:t>,</w:t>
      </w:r>
      <w:r w:rsidR="00CE18A7" w:rsidRPr="006E437B">
        <w:rPr>
          <w:rFonts w:ascii="Times New Roman" w:hAnsi="Times New Roman" w:cs="Times New Roman"/>
          <w:sz w:val="24"/>
          <w:szCs w:val="24"/>
        </w:rPr>
        <w:t xml:space="preserve"> la presente iniciativa con la convicción de que legislar también significa escuchar, comprender y proteger</w:t>
      </w:r>
      <w:r w:rsidR="0039303B" w:rsidRPr="006E437B">
        <w:rPr>
          <w:rFonts w:ascii="Times New Roman" w:hAnsi="Times New Roman" w:cs="Times New Roman"/>
          <w:sz w:val="24"/>
          <w:szCs w:val="24"/>
        </w:rPr>
        <w:t>,</w:t>
      </w:r>
      <w:r w:rsidR="00CE18A7" w:rsidRPr="006E437B">
        <w:rPr>
          <w:rFonts w:ascii="Times New Roman" w:hAnsi="Times New Roman" w:cs="Times New Roman"/>
          <w:sz w:val="24"/>
          <w:szCs w:val="24"/>
        </w:rPr>
        <w:t xml:space="preserve"> porque cuando el derecho elimina una barrera para que una víctima pueda acceder a la justicia</w:t>
      </w:r>
      <w:r w:rsidR="0039303B" w:rsidRPr="006E437B">
        <w:rPr>
          <w:rFonts w:ascii="Times New Roman" w:hAnsi="Times New Roman" w:cs="Times New Roman"/>
          <w:sz w:val="24"/>
          <w:szCs w:val="24"/>
        </w:rPr>
        <w:t>,</w:t>
      </w:r>
      <w:r w:rsidR="00CE18A7" w:rsidRPr="006E437B">
        <w:rPr>
          <w:rFonts w:ascii="Times New Roman" w:hAnsi="Times New Roman" w:cs="Times New Roman"/>
          <w:sz w:val="24"/>
          <w:szCs w:val="24"/>
        </w:rPr>
        <w:t xml:space="preserve"> el Estado cumple con una de sus responsabilidades más importantes que es proteger la dignidad de las personas y garantizar que sus derechos no dependan de haber tenido la posibilidad de denunciar en el momento que la violencia les impida hacerlo.</w:t>
      </w:r>
    </w:p>
    <w:p w:rsidR="005247AA" w:rsidRPr="006E437B" w:rsidRDefault="00CE18A7"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Presidente solicito respetuosamente que la presente iniciativa se inserte de manera íntegra en el Diario de los Debates y en la Gaceta Parlamentaria.</w:t>
      </w:r>
    </w:p>
    <w:p w:rsidR="00CE18A7" w:rsidRPr="006E437B" w:rsidRDefault="00CE18A7"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Es cuanto.</w:t>
      </w:r>
    </w:p>
    <w:p w:rsidR="005247AA" w:rsidRPr="006E437B" w:rsidRDefault="005247AA" w:rsidP="00141629">
      <w:pPr>
        <w:pStyle w:val="Sinespaciado"/>
        <w:jc w:val="both"/>
        <w:rPr>
          <w:rFonts w:ascii="Times New Roman" w:hAnsi="Times New Roman" w:cs="Times New Roman"/>
          <w:sz w:val="24"/>
          <w:szCs w:val="24"/>
        </w:rPr>
      </w:pPr>
    </w:p>
    <w:p w:rsidR="005247AA" w:rsidRPr="006E437B" w:rsidRDefault="005247AA"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5247AA" w:rsidRPr="006E437B" w:rsidRDefault="005247AA" w:rsidP="00141629">
      <w:pPr>
        <w:pStyle w:val="Sinespaciado"/>
        <w:jc w:val="both"/>
        <w:rPr>
          <w:rFonts w:ascii="Times New Roman" w:hAnsi="Times New Roman" w:cs="Times New Roman"/>
          <w:sz w:val="24"/>
          <w:szCs w:val="24"/>
        </w:rPr>
      </w:pPr>
    </w:p>
    <w:p w:rsidR="001760DB" w:rsidRPr="006E437B" w:rsidRDefault="001760DB" w:rsidP="00141629">
      <w:pPr>
        <w:spacing w:after="0" w:line="240" w:lineRule="auto"/>
        <w:jc w:val="center"/>
        <w:rPr>
          <w:rFonts w:ascii="Times New Roman" w:eastAsia="Times New Roman" w:hAnsi="Times New Roman" w:cs="Times New Roman"/>
          <w:b/>
          <w:sz w:val="24"/>
          <w:szCs w:val="24"/>
        </w:rPr>
      </w:pPr>
      <w:bookmarkStart w:id="4" w:name="_Hlk242111096"/>
      <w:r w:rsidRPr="006E437B">
        <w:rPr>
          <w:rFonts w:ascii="Times New Roman" w:eastAsia="Times New Roman" w:hAnsi="Times New Roman" w:cs="Times New Roman"/>
          <w:b/>
          <w:sz w:val="24"/>
          <w:szCs w:val="24"/>
        </w:rPr>
        <w:t>Dip. Daniela Ballesteros Lule</w:t>
      </w:r>
    </w:p>
    <w:p w:rsidR="001760DB" w:rsidRPr="006E437B" w:rsidRDefault="001760DB"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Distrito XIX, Tultepec - Grupo Parlamentario morena</w:t>
      </w:r>
    </w:p>
    <w:p w:rsidR="001760DB" w:rsidRPr="006E437B" w:rsidRDefault="001760DB" w:rsidP="00141629">
      <w:pPr>
        <w:spacing w:after="0" w:line="240" w:lineRule="auto"/>
        <w:jc w:val="center"/>
        <w:rPr>
          <w:rFonts w:ascii="Times New Roman" w:hAnsi="Times New Roman" w:cs="Times New Roman"/>
          <w:sz w:val="24"/>
          <w:szCs w:val="24"/>
        </w:rPr>
      </w:pPr>
    </w:p>
    <w:p w:rsidR="001760DB" w:rsidRPr="006E437B" w:rsidRDefault="001760DB" w:rsidP="00141629">
      <w:pPr>
        <w:spacing w:after="0" w:line="240" w:lineRule="auto"/>
        <w:jc w:val="right"/>
        <w:rPr>
          <w:rFonts w:ascii="Times New Roman" w:hAnsi="Times New Roman" w:cs="Times New Roman"/>
          <w:sz w:val="24"/>
          <w:szCs w:val="24"/>
        </w:rPr>
      </w:pPr>
      <w:r w:rsidRPr="006E437B">
        <w:rPr>
          <w:rFonts w:ascii="Times New Roman" w:hAnsi="Times New Roman" w:cs="Times New Roman"/>
          <w:sz w:val="24"/>
          <w:szCs w:val="24"/>
        </w:rPr>
        <w:t xml:space="preserve">Toluca de Lerdo, Estado de México a ___ de diciembre de 2025 </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DIP. VLADIMIR HERNANDEZ VILLEGAS</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PRESIDENTE DE LA MESA DIRECTIVA</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DE LA H. “LXII LEGISLATURA” DEL</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ESTADO LIBRE Y SOBERANO DE MÉXICO</w:t>
      </w:r>
    </w:p>
    <w:p w:rsidR="001760DB" w:rsidRPr="006E437B" w:rsidRDefault="001760DB"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P R E S E N T E</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Con fundamento en los artículos 51 fracción II, 57 y 61 fracción I, de la Constitución Política del Estado Libre y Soberano de México y 28 fracción I, 79 y 81 de la Ley Orgánica del Poder Legislativo del Estado Libre y Soberano de México, la que suscribe, Diputada Itzel Daniela Ballesteros Lule, integrante del Grupo Parlamentario del Partido Morena, someto a la consideración de esta H. Legislatura</w:t>
      </w:r>
      <w:r w:rsidRPr="006E437B">
        <w:rPr>
          <w:rFonts w:ascii="Times New Roman" w:eastAsia="Times New Roman" w:hAnsi="Times New Roman" w:cs="Times New Roman"/>
          <w:sz w:val="24"/>
          <w:szCs w:val="24"/>
        </w:rPr>
        <w:t xml:space="preserve"> </w:t>
      </w:r>
      <w:r w:rsidRPr="006E437B">
        <w:rPr>
          <w:rFonts w:ascii="Times New Roman" w:hAnsi="Times New Roman" w:cs="Times New Roman"/>
          <w:b/>
          <w:sz w:val="24"/>
          <w:szCs w:val="24"/>
        </w:rPr>
        <w:t xml:space="preserve">Iniciativa con Proyecto de Decreto por el que se reforma el artículo 4.71 y se adiciona un segundo párrafo al artículo 4.70 del Código Civil del Estado de México, en materia de nulidad matrimonial por violencia </w:t>
      </w:r>
      <w:r w:rsidRPr="006E437B">
        <w:rPr>
          <w:rFonts w:ascii="Times New Roman" w:hAnsi="Times New Roman" w:cs="Times New Roman"/>
          <w:sz w:val="24"/>
          <w:szCs w:val="24"/>
        </w:rPr>
        <w:t>de conformidad con la siguiente:</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EXPOSICIÓN DE MOTIVOS</w:t>
      </w:r>
    </w:p>
    <w:p w:rsidR="001760DB" w:rsidRPr="006E437B" w:rsidRDefault="001760DB" w:rsidP="00141629">
      <w:pPr>
        <w:spacing w:after="0" w:line="240" w:lineRule="auto"/>
        <w:jc w:val="center"/>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violencia contra las mujeres y las niñas continúa siendo uno de los problemas públicos más graves en México y en el Estado de México. De acuerdo con el Secretariado Ejecutivo del Sistema Nacional de Seguridad Pública (2024), la entidad mantiene cifras altas en carpetas de investigación relacionadas con violencia familiar, lesiones dolosas y feminicidio. Estos datos reflejan que la violencia en el espacio doméstico y conyugal sigue siendo un fenómeno estructural. El Informe del Gobierno del Estado de México sobre las Alertas de Violencia de Género (2024) destaca que la violencia dentro del ámbito familiar persiste, siendo uno de los factores que más limita la autonomía y el ejercicio de derechos por parte de las mujeres.</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En el ámbito federal, la Suprema Corte de Justicia de la Nación ha sostenido, en diversos precedentes, que la violencia es un fenómeno con características de continuidad, asimetría y sometimiento. En casos de matrimonio celebrado bajo miedo o violencia, la Corte ha determinado que dicho vicio del consentimiento es </w:t>
      </w:r>
      <w:r w:rsidRPr="006E437B">
        <w:rPr>
          <w:rFonts w:ascii="Times New Roman" w:hAnsi="Times New Roman" w:cs="Times New Roman"/>
          <w:b/>
          <w:sz w:val="24"/>
          <w:szCs w:val="24"/>
        </w:rPr>
        <w:t>no convalidable</w:t>
      </w:r>
      <w:r w:rsidRPr="006E437B">
        <w:rPr>
          <w:rFonts w:ascii="Times New Roman" w:hAnsi="Times New Roman" w:cs="Times New Roman"/>
          <w:sz w:val="24"/>
          <w:szCs w:val="24"/>
        </w:rPr>
        <w:t>, reconociendo que la víctima, al permanecer en un entorno hostil y controlado, carece de libertad real para denunciar o separarse (SCJN, ADR 413/2012; ADR 3356/2012). La doctrina, por su parte, ha señalado que el miedo reverencial, la coerción psicológica y la dependencia económica o emocional pueden perpetuar relaciones matrimoniales forzadas sin necesidad de violencia física (De los Monteros, 2019).</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El marco actual del Código Civil del Estado de México reconoce la violencia como causa de nulidad matrimonial; sin embargo, establece un </w:t>
      </w:r>
      <w:r w:rsidRPr="006E437B">
        <w:rPr>
          <w:rFonts w:ascii="Times New Roman" w:hAnsi="Times New Roman" w:cs="Times New Roman"/>
          <w:b/>
          <w:sz w:val="24"/>
          <w:szCs w:val="24"/>
        </w:rPr>
        <w:t>plazo perentorio de un año</w:t>
      </w:r>
      <w:r w:rsidRPr="006E437B">
        <w:rPr>
          <w:rFonts w:ascii="Times New Roman" w:hAnsi="Times New Roman" w:cs="Times New Roman"/>
          <w:sz w:val="24"/>
          <w:szCs w:val="24"/>
        </w:rPr>
        <w:t xml:space="preserve"> para ejercer dicha acción, computado desde que “cesó la violencia”. Esta fórmula legal es incompatible con la realidad social documentada por estudios nacionales y estatales. Diversos informes de la Comisión Nacional de los Derechos Humanos, la Secretaría de las Mujeres del Gobierno del Estado de México y organizaciones como ONU Mujeres coinciden en que las víctimas de violencia familiar rara vez pueden identificar un punto exacto en el que la violencia “cesa”, pues habitualmente se trata de un fenómeno que se normaliza, se interioriza o se prolonga por años debido al control del agresor, la dependencia económica o el temor a represalias.</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Desde un punto de vista estrictamente jurídico, el plazo de un año limita indebidamente el acceso a la justicia y restringe el derecho humano a vivir libre de violencia, reconocido en la Ley General de Acceso de las Mujeres a una Vida Libre de Violencia y en instrumentos internacionales como la Convención de Belém do Pará. Esto genera un conflicto de constitucionalidad: al exigir que la acción se ejercite dentro de un plazo fijo, sin atender la continuidad del sometimiento o el riesgo que enfrenta la víctima, el Código Civil impone una carga desproporcionada e imposible de cumplir para muchas personas, especialmente mujeres.</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Asimismo, la Corte ha sostenido que los tribunales deben interpretar las normas de derecho familiar bajo un enfoque de </w:t>
      </w:r>
      <w:r w:rsidRPr="006E437B">
        <w:rPr>
          <w:rFonts w:ascii="Times New Roman" w:hAnsi="Times New Roman" w:cs="Times New Roman"/>
          <w:b/>
          <w:sz w:val="24"/>
          <w:szCs w:val="24"/>
        </w:rPr>
        <w:t>perspectiva de género</w:t>
      </w:r>
      <w:r w:rsidRPr="006E437B">
        <w:rPr>
          <w:rFonts w:ascii="Times New Roman" w:hAnsi="Times New Roman" w:cs="Times New Roman"/>
          <w:sz w:val="24"/>
          <w:szCs w:val="24"/>
        </w:rPr>
        <w:t>, privilegiando la protección de las víctimas y la eliminación de obstáculos que impiden el acceso a la justicia. La determinación de plazos “fijos” para denunciar la violencia como causal de nulidad matrimonial se contrapone a este mandato interpretativo. Una legislación moderna y protectora no puede exigir a una persona sometida a violencia que denuncie dentro de un periodo rígido, especialmente si el agresor conserva poder material, económico o psicológico sobre la víctima.</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el derecho comparado —por ejemplo, en España, Argentina y Chile— diversos autores han señalado la necesidad de flexibilizar o eliminar plazos en casos de violencia que vician el consentimiento matrimonial, puesto que el sometimiento genera un fenómeno de inhibición y silencio prolongado (Rivaya, 2020; Iglesias, 2021). El propio Estado mexicano ha asumido compromisos mediante la Estrategia Nacional de Prevención de la Violencia contra las Mujeres (2023), que enfatiza la necesidad de remover las barreras estructurales en el acceso a mecanismos de protección.</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estas razones, resulta necesario reformar los artículos 4.70 y 4.71 del Código Civil del Estado de México, a fin de:</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DA64DA">
      <w:pPr>
        <w:numPr>
          <w:ilvl w:val="0"/>
          <w:numId w:val="11"/>
        </w:numPr>
        <w:spacing w:after="0" w:line="240" w:lineRule="auto"/>
        <w:ind w:left="1134" w:right="4" w:hanging="567"/>
        <w:jc w:val="both"/>
        <w:rPr>
          <w:rFonts w:ascii="Times New Roman" w:hAnsi="Times New Roman" w:cs="Times New Roman"/>
          <w:sz w:val="24"/>
          <w:szCs w:val="24"/>
        </w:rPr>
      </w:pPr>
      <w:r w:rsidRPr="006E437B">
        <w:rPr>
          <w:rFonts w:ascii="Times New Roman" w:hAnsi="Times New Roman" w:cs="Times New Roman"/>
          <w:sz w:val="24"/>
          <w:szCs w:val="24"/>
        </w:rPr>
        <w:t xml:space="preserve">Establecer que la violencia en el consentimiento es un </w:t>
      </w:r>
      <w:r w:rsidRPr="006E437B">
        <w:rPr>
          <w:rFonts w:ascii="Times New Roman" w:hAnsi="Times New Roman" w:cs="Times New Roman"/>
          <w:b/>
          <w:sz w:val="24"/>
          <w:szCs w:val="24"/>
        </w:rPr>
        <w:t>vicio no convalidable</w:t>
      </w:r>
      <w:r w:rsidRPr="006E437B">
        <w:rPr>
          <w:rFonts w:ascii="Times New Roman" w:hAnsi="Times New Roman" w:cs="Times New Roman"/>
          <w:sz w:val="24"/>
          <w:szCs w:val="24"/>
        </w:rPr>
        <w:t>, cuyo análisis debe hacerse siempre con perspectiva de género y seguridad de la víctima.</w:t>
      </w:r>
    </w:p>
    <w:p w:rsidR="001760DB" w:rsidRPr="006E437B" w:rsidRDefault="001760DB" w:rsidP="00DA64DA">
      <w:pPr>
        <w:numPr>
          <w:ilvl w:val="0"/>
          <w:numId w:val="11"/>
        </w:numPr>
        <w:spacing w:after="0" w:line="240" w:lineRule="auto"/>
        <w:ind w:left="1134" w:right="4" w:hanging="567"/>
        <w:jc w:val="both"/>
        <w:rPr>
          <w:rFonts w:ascii="Times New Roman" w:hAnsi="Times New Roman" w:cs="Times New Roman"/>
          <w:sz w:val="24"/>
          <w:szCs w:val="24"/>
        </w:rPr>
      </w:pPr>
      <w:r w:rsidRPr="006E437B">
        <w:rPr>
          <w:rFonts w:ascii="Times New Roman" w:hAnsi="Times New Roman" w:cs="Times New Roman"/>
          <w:sz w:val="24"/>
          <w:szCs w:val="24"/>
        </w:rPr>
        <w:t>Suprimir el plazo rígido de un año o, en su caso, establecer que dicho plazo solo empezará a correr cuando la persona agraviada se encuentre en condiciones reales, físicas, psicológicas y materiales para denunciar.</w:t>
      </w:r>
    </w:p>
    <w:p w:rsidR="001760DB" w:rsidRPr="006E437B" w:rsidRDefault="001760DB" w:rsidP="00DA64DA">
      <w:pPr>
        <w:numPr>
          <w:ilvl w:val="0"/>
          <w:numId w:val="11"/>
        </w:numPr>
        <w:spacing w:after="0" w:line="240" w:lineRule="auto"/>
        <w:ind w:left="1134" w:right="4" w:hanging="567"/>
        <w:jc w:val="both"/>
        <w:rPr>
          <w:rFonts w:ascii="Times New Roman" w:hAnsi="Times New Roman" w:cs="Times New Roman"/>
          <w:sz w:val="24"/>
          <w:szCs w:val="24"/>
        </w:rPr>
      </w:pPr>
      <w:r w:rsidRPr="006E437B">
        <w:rPr>
          <w:rFonts w:ascii="Times New Roman" w:hAnsi="Times New Roman" w:cs="Times New Roman"/>
          <w:sz w:val="24"/>
          <w:szCs w:val="24"/>
        </w:rPr>
        <w:t>Armonizar el texto con los criterios obligatorios de la Suprema Corte, la legislación federal y los estándares internacionales.</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La presente iniciativa no solo actualiza el marco jurídico estatal a la luz de los derechos humanos, sino que garantiza que ninguna mujer o persona víctima de violencia quede excluida del acceso a la justicia por requisitos imposibles de cumplir. Esta reforma fortalece la protección integral y coloca al Estado de México a la vanguardia en materia de derecho familiar con enfoque de género.</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se somete a la consideración de esta Honorable Soberanía la presente Legislatura</w:t>
      </w:r>
      <w:r w:rsidRPr="006E437B">
        <w:rPr>
          <w:rFonts w:ascii="Times New Roman" w:eastAsia="Times New Roman" w:hAnsi="Times New Roman" w:cs="Times New Roman"/>
          <w:sz w:val="24"/>
          <w:szCs w:val="24"/>
        </w:rPr>
        <w:t xml:space="preserve"> </w:t>
      </w:r>
      <w:r w:rsidRPr="006E437B">
        <w:rPr>
          <w:rFonts w:ascii="Times New Roman" w:hAnsi="Times New Roman" w:cs="Times New Roman"/>
          <w:b/>
          <w:sz w:val="24"/>
          <w:szCs w:val="24"/>
        </w:rPr>
        <w:t xml:space="preserve">Iniciativa con Proyecto de Decreto por el que se reforma el artículo 4.71 y se adiciona un segundo párrafo al artículo 4.70 del Código Civil del Estado de México, </w:t>
      </w:r>
      <w:r w:rsidRPr="006E437B">
        <w:rPr>
          <w:rFonts w:ascii="Times New Roman" w:hAnsi="Times New Roman" w:cs="Times New Roman"/>
          <w:sz w:val="24"/>
          <w:szCs w:val="24"/>
        </w:rPr>
        <w:t>para que de considerarlo pertinente se apruebe en sus términos.</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ATENTAMENTE</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DIPUTADA ITZEL DANIELA BALLESTEROS LULE</w:t>
      </w:r>
    </w:p>
    <w:p w:rsidR="001760DB" w:rsidRPr="006E437B" w:rsidRDefault="001760DB"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GRUPO PARLAMENTARIO DEL PARTIDO MORENA</w:t>
      </w:r>
    </w:p>
    <w:p w:rsidR="000F6770" w:rsidRPr="006E437B" w:rsidRDefault="000F6770" w:rsidP="00141629">
      <w:pPr>
        <w:spacing w:after="0" w:line="240" w:lineRule="auto"/>
        <w:rPr>
          <w:rFonts w:ascii="Times New Roman" w:hAnsi="Times New Roman" w:cs="Times New Roman"/>
          <w:b/>
          <w:sz w:val="24"/>
          <w:szCs w:val="24"/>
        </w:rPr>
      </w:pPr>
    </w:p>
    <w:p w:rsidR="000F6770" w:rsidRPr="006E437B" w:rsidRDefault="000F6770" w:rsidP="00141629">
      <w:pPr>
        <w:spacing w:after="0" w:line="240" w:lineRule="auto"/>
        <w:rPr>
          <w:rFonts w:ascii="Times New Roman" w:hAnsi="Times New Roman" w:cs="Times New Roman"/>
          <w:b/>
          <w:sz w:val="24"/>
          <w:szCs w:val="24"/>
        </w:rPr>
      </w:pP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DECRETO NÚMERO: ______</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LA H. “LXII” LEGISLATURA DEL ESTADO</w:t>
      </w:r>
    </w:p>
    <w:p w:rsidR="001760DB" w:rsidRPr="006E437B" w:rsidRDefault="001760DB"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LIBRE Y SOBERANO</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DE MÉXICO</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DECRETA:</w:t>
      </w:r>
    </w:p>
    <w:p w:rsidR="001760DB" w:rsidRPr="006E437B" w:rsidRDefault="001760DB" w:rsidP="00141629">
      <w:pPr>
        <w:spacing w:after="0" w:line="240" w:lineRule="auto"/>
        <w:rPr>
          <w:rFonts w:ascii="Times New Roman" w:hAnsi="Times New Roman" w:cs="Times New Roman"/>
          <w:b/>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ÚNICO. –</w:t>
      </w:r>
      <w:r w:rsidRPr="006E437B">
        <w:rPr>
          <w:rFonts w:ascii="Times New Roman" w:hAnsi="Times New Roman" w:cs="Times New Roman"/>
          <w:sz w:val="24"/>
          <w:szCs w:val="24"/>
        </w:rPr>
        <w:t xml:space="preserve"> Se reforma el artículo 4.71 y se adiciona un segundo párrafo al artículo 4.70 del Código Civil del Estado de México, para quedar como sigue:</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4.70. …</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1760DB" w:rsidRPr="006E437B" w:rsidRDefault="001760DB" w:rsidP="00141629">
      <w:pPr>
        <w:spacing w:after="0" w:line="240" w:lineRule="auto"/>
        <w:rPr>
          <w:rFonts w:ascii="Times New Roman" w:hAnsi="Times New Roman" w:cs="Times New Roman"/>
          <w:b/>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Para efectos de este artículo, la valoración de la violencia deberá realizarse con perspectiva de género, atendiendo al contexto de riesgo, la continuidad o repetición de los actos y la situación particular de la víctima. La violencia podrá ser física, psicológica, económica, sexual, emocional o de cualquier otra naturaleza que afecte el libre consentimiento.</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4.71.</w:t>
      </w:r>
      <w:r w:rsidRPr="006E437B">
        <w:rPr>
          <w:rFonts w:ascii="Times New Roman" w:hAnsi="Times New Roman" w:cs="Times New Roman"/>
          <w:sz w:val="24"/>
          <w:szCs w:val="24"/>
        </w:rPr>
        <w:t xml:space="preserve"> La acción de nulidad del matrimonio por violencia podrá deducirse sólo por parte del cónyuge agraviado </w:t>
      </w:r>
      <w:r w:rsidRPr="006E437B">
        <w:rPr>
          <w:rFonts w:ascii="Times New Roman" w:hAnsi="Times New Roman" w:cs="Times New Roman"/>
          <w:b/>
          <w:sz w:val="24"/>
          <w:szCs w:val="24"/>
        </w:rPr>
        <w:t>y no estará sujeta a prescripción cuando la violencia subsista o cuando persistan condiciones que limiten o imposibiliten a la víctima para denunciar. El plazo para ejercer la acción comenzará a correr únicamente cuando la persona agraviada se encuentre en condiciones físicas, psicológicas o materiales que le permitan actuar de manera libre y segura.</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Cuando la violencia subsista al momento de demandar la nulidad, el juez dictará de forma oficiosa las medidas de protección contra la violencia familiar </w:t>
      </w:r>
      <w:r w:rsidRPr="006E437B">
        <w:rPr>
          <w:rFonts w:ascii="Times New Roman" w:hAnsi="Times New Roman" w:cs="Times New Roman"/>
          <w:b/>
          <w:sz w:val="24"/>
          <w:szCs w:val="24"/>
        </w:rPr>
        <w:t>y cualquier otra que resulte necesaria para salvaguardar la integridad y seguridad de la víctima.</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TRANSITORIOS</w:t>
      </w:r>
    </w:p>
    <w:p w:rsidR="001760DB" w:rsidRPr="006E437B" w:rsidRDefault="001760DB" w:rsidP="00141629">
      <w:pPr>
        <w:spacing w:after="0" w:line="240" w:lineRule="auto"/>
        <w:jc w:val="center"/>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PRIMERO.</w:t>
      </w:r>
      <w:r w:rsidRPr="006E437B">
        <w:rPr>
          <w:rFonts w:ascii="Times New Roman" w:hAnsi="Times New Roman" w:cs="Times New Roman"/>
          <w:sz w:val="24"/>
          <w:szCs w:val="24"/>
        </w:rPr>
        <w:t xml:space="preserve"> Publíquese el presente Decreto en el Periódico Oficial “Gaceta del Gobierno”.</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SEGUNDO.</w:t>
      </w:r>
      <w:r w:rsidRPr="006E437B">
        <w:rPr>
          <w:rFonts w:ascii="Times New Roman" w:hAnsi="Times New Roman" w:cs="Times New Roman"/>
          <w:sz w:val="24"/>
          <w:szCs w:val="24"/>
        </w:rPr>
        <w:t xml:space="preserve"> El presente Decreto entrará en vigor al día siguiente de su publicación en el Periódico Oficial “Gaceta del Gobierno”.</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TERCERO.</w:t>
      </w:r>
      <w:r w:rsidRPr="006E437B">
        <w:rPr>
          <w:rFonts w:ascii="Times New Roman" w:hAnsi="Times New Roman" w:cs="Times New Roman"/>
          <w:sz w:val="24"/>
          <w:szCs w:val="24"/>
        </w:rPr>
        <w:t xml:space="preserve"> El Ejecutivo Estatal realizará las modificaciones reglamentarias necesarias, para dar cumplimiento al presente Decreto, en un plazo no mayor a 120 días hábiles posteriores a su entrada en vigor.</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CUARTO.</w:t>
      </w:r>
      <w:r w:rsidRPr="006E437B">
        <w:rPr>
          <w:rFonts w:ascii="Times New Roman" w:hAnsi="Times New Roman" w:cs="Times New Roman"/>
          <w:sz w:val="24"/>
          <w:szCs w:val="24"/>
        </w:rPr>
        <w:t xml:space="preserve"> El Poder Judicial del Estado de México deberá realizar las adecuaciones administrativas, operativas y de capacitación necesarias para la correcta aplicación del presente Decreto, en un plazo no mayor a </w:t>
      </w:r>
      <w:r w:rsidRPr="006E437B">
        <w:rPr>
          <w:rFonts w:ascii="Times New Roman" w:hAnsi="Times New Roman" w:cs="Times New Roman"/>
          <w:b/>
          <w:sz w:val="24"/>
          <w:szCs w:val="24"/>
        </w:rPr>
        <w:t>120 días hábiles</w:t>
      </w:r>
      <w:r w:rsidRPr="006E437B">
        <w:rPr>
          <w:rFonts w:ascii="Times New Roman" w:hAnsi="Times New Roman" w:cs="Times New Roman"/>
          <w:sz w:val="24"/>
          <w:szCs w:val="24"/>
        </w:rPr>
        <w:t xml:space="preserve"> posteriores a su entrada en vigor.</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Lo tendrá entendido la Gobernadora del Estado, haciendo que se publique y cumpla.</w:t>
      </w:r>
    </w:p>
    <w:p w:rsidR="001760DB" w:rsidRPr="006E437B" w:rsidRDefault="001760DB" w:rsidP="00141629">
      <w:pPr>
        <w:spacing w:after="0" w:line="240" w:lineRule="auto"/>
        <w:rPr>
          <w:rFonts w:ascii="Times New Roman" w:hAnsi="Times New Roman" w:cs="Times New Roman"/>
          <w:sz w:val="24"/>
          <w:szCs w:val="24"/>
        </w:rPr>
      </w:pPr>
    </w:p>
    <w:p w:rsidR="001760DB" w:rsidRPr="006E437B" w:rsidRDefault="001760DB"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de Lerdo, Capital del Estado de México, a los _________ del mes de ___________ de 2026.</w:t>
      </w:r>
      <w:bookmarkEnd w:id="4"/>
    </w:p>
    <w:p w:rsidR="005247AA" w:rsidRPr="006E437B" w:rsidRDefault="005247AA" w:rsidP="00141629">
      <w:pPr>
        <w:pStyle w:val="Sinespaciado"/>
        <w:jc w:val="both"/>
        <w:rPr>
          <w:rFonts w:ascii="Times New Roman" w:hAnsi="Times New Roman" w:cs="Times New Roman"/>
          <w:sz w:val="24"/>
          <w:szCs w:val="24"/>
        </w:rPr>
      </w:pPr>
    </w:p>
    <w:p w:rsidR="005247AA" w:rsidRPr="006E437B" w:rsidRDefault="005247AA"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5247AA" w:rsidRPr="006E437B" w:rsidRDefault="005247AA" w:rsidP="00141629">
      <w:pPr>
        <w:pStyle w:val="Sinespaciado"/>
        <w:jc w:val="both"/>
        <w:rPr>
          <w:rFonts w:ascii="Times New Roman" w:hAnsi="Times New Roman" w:cs="Times New Roman"/>
          <w:sz w:val="24"/>
          <w:szCs w:val="24"/>
        </w:rPr>
      </w:pPr>
    </w:p>
    <w:p w:rsidR="00CE18A7" w:rsidRPr="006E437B" w:rsidRDefault="00CE18A7"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 xml:space="preserve">DIP. VLADIMIR HERNÁNDEZ VILLEGAS. </w:t>
      </w:r>
      <w:r w:rsidR="00E6057F" w:rsidRPr="006E437B">
        <w:rPr>
          <w:rFonts w:ascii="Times New Roman" w:hAnsi="Times New Roman" w:cs="Times New Roman"/>
          <w:kern w:val="2"/>
          <w:sz w:val="24"/>
          <w:szCs w:val="24"/>
        </w:rPr>
        <w:t xml:space="preserve">Se </w:t>
      </w:r>
      <w:r w:rsidRPr="006E437B">
        <w:rPr>
          <w:rFonts w:ascii="Times New Roman" w:hAnsi="Times New Roman" w:cs="Times New Roman"/>
          <w:kern w:val="2"/>
          <w:sz w:val="24"/>
          <w:szCs w:val="24"/>
        </w:rPr>
        <w:t>registra la iniciativa y se remite a la Comisión Legislativa de Procuración y Administración de Justicia</w:t>
      </w:r>
      <w:r w:rsidR="009579B0"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para su estudio y dictamen.</w:t>
      </w:r>
    </w:p>
    <w:p w:rsidR="00CE18A7" w:rsidRPr="006E437B" w:rsidRDefault="00CE18A7" w:rsidP="00141629">
      <w:pPr>
        <w:pStyle w:val="Sinespaciado"/>
        <w:ind w:firstLine="708"/>
        <w:jc w:val="both"/>
        <w:rPr>
          <w:rFonts w:ascii="Times New Roman" w:hAnsi="Times New Roman" w:cs="Times New Roman"/>
          <w:kern w:val="2"/>
          <w:sz w:val="24"/>
          <w:szCs w:val="24"/>
        </w:rPr>
      </w:pPr>
      <w:r w:rsidRPr="006E437B">
        <w:rPr>
          <w:rFonts w:ascii="Times New Roman" w:hAnsi="Times New Roman" w:cs="Times New Roman"/>
          <w:kern w:val="2"/>
          <w:sz w:val="24"/>
          <w:szCs w:val="24"/>
        </w:rPr>
        <w:t>Para desahogar el punto 7</w:t>
      </w:r>
      <w:r w:rsidR="00E6057F"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la </w:t>
      </w:r>
      <w:r w:rsidR="00950B44" w:rsidRPr="006E437B">
        <w:rPr>
          <w:rFonts w:ascii="Times New Roman" w:hAnsi="Times New Roman" w:cs="Times New Roman"/>
          <w:kern w:val="2"/>
          <w:sz w:val="24"/>
          <w:szCs w:val="24"/>
        </w:rPr>
        <w:t xml:space="preserve">diputada </w:t>
      </w:r>
      <w:r w:rsidRPr="006E437B">
        <w:rPr>
          <w:rFonts w:ascii="Times New Roman" w:hAnsi="Times New Roman" w:cs="Times New Roman"/>
          <w:kern w:val="2"/>
          <w:sz w:val="24"/>
          <w:szCs w:val="24"/>
        </w:rPr>
        <w:t>Susana Estrada Rojas presenta</w:t>
      </w:r>
      <w:r w:rsidR="00950B44"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en nombre del Grupo Parlamentario del Partido morena</w:t>
      </w:r>
      <w:r w:rsidR="00950B44"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Iniciativa de Decreto por la que se reforman y adicionan diversas disposiciones de la Ley del Agua para el Estado de México y Municipios con las que se coadyuba a garantizar el derecho humano al acceso y disposición del agua para su uso y aprovechamiento en la vivienda o edificaciones de las personas mexiquenses y a través de </w:t>
      </w:r>
      <w:r w:rsidR="00E6057F" w:rsidRPr="006E437B">
        <w:rPr>
          <w:rFonts w:ascii="Times New Roman" w:hAnsi="Times New Roman" w:cs="Times New Roman"/>
          <w:kern w:val="2"/>
          <w:sz w:val="24"/>
          <w:szCs w:val="24"/>
        </w:rPr>
        <w:t xml:space="preserve">Sistemas </w:t>
      </w:r>
      <w:r w:rsidRPr="006E437B">
        <w:rPr>
          <w:rFonts w:ascii="Times New Roman" w:hAnsi="Times New Roman" w:cs="Times New Roman"/>
          <w:kern w:val="2"/>
          <w:sz w:val="24"/>
          <w:szCs w:val="24"/>
        </w:rPr>
        <w:t xml:space="preserve">de </w:t>
      </w:r>
      <w:r w:rsidR="00E6057F" w:rsidRPr="006E437B">
        <w:rPr>
          <w:rFonts w:ascii="Times New Roman" w:hAnsi="Times New Roman" w:cs="Times New Roman"/>
          <w:kern w:val="2"/>
          <w:sz w:val="24"/>
          <w:szCs w:val="24"/>
        </w:rPr>
        <w:t xml:space="preserve">Captación </w:t>
      </w:r>
      <w:r w:rsidRPr="006E437B">
        <w:rPr>
          <w:rFonts w:ascii="Times New Roman" w:hAnsi="Times New Roman" w:cs="Times New Roman"/>
          <w:kern w:val="2"/>
          <w:sz w:val="24"/>
          <w:szCs w:val="24"/>
        </w:rPr>
        <w:t xml:space="preserve">de </w:t>
      </w:r>
      <w:r w:rsidR="00E6057F" w:rsidRPr="006E437B">
        <w:rPr>
          <w:rFonts w:ascii="Times New Roman" w:hAnsi="Times New Roman" w:cs="Times New Roman"/>
          <w:kern w:val="2"/>
          <w:sz w:val="24"/>
          <w:szCs w:val="24"/>
        </w:rPr>
        <w:t xml:space="preserve">Agua Pluvial </w:t>
      </w:r>
      <w:r w:rsidRPr="006E437B">
        <w:rPr>
          <w:rFonts w:ascii="Times New Roman" w:hAnsi="Times New Roman" w:cs="Times New Roman"/>
          <w:kern w:val="2"/>
          <w:sz w:val="24"/>
          <w:szCs w:val="24"/>
        </w:rPr>
        <w:t>e incentivos fiscales de carácter municipal</w:t>
      </w:r>
      <w:r w:rsidR="00950B44"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adelante diputada.</w:t>
      </w:r>
    </w:p>
    <w:p w:rsidR="00CE18A7" w:rsidRPr="006E437B" w:rsidRDefault="00CE18A7"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DIP. SUSANA ESTRADA ROJAS. Presidente de favor</w:t>
      </w:r>
      <w:r w:rsidR="00E6057F"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si podemos reproducir el video que tenemos para ustedes</w:t>
      </w:r>
      <w:r w:rsidR="006F43A0" w:rsidRPr="006E437B">
        <w:rPr>
          <w:rFonts w:ascii="Times New Roman" w:hAnsi="Times New Roman" w:cs="Times New Roman"/>
          <w:kern w:val="2"/>
          <w:sz w:val="24"/>
          <w:szCs w:val="24"/>
        </w:rPr>
        <w:t>.</w:t>
      </w:r>
    </w:p>
    <w:p w:rsidR="00CE18A7" w:rsidRPr="006E437B" w:rsidRDefault="00CE18A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VLADIMIR HERNÁNDEZ VILLEGAS. Si nos apoyan para reproducir el video</w:t>
      </w:r>
      <w:r w:rsidR="00F56D5C" w:rsidRPr="006E437B">
        <w:rPr>
          <w:rFonts w:ascii="Times New Roman" w:hAnsi="Times New Roman" w:cs="Times New Roman"/>
          <w:sz w:val="24"/>
          <w:szCs w:val="24"/>
        </w:rPr>
        <w:t>,</w:t>
      </w:r>
      <w:r w:rsidRPr="006E437B">
        <w:rPr>
          <w:rFonts w:ascii="Times New Roman" w:hAnsi="Times New Roman" w:cs="Times New Roman"/>
          <w:sz w:val="24"/>
          <w:szCs w:val="24"/>
        </w:rPr>
        <w:t xml:space="preserve"> por favor</w:t>
      </w:r>
      <w:r w:rsidR="006F43A0" w:rsidRPr="006E437B">
        <w:rPr>
          <w:rFonts w:ascii="Times New Roman" w:hAnsi="Times New Roman" w:cs="Times New Roman"/>
          <w:sz w:val="24"/>
          <w:szCs w:val="24"/>
        </w:rPr>
        <w:t>.</w:t>
      </w:r>
    </w:p>
    <w:p w:rsidR="005A216E" w:rsidRPr="006E437B" w:rsidRDefault="005A216E"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(Se reproduce video)</w:t>
      </w:r>
    </w:p>
    <w:p w:rsidR="00CE18A7" w:rsidRPr="006E437B" w:rsidRDefault="00CE18A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SUSANA ESTRADA ROJAS. Muchas gracias</w:t>
      </w:r>
      <w:r w:rsidR="006F43A0" w:rsidRPr="006E437B">
        <w:rPr>
          <w:rFonts w:ascii="Times New Roman" w:hAnsi="Times New Roman" w:cs="Times New Roman"/>
          <w:sz w:val="24"/>
          <w:szCs w:val="24"/>
        </w:rPr>
        <w:t>.</w:t>
      </w:r>
    </w:p>
    <w:p w:rsidR="00CE18A7" w:rsidRPr="006E437B" w:rsidRDefault="00CE18A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VLADIMIR HERNÁNDEZ VILLEGAS. Nos apoyan con sonido por favor</w:t>
      </w:r>
      <w:r w:rsidR="006F43A0" w:rsidRPr="006E437B">
        <w:rPr>
          <w:rFonts w:ascii="Times New Roman" w:hAnsi="Times New Roman" w:cs="Times New Roman"/>
          <w:sz w:val="24"/>
          <w:szCs w:val="24"/>
        </w:rPr>
        <w:t>.</w:t>
      </w:r>
    </w:p>
    <w:p w:rsidR="00CE18A7" w:rsidRPr="006E437B" w:rsidRDefault="00CE18A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SUSANA ESTRADA ROJAS. Compañeras, compañeros, compañere diputados</w:t>
      </w:r>
      <w:r w:rsidR="000E2EC3" w:rsidRPr="006E437B">
        <w:rPr>
          <w:rFonts w:ascii="Times New Roman" w:hAnsi="Times New Roman" w:cs="Times New Roman"/>
          <w:sz w:val="24"/>
          <w:szCs w:val="24"/>
        </w:rPr>
        <w:t>,</w:t>
      </w:r>
      <w:r w:rsidRPr="006E437B">
        <w:rPr>
          <w:rFonts w:ascii="Times New Roman" w:hAnsi="Times New Roman" w:cs="Times New Roman"/>
          <w:sz w:val="24"/>
          <w:szCs w:val="24"/>
        </w:rPr>
        <w:t xml:space="preserve"> esa pre</w:t>
      </w:r>
      <w:r w:rsidR="00E16607" w:rsidRPr="006E437B">
        <w:rPr>
          <w:rFonts w:ascii="Times New Roman" w:hAnsi="Times New Roman" w:cs="Times New Roman"/>
          <w:sz w:val="24"/>
          <w:szCs w:val="24"/>
        </w:rPr>
        <w:t>g</w:t>
      </w:r>
      <w:r w:rsidRPr="006E437B">
        <w:rPr>
          <w:rFonts w:ascii="Times New Roman" w:hAnsi="Times New Roman" w:cs="Times New Roman"/>
          <w:sz w:val="24"/>
          <w:szCs w:val="24"/>
        </w:rPr>
        <w:t xml:space="preserve">unta es precisamente el motivo de la Iniciativa que pongo a consideración de esta Legislatura con su venia diputado </w:t>
      </w:r>
      <w:r w:rsidR="008E5BC0" w:rsidRPr="006E437B">
        <w:rPr>
          <w:rFonts w:ascii="Times New Roman" w:hAnsi="Times New Roman" w:cs="Times New Roman"/>
          <w:sz w:val="24"/>
          <w:szCs w:val="24"/>
        </w:rPr>
        <w:t>Presidente</w:t>
      </w:r>
      <w:r w:rsidRPr="006E437B">
        <w:rPr>
          <w:rFonts w:ascii="Times New Roman" w:hAnsi="Times New Roman" w:cs="Times New Roman"/>
          <w:sz w:val="24"/>
          <w:szCs w:val="24"/>
        </w:rPr>
        <w:t>.</w:t>
      </w:r>
    </w:p>
    <w:p w:rsidR="00CE18A7" w:rsidRPr="006E437B" w:rsidRDefault="00CE18A7"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En el Estado de México vivimos una contradicción que no podemos seguir ignorando la crisis hídrica de nuestro Estado es real, la disponibilidad de agua renovable en el Estado de México</w:t>
      </w:r>
      <w:r w:rsidR="00DB5768" w:rsidRPr="006E437B">
        <w:rPr>
          <w:rFonts w:ascii="Times New Roman" w:hAnsi="Times New Roman" w:cs="Times New Roman"/>
          <w:sz w:val="24"/>
          <w:szCs w:val="24"/>
        </w:rPr>
        <w:t>,</w:t>
      </w:r>
      <w:r w:rsidRPr="006E437B">
        <w:rPr>
          <w:rFonts w:ascii="Times New Roman" w:hAnsi="Times New Roman" w:cs="Times New Roman"/>
          <w:sz w:val="24"/>
          <w:szCs w:val="24"/>
        </w:rPr>
        <w:t xml:space="preserve"> es de apenas doscientos sesenta y ocho metros cúbicos por habitante al año</w:t>
      </w:r>
      <w:r w:rsidR="00DB5768" w:rsidRPr="006E437B">
        <w:rPr>
          <w:rFonts w:ascii="Times New Roman" w:hAnsi="Times New Roman" w:cs="Times New Roman"/>
          <w:sz w:val="24"/>
          <w:szCs w:val="24"/>
        </w:rPr>
        <w:t>,</w:t>
      </w:r>
      <w:r w:rsidRPr="006E437B">
        <w:rPr>
          <w:rFonts w:ascii="Times New Roman" w:hAnsi="Times New Roman" w:cs="Times New Roman"/>
          <w:sz w:val="24"/>
          <w:szCs w:val="24"/>
        </w:rPr>
        <w:t xml:space="preserve"> menos de la mitad de la media nacional y más de un millón doscientos mil mexiquenses padecen directamente sus efectos y para mí este tema también es personal; toda mi vida he vivido en Neza</w:t>
      </w:r>
      <w:r w:rsidR="00DB5768" w:rsidRPr="006E437B">
        <w:rPr>
          <w:rFonts w:ascii="Times New Roman" w:hAnsi="Times New Roman" w:cs="Times New Roman"/>
          <w:sz w:val="24"/>
          <w:szCs w:val="24"/>
        </w:rPr>
        <w:t>,</w:t>
      </w:r>
      <w:r w:rsidRPr="006E437B">
        <w:rPr>
          <w:rFonts w:ascii="Times New Roman" w:hAnsi="Times New Roman" w:cs="Times New Roman"/>
          <w:sz w:val="24"/>
          <w:szCs w:val="24"/>
        </w:rPr>
        <w:t xml:space="preserve"> he visto familias organizarse para conseguir una pipa, escuelas que necesitan agua para poder continuar sus actividades, madres y padres administrando cada cubeta porque no saben </w:t>
      </w:r>
      <w:r w:rsidR="00DB5768" w:rsidRPr="006E437B">
        <w:rPr>
          <w:rFonts w:ascii="Times New Roman" w:hAnsi="Times New Roman" w:cs="Times New Roman"/>
          <w:sz w:val="24"/>
          <w:szCs w:val="24"/>
        </w:rPr>
        <w:t>cuándo</w:t>
      </w:r>
      <w:r w:rsidRPr="006E437B">
        <w:rPr>
          <w:rFonts w:ascii="Times New Roman" w:hAnsi="Times New Roman" w:cs="Times New Roman"/>
          <w:sz w:val="24"/>
          <w:szCs w:val="24"/>
        </w:rPr>
        <w:t xml:space="preserve"> volverá a llegar; por eso sé que la crisis de agua</w:t>
      </w:r>
      <w:r w:rsidR="00DB5768" w:rsidRPr="006E437B">
        <w:rPr>
          <w:rFonts w:ascii="Times New Roman" w:hAnsi="Times New Roman" w:cs="Times New Roman"/>
          <w:sz w:val="24"/>
          <w:szCs w:val="24"/>
        </w:rPr>
        <w:t>,</w:t>
      </w:r>
      <w:r w:rsidRPr="006E437B">
        <w:rPr>
          <w:rFonts w:ascii="Times New Roman" w:hAnsi="Times New Roman" w:cs="Times New Roman"/>
          <w:sz w:val="24"/>
          <w:szCs w:val="24"/>
        </w:rPr>
        <w:t xml:space="preserve"> no tiene una sola solución, necesitamos reparar redes, reducir fugas, recuperar nuestros acuíferos, mejorar la distribución; pero también necesitamos aprovechar mejor el agua que sí tenemos; esta iniciativa plantea tres acciones concretas:</w:t>
      </w:r>
    </w:p>
    <w:p w:rsidR="00CE18A7" w:rsidRPr="006E437B" w:rsidRDefault="00DB5768"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Primero</w:t>
      </w:r>
      <w:r w:rsidR="00CE18A7" w:rsidRPr="006E437B">
        <w:rPr>
          <w:rFonts w:ascii="Times New Roman" w:hAnsi="Times New Roman" w:cs="Times New Roman"/>
          <w:sz w:val="24"/>
          <w:szCs w:val="24"/>
        </w:rPr>
        <w:t>. Reconocer claramente nuestra legislación los sistemas de captación y aprovechamiento de agua pluvial.</w:t>
      </w:r>
    </w:p>
    <w:p w:rsidR="00F559E6" w:rsidRPr="006E437B" w:rsidRDefault="00DB5768"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Segundo</w:t>
      </w:r>
      <w:r w:rsidR="00E50D50" w:rsidRPr="006E437B">
        <w:rPr>
          <w:rFonts w:ascii="Times New Roman" w:hAnsi="Times New Roman" w:cs="Times New Roman"/>
          <w:sz w:val="24"/>
          <w:szCs w:val="24"/>
        </w:rPr>
        <w:t xml:space="preserve">. </w:t>
      </w:r>
      <w:r w:rsidR="00F559E6" w:rsidRPr="006E437B">
        <w:rPr>
          <w:rFonts w:ascii="Times New Roman" w:hAnsi="Times New Roman" w:cs="Times New Roman"/>
          <w:sz w:val="24"/>
          <w:szCs w:val="24"/>
        </w:rPr>
        <w:t xml:space="preserve">Permitir que los municipios impulsen su instalación y generen incentivos fiscales para quienes decidan incorporarlos en sus viviendas o inmuebles. </w:t>
      </w:r>
    </w:p>
    <w:p w:rsidR="00F559E6" w:rsidRPr="006E437B" w:rsidRDefault="00F559E6"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Si una familia invierte para captar y aprovechar el agua de lluvia, debemos reconocer e incentivar esa responsabilidad. </w:t>
      </w:r>
    </w:p>
    <w:p w:rsidR="00F559E6" w:rsidRPr="006E437B" w:rsidRDefault="00DB5768"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Tercero</w:t>
      </w:r>
      <w:r w:rsidR="00F559E6" w:rsidRPr="006E437B">
        <w:rPr>
          <w:rFonts w:ascii="Times New Roman" w:hAnsi="Times New Roman" w:cs="Times New Roman"/>
          <w:sz w:val="24"/>
          <w:szCs w:val="24"/>
        </w:rPr>
        <w:t>. Fortalecer las obligaciones para que los nuevos desarrollos habitacionales, industriales y de servicios incorporen estos sistemas y sí sea una verdadera verificación de su cumplimiento, porque no podemos construir las ciudades del futuro con las mismas prácticas que contribuyeron a los problemas del presente.</w:t>
      </w:r>
    </w:p>
    <w:p w:rsidR="00F559E6" w:rsidRPr="006E437B" w:rsidRDefault="00F559E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Quiero dejar algo muy claro</w:t>
      </w:r>
      <w:r w:rsidR="002B18C5" w:rsidRPr="006E437B">
        <w:rPr>
          <w:rFonts w:ascii="Times New Roman" w:hAnsi="Times New Roman" w:cs="Times New Roman"/>
          <w:sz w:val="24"/>
          <w:szCs w:val="24"/>
        </w:rPr>
        <w:t>,</w:t>
      </w:r>
      <w:r w:rsidRPr="006E437B">
        <w:rPr>
          <w:rFonts w:ascii="Times New Roman" w:hAnsi="Times New Roman" w:cs="Times New Roman"/>
          <w:sz w:val="24"/>
          <w:szCs w:val="24"/>
        </w:rPr>
        <w:t xml:space="preserve"> la captación y aprovechamiento de agua de lluvia no sustituye la responsabilidad del gobierno de garantizar el suministro de agua, no sustituye una red hidráulica eficiente, no sustituye la inversión pública, no sustituye nuestro deber de garantizar el derecho humano al agua, lo complementa. </w:t>
      </w:r>
    </w:p>
    <w:p w:rsidR="00F559E6" w:rsidRPr="006E437B" w:rsidRDefault="00F559E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Frente a una crisis de esta magnitud, necesitamos todas las soluciones responsables que tengamos a nuestro alcance, durante muchos años construimos nuestras ciudades como si el agua fuera un recurso infinito</w:t>
      </w:r>
      <w:r w:rsidR="002B18C5" w:rsidRPr="006E437B">
        <w:rPr>
          <w:rFonts w:ascii="Times New Roman" w:hAnsi="Times New Roman" w:cs="Times New Roman"/>
          <w:sz w:val="24"/>
          <w:szCs w:val="24"/>
        </w:rPr>
        <w:t>,</w:t>
      </w:r>
      <w:r w:rsidRPr="006E437B">
        <w:rPr>
          <w:rFonts w:ascii="Times New Roman" w:hAnsi="Times New Roman" w:cs="Times New Roman"/>
          <w:sz w:val="24"/>
          <w:szCs w:val="24"/>
        </w:rPr>
        <w:t xml:space="preserve"> hoy sabemos que no lo es. </w:t>
      </w:r>
    </w:p>
    <w:p w:rsidR="00F559E6" w:rsidRPr="006E437B" w:rsidRDefault="00F559E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Necesitamos una nueva cultura hídrica, una cultura en que cada gota tenga valor, nuestras viviendas también pueden captar agua y el crecimiento urbano</w:t>
      </w:r>
      <w:r w:rsidR="002B18C5" w:rsidRPr="006E437B">
        <w:rPr>
          <w:rFonts w:ascii="Times New Roman" w:hAnsi="Times New Roman" w:cs="Times New Roman"/>
          <w:sz w:val="24"/>
          <w:szCs w:val="24"/>
        </w:rPr>
        <w:t>,</w:t>
      </w:r>
      <w:r w:rsidRPr="006E437B">
        <w:rPr>
          <w:rFonts w:ascii="Times New Roman" w:hAnsi="Times New Roman" w:cs="Times New Roman"/>
          <w:sz w:val="24"/>
          <w:szCs w:val="24"/>
        </w:rPr>
        <w:t xml:space="preserve"> debe incorporar soluciones sustentables desde su origen, esta iniciativa no resolverá por sí sola la crisis hídrica en nuestro Estado, pero sí puede significar menos agua desperdiciada, más agua aprovechada y más alternativas para miles de familias mexiquenses porque cuando el agua escasea no podemos darnos el lujo de desperdiciar ninguna solución. </w:t>
      </w:r>
    </w:p>
    <w:p w:rsidR="00F559E6" w:rsidRPr="006E437B" w:rsidRDefault="00F559E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Hoy tenemos la oportunidad de cambiar la manera en que vemos el agua de lluvia, que deje de ser solamente agua que cae en agua, y pensar en agua que captamos y aprovechamos por nuestras familias, por nuestras comunidades, por las próximas generaciones y por el derecho de todas y todos los mexicanos a tener agua. </w:t>
      </w:r>
    </w:p>
    <w:p w:rsidR="00F559E6" w:rsidRPr="006E437B" w:rsidRDefault="00F559E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Diputado Presidente, por probidad de tiempo, le pido muy atenta y respetuosamente sea registrada la presente iniciativa que hoy presento en el Diario de los Debates. </w:t>
      </w:r>
    </w:p>
    <w:p w:rsidR="00F559E6" w:rsidRPr="006E437B" w:rsidRDefault="00F559E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Es cuanto, muchas gracias.</w:t>
      </w:r>
    </w:p>
    <w:p w:rsidR="00950B44" w:rsidRPr="006E437B" w:rsidRDefault="00950B44" w:rsidP="00141629">
      <w:pPr>
        <w:pStyle w:val="Sinespaciado"/>
        <w:jc w:val="both"/>
        <w:rPr>
          <w:rFonts w:ascii="Times New Roman" w:hAnsi="Times New Roman" w:cs="Times New Roman"/>
          <w:sz w:val="24"/>
          <w:szCs w:val="24"/>
        </w:rPr>
      </w:pPr>
    </w:p>
    <w:p w:rsidR="00950B44" w:rsidRPr="006E437B" w:rsidRDefault="00950B44"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950B44" w:rsidRPr="006E437B" w:rsidRDefault="00950B44"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center"/>
        <w:rPr>
          <w:rFonts w:ascii="Times New Roman" w:hAnsi="Times New Roman" w:cs="Times New Roman"/>
          <w:b/>
          <w:bCs/>
          <w:sz w:val="24"/>
          <w:szCs w:val="24"/>
        </w:rPr>
      </w:pPr>
      <w:r w:rsidRPr="006E437B">
        <w:rPr>
          <w:rFonts w:ascii="Times New Roman" w:hAnsi="Times New Roman" w:cs="Times New Roman"/>
          <w:b/>
          <w:bCs/>
          <w:sz w:val="24"/>
          <w:szCs w:val="24"/>
        </w:rPr>
        <w:t>Dip. Susana Estrada Rojas</w:t>
      </w:r>
    </w:p>
    <w:p w:rsidR="00EA11D5" w:rsidRPr="006E437B" w:rsidRDefault="00EA11D5" w:rsidP="00141629">
      <w:pPr>
        <w:pStyle w:val="Sinespaciado"/>
        <w:jc w:val="center"/>
        <w:rPr>
          <w:rFonts w:ascii="Times New Roman" w:hAnsi="Times New Roman" w:cs="Times New Roman"/>
          <w:sz w:val="24"/>
          <w:szCs w:val="24"/>
        </w:rPr>
      </w:pPr>
      <w:r w:rsidRPr="006E437B">
        <w:rPr>
          <w:rFonts w:ascii="Times New Roman" w:hAnsi="Times New Roman" w:cs="Times New Roman"/>
          <w:b/>
          <w:bCs/>
          <w:sz w:val="24"/>
          <w:szCs w:val="24"/>
        </w:rPr>
        <w:t>Distrito XXIV Cd. Nezahualcóyotl</w:t>
      </w:r>
    </w:p>
    <w:p w:rsidR="00EA11D5" w:rsidRPr="006E437B" w:rsidRDefault="00EA11D5" w:rsidP="00141629">
      <w:pPr>
        <w:pStyle w:val="Sinespaciado"/>
        <w:jc w:val="right"/>
        <w:rPr>
          <w:rFonts w:ascii="Times New Roman" w:hAnsi="Times New Roman" w:cs="Times New Roman"/>
          <w:sz w:val="24"/>
          <w:szCs w:val="24"/>
        </w:rPr>
      </w:pPr>
    </w:p>
    <w:p w:rsidR="00EA11D5" w:rsidRPr="006E437B" w:rsidRDefault="00EA11D5" w:rsidP="00141629">
      <w:pPr>
        <w:pStyle w:val="Sinespaciado"/>
        <w:jc w:val="right"/>
        <w:rPr>
          <w:rFonts w:ascii="Times New Roman" w:hAnsi="Times New Roman" w:cs="Times New Roman"/>
          <w:sz w:val="24"/>
          <w:szCs w:val="24"/>
        </w:rPr>
      </w:pPr>
      <w:r w:rsidRPr="006E437B">
        <w:rPr>
          <w:rFonts w:ascii="Times New Roman" w:hAnsi="Times New Roman" w:cs="Times New Roman"/>
          <w:sz w:val="24"/>
          <w:szCs w:val="24"/>
        </w:rPr>
        <w:t>Toluca de Lerdo, Estado de México, a 28 de agosto de 2026</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DIPUTADO VLADIMIR HERNANDEZ VILLEGAS</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PRESIDENTE DE LA MESA DIRECTIVA DE LA H LXII</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LEGISLATURA DEL ESTADO LIBRE Y SOBERANO DE MÉXICO.</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P R E S E N T 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DIPUTADA SUSANA ESTRADA ROJAS,</w:t>
      </w:r>
      <w:r w:rsidRPr="006E437B">
        <w:rPr>
          <w:rFonts w:ascii="Times New Roman" w:hAnsi="Times New Roman" w:cs="Times New Roman"/>
          <w:sz w:val="24"/>
          <w:szCs w:val="24"/>
        </w:rPr>
        <w:t xml:space="preserve"> integrante del Grupo Parlamentario del Partido morena de la LXII Legislatura y con las facultades conferidas por lo dispuesto en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los artículo 68 y 70 del Reglamento del Poder Legislativo del Estado de México por el que, someto a la consideración de  esta soberanía la presente Iniciativa de Decreto por el que se reforman y adicionan diversas disposiciones a la </w:t>
      </w:r>
      <w:r w:rsidRPr="006E437B">
        <w:rPr>
          <w:rFonts w:ascii="Times New Roman" w:hAnsi="Times New Roman" w:cs="Times New Roman"/>
          <w:b/>
          <w:i/>
          <w:sz w:val="24"/>
          <w:szCs w:val="24"/>
        </w:rPr>
        <w:t>LEY DEL AGUA PARA EL ESTADO DE MÉXICO Y MUNICIPIOS</w:t>
      </w:r>
      <w:r w:rsidRPr="006E437B">
        <w:rPr>
          <w:rFonts w:ascii="Times New Roman" w:hAnsi="Times New Roman" w:cs="Times New Roman"/>
          <w:sz w:val="24"/>
          <w:szCs w:val="24"/>
        </w:rPr>
        <w:t>, con las que se coadyuva a garantizar el derecho humano al acceso y disposición del agua para su uso y aprovechamiento en la vivienda o edificación de las personas mexiquenses y a través de Sistemas de captación de agua pluvial e incentivos fiscales de carácter municipal y que tiene sustento en el desarrollo de la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EXPOSICIÓN DE MOTIVOS</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En ejercicio de las facultades que me confieren los artículos 51, fracción II, 56 y 61 fracción I de la Constitución Política del Estado Libre y Soberano de México, y 28 fracción I, 79 y 81 de la Ley Orgánica del Poder Legislativo del Estado Libre y Soberano de México; quien suscribe Diputada Susana Estrada Rojas, integrante del Grupo Parlamentario del Partido morena, me permito someter a la consideración de esa H. Legislatura, por su digno conducto, la presente Iniciativa de Decreto por el que se reforman y adicionan diversas disposiciones normativas a la </w:t>
      </w:r>
      <w:r w:rsidRPr="006E437B">
        <w:rPr>
          <w:rFonts w:ascii="Times New Roman" w:hAnsi="Times New Roman" w:cs="Times New Roman"/>
          <w:b/>
          <w:i/>
          <w:sz w:val="24"/>
          <w:szCs w:val="24"/>
        </w:rPr>
        <w:t>LEY DEL AGUA PARA DE ESTADO DE MÉXICO Y MUNICIPIOS</w:t>
      </w:r>
      <w:r w:rsidRPr="006E437B">
        <w:rPr>
          <w:rFonts w:ascii="Times New Roman" w:hAnsi="Times New Roman" w:cs="Times New Roman"/>
          <w:sz w:val="24"/>
          <w:szCs w:val="24"/>
        </w:rPr>
        <w:t>, con las que se coadyuva a garantizar el derecho humano al acceso y disposición del agua para su uso y aprovechamiento en la vivienda o edificación de las personas mexiquenses y a través de Sistemas de Captación de Agua Pluvial e incentivos fiscales de carácter municipal.</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i/>
          <w:sz w:val="24"/>
          <w:szCs w:val="24"/>
        </w:rPr>
      </w:pPr>
      <w:r w:rsidRPr="006E437B">
        <w:rPr>
          <w:rFonts w:ascii="Times New Roman" w:hAnsi="Times New Roman" w:cs="Times New Roman"/>
          <w:b/>
          <w:sz w:val="24"/>
          <w:szCs w:val="24"/>
        </w:rPr>
        <w:t xml:space="preserve">I.- ENCABEZADO DE LA PROPUESTA DE REFORMA Y ADICIÓN A LA </w:t>
      </w:r>
      <w:r w:rsidRPr="006E437B">
        <w:rPr>
          <w:rFonts w:ascii="Times New Roman" w:hAnsi="Times New Roman" w:cs="Times New Roman"/>
          <w:b/>
          <w:i/>
          <w:sz w:val="24"/>
          <w:szCs w:val="24"/>
        </w:rPr>
        <w:t>LEY DEL</w:t>
      </w:r>
      <w:r w:rsidRPr="006E437B">
        <w:rPr>
          <w:rFonts w:ascii="Times New Roman" w:hAnsi="Times New Roman" w:cs="Times New Roman"/>
          <w:i/>
          <w:sz w:val="24"/>
          <w:szCs w:val="24"/>
        </w:rPr>
        <w:t xml:space="preserve"> </w:t>
      </w:r>
      <w:r w:rsidRPr="006E437B">
        <w:rPr>
          <w:rFonts w:ascii="Times New Roman" w:hAnsi="Times New Roman" w:cs="Times New Roman"/>
          <w:b/>
          <w:i/>
          <w:sz w:val="24"/>
          <w:szCs w:val="24"/>
        </w:rPr>
        <w:t>AGUA PARA EL ESTADO DE MÉXICO Y MUNICIPIOS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hAnsi="Times New Roman" w:cs="Times New Roman"/>
          <w:sz w:val="24"/>
          <w:szCs w:val="24"/>
        </w:rPr>
        <w:t xml:space="preserve">Iniciativa de Decreto por el que se reforman y adicionan diversas disposiciones legales a la </w:t>
      </w:r>
      <w:r w:rsidRPr="006E437B">
        <w:rPr>
          <w:rFonts w:ascii="Times New Roman" w:hAnsi="Times New Roman" w:cs="Times New Roman"/>
          <w:b/>
          <w:i/>
          <w:sz w:val="24"/>
          <w:szCs w:val="24"/>
        </w:rPr>
        <w:t>LEY DEL AGUA PARA EL ESTADO DE MÉXICO Y MUNICIPIOS</w:t>
      </w:r>
      <w:r w:rsidRPr="006E437B">
        <w:rPr>
          <w:rFonts w:ascii="Times New Roman" w:hAnsi="Times New Roman" w:cs="Times New Roman"/>
          <w:sz w:val="24"/>
          <w:szCs w:val="24"/>
        </w:rPr>
        <w:t xml:space="preserve">, con las que se coadyuva a garantizar el derecho humano al acceso y disposición del agua para su uso y aprovechamiento en la vivienda o edificación de las personas mexiquenses y a través de Sistemas de captación de agua pluvial e incentivos </w:t>
      </w:r>
      <w:r w:rsidRPr="006E437B">
        <w:rPr>
          <w:rFonts w:ascii="Times New Roman" w:eastAsia="Arial" w:hAnsi="Times New Roman" w:cs="Times New Roman"/>
          <w:sz w:val="24"/>
          <w:szCs w:val="24"/>
        </w:rPr>
        <w:t>fiscales de carácter municipal.</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II. PLANTEAMIENTO DEL PROBLEMA QUE CON LA INICIATIVA DE REFORMA Y ADICIÓN SE RESUELVE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En la vigente </w:t>
      </w:r>
      <w:r w:rsidRPr="006E437B">
        <w:rPr>
          <w:rFonts w:ascii="Times New Roman" w:hAnsi="Times New Roman" w:cs="Times New Roman"/>
          <w:b/>
          <w:i/>
          <w:sz w:val="24"/>
          <w:szCs w:val="24"/>
        </w:rPr>
        <w:t>LEY DEL AGUA PARA EL ESTADO DE MÉXICO Y MUNICIPIOS</w:t>
      </w:r>
      <w:r w:rsidRPr="006E437B">
        <w:rPr>
          <w:rFonts w:ascii="Times New Roman" w:hAnsi="Times New Roman" w:cs="Times New Roman"/>
          <w:sz w:val="24"/>
          <w:szCs w:val="24"/>
        </w:rPr>
        <w:t xml:space="preserve">, si bien existen avances por garantizar el derecho humano al agua potable para los mexiquenses, también es cierto que, no existe una armonización en la legislación citada con la nueva </w:t>
      </w:r>
      <w:r w:rsidRPr="006E437B">
        <w:rPr>
          <w:rFonts w:ascii="Times New Roman" w:hAnsi="Times New Roman" w:cs="Times New Roman"/>
          <w:b/>
          <w:i/>
          <w:sz w:val="24"/>
          <w:szCs w:val="24"/>
        </w:rPr>
        <w:t>LEY GENERAL DE AGUAS</w:t>
      </w:r>
      <w:r w:rsidRPr="006E437B">
        <w:rPr>
          <w:rFonts w:ascii="Times New Roman" w:hAnsi="Times New Roman" w:cs="Times New Roman"/>
          <w:sz w:val="24"/>
          <w:szCs w:val="24"/>
        </w:rPr>
        <w:t xml:space="preserve"> misma que fue publicada el pasado 11 de diciembre del año 2025 en el Diario Oficial de la Federación.</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Lo que conlleva a una anemia legislativa para afrontar la crisis hídrica en el Estado de México ya que, no existe -- por ministerio de ley – la obligación de incentivar Sistemas de Captación de Agua Fluvial por parte de los Gobiernos Municipales para que sean adoptados por los particulares y empresas en el proceso de construcción de edificaciones e inmuebles de reciente creación y en su caso, en las adecuaciones de las existentes para su implementación dentro del territorio mexiquense.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Esto es así ya que, en nuestra legislación local, existe una ausencia legislativa que garantice el derecho humano al agua potable por medio de sistemas asertivos de captación de aguas de lluvia y en el que, por el solo hecho de implementarse, puedan tener acceso a un beneficio de carácter fiscal para los particulares que las implementen.</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Lo anterior fortalecerá la materialización del </w:t>
      </w:r>
      <w:r w:rsidRPr="006E437B">
        <w:rPr>
          <w:rFonts w:ascii="Times New Roman" w:hAnsi="Times New Roman" w:cs="Times New Roman"/>
          <w:b/>
          <w:i/>
          <w:sz w:val="24"/>
          <w:szCs w:val="24"/>
        </w:rPr>
        <w:t>PROGRAMA HÍDRICO INTEGRAL PARA EL ESTADO DE MÉXICO 2024-2029</w:t>
      </w:r>
      <w:r w:rsidRPr="006E437B">
        <w:rPr>
          <w:rFonts w:ascii="Times New Roman" w:hAnsi="Times New Roman" w:cs="Times New Roman"/>
          <w:sz w:val="24"/>
          <w:szCs w:val="24"/>
        </w:rPr>
        <w:t xml:space="preserve"> en beneficio de la población mexiquense.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Esto es así ya que, incluso se encuentra ausente el concepto legal de dichos sistemas que propicien la optimización, reciclaje y aprovechamiento del agua de lluvia, adoptados en edificaciones o inmuebles de nueva construcción o en su caso de aquellos inmuebles que sean modificados o adecuados para la implementación de dichos Sistemas de Captación de Agua Fluvial.</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seguir así la crisis hídrica mexiquense, se seguirá propiciando una serie desencadenada de problemas que impactan en el tejido social de nuestra población al no dar hospicio a acciones que se deben implementar para mitigar el desabasto de agua potable en el Estado.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presente iniciativa podrá corregir las lagunas legales señaladas, al armonizarla con la Ley General de Aguas e incorporando la obligación de los gobiernos Municipales para incentivar el uso e implementación de Sistemas de Captación de Agua Fluvial por parte de los particulares en la edificación de inmuebles y construcciones nuevas y en su caso, en la modificación y adecuación de edificios, casa y departamentos de personas a través de mecanismos de incentivos fiscales que le corresponde – por ministerio de ley – a los Gobiernos municipales y Ayuntamientos del Estado de México.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Por lo que se justifica plenamente la medida legislativa al intervenir la norma citada e introducir dichas figuras legales que se anidan en la Ley General de Aguas como lo son los Sistemas de Captación de Agua Fluvial en la edificación de construcciones nuevas y en la adecuación o modificación de las existentes por parte de particulares.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III. DESARROLLO DEL ARGUMENTO QUE SOSTIENE LA INICIATIVA</w:t>
      </w:r>
    </w:p>
    <w:p w:rsidR="00EA11D5" w:rsidRPr="006E437B" w:rsidRDefault="00EA11D5" w:rsidP="00141629">
      <w:pPr>
        <w:pStyle w:val="Sinespaciado"/>
        <w:jc w:val="both"/>
        <w:rPr>
          <w:rFonts w:ascii="Times New Roman" w:hAnsi="Times New Roman" w:cs="Times New Roman"/>
          <w:b/>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agua es un recurso natural limitado y un bien público fundamental para la vida y la salud. El derecho humano al agua es indispensable para vivir dignamente y es condición previa para la realización de otros derechos humanos.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derecho humano al agua reconocido en el párrafo séptimo del artículo 4 de la Constitución Política de los Estados Unidos Mexicanos, parte del reconocimiento de que el acceso al agua salubre, segura, suficiente y asequible para usos personales y domésticos es un requisito indispensable para la realización de otros derechos humanos. En cualquier circunstancia deben observarse los requisitos de disponibilidad, calidad y accesibilidad (física, económica, de no discriminación y de acceso a la información) delimitados en la</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 xml:space="preserve"> </w:t>
      </w:r>
      <w:r w:rsidRPr="006E437B">
        <w:rPr>
          <w:rFonts w:ascii="Times New Roman" w:hAnsi="Times New Roman" w:cs="Times New Roman"/>
          <w:b/>
          <w:i/>
          <w:sz w:val="24"/>
          <w:szCs w:val="24"/>
        </w:rPr>
        <w:t>Observación general N°15: El derecho al agua (artículos 11 y 12 del Pacto Internacional de Derechos Económicos, Sociales y Culturales)</w:t>
      </w:r>
      <w:r w:rsidRPr="006E437B">
        <w:rPr>
          <w:rFonts w:ascii="Times New Roman" w:hAnsi="Times New Roman" w:cs="Times New Roman"/>
          <w:i/>
          <w:sz w:val="24"/>
          <w:szCs w:val="24"/>
        </w:rPr>
        <w:t xml:space="preserve"> </w:t>
      </w:r>
      <w:r w:rsidRPr="006E437B">
        <w:rPr>
          <w:rFonts w:ascii="Times New Roman" w:hAnsi="Times New Roman" w:cs="Times New Roman"/>
          <w:sz w:val="24"/>
          <w:szCs w:val="24"/>
        </w:rPr>
        <w:t>del cual México es parte y por el que, el Estado Mexicano a través de las instituciones con competencia para dicho fin, tienen, la obligación de mantener un suministro de agua necesaria para que las personas puedan satisfacer sus usos personales y domésticos.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Esto es así ya que, el citado artículo constitucional dispone lo siguiente en lo que interesa;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i/>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4o.-</w:t>
      </w:r>
      <w:r w:rsidRPr="006E437B">
        <w:rPr>
          <w:rFonts w:ascii="Times New Roman" w:hAnsi="Times New Roman" w:cs="Times New Roman"/>
          <w:sz w:val="24"/>
          <w:szCs w:val="24"/>
        </w:rPr>
        <w:t xml:space="preserve"> La mujer y el hombre son iguales ante la ley. Ésta protegerá la organización y el desarrollo de las familias. El Estado garantizará el goce y ejercicio del derecho a la igualdad sustantiva de las mujeres.</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rPr>
          <w:rFonts w:ascii="Times New Roman" w:hAnsi="Times New Roman" w:cs="Times New Roman"/>
          <w:b/>
          <w:sz w:val="24"/>
          <w:szCs w:val="24"/>
        </w:rPr>
      </w:pPr>
      <w:r w:rsidRPr="006E437B">
        <w:rPr>
          <w:rFonts w:ascii="Times New Roman" w:hAnsi="Times New Roman" w:cs="Times New Roman"/>
          <w:b/>
          <w:i/>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Toda persona tiene derecho al acceso, disposición y saneamiento de agua para consumo personal y doméstico en forma suficiente, salubre, aceptable y asequible. El Estado garantizará este derecho y la ley 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141629">
      <w:pPr>
        <w:spacing w:after="0" w:line="240" w:lineRule="auto"/>
        <w:ind w:left="284" w:right="333"/>
        <w:jc w:val="both"/>
        <w:rPr>
          <w:rFonts w:ascii="Times New Roman" w:eastAsia="Arial" w:hAnsi="Times New Roman" w:cs="Times New Roman"/>
          <w:b/>
          <w:i/>
          <w:sz w:val="24"/>
          <w:szCs w:val="24"/>
        </w:rPr>
      </w:pPr>
      <w:r w:rsidRPr="006E437B">
        <w:rPr>
          <w:rFonts w:ascii="Times New Roman" w:eastAsia="Arial" w:hAnsi="Times New Roman" w:cs="Times New Roman"/>
          <w:b/>
          <w:i/>
          <w:sz w:val="24"/>
          <w:szCs w:val="24"/>
        </w:rPr>
        <w:t>…”</w:t>
      </w:r>
    </w:p>
    <w:p w:rsidR="00EA11D5" w:rsidRPr="006E437B" w:rsidRDefault="00EA11D5" w:rsidP="00141629">
      <w:pPr>
        <w:spacing w:after="0" w:line="240" w:lineRule="auto"/>
        <w:ind w:right="333"/>
        <w:jc w:val="both"/>
        <w:rPr>
          <w:rFonts w:ascii="Times New Roman" w:eastAsia="Arial" w:hAnsi="Times New Roman" w:cs="Times New Roman"/>
          <w:i/>
          <w:sz w:val="24"/>
          <w:szCs w:val="24"/>
        </w:rPr>
      </w:pPr>
    </w:p>
    <w:p w:rsidR="00EA11D5" w:rsidRPr="006E437B" w:rsidRDefault="00EA11D5" w:rsidP="00141629">
      <w:pPr>
        <w:pStyle w:val="footnotedescription"/>
        <w:spacing w:line="240" w:lineRule="auto"/>
        <w:rPr>
          <w:rFonts w:ascii="Times New Roman" w:hAnsi="Times New Roman" w:cs="Times New Roman"/>
          <w:color w:val="auto"/>
          <w:sz w:val="20"/>
          <w:szCs w:val="24"/>
        </w:rPr>
      </w:pPr>
      <w:r w:rsidRPr="006E437B">
        <w:rPr>
          <w:rFonts w:ascii="Times New Roman" w:hAnsi="Times New Roman" w:cs="Times New Roman"/>
          <w:color w:val="auto"/>
          <w:sz w:val="20"/>
          <w:szCs w:val="24"/>
          <w:vertAlign w:val="superscript"/>
        </w:rPr>
        <w:t>1</w:t>
      </w:r>
      <w:r w:rsidRPr="006E437B">
        <w:rPr>
          <w:rFonts w:ascii="Times New Roman" w:hAnsi="Times New Roman" w:cs="Times New Roman"/>
          <w:color w:val="auto"/>
          <w:sz w:val="20"/>
          <w:szCs w:val="24"/>
        </w:rPr>
        <w:t xml:space="preserve"> OBSERVACIÓN GENERAL Nº 15: EL DERECHO AL AGUA (ARTÍCULOS 11 Y 12 DEL PACTO INTERNACIONAL DE DERECHOS ECONÓMICOS, SOCIALES Y CULTURALES).- consultable en el siguiente enlace electrónico; </w:t>
      </w:r>
    </w:p>
    <w:p w:rsidR="00EA11D5" w:rsidRPr="006E437B" w:rsidRDefault="00C53639" w:rsidP="00141629">
      <w:pPr>
        <w:pStyle w:val="Sinespaciado"/>
        <w:jc w:val="both"/>
        <w:rPr>
          <w:rFonts w:ascii="Times New Roman" w:hAnsi="Times New Roman" w:cs="Times New Roman"/>
          <w:sz w:val="20"/>
          <w:szCs w:val="24"/>
        </w:rPr>
      </w:pPr>
      <w:hyperlink r:id="rId17">
        <w:r w:rsidR="00EA11D5" w:rsidRPr="006E437B">
          <w:rPr>
            <w:rFonts w:ascii="Times New Roman" w:hAnsi="Times New Roman" w:cs="Times New Roman"/>
            <w:i/>
            <w:sz w:val="20"/>
            <w:szCs w:val="24"/>
            <w:u w:val="single" w:color="467886"/>
          </w:rPr>
          <w:t>https://aguaysaneamiento.cndh.org.mx/Content/doc/Normatividad/Observacion15_DESC.pd</w:t>
        </w:r>
      </w:hyperlink>
      <w:hyperlink r:id="rId18">
        <w:r w:rsidR="00EA11D5" w:rsidRPr="006E437B">
          <w:rPr>
            <w:rFonts w:ascii="Times New Roman" w:hAnsi="Times New Roman" w:cs="Times New Roman"/>
            <w:i/>
            <w:sz w:val="20"/>
            <w:szCs w:val="24"/>
            <w:u w:val="single" w:color="467886"/>
          </w:rPr>
          <w:t>f</w:t>
        </w:r>
      </w:hyperlink>
      <w:hyperlink r:id="rId19">
        <w:r w:rsidR="00EA11D5" w:rsidRPr="006E437B">
          <w:rPr>
            <w:rFonts w:ascii="Times New Roman" w:hAnsi="Times New Roman" w:cs="Times New Roman"/>
            <w:b/>
            <w:i/>
            <w:sz w:val="20"/>
            <w:szCs w:val="24"/>
          </w:rPr>
          <w:t xml:space="preserve"> </w:t>
        </w:r>
      </w:hyperlink>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u w:val="single"/>
        </w:rPr>
      </w:pPr>
      <w:r w:rsidRPr="006E437B">
        <w:rPr>
          <w:rFonts w:ascii="Times New Roman" w:hAnsi="Times New Roman" w:cs="Times New Roman"/>
          <w:b/>
          <w:sz w:val="24"/>
          <w:szCs w:val="24"/>
          <w:u w:val="single"/>
        </w:rPr>
        <w:t>De lo trasunto se traduce en que, el derecho al agua implica una garantía en la que el Estado Mexicano a través de los Poderes Públicos debe cumplir con calidad; accesibilidad (física y económica), sin discriminación y con igualdad sin que, se pudiera alegar motivos no justificados para dejar de cumplir con dicha obligación.</w:t>
      </w:r>
    </w:p>
    <w:p w:rsidR="00EA11D5" w:rsidRPr="006E437B" w:rsidRDefault="00EA11D5" w:rsidP="00141629">
      <w:pPr>
        <w:pStyle w:val="Sinespaciado"/>
        <w:jc w:val="both"/>
        <w:rPr>
          <w:rFonts w:ascii="Times New Roman" w:hAnsi="Times New Roman" w:cs="Times New Roman"/>
          <w:b/>
          <w:sz w:val="24"/>
          <w:szCs w:val="24"/>
          <w:u w:val="single"/>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Incluso es la </w:t>
      </w:r>
      <w:r w:rsidRPr="006E437B">
        <w:rPr>
          <w:rFonts w:ascii="Times New Roman" w:hAnsi="Times New Roman" w:cs="Times New Roman"/>
          <w:b/>
          <w:i/>
          <w:sz w:val="24"/>
          <w:szCs w:val="24"/>
        </w:rPr>
        <w:t>Observación general N°15: El derecho al agua (artículos 11 y 12 del Pacto Internacional de Derechos Económicos, Sociales y Culturales)</w:t>
      </w:r>
      <w:r w:rsidRPr="006E437B">
        <w:rPr>
          <w:rFonts w:ascii="Times New Roman" w:hAnsi="Times New Roman" w:cs="Times New Roman"/>
          <w:b/>
          <w:i/>
          <w:sz w:val="24"/>
          <w:szCs w:val="24"/>
          <w:vertAlign w:val="superscript"/>
        </w:rPr>
        <w:t>2</w:t>
      </w:r>
      <w:r w:rsidRPr="006E437B">
        <w:rPr>
          <w:rFonts w:ascii="Times New Roman" w:hAnsi="Times New Roman" w:cs="Times New Roman"/>
          <w:i/>
          <w:sz w:val="24"/>
          <w:szCs w:val="24"/>
        </w:rPr>
        <w:t xml:space="preserve"> </w:t>
      </w:r>
      <w:r w:rsidRPr="006E437B">
        <w:rPr>
          <w:rFonts w:ascii="Times New Roman" w:hAnsi="Times New Roman" w:cs="Times New Roman"/>
          <w:sz w:val="24"/>
          <w:szCs w:val="24"/>
        </w:rPr>
        <w:t>y del citado artículo 4 constitucional, por el que se obliga a los Poderes Públicos del Estado Mexicano a garantizar el derecho al agua a todas las personas bajo los siguientes requisitos que deben aplicarse en cualquier circunstancia;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right="333"/>
        <w:rPr>
          <w:rFonts w:ascii="Times New Roman" w:hAnsi="Times New Roman" w:cs="Times New Roman"/>
          <w:b/>
          <w:sz w:val="24"/>
          <w:szCs w:val="24"/>
        </w:rPr>
      </w:pPr>
      <w:r w:rsidRPr="006E437B">
        <w:rPr>
          <w:rFonts w:ascii="Times New Roman" w:hAnsi="Times New Roman" w:cs="Times New Roman"/>
          <w:b/>
          <w:i/>
          <w:sz w:val="24"/>
          <w:szCs w:val="24"/>
        </w:rPr>
        <w:t>“…</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a) La disponibilidad. El abastecimiento de agua de cada persona debe ser continuo y suficiente para los usos personales y domésticos. Esos usos comprenden normalmente el consumo, el saneamiento, la colada, la preparación de alimentos y la higiene personal y doméstica. La cantidad de agua disponible para cada persona debería corresponder a las directrices de la Organización Mundial de la Salud (OMS). También es posible que algunos individuos y grupos necesiten recursos de agua adicionales en razón de la salud, el clima y las condiciones de trabajo.</w:t>
      </w:r>
    </w:p>
    <w:p w:rsidR="00EA11D5" w:rsidRPr="006E437B" w:rsidRDefault="00EA11D5" w:rsidP="00141629">
      <w:pPr>
        <w:pStyle w:val="Sinespaciado"/>
        <w:ind w:left="284" w:right="333"/>
        <w:jc w:val="both"/>
        <w:rPr>
          <w:rFonts w:ascii="Times New Roman" w:hAnsi="Times New Roman" w:cs="Times New Roman"/>
          <w:i/>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b.) La calidad. El agua necesaria para cada uso personal o doméstico debe ser salubre, y por lo tanto, no ha de contener microorganismos o sustancias químicas o radiactivas que puedan constituir una amenaza para la salud de las personas. Además, el agua debería tener un color, un olor y un sabor aceptables para cada uso personal o doméstico.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footnotedescription"/>
        <w:spacing w:line="240" w:lineRule="auto"/>
        <w:rPr>
          <w:rFonts w:ascii="Times New Roman" w:hAnsi="Times New Roman" w:cs="Times New Roman"/>
          <w:color w:val="auto"/>
          <w:sz w:val="20"/>
          <w:szCs w:val="24"/>
        </w:rPr>
      </w:pPr>
      <w:r w:rsidRPr="006E437B">
        <w:rPr>
          <w:rStyle w:val="footnotemark"/>
          <w:rFonts w:ascii="Times New Roman" w:hAnsi="Times New Roman" w:cs="Times New Roman"/>
          <w:color w:val="auto"/>
          <w:sz w:val="20"/>
          <w:szCs w:val="24"/>
        </w:rPr>
        <w:t>2</w:t>
      </w:r>
      <w:r w:rsidRPr="006E437B">
        <w:rPr>
          <w:rFonts w:ascii="Times New Roman" w:hAnsi="Times New Roman" w:cs="Times New Roman"/>
          <w:color w:val="auto"/>
          <w:sz w:val="20"/>
          <w:szCs w:val="24"/>
        </w:rPr>
        <w:t xml:space="preserve"> OBSERVACIÓN GENERAL Nº 15: EL DERECHO AL AGUA (ARTÍCULOS 11 Y 12 DEL PACTO INTERNACIONAL DE DERECHOS ECONÓMICOS, SOCIALES Y CULTURALES).- consultable en el siguiente enlace electrónico;</w:t>
      </w:r>
    </w:p>
    <w:p w:rsidR="00EA11D5" w:rsidRPr="006E437B" w:rsidRDefault="00C53639" w:rsidP="00141629">
      <w:pPr>
        <w:pStyle w:val="Sinespaciado"/>
        <w:jc w:val="both"/>
        <w:rPr>
          <w:rFonts w:ascii="Times New Roman" w:hAnsi="Times New Roman" w:cs="Times New Roman"/>
          <w:sz w:val="20"/>
          <w:szCs w:val="24"/>
        </w:rPr>
      </w:pPr>
      <w:hyperlink r:id="rId20">
        <w:r w:rsidR="00EA11D5" w:rsidRPr="006E437B">
          <w:rPr>
            <w:rFonts w:ascii="Times New Roman" w:hAnsi="Times New Roman" w:cs="Times New Roman"/>
            <w:i/>
            <w:sz w:val="20"/>
            <w:szCs w:val="24"/>
            <w:u w:val="single" w:color="467886"/>
          </w:rPr>
          <w:t>https://aguaysaneamiento.cndh.org.mx/Content/doc/Normatividad/Observacion15_DESC.pd</w:t>
        </w:r>
      </w:hyperlink>
      <w:hyperlink r:id="rId21">
        <w:r w:rsidR="00EA11D5" w:rsidRPr="006E437B">
          <w:rPr>
            <w:rFonts w:ascii="Times New Roman" w:hAnsi="Times New Roman" w:cs="Times New Roman"/>
            <w:i/>
            <w:sz w:val="20"/>
            <w:szCs w:val="24"/>
            <w:u w:val="single" w:color="467886"/>
          </w:rPr>
          <w:t>f</w:t>
        </w:r>
      </w:hyperlink>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c). La accesibilidad. El agua y las instalaciones y servicios de agua deben ser accesibles para todos, sin discriminación alguna, dentro de la jurisdicción del Estado Parte. La accesibilidad presenta cuatro dimensiones superpuestas: Accesibilidad física. El agua y las instalaciones y servicios de agua deben estar al alcance físico de todos los sectores de la población.</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Debe poderse acceder a un suministro de agua suficiente, salubre y aceptable en cada hogar, institución educativa o lugar de trabajo o en sus cercanías inmediatas. Todos los servicios e instalaciones de agua deben ser de calidad suficiente y culturalmente adecuados, y deben tener en cuenta las necesidades relativas al género, el ciclo vital y la intimidad.</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La seguridad física no debe verse amenazada durante el acceso a los servicios e instalaciones de agua. Accesibilidad económica. El agua y los servicios e instalaciones de agua deben estar al alcance de todos. Los costos y cargos directos e indirectos asociados con el abastecimiento de agua deben ser asequibles y no deben comprometer ni poner en peligro el ejercicio de otros derechos reconocidos en el Pacto. No discriminación.</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El agua y los servicios e instalaciones de agua deben ser accesibles a todos de hecho y de derecho, incluso a los sectores más vulnerables y marginados de la población, sin discriminación alguna por cualquiera de los motivos prohibidos. Acceso a la información. La accesibilidad comprende el derecho de solicitar, recibir y difundir información sobre las cuestiones del agua.</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eastAsia="Arial" w:hAnsi="Times New Roman" w:cs="Times New Roman"/>
          <w:b/>
          <w:i/>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Por lo que, no solo se hace necesario, sino resulta imperativo el poner al alcance de las personas, los medios y mecanismos para garantizar el derecho fundamental y humano del agua en los términos previstos en la normatividad analizada.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De ahí que, sea un mandato legal de carácter constitucional y al amparo de los tratados internacionales</w:t>
      </w:r>
      <w:r w:rsidRPr="006E437B">
        <w:rPr>
          <w:rFonts w:ascii="Times New Roman" w:eastAsia="Arial" w:hAnsi="Times New Roman" w:cs="Times New Roman"/>
          <w:b/>
          <w:sz w:val="24"/>
          <w:szCs w:val="24"/>
          <w:u w:val="single" w:color="000000"/>
        </w:rPr>
        <w:t>, el diseñar e implementar mecanismos para el acceso</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single" w:color="000000"/>
        </w:rPr>
        <w:t>y ejercicio del derecho fundamental del agua para todas las personas.</w:t>
      </w: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III.1.- DIAGNÓSTICO</w:t>
      </w:r>
    </w:p>
    <w:p w:rsidR="00EA11D5" w:rsidRPr="006E437B" w:rsidRDefault="00EA11D5" w:rsidP="00141629">
      <w:pPr>
        <w:pStyle w:val="Sinespaciado"/>
        <w:jc w:val="both"/>
        <w:rPr>
          <w:rFonts w:ascii="Times New Roman" w:hAnsi="Times New Roman" w:cs="Times New Roman"/>
          <w:b/>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problema del desabasto de agua potable en nuestro país, debe atenderse desde distintos puntos y considerar el polinomio de conflictos tales como;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DA64DA">
      <w:pPr>
        <w:pStyle w:val="Sinespaciado"/>
        <w:numPr>
          <w:ilvl w:val="0"/>
          <w:numId w:val="16"/>
        </w:numPr>
        <w:ind w:hanging="720"/>
        <w:jc w:val="both"/>
        <w:rPr>
          <w:rFonts w:ascii="Times New Roman" w:hAnsi="Times New Roman" w:cs="Times New Roman"/>
          <w:sz w:val="24"/>
          <w:szCs w:val="24"/>
        </w:rPr>
      </w:pPr>
      <w:r w:rsidRPr="006E437B">
        <w:rPr>
          <w:rFonts w:ascii="Times New Roman" w:hAnsi="Times New Roman" w:cs="Times New Roman"/>
          <w:sz w:val="24"/>
          <w:szCs w:val="24"/>
        </w:rPr>
        <w:t>La escasez, que es uno de los problemas más graves en México, especialmente en regiones del norte y centro del país. La falta de agua potable y la escasez de agua para la agricultura y la industria son problemas muy comunes.</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DA64DA">
      <w:pPr>
        <w:pStyle w:val="Sinespaciado"/>
        <w:numPr>
          <w:ilvl w:val="0"/>
          <w:numId w:val="16"/>
        </w:numPr>
        <w:ind w:hanging="720"/>
        <w:jc w:val="both"/>
        <w:rPr>
          <w:rFonts w:ascii="Times New Roman" w:hAnsi="Times New Roman" w:cs="Times New Roman"/>
          <w:sz w:val="24"/>
          <w:szCs w:val="24"/>
        </w:rPr>
      </w:pPr>
      <w:r w:rsidRPr="006E437B">
        <w:rPr>
          <w:rFonts w:ascii="Times New Roman" w:hAnsi="Times New Roman" w:cs="Times New Roman"/>
          <w:sz w:val="24"/>
          <w:szCs w:val="24"/>
        </w:rPr>
        <w:t>La contaminación que se encuentra especialmente en las zonas urbanas, debido a la falta de tratamiento de aguas residuales y a la descarga de residuos industriales y químicos en ríos y lagos.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DA64DA">
      <w:pPr>
        <w:pStyle w:val="Sinespaciado"/>
        <w:numPr>
          <w:ilvl w:val="0"/>
          <w:numId w:val="16"/>
        </w:numPr>
        <w:ind w:hanging="720"/>
        <w:jc w:val="both"/>
        <w:rPr>
          <w:rFonts w:ascii="Times New Roman" w:hAnsi="Times New Roman" w:cs="Times New Roman"/>
          <w:sz w:val="24"/>
          <w:szCs w:val="24"/>
        </w:rPr>
      </w:pPr>
      <w:r w:rsidRPr="006E437B">
        <w:rPr>
          <w:rFonts w:ascii="Times New Roman" w:hAnsi="Times New Roman" w:cs="Times New Roman"/>
          <w:sz w:val="24"/>
          <w:szCs w:val="24"/>
        </w:rPr>
        <w:t>El uso ineficiente del agua en la agricultura ha llevado a una sobreexplotación de los acuíferos y una disminución en la disponibilidad de agua para otros usos.</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DA64DA">
      <w:pPr>
        <w:pStyle w:val="Sinespaciado"/>
        <w:numPr>
          <w:ilvl w:val="0"/>
          <w:numId w:val="16"/>
        </w:numPr>
        <w:ind w:hanging="720"/>
        <w:jc w:val="both"/>
        <w:rPr>
          <w:rFonts w:ascii="Times New Roman" w:hAnsi="Times New Roman" w:cs="Times New Roman"/>
          <w:sz w:val="24"/>
          <w:szCs w:val="24"/>
        </w:rPr>
      </w:pPr>
      <w:r w:rsidRPr="006E437B">
        <w:rPr>
          <w:rFonts w:ascii="Times New Roman" w:hAnsi="Times New Roman" w:cs="Times New Roman"/>
          <w:sz w:val="24"/>
          <w:szCs w:val="24"/>
        </w:rPr>
        <w:t>El cambio climático que provoca sequías e inundaciones que agravan la disminución en la disponibilidad de agua para las comunidades y la agricultura.</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agua es un recurso prioritario para la vida en la tierra, este elemento es indispensable para nuestro desarrollo y bienestar. Por ello, en el 2012 se incorporó en nuestra Constitución Política, el derecho al acceso, disposición y saneamiento de agua para consumo personal y doméstico en forma suficiente, salubre, aceptable y asequible, y se facultó al estado a garantizar este recurso.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Sin embargo, falta mucho por hacer, con base en datos del Banco Mundial, en el país la disponibilidad promedio anual per cápita pasó de 10 mil metros cúbicos (m3) en 1960 a 4 mil en 2012. Se estima que para 2030, esta disponibilidad en México descienda debajo de los 3 mil m3 por habitante al año</w:t>
      </w:r>
      <w:r w:rsidRPr="006E437B">
        <w:rPr>
          <w:rFonts w:ascii="Times New Roman" w:hAnsi="Times New Roman" w:cs="Times New Roman"/>
          <w:sz w:val="24"/>
          <w:szCs w:val="24"/>
          <w:vertAlign w:val="superscript"/>
        </w:rPr>
        <w:t>3</w:t>
      </w:r>
      <w:r w:rsidRPr="006E437B">
        <w:rPr>
          <w:rFonts w:ascii="Times New Roman" w:hAnsi="Times New Roman" w:cs="Times New Roman"/>
          <w:sz w:val="24"/>
          <w:szCs w:val="24"/>
        </w:rPr>
        <w:t>.</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Ahora bien, según el </w:t>
      </w:r>
      <w:r w:rsidRPr="006E437B">
        <w:rPr>
          <w:rFonts w:ascii="Times New Roman" w:hAnsi="Times New Roman" w:cs="Times New Roman"/>
          <w:b/>
          <w:i/>
          <w:sz w:val="24"/>
          <w:szCs w:val="24"/>
        </w:rPr>
        <w:t>PROGRAMA HÍDRICO INTEGRAL PARA EL ESTADO DE MÉXICO 2024-2029,</w:t>
      </w:r>
      <w:r w:rsidRPr="006E437B">
        <w:rPr>
          <w:rFonts w:ascii="Times New Roman" w:hAnsi="Times New Roman" w:cs="Times New Roman"/>
          <w:sz w:val="24"/>
          <w:szCs w:val="24"/>
        </w:rPr>
        <w:t xml:space="preserve"> en su apartado 5 de </w:t>
      </w:r>
      <w:r w:rsidRPr="006E437B">
        <w:rPr>
          <w:rFonts w:ascii="Times New Roman" w:hAnsi="Times New Roman" w:cs="Times New Roman"/>
          <w:b/>
          <w:sz w:val="24"/>
          <w:szCs w:val="24"/>
        </w:rPr>
        <w:t>“DIAGNÓSTICO”</w:t>
      </w:r>
      <w:r w:rsidRPr="006E437B">
        <w:rPr>
          <w:rFonts w:ascii="Times New Roman" w:hAnsi="Times New Roman" w:cs="Times New Roman"/>
          <w:sz w:val="24"/>
          <w:szCs w:val="24"/>
        </w:rPr>
        <w:t xml:space="preserve"> refiere – en lo que interesa --- lo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“El agua es un recurso vital cuya disponibilidad y gestión es fundamental para el bienestar humano y la sostenibilidad del entorno. En el Estado de México, la importancia del agua y la necesidad de extremar su cuidado y preservación se ha visto acentuada por una serie de desafíos derivados del crecimiento urbano y demográfico, así como por el comportamiento de las actividades económicas que a su vez han aumentado el requerimiento de volúmenes de agua, generando además importantes fuentes de contaminación.</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Asimismo, factores como el cambio clima tico asociado al aumento de las temperaturas y cambios en los patrones de lluvia, así como la explotación de los bosques y otros componentes favorables del ciclo hidrológico, han limitado la recarga de los acuíferos, mientras que el deficiente manejo en el tratamiento de las aguas residuales urbanas y el aprovecha miento ineficiente del agua, especialmente en actividades agrícolas, ha exacerbado la situación de desequilibrio entre disponibilidad y demanda en la entidad.</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La disponibilidad de agua renovable por habitante en el Estado de México es de apenas 268 m³/hab/año, muy por debajo de la media nacional de 549 m³/hab/año, posicionando a la entidad en el penúltimo lugar a nivel nacional (INEGI, 2019 cit. en PDEM 2023-2029: 54).</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0"/>
          <w:szCs w:val="20"/>
        </w:rPr>
      </w:pPr>
      <w:r w:rsidRPr="006E437B">
        <w:rPr>
          <w:rFonts w:ascii="Times New Roman" w:hAnsi="Times New Roman" w:cs="Times New Roman"/>
          <w:sz w:val="20"/>
          <w:szCs w:val="20"/>
          <w:vertAlign w:val="superscript"/>
        </w:rPr>
        <w:t>3</w:t>
      </w:r>
      <w:r w:rsidRPr="006E437B">
        <w:rPr>
          <w:rFonts w:ascii="Times New Roman" w:hAnsi="Times New Roman" w:cs="Times New Roman"/>
          <w:sz w:val="20"/>
          <w:szCs w:val="20"/>
        </w:rPr>
        <w:t xml:space="preserve"> Consultable en el siguiente enlace electrónico; </w:t>
      </w:r>
      <w:hyperlink r:id="rId22" w:history="1">
        <w:r w:rsidRPr="006E437B">
          <w:rPr>
            <w:rStyle w:val="Hipervnculo"/>
            <w:rFonts w:ascii="Times New Roman" w:hAnsi="Times New Roman" w:cs="Times New Roman"/>
            <w:color w:val="auto"/>
            <w:sz w:val="20"/>
            <w:szCs w:val="20"/>
          </w:rPr>
          <w:t>https://imco.org.mx/situacion-del-agua-enmexico/</w:t>
        </w:r>
      </w:hyperlink>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jc w:val="both"/>
        <w:rPr>
          <w:rFonts w:ascii="Times New Roman" w:hAnsi="Times New Roman" w:cs="Times New Roman"/>
          <w:b/>
          <w:sz w:val="24"/>
          <w:szCs w:val="24"/>
        </w:rPr>
      </w:pPr>
      <w:r w:rsidRPr="006E437B">
        <w:rPr>
          <w:rFonts w:ascii="Times New Roman" w:eastAsia="Arial" w:hAnsi="Times New Roman" w:cs="Times New Roman"/>
          <w:b/>
          <w:i/>
          <w:sz w:val="24"/>
          <w:szCs w:val="24"/>
        </w:rPr>
        <w:t>…</w:t>
      </w:r>
    </w:p>
    <w:p w:rsidR="00EA11D5" w:rsidRPr="006E437B" w:rsidRDefault="00EA11D5" w:rsidP="00141629">
      <w:pPr>
        <w:pStyle w:val="Sinespaciado"/>
        <w:ind w:left="284"/>
        <w:jc w:val="both"/>
        <w:rPr>
          <w:rFonts w:ascii="Times New Roman" w:hAnsi="Times New Roman" w:cs="Times New Roman"/>
          <w:b/>
          <w:sz w:val="24"/>
          <w:szCs w:val="24"/>
        </w:rPr>
      </w:pPr>
    </w:p>
    <w:p w:rsidR="00EA11D5" w:rsidRPr="006E437B" w:rsidRDefault="00EA11D5" w:rsidP="00141629">
      <w:pPr>
        <w:pStyle w:val="Sinespaciado"/>
        <w:ind w:left="284" w:right="49"/>
        <w:jc w:val="both"/>
        <w:rPr>
          <w:rFonts w:ascii="Times New Roman" w:hAnsi="Times New Roman" w:cs="Times New Roman"/>
          <w:sz w:val="24"/>
          <w:szCs w:val="24"/>
        </w:rPr>
      </w:pPr>
      <w:r w:rsidRPr="006E437B">
        <w:rPr>
          <w:rFonts w:ascii="Times New Roman" w:hAnsi="Times New Roman" w:cs="Times New Roman"/>
          <w:sz w:val="24"/>
          <w:szCs w:val="24"/>
        </w:rPr>
        <w:t>De acuerdo con el Censo de Población y Vivienda 2020 del INEGI, el caso del Estado de México que presenta una densidad de 760 habitantes por kilómetro cuadrado, doce veces mayor que el valor nacional de 64 habitantes por kilómetro cuadrado.</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La densidad poblacional y el agua se relacionan estrechamente en aspectos como la disponibilidad, calidad y contaminación, ya que una ciudad densamente poblada tiende a ofertar un mayor número de actividades eco nómicas, bienes, servicios y viviendas que a su vez demandan un mayor volumen de agua para su funcionamiento que, de no ser correctamente gestionado, presentarían problemáticas ambientales como el estrés hídrico, definido como el resultado de una extracción de agua superior a la disponible en las fuentes de abastecimiento.</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b/>
          <w:sz w:val="24"/>
          <w:szCs w:val="24"/>
        </w:rPr>
        <w:t>Esta situación afecta cada vez más a centros urbanos densamente poblados, lo que pone en vulnerabilidad el derecho humano al agua potable y al saneamiento, puesto que el extraer mayores volúmenes de agua no garantiza que este recurso llegue en suficiencia, calidad y cantidad a cada uno de los habitantes.</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Otra de las problemáticas que enfrentan las grandes ciudades son el envejecimiento de la infraestructura que provoca fugas en la conducción del agua, ocasionando que se ex traigan volúmenes superiores a los necesarios para compensar las pérdidas y en consecuencia un aumento en el gasto eléctrico de maquinaria y equipos para extracción, tratamiento y distribución del agua. Esto sin menguar el aumento en los gastos de potabilización por requerir agua de zonas cada vez más profundas y de menor calidad.</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En el Estado de México solo dos municipios presentan menos del 80% de viviendas con agua entubada, siendo estos Tezoyuca y San Felipe del Progreso; seis municipios tienen una cobertura del 80 al 90%, ubicados principalmente en las regiones de México-Pánuco, Ixtlahuaca-Atlacomulco y Cutzamala; mientras que el resto 88 de los municipios de las viviendas rurales y urbanas censadas, más del 90% cuentan con infraestructura de agua potable (INEGI, 2020).</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 xml:space="preserve">En números globales, se </w:t>
      </w:r>
      <w:r w:rsidRPr="006E437B">
        <w:rPr>
          <w:rFonts w:ascii="Times New Roman" w:hAnsi="Times New Roman" w:cs="Times New Roman"/>
          <w:b/>
          <w:sz w:val="24"/>
          <w:szCs w:val="24"/>
          <w:u w:val="single" w:color="000000"/>
        </w:rPr>
        <w:t>registraron para el Estado de</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México 5 millones 403 mil 492 viviendas, de las cuales</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82.2% disponen de agua entubada en el ámbito de la</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vivienda (4 millones 439 mil 141 viviendas); de éstas, 86%</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se abastece del servicio público de agua (3 millones 815</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mil 549 viviendas) (INEGI, 2020). Es decir que, aunque se</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cuente con la infraestructura para el suministro del</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servicio, la dotación puede provenir de otras fuentes</w:t>
      </w:r>
      <w:r w:rsidRPr="006E437B">
        <w:rPr>
          <w:rFonts w:ascii="Times New Roman" w:hAnsi="Times New Roman" w:cs="Times New Roman"/>
          <w:b/>
          <w:sz w:val="24"/>
          <w:szCs w:val="24"/>
        </w:rPr>
        <w:t xml:space="preserve"> </w:t>
      </w:r>
      <w:r w:rsidRPr="006E437B">
        <w:rPr>
          <w:rFonts w:ascii="Times New Roman" w:hAnsi="Times New Roman" w:cs="Times New Roman"/>
          <w:b/>
          <w:sz w:val="24"/>
          <w:szCs w:val="24"/>
          <w:u w:val="single" w:color="000000"/>
        </w:rPr>
        <w:t>como pipas de agua o pozos propios.</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b/>
          <w:sz w:val="24"/>
          <w:szCs w:val="24"/>
          <w:u w:val="single"/>
        </w:rPr>
      </w:pPr>
      <w:r w:rsidRPr="006E437B">
        <w:rPr>
          <w:rFonts w:ascii="Times New Roman" w:hAnsi="Times New Roman" w:cs="Times New Roman"/>
          <w:sz w:val="24"/>
          <w:szCs w:val="24"/>
        </w:rPr>
        <w:t xml:space="preserve">Asimismo, la frecuencia del suministro puede no ser recurrente, pues </w:t>
      </w:r>
      <w:r w:rsidRPr="006E437B">
        <w:rPr>
          <w:rFonts w:ascii="Times New Roman" w:hAnsi="Times New Roman" w:cs="Times New Roman"/>
          <w:b/>
          <w:sz w:val="24"/>
          <w:szCs w:val="24"/>
          <w:u w:val="single"/>
        </w:rPr>
        <w:t>para el Estado de México se registra una dotación promedio de cinco días durante 14.5 horas (Censo Nacional de Gobiernos Municipales y Demarcaciones, 2023).</w:t>
      </w:r>
    </w:p>
    <w:p w:rsidR="00EA11D5" w:rsidRPr="006E437B" w:rsidRDefault="00EA11D5" w:rsidP="00141629">
      <w:pPr>
        <w:pStyle w:val="Sinespaciado"/>
        <w:ind w:left="284" w:right="2317"/>
        <w:jc w:val="both"/>
        <w:rPr>
          <w:rFonts w:ascii="Times New Roman" w:hAnsi="Times New Roman" w:cs="Times New Roman"/>
          <w:b/>
          <w:sz w:val="24"/>
          <w:szCs w:val="24"/>
          <w:u w:val="single"/>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La infraestructura para abastecimiento de agua potable puede ser de propiedad municipal, estatal o federal, dependiendo del origen del recurso hídrico o de la entidad que construye y administra la infraestructura.</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Los principales elementos que conforman los sistemas de suministro de agua potable son las fuentes de extracción, potabilización, almacenamiento y distribución.</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hAnsi="Times New Roman" w:cs="Times New Roman"/>
          <w:sz w:val="24"/>
          <w:szCs w:val="24"/>
        </w:rPr>
        <w:t>Respecto a la infraestructura de distribución, de acuerdo con la información proporcionada por Organismos Operadores, el material predominante de la red de distribución es de asbestocemento.</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u w:val="single"/>
        </w:rPr>
      </w:pPr>
      <w:r w:rsidRPr="006E437B">
        <w:rPr>
          <w:rFonts w:ascii="Times New Roman" w:hAnsi="Times New Roman" w:cs="Times New Roman"/>
          <w:sz w:val="24"/>
          <w:szCs w:val="24"/>
          <w:u w:val="single"/>
        </w:rPr>
        <w:t>A su vez, se identificó que la mayoría de los Organismos Operadores no cuentan con mapas actualizados de la cobertura de la red hidráulica y sanitaria, algunos de ellos solo tienen planos en papel de ciertas secciones municipales, del resto se desconoce la dirección o funcionalidad de la misma, por lo que se estima que las pérdidas de agua por fuga pueden ser mayores a 40% debido a la falta de medidores y de monitoreo de la infraestructura existente.</w:t>
      </w:r>
    </w:p>
    <w:p w:rsidR="00EA11D5" w:rsidRPr="006E437B" w:rsidRDefault="00EA11D5" w:rsidP="00141629">
      <w:pPr>
        <w:pStyle w:val="Sinespaciado"/>
        <w:ind w:left="284" w:right="2317"/>
        <w:jc w:val="both"/>
        <w:rPr>
          <w:rFonts w:ascii="Times New Roman" w:hAnsi="Times New Roman" w:cs="Times New Roman"/>
          <w:sz w:val="24"/>
          <w:szCs w:val="24"/>
          <w:u w:val="single"/>
        </w:rPr>
      </w:pPr>
    </w:p>
    <w:p w:rsidR="00EA11D5" w:rsidRPr="006E437B" w:rsidRDefault="00EA11D5" w:rsidP="00141629">
      <w:pPr>
        <w:pStyle w:val="Sinespaciado"/>
        <w:ind w:left="284" w:right="2317"/>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b/>
          <w:sz w:val="24"/>
          <w:szCs w:val="24"/>
        </w:rPr>
      </w:pPr>
      <w:r w:rsidRPr="006E437B">
        <w:rPr>
          <w:rFonts w:ascii="Times New Roman" w:hAnsi="Times New Roman" w:cs="Times New Roman"/>
          <w:b/>
          <w:sz w:val="24"/>
          <w:szCs w:val="24"/>
        </w:rPr>
        <w:t>La población percibe la escasez de agua como el principal problema social, aún después de la pobreza o inseguridad.</w:t>
      </w:r>
    </w:p>
    <w:p w:rsidR="00EA11D5" w:rsidRPr="006E437B" w:rsidRDefault="00EA11D5" w:rsidP="00141629">
      <w:pPr>
        <w:pStyle w:val="Sinespaciado"/>
        <w:ind w:left="284" w:right="2317"/>
        <w:jc w:val="both"/>
        <w:rPr>
          <w:rFonts w:ascii="Times New Roman" w:hAnsi="Times New Roman" w:cs="Times New Roman"/>
          <w:b/>
          <w:sz w:val="24"/>
          <w:szCs w:val="24"/>
        </w:rPr>
      </w:pPr>
    </w:p>
    <w:p w:rsidR="00EA11D5" w:rsidRPr="006E437B" w:rsidRDefault="00EA11D5" w:rsidP="00141629">
      <w:pPr>
        <w:pStyle w:val="Sinespaciado"/>
        <w:ind w:left="284" w:right="2317"/>
        <w:jc w:val="both"/>
        <w:rPr>
          <w:rFonts w:ascii="Times New Roman" w:hAnsi="Times New Roman" w:cs="Times New Roman"/>
          <w:b/>
          <w:sz w:val="24"/>
          <w:szCs w:val="24"/>
        </w:rPr>
      </w:pPr>
      <w:r w:rsidRPr="006E437B">
        <w:rPr>
          <w:rFonts w:ascii="Times New Roman" w:hAnsi="Times New Roman" w:cs="Times New Roman"/>
          <w:b/>
          <w:sz w:val="24"/>
          <w:szCs w:val="24"/>
        </w:rPr>
        <w:t>Específicamente para los municipios con mayor población en la zona del Valle de México, externan que a raíz del desabasto han surgido diversos piperos particulares en la zona que les proveen el servicio agua, ya que los tandeos son cada vez más prolongados, situación que los orilla a contactar servicios privados de agua pues, aunque el servicio es gratuito por parte del Municipio y el Estado, ellos tardan varios días en brindar el servicio y la necesidad es apremiante.</w:t>
      </w:r>
    </w:p>
    <w:p w:rsidR="00EA11D5" w:rsidRPr="006E437B" w:rsidRDefault="00EA11D5" w:rsidP="00141629">
      <w:pPr>
        <w:pStyle w:val="Sinespaciado"/>
        <w:ind w:left="284" w:right="2317"/>
        <w:jc w:val="both"/>
        <w:rPr>
          <w:rFonts w:ascii="Times New Roman" w:hAnsi="Times New Roman" w:cs="Times New Roman"/>
          <w:b/>
          <w:sz w:val="24"/>
          <w:szCs w:val="24"/>
        </w:rPr>
      </w:pPr>
    </w:p>
    <w:p w:rsidR="00EA11D5" w:rsidRPr="006E437B" w:rsidRDefault="00EA11D5" w:rsidP="00141629">
      <w:pPr>
        <w:pStyle w:val="Sinespaciado"/>
        <w:ind w:left="284" w:right="2317"/>
        <w:jc w:val="both"/>
        <w:rPr>
          <w:rFonts w:ascii="Times New Roman" w:hAnsi="Times New Roman" w:cs="Times New Roman"/>
          <w:b/>
          <w:sz w:val="24"/>
          <w:szCs w:val="24"/>
        </w:rPr>
      </w:pPr>
      <w:r w:rsidRPr="006E437B">
        <w:rPr>
          <w:rFonts w:ascii="Times New Roman" w:hAnsi="Times New Roman" w:cs="Times New Roman"/>
          <w:b/>
          <w:sz w:val="24"/>
          <w:szCs w:val="24"/>
        </w:rPr>
        <w:t>Esta situación los cuestiona sobre la disponibilidad real de agua al observar que en sus viviendas no cuentan con el recurso, pero los piperos particulares a diario brindan el servicio con carros tanque de 10 mil litros.</w:t>
      </w:r>
    </w:p>
    <w:p w:rsidR="00EA11D5" w:rsidRPr="006E437B" w:rsidRDefault="00EA11D5" w:rsidP="00141629">
      <w:pPr>
        <w:pStyle w:val="Sinespaciado"/>
        <w:ind w:left="284" w:right="2317"/>
        <w:jc w:val="both"/>
        <w:rPr>
          <w:rFonts w:ascii="Times New Roman" w:hAnsi="Times New Roman" w:cs="Times New Roman"/>
          <w:sz w:val="24"/>
          <w:szCs w:val="24"/>
        </w:rPr>
      </w:pPr>
    </w:p>
    <w:p w:rsidR="00EA11D5" w:rsidRPr="006E437B" w:rsidRDefault="00EA11D5" w:rsidP="00141629">
      <w:pPr>
        <w:pStyle w:val="Sinespaciado"/>
        <w:ind w:left="284" w:right="2317"/>
        <w:jc w:val="both"/>
        <w:rPr>
          <w:rFonts w:ascii="Times New Roman" w:hAnsi="Times New Roman" w:cs="Times New Roman"/>
          <w:sz w:val="24"/>
          <w:szCs w:val="24"/>
        </w:rPr>
      </w:pPr>
      <w:r w:rsidRPr="006E437B">
        <w:rPr>
          <w:rFonts w:ascii="Times New Roman" w:eastAsia="Arial" w:hAnsi="Times New Roman" w:cs="Times New Roman"/>
          <w:b/>
          <w:i/>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Además de que en el mismo </w:t>
      </w:r>
      <w:r w:rsidRPr="006E437B">
        <w:rPr>
          <w:rFonts w:ascii="Times New Roman" w:eastAsia="Arial" w:hAnsi="Times New Roman" w:cs="Times New Roman"/>
          <w:b/>
          <w:i/>
          <w:sz w:val="24"/>
          <w:szCs w:val="24"/>
        </w:rPr>
        <w:t>“Programa Hídrico Integral para el Estado de México 2024-2029</w:t>
      </w:r>
      <w:r w:rsidRPr="006E437B">
        <w:rPr>
          <w:rFonts w:ascii="Times New Roman" w:eastAsia="Arial" w:hAnsi="Times New Roman" w:cs="Times New Roman"/>
          <w:b/>
          <w:i/>
          <w:sz w:val="24"/>
          <w:szCs w:val="24"/>
          <w:vertAlign w:val="superscript"/>
        </w:rPr>
        <w:t>4</w:t>
      </w:r>
      <w:r w:rsidRPr="006E437B">
        <w:rPr>
          <w:rFonts w:ascii="Times New Roman" w:eastAsia="Arial" w:hAnsi="Times New Roman" w:cs="Times New Roman"/>
          <w:b/>
          <w:i/>
          <w:sz w:val="24"/>
          <w:szCs w:val="24"/>
        </w:rPr>
        <w:t>”</w:t>
      </w:r>
      <w:r w:rsidRPr="006E437B">
        <w:rPr>
          <w:rFonts w:ascii="Times New Roman" w:eastAsia="Arial" w:hAnsi="Times New Roman" w:cs="Times New Roman"/>
          <w:sz w:val="24"/>
          <w:szCs w:val="24"/>
        </w:rPr>
        <w:t xml:space="preserve"> el Gobierno del Estado de México reconoce la crisis hídrica la entidad estatal ya que, se advierte lo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rPr>
          <w:rFonts w:ascii="Times New Roman" w:hAnsi="Times New Roman" w:cs="Times New Roman"/>
          <w:sz w:val="20"/>
          <w:szCs w:val="24"/>
          <w:u w:val="single"/>
        </w:rPr>
      </w:pPr>
      <w:r w:rsidRPr="006E437B">
        <w:rPr>
          <w:rFonts w:ascii="Times New Roman" w:hAnsi="Times New Roman" w:cs="Times New Roman"/>
          <w:sz w:val="20"/>
          <w:szCs w:val="24"/>
          <w:vertAlign w:val="superscript"/>
        </w:rPr>
        <w:t>4</w:t>
      </w:r>
      <w:r w:rsidRPr="006E437B">
        <w:rPr>
          <w:rFonts w:ascii="Times New Roman" w:hAnsi="Times New Roman" w:cs="Times New Roman"/>
          <w:sz w:val="20"/>
          <w:szCs w:val="24"/>
        </w:rPr>
        <w:t xml:space="preserve"> Consultable en el siguiente enlace electrónico; </w:t>
      </w:r>
      <w:hyperlink r:id="rId23" w:history="1">
        <w:r w:rsidR="00D269CE" w:rsidRPr="006E437B">
          <w:rPr>
            <w:rStyle w:val="Hipervnculo"/>
            <w:rFonts w:ascii="Times New Roman" w:hAnsi="Times New Roman" w:cs="Times New Roman"/>
            <w:color w:val="auto"/>
            <w:sz w:val="20"/>
            <w:szCs w:val="24"/>
          </w:rPr>
          <w:t>https://caem.edomex.gob.mx/sites/caem.edomex.gob.mx/files/Documentacion/PH/PHIEM20242029.pdf</w:t>
        </w:r>
      </w:hyperlink>
    </w:p>
    <w:p w:rsidR="00EA11D5" w:rsidRPr="006E437B" w:rsidRDefault="00EA11D5" w:rsidP="00141629">
      <w:pPr>
        <w:pStyle w:val="Sinespaciado"/>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El Estado de México enfrenta actualmente severas presiones sobre sus recursos hídricos, derivadas del crecimiento poblacional, la expansión urbana, el incremento de actividades productivas, el cambio climático, la sobreexplotación de acuíferos y el deterioro ambiental de las zonas de recarga.</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Estos factores han generado un grave desequilibrio entre la oferta y la demanda de agua, comprometiendo la seguridad hídrica de la entidad.”</w:t>
      </w:r>
    </w:p>
    <w:p w:rsidR="00EA11D5" w:rsidRPr="006E437B" w:rsidRDefault="00EA11D5" w:rsidP="00141629">
      <w:pPr>
        <w:pStyle w:val="Sinespaciado"/>
        <w:jc w:val="both"/>
        <w:rPr>
          <w:rFonts w:ascii="Times New Roman" w:hAnsi="Times New Roman" w:cs="Times New Roman"/>
          <w:b/>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Por lo que, la crisis hídrica en el Estado de México se debe a múltiples factores y de los que, se identifican los siguientes;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DA64DA">
      <w:pPr>
        <w:pStyle w:val="Sinespaciado"/>
        <w:numPr>
          <w:ilvl w:val="0"/>
          <w:numId w:val="12"/>
        </w:numPr>
        <w:jc w:val="both"/>
        <w:rPr>
          <w:rFonts w:ascii="Times New Roman" w:hAnsi="Times New Roman" w:cs="Times New Roman"/>
          <w:sz w:val="24"/>
          <w:szCs w:val="24"/>
        </w:rPr>
      </w:pPr>
      <w:r w:rsidRPr="006E437B">
        <w:rPr>
          <w:rFonts w:ascii="Times New Roman" w:hAnsi="Times New Roman" w:cs="Times New Roman"/>
          <w:sz w:val="24"/>
          <w:szCs w:val="24"/>
        </w:rPr>
        <w:t>Sobreexplotación de acuíferos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DA64DA">
      <w:pPr>
        <w:pStyle w:val="Sinespaciado"/>
        <w:numPr>
          <w:ilvl w:val="0"/>
          <w:numId w:val="12"/>
        </w:numPr>
        <w:jc w:val="both"/>
        <w:rPr>
          <w:rFonts w:ascii="Times New Roman" w:hAnsi="Times New Roman" w:cs="Times New Roman"/>
          <w:sz w:val="24"/>
          <w:szCs w:val="24"/>
        </w:rPr>
      </w:pPr>
      <w:r w:rsidRPr="006E437B">
        <w:rPr>
          <w:rFonts w:ascii="Times New Roman" w:hAnsi="Times New Roman" w:cs="Times New Roman"/>
          <w:sz w:val="24"/>
          <w:szCs w:val="24"/>
        </w:rPr>
        <w:t>Pérdida de casi el 40% del agua en fugas por infraestructura obsoleta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DA64DA">
      <w:pPr>
        <w:pStyle w:val="Sinespaciado"/>
        <w:numPr>
          <w:ilvl w:val="0"/>
          <w:numId w:val="12"/>
        </w:numPr>
        <w:jc w:val="both"/>
        <w:rPr>
          <w:rFonts w:ascii="Times New Roman" w:hAnsi="Times New Roman" w:cs="Times New Roman"/>
          <w:sz w:val="24"/>
          <w:szCs w:val="24"/>
        </w:rPr>
      </w:pPr>
      <w:r w:rsidRPr="006E437B">
        <w:rPr>
          <w:rFonts w:ascii="Times New Roman" w:hAnsi="Times New Roman" w:cs="Times New Roman"/>
          <w:sz w:val="24"/>
          <w:szCs w:val="24"/>
        </w:rPr>
        <w:t>Alta dependencia del Sistema Cutzamala</w:t>
      </w:r>
    </w:p>
    <w:p w:rsidR="00EA11D5" w:rsidRPr="006E437B" w:rsidRDefault="00EA11D5" w:rsidP="00141629">
      <w:pPr>
        <w:pStyle w:val="Prrafodelista"/>
        <w:spacing w:after="0" w:line="240" w:lineRule="auto"/>
        <w:ind w:left="0"/>
        <w:rPr>
          <w:rFonts w:ascii="Times New Roman" w:hAnsi="Times New Roman" w:cs="Times New Roman"/>
          <w:color w:val="auto"/>
          <w:sz w:val="24"/>
          <w:szCs w:val="24"/>
        </w:rPr>
      </w:pPr>
    </w:p>
    <w:p w:rsidR="00EA11D5" w:rsidRPr="006E437B" w:rsidRDefault="00EA11D5" w:rsidP="00DA64DA">
      <w:pPr>
        <w:pStyle w:val="Prrafodelista"/>
        <w:numPr>
          <w:ilvl w:val="0"/>
          <w:numId w:val="12"/>
        </w:numPr>
        <w:spacing w:after="0" w:line="240" w:lineRule="auto"/>
        <w:ind w:right="966"/>
        <w:jc w:val="both"/>
        <w:rPr>
          <w:rFonts w:ascii="Times New Roman" w:hAnsi="Times New Roman" w:cs="Times New Roman"/>
          <w:color w:val="auto"/>
          <w:sz w:val="24"/>
          <w:szCs w:val="24"/>
        </w:rPr>
      </w:pPr>
      <w:r w:rsidRPr="006E437B">
        <w:rPr>
          <w:rFonts w:ascii="Times New Roman" w:eastAsia="Arial" w:hAnsi="Times New Roman" w:cs="Times New Roman"/>
          <w:color w:val="auto"/>
          <w:sz w:val="24"/>
          <w:szCs w:val="24"/>
        </w:rPr>
        <w:t>Sobrepoblación o densidad demográfica</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Consecuentemente y según los datos del </w:t>
      </w:r>
      <w:r w:rsidRPr="006E437B">
        <w:rPr>
          <w:rFonts w:ascii="Times New Roman" w:hAnsi="Times New Roman" w:cs="Times New Roman"/>
          <w:b/>
          <w:i/>
          <w:sz w:val="24"/>
          <w:szCs w:val="24"/>
        </w:rPr>
        <w:t>Consejo de Investigación y Evaluación de la Política Social del Estado de México</w:t>
      </w:r>
      <w:r w:rsidRPr="006E437B">
        <w:rPr>
          <w:rFonts w:ascii="Times New Roman" w:hAnsi="Times New Roman" w:cs="Times New Roman"/>
          <w:i/>
          <w:sz w:val="24"/>
          <w:szCs w:val="24"/>
          <w:vertAlign w:val="superscript"/>
        </w:rPr>
        <w:t>5</w:t>
      </w:r>
      <w:r w:rsidRPr="006E437B">
        <w:rPr>
          <w:rFonts w:ascii="Times New Roman" w:hAnsi="Times New Roman" w:cs="Times New Roman"/>
          <w:b/>
          <w:i/>
          <w:sz w:val="24"/>
          <w:szCs w:val="24"/>
        </w:rPr>
        <w:t xml:space="preserve"> </w:t>
      </w:r>
      <w:r w:rsidRPr="006E437B">
        <w:rPr>
          <w:rFonts w:ascii="Times New Roman" w:hAnsi="Times New Roman" w:cs="Times New Roman"/>
          <w:sz w:val="24"/>
          <w:szCs w:val="24"/>
        </w:rPr>
        <w:t>(CIEPS), la crisis hídrica que atraviesa el Estado de México, se traduce en una afectación directa para;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center"/>
        <w:rPr>
          <w:rFonts w:ascii="Times New Roman" w:hAnsi="Times New Roman" w:cs="Times New Roman"/>
          <w:b/>
          <w:sz w:val="24"/>
          <w:szCs w:val="24"/>
          <w:u w:val="single"/>
        </w:rPr>
      </w:pPr>
      <w:r w:rsidRPr="006E437B">
        <w:rPr>
          <w:rFonts w:ascii="Times New Roman" w:hAnsi="Times New Roman" w:cs="Times New Roman"/>
          <w:b/>
          <w:sz w:val="24"/>
          <w:szCs w:val="24"/>
          <w:u w:val="single"/>
        </w:rPr>
        <w:t>UN MILLÓN DOSCIENTOS CINCO MIL MEXIQUENSES.</w:t>
      </w:r>
    </w:p>
    <w:p w:rsidR="00EA11D5" w:rsidRPr="006E437B" w:rsidRDefault="00EA11D5" w:rsidP="00141629">
      <w:pPr>
        <w:pStyle w:val="Sinespaciado"/>
        <w:rPr>
          <w:rFonts w:ascii="Times New Roman" w:hAnsi="Times New Roman" w:cs="Times New Roman"/>
          <w:b/>
          <w:sz w:val="24"/>
          <w:szCs w:val="24"/>
          <w:u w:val="single"/>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Dichos datos se ven reflejados en el sentir de las personas ya que, según </w:t>
      </w:r>
      <w:r w:rsidRPr="006E437B">
        <w:rPr>
          <w:rFonts w:ascii="Times New Roman" w:hAnsi="Times New Roman" w:cs="Times New Roman"/>
          <w:b/>
          <w:i/>
          <w:sz w:val="24"/>
          <w:szCs w:val="24"/>
        </w:rPr>
        <w:t>el Instituto Nacional de Estadística y Geografía</w:t>
      </w:r>
      <w:r w:rsidRPr="006E437B">
        <w:rPr>
          <w:rFonts w:ascii="Times New Roman" w:hAnsi="Times New Roman" w:cs="Times New Roman"/>
          <w:sz w:val="24"/>
          <w:szCs w:val="24"/>
        </w:rPr>
        <w:t xml:space="preserve"> (INEGI), en el año 2024, 37 de cada 100 personas manifestaron temor por la falta del recurso hídrico, situando que después de la inseguridad, la </w:t>
      </w:r>
      <w:r w:rsidRPr="006E437B">
        <w:rPr>
          <w:rFonts w:ascii="Times New Roman" w:hAnsi="Times New Roman" w:cs="Times New Roman"/>
          <w:b/>
          <w:sz w:val="24"/>
          <w:szCs w:val="24"/>
          <w:u w:val="single"/>
        </w:rPr>
        <w:t>escasez de agua potable</w:t>
      </w:r>
      <w:r w:rsidRPr="006E437B">
        <w:rPr>
          <w:rFonts w:ascii="Times New Roman" w:hAnsi="Times New Roman" w:cs="Times New Roman"/>
          <w:sz w:val="24"/>
          <w:szCs w:val="24"/>
        </w:rPr>
        <w:t xml:space="preserve"> es la segunda preocupación más grande entre los mexiquenses.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0"/>
          <w:szCs w:val="24"/>
          <w:u w:val="single"/>
        </w:rPr>
      </w:pPr>
      <w:r w:rsidRPr="006E437B">
        <w:rPr>
          <w:rFonts w:ascii="Times New Roman" w:hAnsi="Times New Roman" w:cs="Times New Roman"/>
          <w:sz w:val="20"/>
          <w:szCs w:val="24"/>
          <w:vertAlign w:val="superscript"/>
        </w:rPr>
        <w:t>5</w:t>
      </w:r>
      <w:r w:rsidRPr="006E437B">
        <w:rPr>
          <w:rFonts w:ascii="Times New Roman" w:hAnsi="Times New Roman" w:cs="Times New Roman"/>
          <w:sz w:val="20"/>
          <w:szCs w:val="24"/>
        </w:rPr>
        <w:t xml:space="preserve"> </w:t>
      </w:r>
      <w:r w:rsidRPr="006E437B">
        <w:rPr>
          <w:rFonts w:ascii="Times New Roman" w:hAnsi="Times New Roman" w:cs="Times New Roman"/>
          <w:b/>
          <w:sz w:val="20"/>
          <w:szCs w:val="24"/>
        </w:rPr>
        <w:t xml:space="preserve">Consultable en el siguiente enlace electrónico; </w:t>
      </w:r>
      <w:hyperlink r:id="rId24" w:history="1">
        <w:r w:rsidRPr="006E437B">
          <w:rPr>
            <w:rStyle w:val="Hipervnculo"/>
            <w:rFonts w:ascii="Times New Roman" w:hAnsi="Times New Roman" w:cs="Times New Roman"/>
            <w:b/>
            <w:color w:val="auto"/>
            <w:sz w:val="20"/>
            <w:szCs w:val="24"/>
          </w:rPr>
          <w:t>https://cieps.edomex.gob.mx/</w:t>
        </w:r>
      </w:hyperlink>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Por lo anterior es que, es indubitable la escasez del agua potable para las familias mexiquenses y que se ha convertido en una crisis hídrica en el Estado de México. crisis que implica el funcionamiento de diversos detonantes que sirven para mitigarla.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Derivado de lo anterior, se justifica, motiva y se fundamenta la presente iniciativa ya que, se encuentra ajustada a las garantías constitucionales y de conformidad con la legislación federal en materia de aprovechamiento de aguas fluviales para uso humano y doméstico a través de la implementación de Sistemas de Captación y aprovechamiento de agua de lluvia.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Aunado a lo anterior, se debe señalar que la presente iniciativa se soporta en</w:t>
      </w:r>
      <w:r w:rsidRPr="006E437B">
        <w:rPr>
          <w:rFonts w:ascii="Times New Roman" w:hAnsi="Times New Roman" w:cs="Times New Roman"/>
          <w:sz w:val="24"/>
          <w:szCs w:val="24"/>
        </w:rPr>
        <w:t xml:space="preserve"> la </w:t>
      </w:r>
      <w:r w:rsidRPr="006E437B">
        <w:rPr>
          <w:rFonts w:ascii="Times New Roman" w:hAnsi="Times New Roman" w:cs="Times New Roman"/>
          <w:b/>
          <w:i/>
          <w:sz w:val="24"/>
          <w:szCs w:val="24"/>
        </w:rPr>
        <w:t>LEY GENERAL DE AGUAS</w:t>
      </w:r>
      <w:r w:rsidRPr="006E437B">
        <w:rPr>
          <w:rFonts w:ascii="Times New Roman" w:hAnsi="Times New Roman" w:cs="Times New Roman"/>
          <w:sz w:val="24"/>
          <w:szCs w:val="24"/>
        </w:rPr>
        <w:t>, misma que establece --- en lo que interesa -- lo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4.</w:t>
      </w:r>
      <w:r w:rsidRPr="006E437B">
        <w:rPr>
          <w:rFonts w:ascii="Times New Roman" w:hAnsi="Times New Roman" w:cs="Times New Roman"/>
          <w:sz w:val="24"/>
          <w:szCs w:val="24"/>
        </w:rPr>
        <w:t xml:space="preserve"> Para efectos de la presente Ley se entenderá por:</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XV.</w:t>
      </w:r>
      <w:r w:rsidRPr="006E437B">
        <w:rPr>
          <w:rFonts w:ascii="Times New Roman" w:hAnsi="Times New Roman" w:cs="Times New Roman"/>
          <w:sz w:val="24"/>
          <w:szCs w:val="24"/>
        </w:rPr>
        <w:t xml:space="preserve"> Sistemas de captación de agua pluvial: Mecanismos que permiten la recolección, filtración, tratamiento y almacenaje del agua de lluvia que cae en el techo o cubierta para su posterior uso y aprovechamiento en la vivienda o edificación.</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5</w:t>
      </w:r>
      <w:r w:rsidRPr="006E437B">
        <w:rPr>
          <w:rFonts w:ascii="Times New Roman" w:hAnsi="Times New Roman" w:cs="Times New Roman"/>
          <w:sz w:val="24"/>
          <w:szCs w:val="24"/>
        </w:rPr>
        <w:t>. Toda persona gozará del derecho humano al agua conforme a lo establecido en la Constitución y a los tratados e instrumentos internacionales de los que el Estado mexicano sea parte. Todas las autoridades, en el ámbito de su competencia tienen la obligación de promover, respetar, proteger y garantizar el derecho humano al agua.</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spacing w:after="0" w:line="240" w:lineRule="auto"/>
        <w:ind w:left="284" w:right="333"/>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w:t>
      </w:r>
    </w:p>
    <w:p w:rsidR="00EA11D5" w:rsidRPr="006E437B" w:rsidRDefault="00EA11D5" w:rsidP="00141629">
      <w:pPr>
        <w:spacing w:after="0" w:line="240" w:lineRule="aut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7.</w:t>
      </w:r>
      <w:r w:rsidRPr="006E437B">
        <w:rPr>
          <w:rFonts w:ascii="Times New Roman" w:hAnsi="Times New Roman" w:cs="Times New Roman"/>
          <w:sz w:val="24"/>
          <w:szCs w:val="24"/>
        </w:rPr>
        <w:t xml:space="preserve"> Para garantizar el derecho humano al agua se deberán asegurar los siguientes elementos:</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DA64DA">
      <w:pPr>
        <w:pStyle w:val="Sinespaciado"/>
        <w:numPr>
          <w:ilvl w:val="0"/>
          <w:numId w:val="13"/>
        </w:numPr>
        <w:ind w:left="284" w:right="333" w:firstLine="0"/>
        <w:jc w:val="both"/>
        <w:rPr>
          <w:rFonts w:ascii="Times New Roman" w:hAnsi="Times New Roman" w:cs="Times New Roman"/>
          <w:sz w:val="24"/>
          <w:szCs w:val="24"/>
        </w:rPr>
      </w:pPr>
      <w:r w:rsidRPr="006E437B">
        <w:rPr>
          <w:rFonts w:ascii="Times New Roman" w:hAnsi="Times New Roman" w:cs="Times New Roman"/>
          <w:sz w:val="24"/>
          <w:szCs w:val="24"/>
        </w:rPr>
        <w:t>Accesibilidad: Toda persona, sin discriminación, debe tener alcance físico al agua y a las instalaciones y servicios en su hogar, institución educativa, lugar de trabajo o en sus cercanías inmediatas. La seguridad física no debe verse amenazada durante el acceso a los servicios e instalaciones de agua;</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DA64DA">
      <w:pPr>
        <w:pStyle w:val="Sinespaciado"/>
        <w:numPr>
          <w:ilvl w:val="0"/>
          <w:numId w:val="13"/>
        </w:numPr>
        <w:ind w:left="284" w:right="333" w:firstLine="0"/>
        <w:jc w:val="both"/>
        <w:rPr>
          <w:rFonts w:ascii="Times New Roman" w:hAnsi="Times New Roman" w:cs="Times New Roman"/>
          <w:sz w:val="24"/>
          <w:szCs w:val="24"/>
        </w:rPr>
      </w:pPr>
      <w:r w:rsidRPr="006E437B">
        <w:rPr>
          <w:rFonts w:ascii="Times New Roman" w:hAnsi="Times New Roman" w:cs="Times New Roman"/>
          <w:b/>
          <w:sz w:val="24"/>
          <w:szCs w:val="24"/>
        </w:rPr>
        <w:t>Acceso a la Información:</w:t>
      </w:r>
      <w:r w:rsidRPr="006E437B">
        <w:rPr>
          <w:rFonts w:ascii="Times New Roman" w:hAnsi="Times New Roman" w:cs="Times New Roman"/>
          <w:sz w:val="24"/>
          <w:szCs w:val="24"/>
        </w:rPr>
        <w:t xml:space="preserve"> Derecho a solicitar, recibir y difundir información relacionada con el derecho humano al agua, de acuerdo con principios de transparencia y rendición de cuentas, en términos de la legislación aplicable;</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3"/>
        </w:numPr>
        <w:ind w:left="284" w:right="333" w:firstLine="0"/>
        <w:jc w:val="both"/>
        <w:rPr>
          <w:rFonts w:ascii="Times New Roman" w:hAnsi="Times New Roman" w:cs="Times New Roman"/>
          <w:sz w:val="24"/>
          <w:szCs w:val="24"/>
        </w:rPr>
      </w:pPr>
      <w:r w:rsidRPr="006E437B">
        <w:rPr>
          <w:rFonts w:ascii="Times New Roman" w:hAnsi="Times New Roman" w:cs="Times New Roman"/>
          <w:b/>
          <w:sz w:val="24"/>
          <w:szCs w:val="24"/>
        </w:rPr>
        <w:t>Aceptabilidad:</w:t>
      </w:r>
      <w:r w:rsidRPr="006E437B">
        <w:rPr>
          <w:rFonts w:ascii="Times New Roman" w:hAnsi="Times New Roman" w:cs="Times New Roman"/>
          <w:sz w:val="24"/>
          <w:szCs w:val="24"/>
        </w:rPr>
        <w:t xml:space="preserve"> El acceso al agua, su color, olor y sabor deben ser satisfactorios, considerando su potabilidad y calidad, también cultural y socialmente adecuados, las necesidades relativas al género, así como las prácticas habituales de higiene e intimidad de cada cultura;</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3"/>
        </w:numPr>
        <w:ind w:left="284" w:right="333" w:firstLine="0"/>
        <w:jc w:val="both"/>
        <w:rPr>
          <w:rFonts w:ascii="Times New Roman" w:hAnsi="Times New Roman" w:cs="Times New Roman"/>
          <w:sz w:val="24"/>
          <w:szCs w:val="24"/>
        </w:rPr>
      </w:pPr>
      <w:r w:rsidRPr="006E437B">
        <w:rPr>
          <w:rFonts w:ascii="Times New Roman" w:hAnsi="Times New Roman" w:cs="Times New Roman"/>
          <w:b/>
          <w:sz w:val="24"/>
          <w:szCs w:val="24"/>
        </w:rPr>
        <w:t>Asequibilidad:</w:t>
      </w:r>
      <w:r w:rsidRPr="006E437B">
        <w:rPr>
          <w:rFonts w:ascii="Times New Roman" w:hAnsi="Times New Roman" w:cs="Times New Roman"/>
          <w:sz w:val="24"/>
          <w:szCs w:val="24"/>
        </w:rPr>
        <w:t xml:space="preserve"> El agua debe estar al alcance económico de todas las personas, sin que los costos y cargos directos e indirectos pongan en riesgo el ejercicio de otros derechos, ni impliquen una carga desproporcionada para los hogares;</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3"/>
        </w:numPr>
        <w:ind w:left="284" w:right="333" w:firstLine="0"/>
        <w:jc w:val="both"/>
        <w:rPr>
          <w:rFonts w:ascii="Times New Roman" w:hAnsi="Times New Roman" w:cs="Times New Roman"/>
          <w:sz w:val="24"/>
          <w:szCs w:val="24"/>
        </w:rPr>
      </w:pPr>
      <w:r w:rsidRPr="006E437B">
        <w:rPr>
          <w:rFonts w:ascii="Times New Roman" w:hAnsi="Times New Roman" w:cs="Times New Roman"/>
          <w:b/>
          <w:sz w:val="24"/>
          <w:szCs w:val="24"/>
        </w:rPr>
        <w:t>Calidad:</w:t>
      </w:r>
      <w:r w:rsidRPr="006E437B">
        <w:rPr>
          <w:rFonts w:ascii="Times New Roman" w:hAnsi="Times New Roman" w:cs="Times New Roman"/>
          <w:sz w:val="24"/>
          <w:szCs w:val="24"/>
        </w:rPr>
        <w:t xml:space="preserve"> El agua debe estar libre de sustancias que puedan causar daño a la salud por consumirla, debiendo constatarse su inocuidad y el cumplimiento de las Normas Oficiales Mexicanas aplicables, y</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3"/>
        </w:numPr>
        <w:ind w:left="284" w:right="333" w:firstLine="0"/>
        <w:jc w:val="both"/>
        <w:rPr>
          <w:rFonts w:ascii="Times New Roman" w:hAnsi="Times New Roman" w:cs="Times New Roman"/>
          <w:sz w:val="24"/>
          <w:szCs w:val="24"/>
        </w:rPr>
      </w:pPr>
      <w:r w:rsidRPr="006E437B">
        <w:rPr>
          <w:rFonts w:ascii="Times New Roman" w:hAnsi="Times New Roman" w:cs="Times New Roman"/>
          <w:b/>
          <w:sz w:val="24"/>
          <w:szCs w:val="24"/>
        </w:rPr>
        <w:t>Disponibilidad:</w:t>
      </w:r>
      <w:r w:rsidRPr="006E437B">
        <w:rPr>
          <w:rFonts w:ascii="Times New Roman" w:hAnsi="Times New Roman" w:cs="Times New Roman"/>
          <w:sz w:val="24"/>
          <w:szCs w:val="24"/>
        </w:rPr>
        <w:t xml:space="preserve"> El abastecimiento de agua debe ser suficiente en cantidad, continuo y equitativo, para sostener la vida humana</w:t>
      </w:r>
    </w:p>
    <w:p w:rsidR="00EA11D5" w:rsidRPr="006E437B" w:rsidRDefault="00EA11D5" w:rsidP="00141629">
      <w:pPr>
        <w:pStyle w:val="Prrafodelista"/>
        <w:spacing w:after="0" w:line="240" w:lineRule="auto"/>
        <w:rPr>
          <w:rFonts w:ascii="Times New Roman" w:hAnsi="Times New Roman" w:cs="Times New Roman"/>
          <w:color w:val="auto"/>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sz w:val="24"/>
          <w:szCs w:val="24"/>
        </w:rPr>
        <w:t>…</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20.</w:t>
      </w:r>
      <w:r w:rsidRPr="006E437B">
        <w:rPr>
          <w:rFonts w:ascii="Times New Roman" w:hAnsi="Times New Roman" w:cs="Times New Roman"/>
          <w:sz w:val="24"/>
          <w:szCs w:val="24"/>
        </w:rPr>
        <w:t xml:space="preserve"> Las instancias de los tres órdenes de gobierno, en el ámbito de sus competencias, adoptarán las medidas necesarias para proteger frente a terceros el disfrute de los derechos humanos asociados al acceso, disposición y saneamiento de agua en el territorio nacional.</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21.</w:t>
      </w:r>
      <w:r w:rsidRPr="006E437B">
        <w:rPr>
          <w:rFonts w:ascii="Times New Roman" w:hAnsi="Times New Roman" w:cs="Times New Roman"/>
          <w:sz w:val="24"/>
          <w:szCs w:val="24"/>
        </w:rPr>
        <w:t xml:space="preserve"> Tratándose del derecho humano al agua, las acciones de las autoridades deberán promover la participación social en el ámbito de su competencia.</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22.</w:t>
      </w:r>
      <w:r w:rsidRPr="006E437B">
        <w:rPr>
          <w:rFonts w:ascii="Times New Roman" w:hAnsi="Times New Roman" w:cs="Times New Roman"/>
          <w:sz w:val="24"/>
          <w:szCs w:val="24"/>
        </w:rPr>
        <w:t xml:space="preserve"> La Comisión, los Consejos de Cuenca, los organismos de las entidades federativas y de los municipios que prestan el servicio de agua y alcantarillado son sujetos obligados a garantizar el derecho humano al agua en los términos de la presente Ley.</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23.</w:t>
      </w:r>
      <w:r w:rsidRPr="006E437B">
        <w:rPr>
          <w:rFonts w:ascii="Times New Roman" w:hAnsi="Times New Roman" w:cs="Times New Roman"/>
          <w:sz w:val="24"/>
          <w:szCs w:val="24"/>
        </w:rPr>
        <w:t xml:space="preserve"> La Federación, las entidades federativas y los municipios, en el ámbito de sus competencias, promoverán el uso de soluciones basadas en la naturaleza que contribuyan a la conservación y restauración ecológica de las cuencas y ajuste a los diversos efectos del cambio climático, en cuyas acciones se debe considerar las características y particularidades específicas de las regiones en las cuales serán implementadas.</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24.</w:t>
      </w:r>
      <w:r w:rsidRPr="006E437B">
        <w:rPr>
          <w:rFonts w:ascii="Times New Roman" w:hAnsi="Times New Roman" w:cs="Times New Roman"/>
          <w:sz w:val="24"/>
          <w:szCs w:val="24"/>
        </w:rPr>
        <w:t xml:space="preserve"> La Federación, las entidades federativas y los municipios son responsables de la planeación, buen manejo y administración de los recursos hídricos propiedad de la Nación, por medio de las instituciones y sistemas comunitarios de agua y saneamiento, acorde con lo establecido en la presente Ley.</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hAnsi="Times New Roman" w:cs="Times New Roman"/>
          <w:b/>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hAnsi="Times New Roman" w:cs="Times New Roman"/>
          <w:b/>
          <w:sz w:val="24"/>
          <w:szCs w:val="24"/>
        </w:rPr>
        <w:t>Artículo 28.</w:t>
      </w:r>
      <w:r w:rsidRPr="006E437B">
        <w:rPr>
          <w:rFonts w:ascii="Times New Roman" w:hAnsi="Times New Roman" w:cs="Times New Roman"/>
          <w:sz w:val="24"/>
          <w:szCs w:val="24"/>
        </w:rPr>
        <w:t xml:space="preserve"> Corresponde a los municipios en los términos de la presente Ley y de las disposiciones locales aplicables, las siguientes facultades:</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hAnsi="Times New Roman" w:cs="Times New Roman"/>
          <w:sz w:val="24"/>
          <w:szCs w:val="24"/>
        </w:rPr>
      </w:pPr>
      <w:r w:rsidRPr="006E437B">
        <w:rPr>
          <w:rFonts w:ascii="Times New Roman" w:hAnsi="Times New Roman" w:cs="Times New Roman"/>
          <w:sz w:val="24"/>
          <w:szCs w:val="24"/>
        </w:rPr>
        <w:t>Garantizar la prestación de los servicios públicos de agua potable, drenaje, alcantarillado, tratamiento y disposición de sus aguas residuales considerándolos como un derecho humano de atención prioritaria;</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hAnsi="Times New Roman" w:cs="Times New Roman"/>
          <w:sz w:val="24"/>
          <w:szCs w:val="24"/>
        </w:rPr>
      </w:pPr>
      <w:r w:rsidRPr="006E437B">
        <w:rPr>
          <w:rFonts w:ascii="Times New Roman" w:eastAsia="Arial" w:hAnsi="Times New Roman" w:cs="Times New Roman"/>
          <w:sz w:val="24"/>
          <w:szCs w:val="24"/>
        </w:rPr>
        <w:t>Dar prioridad a la prestación de los servicios públicos de agua potable, drenaje, alcantarillado, tratamiento y disposición de sus aguas residuales, en la programación y presupuestación municipal, por tratarse de derechos humanos de atención prioritaria;</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hAnsi="Times New Roman" w:cs="Times New Roman"/>
          <w:sz w:val="24"/>
          <w:szCs w:val="24"/>
        </w:rPr>
      </w:pPr>
      <w:r w:rsidRPr="006E437B">
        <w:rPr>
          <w:rFonts w:ascii="Times New Roman" w:eastAsia="Arial" w:hAnsi="Times New Roman" w:cs="Times New Roman"/>
          <w:sz w:val="24"/>
          <w:szCs w:val="24"/>
        </w:rPr>
        <w:t>Introducir la perspectiva de derechos humanos, de género, principio de equidad y visión de infancia en la programación y presupuestación para la prestación de los servicios públicos de agua potable, drenaje, alcantarillado, tratamiento y disposición de sus aguas residuales;</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Coordinarse y, en su caso, asociarse con otros municipios y con las autoridades estatales competentes para el establecimiento de sistemas intermunicipales de agua y saneamiento, con el objeto de garantizar la adecuada prestación de los servicios públicos de agua potable, drenaje, alcantarillado, tratamiento y disposición de aguas residuales, en los términos previstos por la normatividad que les sea aplicable;</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Expedir las disposiciones administrativas necesarias para garantizar la adecuada prestación de los servicios públicos de agua potable, drenaje, alcantarillado, tratamiento y disposición de aguas residuales;</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hAnsi="Times New Roman" w:cs="Times New Roman"/>
          <w:sz w:val="24"/>
          <w:szCs w:val="24"/>
        </w:rPr>
      </w:pPr>
      <w:r w:rsidRPr="006E437B">
        <w:rPr>
          <w:rFonts w:ascii="Times New Roman" w:eastAsia="Arial" w:hAnsi="Times New Roman" w:cs="Times New Roman"/>
          <w:sz w:val="24"/>
          <w:szCs w:val="24"/>
        </w:rPr>
        <w:t>Promover la participación ciudadana para sensibilizar, acercar, concientizar y propiciar la acción comunitaria en la</w:t>
      </w:r>
      <w:r w:rsidRPr="006E437B">
        <w:rPr>
          <w:rFonts w:ascii="Times New Roman" w:hAnsi="Times New Roman" w:cs="Times New Roman"/>
          <w:sz w:val="24"/>
          <w:szCs w:val="24"/>
        </w:rPr>
        <w:t xml:space="preserve"> </w:t>
      </w:r>
      <w:r w:rsidRPr="006E437B">
        <w:rPr>
          <w:rFonts w:ascii="Times New Roman" w:eastAsia="Arial" w:hAnsi="Times New Roman" w:cs="Times New Roman"/>
          <w:sz w:val="24"/>
          <w:szCs w:val="24"/>
        </w:rPr>
        <w:t>conservación, utilización y preservación de los recursos y bienes públicos relacionados con la prestación de los servicios públicos de agua potable, drenaje, alcantarillado, tratamiento y disposición de las aguas residuales;</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hAnsi="Times New Roman" w:cs="Times New Roman"/>
          <w:sz w:val="24"/>
          <w:szCs w:val="24"/>
        </w:rPr>
      </w:pPr>
      <w:r w:rsidRPr="006E437B">
        <w:rPr>
          <w:rFonts w:ascii="Times New Roman" w:eastAsia="Arial" w:hAnsi="Times New Roman" w:cs="Times New Roman"/>
          <w:sz w:val="24"/>
          <w:szCs w:val="24"/>
        </w:rPr>
        <w:t>Formular el programa para la prestación de los servicios públicos de agua potable y saneamiento correspondiente a su demarcación, y</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DA64DA">
      <w:pPr>
        <w:pStyle w:val="Sinespaciado"/>
        <w:numPr>
          <w:ilvl w:val="0"/>
          <w:numId w:val="14"/>
        </w:numPr>
        <w:ind w:left="284" w:right="333" w:firstLine="0"/>
        <w:jc w:val="both"/>
        <w:rPr>
          <w:rFonts w:ascii="Times New Roman" w:hAnsi="Times New Roman" w:cs="Times New Roman"/>
          <w:sz w:val="24"/>
          <w:szCs w:val="24"/>
        </w:rPr>
      </w:pPr>
      <w:r w:rsidRPr="006E437B">
        <w:rPr>
          <w:rFonts w:ascii="Times New Roman" w:eastAsia="Arial" w:hAnsi="Times New Roman" w:cs="Times New Roman"/>
          <w:sz w:val="24"/>
          <w:szCs w:val="24"/>
        </w:rPr>
        <w:t>Las que le encomienden las leyes federales y locales en la materia.</w:t>
      </w:r>
    </w:p>
    <w:p w:rsidR="00EA11D5" w:rsidRPr="006E437B" w:rsidRDefault="00EA11D5" w:rsidP="00141629">
      <w:pPr>
        <w:pStyle w:val="Sinespaciado"/>
        <w:ind w:left="284" w:right="333"/>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eastAsia="Arial" w:hAnsi="Times New Roman" w:cs="Times New Roman"/>
          <w:b/>
          <w:i/>
          <w:sz w:val="24"/>
          <w:szCs w:val="24"/>
        </w:rPr>
        <w:t>…</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32.</w:t>
      </w:r>
      <w:r w:rsidRPr="006E437B">
        <w:rPr>
          <w:rFonts w:ascii="Times New Roman" w:eastAsia="Arial" w:hAnsi="Times New Roman" w:cs="Times New Roman"/>
          <w:sz w:val="24"/>
          <w:szCs w:val="24"/>
        </w:rPr>
        <w:t xml:space="preserve"> La regulación de la captación de agua pluvial en el territorio nacional, así como las obligaciones de las entidades federativas y municipios, y las directrices para la implementación de sistemas de captación en obras públicas y privadas, serán determinadas por la Comisión.</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33.</w:t>
      </w:r>
      <w:r w:rsidRPr="006E437B">
        <w:rPr>
          <w:rFonts w:ascii="Times New Roman" w:eastAsia="Arial" w:hAnsi="Times New Roman" w:cs="Times New Roman"/>
          <w:sz w:val="24"/>
          <w:szCs w:val="24"/>
        </w:rPr>
        <w:t xml:space="preserve"> Los sistemas de captación de agua pluvial deben permitir la recolección, filtración, tratamiento y almacenaje del agua de lluvia que cae en el techo o cubierta para su posterior uso y aprovechamiento en la vivienda o edificación. Las obras necesarias son aquellas edificaciones públicas y privadas que, debido a su naturaleza o ubicación, son adecuadas para la implementación de sistemas de captación de agua pluvial.</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b/>
          <w:sz w:val="24"/>
          <w:szCs w:val="24"/>
        </w:rPr>
        <w:t>Artículo 34.</w:t>
      </w:r>
      <w:r w:rsidRPr="006E437B">
        <w:rPr>
          <w:rFonts w:ascii="Times New Roman" w:eastAsia="Arial" w:hAnsi="Times New Roman" w:cs="Times New Roman"/>
          <w:sz w:val="24"/>
          <w:szCs w:val="24"/>
        </w:rPr>
        <w:t xml:space="preserve"> Las entidades federativas promoverán en todo momento la instalación de sistemas de captación pluvial para uso doméstico, acordes a las necesidades regionales, sin que afecten el ciclo natural hidrológico. Cada entidad federativa deberá determinar la implementación de los sistemas de captación pluvial con base en las características físicas de los inmuebles y en el valor del predial del suelo o construcción.</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sz w:val="24"/>
          <w:szCs w:val="24"/>
        </w:rPr>
        <w:t>En todo caso, el estándar que se utilice para determinar esa necesidad no podrá ser desproporcional al valor catastral del inmueble.</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Las entidades federativas fomentarán la inclusión en los códigos de construcción y en las legislaciones sobre propiedad </w:t>
      </w:r>
      <w:r w:rsidRPr="006E437B">
        <w:rPr>
          <w:rFonts w:ascii="Times New Roman" w:hAnsi="Times New Roman" w:cs="Times New Roman"/>
          <w:sz w:val="24"/>
          <w:szCs w:val="24"/>
        </w:rPr>
        <w:t>e</w:t>
      </w:r>
      <w:r w:rsidRPr="006E437B">
        <w:rPr>
          <w:rFonts w:ascii="Times New Roman" w:eastAsia="Arial" w:hAnsi="Times New Roman" w:cs="Times New Roman"/>
          <w:sz w:val="24"/>
          <w:szCs w:val="24"/>
        </w:rPr>
        <w:t>n condominio de la obligación de las edificaciones que se clasifiquen como tales, de establecer un sistema de captación de agua pluvial que cuente con la capacidad suficiente de almacenamiento de agua para atender las necesidades mínimas indispensables de agua para consumo personal y doméstico de cada unidad de propiedad privativa del condominio.</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eastAsia="Arial" w:hAnsi="Times New Roman" w:cs="Times New Roman"/>
          <w:b/>
          <w:i/>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Por otra parte en nuestra legislación local se reconoce el derecho humano al agua potable y señala acciones a realizar por parte de todos los ámbitos del gobierno y de la sociedad misma. Sin embargo de no presentar una ausencia en la norma de los planteamientos vertidos, no tendría asidero racional la presente iniciativa.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 xml:space="preserve">En la norma la local la </w:t>
      </w:r>
      <w:r w:rsidRPr="006E437B">
        <w:rPr>
          <w:rFonts w:ascii="Times New Roman" w:eastAsia="Arial" w:hAnsi="Times New Roman" w:cs="Times New Roman"/>
          <w:b/>
          <w:i/>
          <w:sz w:val="24"/>
          <w:szCs w:val="24"/>
        </w:rPr>
        <w:t>LEY DEL AGUA DEL ESTADO DE MÉXICO Y MUNICIPIOS</w:t>
      </w:r>
      <w:r w:rsidRPr="006E437B">
        <w:rPr>
          <w:rFonts w:ascii="Times New Roman" w:eastAsia="Arial" w:hAnsi="Times New Roman" w:cs="Times New Roman"/>
          <w:sz w:val="24"/>
          <w:szCs w:val="24"/>
        </w:rPr>
        <w:t>, en lo que interesa, se prevé normativamente lo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b/>
          <w:sz w:val="24"/>
          <w:szCs w:val="24"/>
        </w:rPr>
      </w:pPr>
      <w:r w:rsidRPr="006E437B">
        <w:rPr>
          <w:rFonts w:ascii="Times New Roman" w:eastAsia="Arial" w:hAnsi="Times New Roman" w:cs="Times New Roman"/>
          <w:b/>
          <w:i/>
          <w:sz w:val="24"/>
          <w:szCs w:val="24"/>
        </w:rPr>
        <w:t>“…</w:t>
      </w:r>
    </w:p>
    <w:p w:rsidR="00EA11D5" w:rsidRPr="006E437B" w:rsidRDefault="00EA11D5" w:rsidP="00141629">
      <w:pPr>
        <w:pStyle w:val="Sinespaciado"/>
        <w:ind w:left="284" w:right="333"/>
        <w:jc w:val="both"/>
        <w:rPr>
          <w:rFonts w:ascii="Times New Roman" w:hAnsi="Times New Roman" w:cs="Times New Roman"/>
          <w:b/>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b/>
          <w:sz w:val="24"/>
          <w:szCs w:val="24"/>
        </w:rPr>
        <w:t>Artículo 53.-</w:t>
      </w:r>
      <w:r w:rsidRPr="006E437B">
        <w:rPr>
          <w:rFonts w:ascii="Times New Roman" w:eastAsia="Arial" w:hAnsi="Times New Roman" w:cs="Times New Roman"/>
          <w:sz w:val="24"/>
          <w:szCs w:val="24"/>
        </w:rPr>
        <w:t xml:space="preserve"> Las autoridades del agua impulsarán la construcción de la infraestructura hidráulica que permita el aprovechamiento del agua pluvial para la conservación de reservas hídricas y la recarga de acuíferos, y fomentarán la construcción y conservación de instalaciones alternas que sustituyan al drenaje cuando éste no pueda construirse </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53 Bis.-</w:t>
      </w:r>
      <w:r w:rsidRPr="006E437B">
        <w:rPr>
          <w:rFonts w:ascii="Times New Roman" w:eastAsia="Arial" w:hAnsi="Times New Roman" w:cs="Times New Roman"/>
          <w:sz w:val="24"/>
          <w:szCs w:val="24"/>
        </w:rPr>
        <w:t xml:space="preserve"> Las Dependencias y Organismos Auxiliares estatales y municipales, de acuerdo con su naturaleza jurídica y según corresponda, introducirán sistemas de naturación y/o sistemas necesarios para la captación y aprovechamiento de agua pluvial en los inmuebles destinados a un servicio público que tengan a su cargo, siempre y cuando, las características físicas de los mismos sean aptas para ello y permitan su instalación, operación y mantenimiento.</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73.-</w:t>
      </w:r>
      <w:r w:rsidRPr="006E437B">
        <w:rPr>
          <w:rFonts w:ascii="Times New Roman" w:eastAsia="Arial" w:hAnsi="Times New Roman" w:cs="Times New Roman"/>
          <w:sz w:val="24"/>
          <w:szCs w:val="24"/>
        </w:rPr>
        <w:t xml:space="preserve"> Es obligación de los desarrolladores de vivienda,</w:t>
      </w:r>
      <w:r w:rsidRPr="006E437B">
        <w:rPr>
          <w:rFonts w:ascii="Times New Roman" w:hAnsi="Times New Roman" w:cs="Times New Roman"/>
          <w:sz w:val="24"/>
          <w:szCs w:val="24"/>
        </w:rPr>
        <w:t xml:space="preserve"> </w:t>
      </w:r>
      <w:r w:rsidRPr="006E437B">
        <w:rPr>
          <w:rFonts w:ascii="Times New Roman" w:eastAsia="Arial" w:hAnsi="Times New Roman" w:cs="Times New Roman"/>
          <w:sz w:val="24"/>
          <w:szCs w:val="24"/>
        </w:rPr>
        <w:t>constructores o propietarios de conjuntos habitacionales, industriales o de servicios, la construcción de sus redes de distribución y sistemas de drenaje y alcantarillado de conformidad con la normatividad en la materia, así como la conexión de las mismas a la infraestructura hidráulica municipal. Asimismo correrá a su cargo el costo de los aparatos medidores de consumo de agua potable y su instalación en cada una de las tomas; es obligatorio el tratamiento de aguas residuales y, en su caso, pozos de absorción para el agua pluvial que cumplan con lo previsto en los ordenamientos federales y estatales. Dichas plantas y pozos de absorción deberán estar disponibles antes de la ocupación de los conjuntos. La Comisión podrá determinar mecanismos alternativos para el cumplimiento de esta obligación. El Reglamento establecerá los procedimientos aplicables.</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91.-</w:t>
      </w:r>
      <w:r w:rsidRPr="006E437B">
        <w:rPr>
          <w:rFonts w:ascii="Times New Roman" w:eastAsia="Arial" w:hAnsi="Times New Roman" w:cs="Times New Roman"/>
          <w:sz w:val="24"/>
          <w:szCs w:val="24"/>
        </w:rPr>
        <w:t xml:space="preserve"> Las </w:t>
      </w:r>
      <w:r w:rsidRPr="006E437B">
        <w:rPr>
          <w:rFonts w:ascii="Times New Roman" w:eastAsia="Arial" w:hAnsi="Times New Roman" w:cs="Times New Roman"/>
          <w:b/>
          <w:sz w:val="24"/>
          <w:szCs w:val="24"/>
        </w:rPr>
        <w:t>autoridades del agua impulsarán las acciones que sean necesarias para mantener y, en su caso, restablecer el equilibrio entre la disponibilidad y el aprovechamiento de los recursos hídricos, tales como la instalación de sistemas captadores y de naturación del agua,</w:t>
      </w:r>
      <w:r w:rsidRPr="006E437B">
        <w:rPr>
          <w:rFonts w:ascii="Times New Roman" w:eastAsia="Arial" w:hAnsi="Times New Roman" w:cs="Times New Roman"/>
          <w:sz w:val="24"/>
          <w:szCs w:val="24"/>
        </w:rPr>
        <w:t xml:space="preserve"> para favorecer el manejo sustentable en el proceso de la gestión integral del agua, así como los diversos usos y usuarios.</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b/>
          <w:sz w:val="24"/>
          <w:szCs w:val="24"/>
        </w:rPr>
        <w:t>Artículo 92.-</w:t>
      </w:r>
      <w:r w:rsidRPr="006E437B">
        <w:rPr>
          <w:rFonts w:ascii="Times New Roman" w:eastAsia="Arial" w:hAnsi="Times New Roman" w:cs="Times New Roman"/>
          <w:sz w:val="24"/>
          <w:szCs w:val="24"/>
        </w:rPr>
        <w:t xml:space="preserve"> Los </w:t>
      </w:r>
      <w:r w:rsidRPr="006E437B">
        <w:rPr>
          <w:rFonts w:ascii="Times New Roman" w:eastAsia="Arial" w:hAnsi="Times New Roman" w:cs="Times New Roman"/>
          <w:b/>
          <w:sz w:val="24"/>
          <w:szCs w:val="24"/>
        </w:rPr>
        <w:t>desarrolladores de nuevos conjuntos habitacionales, industriales y de servicios están obligados a construir instalaciones para la recolección de agua pluvial y, al tratamiento de aguas residuales para su conducción en los términos de la legislación aplicable, para ser aprovechada en el riego de áreas verdes o aquellas actividades que no requieran la utilización de agua potable.</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hAnsi="Times New Roman" w:cs="Times New Roman"/>
          <w:sz w:val="24"/>
          <w:szCs w:val="24"/>
        </w:rPr>
      </w:pPr>
      <w:r w:rsidRPr="006E437B">
        <w:rPr>
          <w:rFonts w:ascii="Times New Roman" w:eastAsia="Arial" w:hAnsi="Times New Roman" w:cs="Times New Roman"/>
          <w:b/>
          <w:sz w:val="24"/>
          <w:szCs w:val="24"/>
        </w:rPr>
        <w:t>Artículo 92 Bis.-</w:t>
      </w:r>
      <w:r w:rsidRPr="006E437B">
        <w:rPr>
          <w:rFonts w:ascii="Times New Roman" w:eastAsia="Arial" w:hAnsi="Times New Roman" w:cs="Times New Roman"/>
          <w:sz w:val="24"/>
          <w:szCs w:val="24"/>
        </w:rPr>
        <w:t xml:space="preserve"> La Comisión creará un Fideicomiso cuyos recursos serán destinados a los sistemas de captación de agua pluvial de conformidad con la presente Ley, el cual tendrá por objeto destinar recursos a los organismos operadores o, en su caso, a los municipios, según corresponda, a efecto de implementar acciones para el aprovechamiento de agua pluvial, la recarga de mantos acuíferos y la infiltración de agua pluvial al subsuelo.</w:t>
      </w:r>
    </w:p>
    <w:p w:rsidR="00EA11D5" w:rsidRPr="006E437B" w:rsidRDefault="00EA11D5" w:rsidP="00141629">
      <w:pPr>
        <w:pStyle w:val="Sinespaciado"/>
        <w:ind w:left="284" w:right="333"/>
        <w:jc w:val="both"/>
        <w:rPr>
          <w:rFonts w:ascii="Times New Roman" w:hAnsi="Times New Roman" w:cs="Times New Roman"/>
          <w:sz w:val="24"/>
          <w:szCs w:val="24"/>
        </w:rPr>
      </w:pPr>
    </w:p>
    <w:p w:rsidR="00EA11D5" w:rsidRPr="006E437B" w:rsidRDefault="00EA11D5" w:rsidP="00141629">
      <w:pPr>
        <w:pStyle w:val="Sinespaciado"/>
        <w:ind w:left="284" w:right="333"/>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De lo trasunto de la norma citada, se desprende que;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DA64DA">
      <w:pPr>
        <w:pStyle w:val="Sinespaciado"/>
        <w:numPr>
          <w:ilvl w:val="0"/>
          <w:numId w:val="15"/>
        </w:numPr>
        <w:jc w:val="both"/>
        <w:rPr>
          <w:rFonts w:ascii="Times New Roman" w:hAnsi="Times New Roman" w:cs="Times New Roman"/>
          <w:sz w:val="24"/>
          <w:szCs w:val="24"/>
        </w:rPr>
      </w:pPr>
      <w:r w:rsidRPr="006E437B">
        <w:rPr>
          <w:rFonts w:ascii="Times New Roman" w:eastAsia="Arial" w:hAnsi="Times New Roman" w:cs="Times New Roman"/>
          <w:sz w:val="24"/>
          <w:szCs w:val="24"/>
        </w:rPr>
        <w:t>Existe una omisión del concepto legal y la figura legislativas de los SISTEMAS</w:t>
      </w:r>
      <w:r w:rsidRPr="006E437B">
        <w:rPr>
          <w:rFonts w:ascii="Times New Roman" w:eastAsia="Arial" w:hAnsi="Times New Roman" w:cs="Times New Roman"/>
          <w:b/>
          <w:sz w:val="24"/>
          <w:szCs w:val="24"/>
          <w:u w:val="single" w:color="000000"/>
        </w:rPr>
        <w:t xml:space="preserve"> DE CAPTACIÓN DE AGUA PLUVIAL</w:t>
      </w:r>
      <w:r w:rsidRPr="006E437B">
        <w:rPr>
          <w:rFonts w:ascii="Times New Roman" w:eastAsia="Arial" w:hAnsi="Times New Roman" w:cs="Times New Roman"/>
          <w:sz w:val="24"/>
          <w:szCs w:val="24"/>
        </w:rPr>
        <w:t>.</w:t>
      </w:r>
    </w:p>
    <w:p w:rsidR="00EA11D5" w:rsidRPr="006E437B" w:rsidRDefault="00EA11D5" w:rsidP="00DA64DA">
      <w:pPr>
        <w:pStyle w:val="Sinespaciado"/>
        <w:numPr>
          <w:ilvl w:val="0"/>
          <w:numId w:val="15"/>
        </w:numPr>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Existe la obligación de realizar obra por parte de </w:t>
      </w:r>
      <w:r w:rsidRPr="006E437B">
        <w:rPr>
          <w:rFonts w:ascii="Times New Roman" w:eastAsia="Arial" w:hAnsi="Times New Roman" w:cs="Times New Roman"/>
          <w:b/>
          <w:i/>
          <w:sz w:val="24"/>
          <w:szCs w:val="24"/>
        </w:rPr>
        <w:t xml:space="preserve">desarrolladores de nuevos conjuntos habitacionales, industriales y de servicios a construir instalaciones para la recolección de agua pluvial, </w:t>
      </w:r>
      <w:r w:rsidRPr="006E437B">
        <w:rPr>
          <w:rFonts w:ascii="Times New Roman" w:eastAsia="Arial" w:hAnsi="Times New Roman" w:cs="Times New Roman"/>
          <w:sz w:val="24"/>
          <w:szCs w:val="24"/>
        </w:rPr>
        <w:t>sin embargo no existe un catálogo de sanciones por dicha omisión que de forma taxativa se cumpla y menos aún se indica la competencia y facultades de alguna autoridad para el inicio de algún procedimiento administrativo por dicha omisión de los desarrolladores de dicha infraestructura o edificación.</w:t>
      </w:r>
    </w:p>
    <w:p w:rsidR="00EA11D5" w:rsidRPr="006E437B" w:rsidRDefault="00EA11D5" w:rsidP="00DA64DA">
      <w:pPr>
        <w:pStyle w:val="Sinespaciado"/>
        <w:numPr>
          <w:ilvl w:val="0"/>
          <w:numId w:val="15"/>
        </w:numPr>
        <w:jc w:val="both"/>
        <w:rPr>
          <w:rFonts w:ascii="Times New Roman" w:hAnsi="Times New Roman" w:cs="Times New Roman"/>
          <w:sz w:val="24"/>
          <w:szCs w:val="24"/>
        </w:rPr>
      </w:pPr>
      <w:r w:rsidRPr="006E437B">
        <w:rPr>
          <w:rFonts w:ascii="Times New Roman" w:eastAsia="Arial" w:hAnsi="Times New Roman" w:cs="Times New Roman"/>
          <w:sz w:val="24"/>
          <w:szCs w:val="24"/>
        </w:rPr>
        <w:t>Si bien existe la obligación antes mencionada, ésta se considera coercitiva, a pesar de que NO tenga apareja alguna sanción y al mismo tiempo, NO se incentiva la construcción de sistemas de captación de Sistemas de captación de agua pluvial a través de un estímulo fiscal o de cualquier índole que pudiera brindar los Gobiernos Municipales o los Ayuntamientos para el fomento del reciclaje y aprovechamiento del vital líquido derivado de las aguas fluviales.</w:t>
      </w:r>
    </w:p>
    <w:p w:rsidR="00EA11D5" w:rsidRPr="006E437B" w:rsidRDefault="00EA11D5" w:rsidP="00DA64DA">
      <w:pPr>
        <w:pStyle w:val="Sinespaciado"/>
        <w:numPr>
          <w:ilvl w:val="0"/>
          <w:numId w:val="15"/>
        </w:numPr>
        <w:jc w:val="both"/>
        <w:rPr>
          <w:rFonts w:ascii="Times New Roman" w:hAnsi="Times New Roman" w:cs="Times New Roman"/>
          <w:sz w:val="24"/>
          <w:szCs w:val="24"/>
        </w:rPr>
      </w:pPr>
      <w:r w:rsidRPr="006E437B">
        <w:rPr>
          <w:rFonts w:ascii="Times New Roman" w:eastAsia="Arial" w:hAnsi="Times New Roman" w:cs="Times New Roman"/>
          <w:sz w:val="24"/>
          <w:szCs w:val="24"/>
        </w:rPr>
        <w:t>Se encuentra omisa el uso de Sistemas de captación de agua pluvial en inmuebles y edificaciones nuevas de particulares o en casas y departamentos existentes para que sean modificados o en su caso, se adecuen a la necesidad de la implementación de dichos sistemas, a través de incentivos fiscales del orden municipal.</w:t>
      </w:r>
    </w:p>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De ahí la importancia de la adquisición normativa e implementación de la figura legal de los Sistemas de Captación de Agua Pluvial --- mismos que se encuentran en la legislación federal --- ya que, son diseños que permiten recolectar y almacenar el agua de lluvia e implementarlos en cualquier tipo de edificación o construcción, sea nueva o con tiempo de vida construido y no únicamente condominal, empresarial y de servicios, sino también a nivel domiciliario ya que, estos mecanismos se componen de una superficie de captura, un sistema de distribución, un desviador de primeras lluvias y un área de almacenamiento de agua.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Por lo tanto es menester intervenir la norma y modificársele a través de la libre autoconfiguración normativa que como legisladores locales tenemos y atender la problemática social en la que se ha convertido el desabasto del agua potable y la crisis hídrica que padecemos.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b/>
          <w:i/>
          <w:sz w:val="24"/>
          <w:szCs w:val="24"/>
          <w:u w:val="single" w:color="000000"/>
        </w:rPr>
      </w:pPr>
      <w:r w:rsidRPr="006E437B">
        <w:rPr>
          <w:rFonts w:ascii="Times New Roman" w:eastAsia="Arial" w:hAnsi="Times New Roman" w:cs="Times New Roman"/>
          <w:b/>
          <w:sz w:val="24"/>
          <w:szCs w:val="24"/>
          <w:u w:val="single" w:color="000000"/>
        </w:rPr>
        <w:t>De tal suerte que, lo que propongo es modificar y adicionar las</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single" w:color="000000"/>
        </w:rPr>
        <w:t xml:space="preserve">siguientes porciones normativas de la </w:t>
      </w:r>
      <w:r w:rsidRPr="006E437B">
        <w:rPr>
          <w:rFonts w:ascii="Times New Roman" w:eastAsia="Arial" w:hAnsi="Times New Roman" w:cs="Times New Roman"/>
          <w:b/>
          <w:i/>
          <w:sz w:val="24"/>
          <w:szCs w:val="24"/>
          <w:u w:val="single" w:color="000000"/>
        </w:rPr>
        <w:t>LEY DEL AGUA DEL</w:t>
      </w:r>
      <w:r w:rsidRPr="006E437B">
        <w:rPr>
          <w:rFonts w:ascii="Times New Roman" w:eastAsia="Arial" w:hAnsi="Times New Roman" w:cs="Times New Roman"/>
          <w:b/>
          <w:i/>
          <w:sz w:val="24"/>
          <w:szCs w:val="24"/>
        </w:rPr>
        <w:t xml:space="preserve"> </w:t>
      </w:r>
      <w:r w:rsidRPr="006E437B">
        <w:rPr>
          <w:rFonts w:ascii="Times New Roman" w:hAnsi="Times New Roman" w:cs="Times New Roman"/>
          <w:sz w:val="24"/>
          <w:szCs w:val="24"/>
          <w:vertAlign w:val="subscript"/>
        </w:rPr>
        <w:t xml:space="preserve"> </w:t>
      </w:r>
      <w:r w:rsidRPr="006E437B">
        <w:rPr>
          <w:rFonts w:ascii="Times New Roman" w:eastAsia="Arial" w:hAnsi="Times New Roman" w:cs="Times New Roman"/>
          <w:b/>
          <w:i/>
          <w:sz w:val="24"/>
          <w:szCs w:val="24"/>
          <w:u w:val="single" w:color="000000"/>
        </w:rPr>
        <w:t>ESTADO DE MÉXICO Y MUNICIPIOS;</w:t>
      </w:r>
    </w:p>
    <w:p w:rsidR="005373E4" w:rsidRPr="006E437B" w:rsidRDefault="005373E4" w:rsidP="00141629">
      <w:pPr>
        <w:pStyle w:val="Sinespaciado"/>
        <w:jc w:val="both"/>
        <w:rPr>
          <w:rFonts w:ascii="Times New Roman" w:hAnsi="Times New Roman" w:cs="Times New Roman"/>
          <w:sz w:val="24"/>
          <w:szCs w:val="24"/>
          <w:vertAlign w:val="subscript"/>
        </w:rPr>
      </w:pPr>
    </w:p>
    <w:tbl>
      <w:tblPr>
        <w:tblStyle w:val="TableGrid"/>
        <w:tblW w:w="9161" w:type="dxa"/>
        <w:jc w:val="center"/>
        <w:tblInd w:w="0" w:type="dxa"/>
        <w:tblCellMar>
          <w:top w:w="44" w:type="dxa"/>
          <w:left w:w="97" w:type="dxa"/>
        </w:tblCellMar>
        <w:tblLook w:val="04A0" w:firstRow="1" w:lastRow="0" w:firstColumn="1" w:lastColumn="0" w:noHBand="0" w:noVBand="1"/>
      </w:tblPr>
      <w:tblGrid>
        <w:gridCol w:w="4241"/>
        <w:gridCol w:w="266"/>
        <w:gridCol w:w="4654"/>
      </w:tblGrid>
      <w:tr w:rsidR="00EA11D5" w:rsidRPr="006E437B" w:rsidTr="00656E24">
        <w:trPr>
          <w:trHeight w:val="719"/>
          <w:jc w:val="center"/>
        </w:trPr>
        <w:tc>
          <w:tcPr>
            <w:tcW w:w="9161" w:type="dxa"/>
            <w:gridSpan w:val="3"/>
            <w:tcBorders>
              <w:top w:val="single" w:sz="4" w:space="0" w:color="000000"/>
              <w:left w:val="single" w:sz="4" w:space="0" w:color="000000"/>
              <w:bottom w:val="single" w:sz="23" w:space="0" w:color="D9D9D9"/>
              <w:right w:val="single" w:sz="4" w:space="0" w:color="000000"/>
            </w:tcBorders>
            <w:shd w:val="clear" w:color="auto" w:fill="BFBFBF" w:themeFill="background1" w:themeFillShade="BF"/>
            <w:vAlign w:val="center"/>
          </w:tcPr>
          <w:p w:rsidR="00EA11D5" w:rsidRPr="006E437B" w:rsidRDefault="00EA11D5" w:rsidP="00141629">
            <w:pPr>
              <w:spacing w:line="240" w:lineRule="auto"/>
              <w:ind w:right="106"/>
              <w:jc w:val="center"/>
              <w:rPr>
                <w:rFonts w:ascii="Times New Roman" w:hAnsi="Times New Roman" w:cs="Times New Roman"/>
                <w:sz w:val="24"/>
                <w:szCs w:val="24"/>
              </w:rPr>
            </w:pPr>
            <w:r w:rsidRPr="006E437B">
              <w:rPr>
                <w:rFonts w:ascii="Times New Roman" w:eastAsia="Arial" w:hAnsi="Times New Roman" w:cs="Times New Roman"/>
                <w:b/>
                <w:i/>
                <w:sz w:val="24"/>
                <w:szCs w:val="24"/>
              </w:rPr>
              <w:t>LEY DEL AGUA DEL ESTADO DE MÉXICO Y MUNICIPIOS</w:t>
            </w:r>
            <w:r w:rsidRPr="006E437B">
              <w:rPr>
                <w:rFonts w:ascii="Times New Roman" w:eastAsia="Arial" w:hAnsi="Times New Roman" w:cs="Times New Roman"/>
                <w:b/>
                <w:sz w:val="24"/>
                <w:szCs w:val="24"/>
              </w:rPr>
              <w:t xml:space="preserve"> </w:t>
            </w:r>
            <w:r w:rsidRPr="006E437B">
              <w:rPr>
                <w:rFonts w:ascii="Times New Roman" w:hAnsi="Times New Roman" w:cs="Times New Roman"/>
                <w:sz w:val="24"/>
                <w:szCs w:val="24"/>
              </w:rPr>
              <w:t xml:space="preserve"> </w:t>
            </w:r>
          </w:p>
        </w:tc>
      </w:tr>
      <w:tr w:rsidR="00EA11D5" w:rsidRPr="006E437B" w:rsidTr="00946782">
        <w:trPr>
          <w:trHeight w:val="373"/>
          <w:jc w:val="center"/>
        </w:trPr>
        <w:tc>
          <w:tcPr>
            <w:tcW w:w="4241" w:type="dxa"/>
            <w:tcBorders>
              <w:top w:val="single" w:sz="4" w:space="0" w:color="000000"/>
              <w:left w:val="single" w:sz="4" w:space="0" w:color="000000"/>
              <w:bottom w:val="single" w:sz="4" w:space="0" w:color="000000"/>
              <w:right w:val="single" w:sz="4" w:space="0" w:color="000000"/>
            </w:tcBorders>
            <w:shd w:val="clear" w:color="auto" w:fill="D9D9D9"/>
          </w:tcPr>
          <w:p w:rsidR="00EA11D5" w:rsidRPr="006E437B" w:rsidRDefault="00EA11D5" w:rsidP="00141629">
            <w:pPr>
              <w:spacing w:line="240" w:lineRule="auto"/>
              <w:ind w:right="110"/>
              <w:jc w:val="center"/>
              <w:rPr>
                <w:rFonts w:ascii="Times New Roman" w:hAnsi="Times New Roman" w:cs="Times New Roman"/>
                <w:sz w:val="24"/>
                <w:szCs w:val="24"/>
              </w:rPr>
            </w:pPr>
            <w:r w:rsidRPr="006E437B">
              <w:rPr>
                <w:rFonts w:ascii="Times New Roman" w:eastAsia="Arial" w:hAnsi="Times New Roman" w:cs="Times New Roman"/>
                <w:b/>
                <w:sz w:val="24"/>
                <w:szCs w:val="24"/>
              </w:rPr>
              <w:t>TEXTO NORMATIVO VIGENTE</w:t>
            </w:r>
          </w:p>
        </w:tc>
        <w:tc>
          <w:tcPr>
            <w:tcW w:w="26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spacing w:line="240" w:lineRule="auto"/>
              <w:ind w:right="-15"/>
              <w:rPr>
                <w:rFonts w:ascii="Times New Roman" w:hAnsi="Times New Roman" w:cs="Times New Roman"/>
                <w:sz w:val="24"/>
                <w:szCs w:val="24"/>
              </w:rPr>
            </w:pPr>
            <w:r w:rsidRPr="006E437B">
              <w:rPr>
                <w:rFonts w:ascii="Times New Roman" w:eastAsia="Arial" w:hAnsi="Times New Roman" w:cs="Times New Roman"/>
                <w:b/>
                <w:sz w:val="24"/>
                <w:szCs w:val="24"/>
                <w:shd w:val="clear" w:color="auto" w:fill="BFBFBF" w:themeFill="background1" w:themeFillShade="BF"/>
              </w:rPr>
              <w:t xml:space="preserve"> </w:t>
            </w:r>
            <w:r w:rsidRPr="006E437B">
              <w:rPr>
                <w:rFonts w:ascii="Times New Roman" w:eastAsia="Arial" w:hAnsi="Times New Roman" w:cs="Times New Roman"/>
                <w:b/>
                <w:sz w:val="24"/>
                <w:szCs w:val="24"/>
              </w:rPr>
              <w:t xml:space="preserve"> </w:t>
            </w:r>
            <w:r w:rsidRPr="006E437B">
              <w:rPr>
                <w:rFonts w:ascii="Times New Roman" w:hAnsi="Times New Roman" w:cs="Times New Roman"/>
                <w:sz w:val="24"/>
                <w:szCs w:val="24"/>
              </w:rPr>
              <w:t xml:space="preserve"> </w:t>
            </w:r>
          </w:p>
        </w:tc>
        <w:tc>
          <w:tcPr>
            <w:tcW w:w="4654" w:type="dxa"/>
            <w:tcBorders>
              <w:top w:val="single" w:sz="23" w:space="0" w:color="D9D9D9"/>
              <w:left w:val="single" w:sz="4" w:space="0" w:color="000000"/>
              <w:bottom w:val="single" w:sz="4" w:space="0" w:color="000000"/>
              <w:right w:val="single" w:sz="4" w:space="0" w:color="000000"/>
            </w:tcBorders>
            <w:shd w:val="clear" w:color="auto" w:fill="D9D9D9"/>
          </w:tcPr>
          <w:p w:rsidR="00EA11D5" w:rsidRPr="006E437B" w:rsidRDefault="00EA11D5" w:rsidP="00141629">
            <w:pPr>
              <w:spacing w:line="240" w:lineRule="auto"/>
              <w:ind w:right="101"/>
              <w:jc w:val="center"/>
              <w:rPr>
                <w:rFonts w:ascii="Times New Roman" w:hAnsi="Times New Roman" w:cs="Times New Roman"/>
                <w:sz w:val="24"/>
                <w:szCs w:val="24"/>
              </w:rPr>
            </w:pPr>
            <w:r w:rsidRPr="006E437B">
              <w:rPr>
                <w:rFonts w:ascii="Times New Roman" w:eastAsia="Arial" w:hAnsi="Times New Roman" w:cs="Times New Roman"/>
                <w:b/>
                <w:sz w:val="24"/>
                <w:szCs w:val="24"/>
              </w:rPr>
              <w:t>TEXTO NORMATIVO PROPUESTO</w:t>
            </w:r>
          </w:p>
        </w:tc>
      </w:tr>
    </w:tbl>
    <w:p w:rsidR="00EA11D5" w:rsidRPr="006E437B" w:rsidRDefault="00EA11D5" w:rsidP="00141629">
      <w:pPr>
        <w:spacing w:after="0" w:line="240" w:lineRule="auto"/>
        <w:ind w:right="642"/>
        <w:rPr>
          <w:rFonts w:ascii="Times New Roman" w:hAnsi="Times New Roman" w:cs="Times New Roman"/>
          <w:sz w:val="24"/>
          <w:szCs w:val="24"/>
        </w:rPr>
      </w:pPr>
    </w:p>
    <w:tbl>
      <w:tblPr>
        <w:tblStyle w:val="TableGrid"/>
        <w:tblW w:w="9162" w:type="dxa"/>
        <w:jc w:val="center"/>
        <w:tblInd w:w="0" w:type="dxa"/>
        <w:tblCellMar>
          <w:top w:w="43" w:type="dxa"/>
        </w:tblCellMar>
        <w:tblLook w:val="04A0" w:firstRow="1" w:lastRow="0" w:firstColumn="1" w:lastColumn="0" w:noHBand="0" w:noVBand="1"/>
      </w:tblPr>
      <w:tblGrid>
        <w:gridCol w:w="4242"/>
        <w:gridCol w:w="265"/>
        <w:gridCol w:w="4655"/>
      </w:tblGrid>
      <w:tr w:rsidR="00EA11D5" w:rsidRPr="006E437B" w:rsidTr="00946782">
        <w:trPr>
          <w:trHeight w:val="6258"/>
          <w:jc w:val="center"/>
        </w:trPr>
        <w:tc>
          <w:tcPr>
            <w:tcW w:w="4243" w:type="dxa"/>
            <w:tcBorders>
              <w:top w:val="single" w:sz="4" w:space="0" w:color="000000"/>
              <w:left w:val="single" w:sz="4" w:space="0" w:color="000000"/>
              <w:bottom w:val="single" w:sz="4" w:space="0" w:color="000000"/>
              <w:right w:val="single" w:sz="4" w:space="0" w:color="000000"/>
            </w:tcBorders>
            <w:vAlign w:val="center"/>
          </w:tcPr>
          <w:p w:rsidR="00EA11D5" w:rsidRPr="006E437B" w:rsidRDefault="00EA11D5" w:rsidP="00141629">
            <w:pPr>
              <w:spacing w:line="240" w:lineRule="auto"/>
              <w:ind w:left="67"/>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6.- </w:t>
            </w:r>
            <w:r w:rsidRPr="006E437B">
              <w:rPr>
                <w:rFonts w:ascii="Times New Roman" w:eastAsia="Arial" w:hAnsi="Times New Roman" w:cs="Times New Roman"/>
                <w:sz w:val="24"/>
                <w:szCs w:val="24"/>
              </w:rPr>
              <w:t>Para efectos de esta Ley se entenderá por</w:t>
            </w:r>
            <w:r w:rsidRPr="006E437B">
              <w:rPr>
                <w:rFonts w:ascii="Times New Roman" w:eastAsia="Arial" w:hAnsi="Times New Roman" w:cs="Times New Roman"/>
                <w:b/>
                <w:sz w:val="24"/>
                <w:szCs w:val="24"/>
              </w:rPr>
              <w:t>:</w:t>
            </w: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r w:rsidRPr="006E437B">
              <w:rPr>
                <w:rFonts w:ascii="Times New Roman" w:eastAsia="Arial" w:hAnsi="Times New Roman" w:cs="Times New Roman"/>
                <w:sz w:val="24"/>
                <w:szCs w:val="24"/>
              </w:rPr>
              <w:t>I. a LXV.</w:t>
            </w:r>
            <w:r w:rsidRPr="006E437B">
              <w:rPr>
                <w:rFonts w:ascii="Times New Roman" w:eastAsia="Arial" w:hAnsi="Times New Roman" w:cs="Times New Roman"/>
                <w:b/>
                <w:sz w:val="24"/>
                <w:szCs w:val="24"/>
              </w:rPr>
              <w:t xml:space="preserve"> …</w:t>
            </w: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r w:rsidRPr="006E437B">
              <w:rPr>
                <w:rFonts w:ascii="Times New Roman" w:eastAsia="Arial" w:hAnsi="Times New Roman" w:cs="Times New Roman"/>
                <w:b/>
                <w:sz w:val="24"/>
                <w:szCs w:val="24"/>
              </w:rPr>
              <w:t>Sin correlativo</w:t>
            </w: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spacing w:line="240" w:lineRule="auto"/>
              <w:ind w:left="67"/>
              <w:rPr>
                <w:rFonts w:ascii="Times New Roman" w:hAnsi="Times New Roman" w:cs="Times New Roman"/>
                <w:sz w:val="24"/>
                <w:szCs w:val="24"/>
              </w:rPr>
            </w:pPr>
            <w:r w:rsidRPr="006E437B">
              <w:rPr>
                <w:rFonts w:ascii="Times New Roman" w:eastAsia="Arial" w:hAnsi="Times New Roman" w:cs="Times New Roman"/>
                <w:sz w:val="24"/>
                <w:szCs w:val="24"/>
              </w:rPr>
              <w:t xml:space="preserve">LXVI. a LXXX. </w:t>
            </w:r>
            <w:r w:rsidRPr="006E437B">
              <w:rPr>
                <w:rFonts w:ascii="Times New Roman" w:eastAsia="Arial" w:hAnsi="Times New Roman" w:cs="Times New Roman"/>
                <w:b/>
                <w:sz w:val="24"/>
                <w:szCs w:val="24"/>
              </w:rPr>
              <w:t>…</w:t>
            </w:r>
          </w:p>
          <w:p w:rsidR="00EA11D5" w:rsidRPr="006E437B" w:rsidRDefault="00EA11D5" w:rsidP="00141629">
            <w:pPr>
              <w:spacing w:line="240" w:lineRule="auto"/>
              <w:ind w:left="67"/>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i/>
                <w:sz w:val="24"/>
                <w:szCs w:val="24"/>
              </w:rPr>
            </w:pPr>
            <w:r w:rsidRPr="006E437B">
              <w:rPr>
                <w:rFonts w:ascii="Times New Roman" w:eastAsia="Arial" w:hAnsi="Times New Roman" w:cs="Times New Roman"/>
                <w:b/>
                <w:i/>
                <w:sz w:val="24"/>
                <w:szCs w:val="24"/>
              </w:rPr>
              <w:t>Artículo 53.-</w:t>
            </w:r>
            <w:r w:rsidRPr="006E437B">
              <w:rPr>
                <w:rFonts w:ascii="Times New Roman" w:eastAsia="Arial" w:hAnsi="Times New Roman" w:cs="Times New Roman"/>
                <w:i/>
                <w:sz w:val="24"/>
                <w:szCs w:val="24"/>
              </w:rPr>
              <w:t xml:space="preserve"> Las autoridades del agua impulsarán la construcción de la infraestructura hidráulica que permita el aprovechamiento del agua pluvial para la conservación de reservas hídricas y la recarga de acuíferos, y </w:t>
            </w:r>
            <w:r w:rsidRPr="006E437B">
              <w:rPr>
                <w:rFonts w:ascii="Times New Roman" w:hAnsi="Times New Roman" w:cs="Times New Roman"/>
                <w:i/>
                <w:sz w:val="24"/>
                <w:szCs w:val="24"/>
              </w:rPr>
              <w:t xml:space="preserve">fomentarán la construcción y conservación de instalaciones alternas que sustituyan al drenaje cuando éste no pueda construirse </w:t>
            </w:r>
          </w:p>
          <w:p w:rsidR="00EA11D5" w:rsidRPr="006E437B" w:rsidRDefault="00EA11D5" w:rsidP="00141629">
            <w:pPr>
              <w:spacing w:line="240" w:lineRule="auto"/>
              <w:ind w:right="71"/>
              <w:jc w:val="both"/>
              <w:rPr>
                <w:rFonts w:ascii="Times New Roman" w:hAnsi="Times New Roman" w:cs="Times New Roman"/>
                <w:sz w:val="24"/>
                <w:szCs w:val="24"/>
              </w:rPr>
            </w:pPr>
          </w:p>
          <w:p w:rsidR="00EA11D5" w:rsidRPr="006E437B" w:rsidRDefault="00EA11D5" w:rsidP="00141629">
            <w:pPr>
              <w:spacing w:line="240" w:lineRule="auto"/>
              <w:ind w:right="71"/>
              <w:jc w:val="both"/>
              <w:rPr>
                <w:rFonts w:ascii="Times New Roman" w:hAnsi="Times New Roman" w:cs="Times New Roman"/>
                <w:sz w:val="24"/>
                <w:szCs w:val="24"/>
              </w:rPr>
            </w:pPr>
          </w:p>
          <w:p w:rsidR="00EA11D5" w:rsidRPr="006E437B" w:rsidRDefault="00EA11D5" w:rsidP="00141629">
            <w:pPr>
              <w:spacing w:line="240" w:lineRule="auto"/>
              <w:ind w:right="71"/>
              <w:jc w:val="both"/>
              <w:rPr>
                <w:rFonts w:ascii="Times New Roman" w:hAnsi="Times New Roman" w:cs="Times New Roman"/>
                <w:sz w:val="24"/>
                <w:szCs w:val="24"/>
              </w:rPr>
            </w:pPr>
          </w:p>
          <w:p w:rsidR="00EA11D5" w:rsidRPr="006E437B" w:rsidRDefault="00EA11D5" w:rsidP="00141629">
            <w:pPr>
              <w:spacing w:line="240" w:lineRule="auto"/>
              <w:ind w:right="71"/>
              <w:jc w:val="both"/>
              <w:rPr>
                <w:rFonts w:ascii="Times New Roman" w:hAnsi="Times New Roman" w:cs="Times New Roman"/>
                <w:sz w:val="24"/>
                <w:szCs w:val="24"/>
              </w:rPr>
            </w:pPr>
          </w:p>
          <w:p w:rsidR="00EA11D5" w:rsidRPr="006E437B" w:rsidRDefault="00EA11D5" w:rsidP="00141629">
            <w:pPr>
              <w:spacing w:line="240" w:lineRule="auto"/>
              <w:ind w:right="71"/>
              <w:jc w:val="both"/>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spacing w:line="240" w:lineRule="auto"/>
              <w:ind w:left="-5"/>
              <w:rPr>
                <w:rFonts w:ascii="Times New Roman" w:hAnsi="Times New Roman" w:cs="Times New Roman"/>
                <w:sz w:val="24"/>
                <w:szCs w:val="24"/>
              </w:rPr>
            </w:pPr>
            <w:r w:rsidRPr="006E437B">
              <w:rPr>
                <w:rFonts w:ascii="Times New Roman" w:eastAsia="Arial" w:hAnsi="Times New Roman" w:cs="Times New Roman"/>
                <w:sz w:val="24"/>
                <w:szCs w:val="24"/>
              </w:rPr>
              <w:t xml:space="preserve"> </w:t>
            </w:r>
          </w:p>
          <w:p w:rsidR="00EA11D5" w:rsidRPr="006E437B" w:rsidRDefault="00EA11D5" w:rsidP="00141629">
            <w:pPr>
              <w:spacing w:line="240" w:lineRule="auto"/>
              <w:ind w:left="68"/>
              <w:rPr>
                <w:rFonts w:ascii="Times New Roman" w:hAnsi="Times New Roman" w:cs="Times New Roman"/>
                <w:sz w:val="24"/>
                <w:szCs w:val="24"/>
              </w:rPr>
            </w:pPr>
            <w:r w:rsidRPr="006E437B">
              <w:rPr>
                <w:rFonts w:ascii="Times New Roman" w:eastAsia="Arial" w:hAnsi="Times New Roman" w:cs="Times New Roman"/>
                <w:sz w:val="24"/>
                <w:szCs w:val="24"/>
              </w:rPr>
              <w:t xml:space="preserve">  </w:t>
            </w:r>
            <w:r w:rsidRPr="006E437B">
              <w:rPr>
                <w:rFonts w:ascii="Times New Roman" w:hAnsi="Times New Roman" w:cs="Times New Roman"/>
                <w:sz w:val="24"/>
                <w:szCs w:val="24"/>
              </w:rPr>
              <w:t xml:space="preserve"> </w:t>
            </w:r>
          </w:p>
        </w:tc>
        <w:tc>
          <w:tcPr>
            <w:tcW w:w="4655" w:type="dxa"/>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spacing w:line="240" w:lineRule="auto"/>
              <w:ind w:left="70"/>
              <w:jc w:val="both"/>
              <w:rPr>
                <w:rFonts w:ascii="Times New Roman" w:hAnsi="Times New Roman" w:cs="Times New Roman"/>
                <w:sz w:val="24"/>
                <w:szCs w:val="24"/>
              </w:rPr>
            </w:pPr>
            <w:r w:rsidRPr="006E437B">
              <w:rPr>
                <w:rFonts w:ascii="Times New Roman" w:eastAsia="Arial" w:hAnsi="Times New Roman" w:cs="Times New Roman"/>
                <w:b/>
                <w:sz w:val="24"/>
                <w:szCs w:val="24"/>
              </w:rPr>
              <w:t xml:space="preserve">Artículo 6.- </w:t>
            </w:r>
            <w:r w:rsidRPr="006E437B">
              <w:rPr>
                <w:rFonts w:ascii="Times New Roman" w:eastAsia="Arial" w:hAnsi="Times New Roman" w:cs="Times New Roman"/>
                <w:sz w:val="24"/>
                <w:szCs w:val="24"/>
              </w:rPr>
              <w:t>Para efectos de esta Ley se entenderá por</w:t>
            </w:r>
            <w:r w:rsidRPr="006E437B">
              <w:rPr>
                <w:rFonts w:ascii="Times New Roman" w:eastAsia="Arial" w:hAnsi="Times New Roman" w:cs="Times New Roman"/>
                <w:b/>
                <w:sz w:val="24"/>
                <w:szCs w:val="24"/>
              </w:rPr>
              <w:t>:</w:t>
            </w:r>
          </w:p>
          <w:p w:rsidR="00EA11D5" w:rsidRPr="006E437B" w:rsidRDefault="00EA11D5" w:rsidP="00141629">
            <w:pPr>
              <w:spacing w:line="240" w:lineRule="auto"/>
              <w:ind w:left="70"/>
              <w:rPr>
                <w:rFonts w:ascii="Times New Roman" w:hAnsi="Times New Roman" w:cs="Times New Roman"/>
                <w:sz w:val="24"/>
                <w:szCs w:val="24"/>
              </w:rPr>
            </w:pPr>
          </w:p>
          <w:p w:rsidR="00EA11D5" w:rsidRPr="006E437B" w:rsidRDefault="00EA11D5" w:rsidP="00141629">
            <w:pPr>
              <w:spacing w:line="240" w:lineRule="auto"/>
              <w:ind w:left="70"/>
              <w:rPr>
                <w:rFonts w:ascii="Times New Roman" w:hAnsi="Times New Roman" w:cs="Times New Roman"/>
                <w:sz w:val="24"/>
                <w:szCs w:val="24"/>
              </w:rPr>
            </w:pPr>
            <w:r w:rsidRPr="006E437B">
              <w:rPr>
                <w:rFonts w:ascii="Times New Roman" w:eastAsia="Arial" w:hAnsi="Times New Roman" w:cs="Times New Roman"/>
                <w:sz w:val="24"/>
                <w:szCs w:val="24"/>
              </w:rPr>
              <w:t xml:space="preserve">I. a LXV. </w:t>
            </w:r>
            <w:r w:rsidRPr="006E437B">
              <w:rPr>
                <w:rFonts w:ascii="Times New Roman" w:eastAsia="Arial" w:hAnsi="Times New Roman" w:cs="Times New Roman"/>
                <w:b/>
                <w:sz w:val="24"/>
                <w:szCs w:val="24"/>
              </w:rPr>
              <w:t>…</w:t>
            </w:r>
          </w:p>
          <w:p w:rsidR="00EA11D5" w:rsidRPr="006E437B" w:rsidRDefault="00EA11D5" w:rsidP="00141629">
            <w:pPr>
              <w:spacing w:line="240" w:lineRule="auto"/>
              <w:ind w:left="70"/>
              <w:rPr>
                <w:rFonts w:ascii="Times New Roman" w:hAnsi="Times New Roman" w:cs="Times New Roman"/>
                <w:sz w:val="24"/>
                <w:szCs w:val="24"/>
              </w:rPr>
            </w:pPr>
          </w:p>
          <w:p w:rsidR="00EA11D5" w:rsidRPr="006E437B" w:rsidRDefault="00EA11D5" w:rsidP="00141629">
            <w:pPr>
              <w:spacing w:line="240" w:lineRule="auto"/>
              <w:ind w:left="70" w:right="64"/>
              <w:jc w:val="both"/>
              <w:rPr>
                <w:rFonts w:ascii="Times New Roman" w:hAnsi="Times New Roman" w:cs="Times New Roman"/>
                <w:sz w:val="24"/>
                <w:szCs w:val="24"/>
              </w:rPr>
            </w:pPr>
            <w:r w:rsidRPr="006E437B">
              <w:rPr>
                <w:rFonts w:ascii="Times New Roman" w:eastAsia="Arial" w:hAnsi="Times New Roman" w:cs="Times New Roman"/>
                <w:b/>
                <w:sz w:val="24"/>
                <w:szCs w:val="24"/>
              </w:rPr>
              <w:t>LXV Bis.- Sistemas de Captación de Agua Pluvial: Mecanismos que permiten la recolección, filtración, tratamiento y almacenaje del agua de lluvia que cae en el techo o cubierta para su posterior uso y aprovechamiento en la vivienda o edificación.</w:t>
            </w:r>
          </w:p>
          <w:p w:rsidR="00EA11D5" w:rsidRPr="006E437B" w:rsidRDefault="00EA11D5" w:rsidP="00141629">
            <w:pPr>
              <w:spacing w:line="240" w:lineRule="auto"/>
              <w:ind w:left="70"/>
              <w:rPr>
                <w:rFonts w:ascii="Times New Roman" w:hAnsi="Times New Roman" w:cs="Times New Roman"/>
                <w:sz w:val="24"/>
                <w:szCs w:val="24"/>
              </w:rPr>
            </w:pPr>
          </w:p>
          <w:p w:rsidR="00EA11D5" w:rsidRPr="006E437B" w:rsidRDefault="00EA11D5" w:rsidP="00141629">
            <w:pPr>
              <w:spacing w:line="240" w:lineRule="auto"/>
              <w:ind w:left="70"/>
              <w:rPr>
                <w:rFonts w:ascii="Times New Roman" w:hAnsi="Times New Roman" w:cs="Times New Roman"/>
                <w:sz w:val="24"/>
                <w:szCs w:val="24"/>
              </w:rPr>
            </w:pPr>
            <w:r w:rsidRPr="006E437B">
              <w:rPr>
                <w:rFonts w:ascii="Times New Roman" w:eastAsia="Arial" w:hAnsi="Times New Roman" w:cs="Times New Roman"/>
                <w:sz w:val="24"/>
                <w:szCs w:val="24"/>
              </w:rPr>
              <w:t xml:space="preserve">LXVI. a LXXX. </w:t>
            </w:r>
            <w:r w:rsidRPr="006E437B">
              <w:rPr>
                <w:rFonts w:ascii="Times New Roman" w:eastAsia="Arial" w:hAnsi="Times New Roman" w:cs="Times New Roman"/>
                <w:b/>
                <w:sz w:val="24"/>
                <w:szCs w:val="24"/>
              </w:rPr>
              <w:t>…</w:t>
            </w:r>
          </w:p>
          <w:p w:rsidR="00EA11D5" w:rsidRPr="006E437B" w:rsidRDefault="00EA11D5" w:rsidP="00141629">
            <w:pPr>
              <w:spacing w:line="240" w:lineRule="auto"/>
              <w:ind w:left="70"/>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eastAsia="Arial" w:hAnsi="Times New Roman" w:cs="Times New Roman"/>
                <w:b/>
                <w:sz w:val="24"/>
                <w:szCs w:val="24"/>
              </w:rPr>
              <w:t>Artículo 53.-</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 xml:space="preserve">Las autoridades del agua fomentarán e impulsarán, mediante mecanismos de incentivos fiscales aprobados por los Ayuntamientos de cada Municipio Mexiquense y operados por los sus respectivos </w:t>
            </w:r>
            <w:r w:rsidRPr="006E437B">
              <w:rPr>
                <w:rFonts w:ascii="Times New Roman" w:hAnsi="Times New Roman" w:cs="Times New Roman"/>
                <w:b/>
                <w:sz w:val="24"/>
                <w:szCs w:val="24"/>
              </w:rPr>
              <w:t>Gobiernos Municipales, la construcción de la infraestructura hidráulica que permita el aprovechamiento del agua pluvial a través de Sistemas de Captación de agua Pluvial con el objeto de conservar reservas hídricas y la recarga de acuíferos, y fomentarán la construcción y conservación de instalaciones alternas que sustituyan al drenaje cuando éste no pueda construirse</w:t>
            </w:r>
          </w:p>
          <w:p w:rsidR="00EA11D5" w:rsidRPr="006E437B" w:rsidRDefault="00EA11D5" w:rsidP="00141629">
            <w:pPr>
              <w:pStyle w:val="Sinespaciado"/>
              <w:jc w:val="both"/>
              <w:rPr>
                <w:rFonts w:ascii="Times New Roman" w:hAnsi="Times New Roman" w:cs="Times New Roman"/>
                <w:sz w:val="24"/>
                <w:szCs w:val="24"/>
              </w:rPr>
            </w:pPr>
          </w:p>
        </w:tc>
      </w:tr>
    </w:tbl>
    <w:tbl>
      <w:tblPr>
        <w:tblStyle w:val="TableGrid"/>
        <w:tblpPr w:vertAnchor="text" w:tblpXSpec="center" w:tblpY="-1287"/>
        <w:tblOverlap w:val="never"/>
        <w:tblW w:w="9162" w:type="dxa"/>
        <w:tblInd w:w="0" w:type="dxa"/>
        <w:tblCellMar>
          <w:left w:w="34" w:type="dxa"/>
        </w:tblCellMar>
        <w:tblLook w:val="04A0" w:firstRow="1" w:lastRow="0" w:firstColumn="1" w:lastColumn="0" w:noHBand="0" w:noVBand="1"/>
      </w:tblPr>
      <w:tblGrid>
        <w:gridCol w:w="4241"/>
        <w:gridCol w:w="265"/>
        <w:gridCol w:w="4656"/>
      </w:tblGrid>
      <w:tr w:rsidR="00EA11D5" w:rsidRPr="006E437B" w:rsidTr="00656E24">
        <w:trPr>
          <w:trHeight w:val="712"/>
        </w:trPr>
        <w:tc>
          <w:tcPr>
            <w:tcW w:w="9162"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bottom"/>
          </w:tcPr>
          <w:p w:rsidR="00EA11D5" w:rsidRPr="006E437B" w:rsidRDefault="00EA11D5" w:rsidP="00141629">
            <w:pPr>
              <w:spacing w:line="240" w:lineRule="auto"/>
              <w:jc w:val="center"/>
              <w:rPr>
                <w:rFonts w:ascii="Times New Roman" w:hAnsi="Times New Roman" w:cs="Times New Roman"/>
                <w:sz w:val="24"/>
                <w:szCs w:val="24"/>
              </w:rPr>
            </w:pPr>
            <w:r w:rsidRPr="006E437B">
              <w:rPr>
                <w:rFonts w:ascii="Times New Roman" w:eastAsia="Arial" w:hAnsi="Times New Roman" w:cs="Times New Roman"/>
                <w:b/>
                <w:i/>
                <w:sz w:val="24"/>
                <w:szCs w:val="24"/>
              </w:rPr>
              <w:t>LEY DEL AGUA DEL ESTADO DE MÉXICO Y MUNICIPIOS</w:t>
            </w:r>
          </w:p>
          <w:p w:rsidR="00EA11D5" w:rsidRPr="006E437B" w:rsidRDefault="00EA11D5"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tc>
      </w:tr>
      <w:tr w:rsidR="00EA11D5" w:rsidRPr="006E437B" w:rsidTr="00656E24">
        <w:trPr>
          <w:trHeight w:val="712"/>
        </w:trPr>
        <w:tc>
          <w:tcPr>
            <w:tcW w:w="9162"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bottom"/>
          </w:tcPr>
          <w:p w:rsidR="00EA11D5" w:rsidRPr="006E437B" w:rsidRDefault="00EA11D5" w:rsidP="00141629">
            <w:pPr>
              <w:spacing w:line="240" w:lineRule="auto"/>
              <w:rPr>
                <w:rFonts w:ascii="Times New Roman" w:eastAsia="Arial" w:hAnsi="Times New Roman" w:cs="Times New Roman"/>
                <w:b/>
                <w:i/>
                <w:sz w:val="24"/>
                <w:szCs w:val="24"/>
              </w:rPr>
            </w:pPr>
          </w:p>
        </w:tc>
      </w:tr>
      <w:tr w:rsidR="00EA11D5" w:rsidRPr="006E437B" w:rsidTr="00656E24">
        <w:trPr>
          <w:trHeight w:val="384"/>
        </w:trPr>
        <w:tc>
          <w:tcPr>
            <w:tcW w:w="4241" w:type="dxa"/>
            <w:tcBorders>
              <w:top w:val="single" w:sz="4" w:space="0" w:color="000000"/>
              <w:left w:val="single" w:sz="4" w:space="0" w:color="000000"/>
              <w:bottom w:val="single" w:sz="4" w:space="0" w:color="000000"/>
              <w:right w:val="single" w:sz="4" w:space="0" w:color="000000"/>
            </w:tcBorders>
            <w:shd w:val="clear" w:color="auto" w:fill="D9D9D9"/>
          </w:tcPr>
          <w:p w:rsidR="00EA11D5" w:rsidRPr="006E437B" w:rsidRDefault="00EA11D5" w:rsidP="00141629">
            <w:pPr>
              <w:spacing w:line="240" w:lineRule="auto"/>
              <w:ind w:right="44"/>
              <w:jc w:val="center"/>
              <w:rPr>
                <w:rFonts w:ascii="Times New Roman" w:hAnsi="Times New Roman" w:cs="Times New Roman"/>
                <w:sz w:val="24"/>
                <w:szCs w:val="24"/>
              </w:rPr>
            </w:pPr>
            <w:r w:rsidRPr="006E437B">
              <w:rPr>
                <w:rFonts w:ascii="Times New Roman" w:eastAsia="Arial" w:hAnsi="Times New Roman" w:cs="Times New Roman"/>
                <w:b/>
                <w:sz w:val="24"/>
                <w:szCs w:val="24"/>
              </w:rPr>
              <w:t>TEXTO NORMATIVO VIGENTE</w:t>
            </w: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spacing w:line="240" w:lineRule="auto"/>
              <w:ind w:left="65" w:right="-18"/>
              <w:rPr>
                <w:rFonts w:ascii="Times New Roman" w:hAnsi="Times New Roman" w:cs="Times New Roman"/>
                <w:sz w:val="24"/>
                <w:szCs w:val="24"/>
              </w:rPr>
            </w:pPr>
            <w:r w:rsidRPr="006E437B">
              <w:rPr>
                <w:rFonts w:ascii="Times New Roman" w:eastAsia="Arial" w:hAnsi="Times New Roman" w:cs="Times New Roman"/>
                <w:b/>
                <w:sz w:val="24"/>
                <w:szCs w:val="24"/>
              </w:rPr>
              <w:t xml:space="preserve">  </w:t>
            </w:r>
            <w:r w:rsidRPr="006E437B">
              <w:rPr>
                <w:rFonts w:ascii="Times New Roman" w:hAnsi="Times New Roman" w:cs="Times New Roman"/>
                <w:sz w:val="24"/>
                <w:szCs w:val="24"/>
              </w:rPr>
              <w:t xml:space="preserve"> </w:t>
            </w:r>
          </w:p>
        </w:tc>
        <w:tc>
          <w:tcPr>
            <w:tcW w:w="4656" w:type="dxa"/>
            <w:tcBorders>
              <w:top w:val="single" w:sz="4" w:space="0" w:color="000000"/>
              <w:left w:val="single" w:sz="4" w:space="0" w:color="000000"/>
              <w:bottom w:val="single" w:sz="4" w:space="0" w:color="000000"/>
              <w:right w:val="single" w:sz="4" w:space="0" w:color="000000"/>
            </w:tcBorders>
            <w:shd w:val="clear" w:color="auto" w:fill="D9D9D9"/>
          </w:tcPr>
          <w:p w:rsidR="00EA11D5" w:rsidRPr="006E437B" w:rsidRDefault="00EA11D5" w:rsidP="00141629">
            <w:pPr>
              <w:spacing w:line="240" w:lineRule="auto"/>
              <w:ind w:right="39"/>
              <w:jc w:val="center"/>
              <w:rPr>
                <w:rFonts w:ascii="Times New Roman" w:hAnsi="Times New Roman" w:cs="Times New Roman"/>
                <w:sz w:val="24"/>
                <w:szCs w:val="24"/>
              </w:rPr>
            </w:pPr>
            <w:r w:rsidRPr="006E437B">
              <w:rPr>
                <w:rFonts w:ascii="Times New Roman" w:eastAsia="Arial" w:hAnsi="Times New Roman" w:cs="Times New Roman"/>
                <w:b/>
                <w:sz w:val="24"/>
                <w:szCs w:val="24"/>
              </w:rPr>
              <w:t>TEXTO NORMATIVO PROPUESTO</w:t>
            </w:r>
          </w:p>
        </w:tc>
      </w:tr>
      <w:tr w:rsidR="00EA11D5" w:rsidRPr="006E437B" w:rsidTr="00656E24">
        <w:trPr>
          <w:trHeight w:val="8493"/>
        </w:trPr>
        <w:tc>
          <w:tcPr>
            <w:tcW w:w="4241" w:type="dxa"/>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53 Bis.-</w:t>
            </w:r>
            <w:r w:rsidRPr="006E437B">
              <w:rPr>
                <w:rFonts w:ascii="Times New Roman" w:hAnsi="Times New Roman" w:cs="Times New Roman"/>
                <w:sz w:val="24"/>
                <w:szCs w:val="24"/>
              </w:rPr>
              <w:t xml:space="preserve"> Las Dependencias y Organismos Auxiliares estatales y municipales, de acuerdo con su naturaleza jurídica y según corresponda, introducirán sistemas de naturación y/o sistemas necesarios para la captación y aprovechamiento de agua pluvial en los inmuebles destinados a un servicio público que tengan a su cargo, siempre y cuando, las características físicas de los mismos sean aptas para ello y permitan su instalación, operación y mantenimiento.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73.- </w:t>
            </w:r>
            <w:r w:rsidRPr="006E437B">
              <w:rPr>
                <w:rFonts w:ascii="Times New Roman" w:hAnsi="Times New Roman" w:cs="Times New Roman"/>
                <w:sz w:val="24"/>
                <w:szCs w:val="24"/>
              </w:rPr>
              <w:t xml:space="preserve">Es obligación de los desarrolladores de vivienda, constructores o propietarios de conjuntos habitacionales, industriales </w:t>
            </w:r>
            <w:r w:rsidRPr="006E437B">
              <w:rPr>
                <w:rFonts w:ascii="Times New Roman" w:hAnsi="Times New Roman" w:cs="Times New Roman"/>
                <w:iCs/>
                <w:sz w:val="24"/>
                <w:szCs w:val="24"/>
              </w:rPr>
              <w:t xml:space="preserve">o de servicios, la construcción de sus redes de distribución y sistemas de drenaje y alcantarillado de conformidad con la normatividad en la materia, así como la conexión de las mismas a la infraestructura hidráulica municipal. </w:t>
            </w: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iCs/>
                <w:color w:val="auto"/>
              </w:rPr>
              <w:t xml:space="preserve">Asimismo correrá a su cargo el costo de los aparatos medidores de consumo de agua potable y su instalación en cada una de las tomas; es obligatorio el tratamiento de aguas residuales y, en su caso, pozos de absorción para el agua pluvial que cumplan con lo previsto en los ordenamientos federales y estatales. Dichas plantas y pozos de absorción deberán estar disponibles antes de la ocupación de los conjuntos. La Comisión podrá determinar mecanismos alternativos para el cumplimiento de esta obligación. El </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iCs/>
                <w:sz w:val="24"/>
                <w:szCs w:val="24"/>
              </w:rPr>
              <w:t xml:space="preserve">Reglamento establecerá los procedimientos aplicables. </w:t>
            </w: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spacing w:line="240" w:lineRule="auto"/>
              <w:ind w:left="34"/>
              <w:rPr>
                <w:rFonts w:ascii="Times New Roman" w:hAnsi="Times New Roman" w:cs="Times New Roman"/>
                <w:sz w:val="24"/>
                <w:szCs w:val="24"/>
              </w:rPr>
            </w:pPr>
            <w:r w:rsidRPr="006E437B">
              <w:rPr>
                <w:rFonts w:ascii="Times New Roman" w:hAnsi="Times New Roman" w:cs="Times New Roman"/>
                <w:sz w:val="24"/>
                <w:szCs w:val="24"/>
              </w:rPr>
              <w:t xml:space="preserve"> </w:t>
            </w:r>
          </w:p>
        </w:tc>
        <w:tc>
          <w:tcPr>
            <w:tcW w:w="4656" w:type="dxa"/>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pStyle w:val="Sinespaciado"/>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53 Bis.-</w:t>
            </w:r>
            <w:r w:rsidRPr="006E437B">
              <w:rPr>
                <w:rFonts w:ascii="Times New Roman" w:hAnsi="Times New Roman" w:cs="Times New Roman"/>
                <w:sz w:val="24"/>
                <w:szCs w:val="24"/>
              </w:rPr>
              <w:t xml:space="preserve"> Las Dependencias y Organismos Auxiliares estatales y municipales, de acuerdo con su naturaleza jurídica y según corresponda, introducirán </w:t>
            </w:r>
            <w:r w:rsidRPr="006E437B">
              <w:rPr>
                <w:rFonts w:ascii="Times New Roman" w:hAnsi="Times New Roman" w:cs="Times New Roman"/>
                <w:b/>
                <w:sz w:val="24"/>
                <w:szCs w:val="24"/>
              </w:rPr>
              <w:t>Sistemas de Captación de Agua Pluvial</w:t>
            </w:r>
            <w:r w:rsidRPr="006E437B">
              <w:rPr>
                <w:rFonts w:ascii="Times New Roman" w:hAnsi="Times New Roman" w:cs="Times New Roman"/>
                <w:sz w:val="24"/>
                <w:szCs w:val="24"/>
              </w:rPr>
              <w:t xml:space="preserve"> para la captación y aprovechamiento de agua pluvial en los inmuebles destinados a un servicio público que tengan a su cargo, siempre y cuando, las características físicas de los mismos sean aptas para ello y permitan su instalación, operación y mantenimiento.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73.- </w:t>
            </w:r>
            <w:r w:rsidRPr="006E437B">
              <w:rPr>
                <w:rFonts w:ascii="Times New Roman" w:hAnsi="Times New Roman" w:cs="Times New Roman"/>
                <w:sz w:val="24"/>
                <w:szCs w:val="24"/>
              </w:rPr>
              <w:t>Es obligación de los desarrolladores de vivienda, constructores o propietarios de conjuntos habitacionales, industriales o de servicios, la construcción de sus redes de distribución y sistemas de drenaje y alcantarillado de conformidad con la normatividad en la materia, así como la conexión de las mismas a la infraestructura hidráulica municipal.</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b/>
                <w:bCs/>
                <w:color w:val="auto"/>
              </w:rPr>
            </w:pPr>
            <w:r w:rsidRPr="006E437B">
              <w:rPr>
                <w:rFonts w:ascii="Times New Roman" w:hAnsi="Times New Roman" w:cs="Times New Roman"/>
                <w:color w:val="auto"/>
              </w:rPr>
              <w:t xml:space="preserve">Asimismo correrá a su cargo el costo de los aparatos medidores de consumo de agua potable y su instalación en cada una de las tomas; es obligatorio el tratamiento de aguas residuales </w:t>
            </w:r>
            <w:r w:rsidRPr="006E437B">
              <w:rPr>
                <w:rFonts w:ascii="Times New Roman" w:hAnsi="Times New Roman" w:cs="Times New Roman"/>
                <w:b/>
                <w:bCs/>
                <w:color w:val="auto"/>
              </w:rPr>
              <w:t>y de la misma manera, deberá de cumplir con la construcción y adecuación correspondiente para la implementación de Sistemas de Captación de Agua Pluvial con el objeto de dar cumplimiento a la presente ley y a la Ley General de Aguas y lo previsto en los ordenamientos federales y estatales.</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Sinespaciado"/>
              <w:jc w:val="both"/>
              <w:rPr>
                <w:rFonts w:ascii="Times New Roman" w:hAnsi="Times New Roman" w:cs="Times New Roman"/>
                <w:b/>
                <w:bCs/>
                <w:sz w:val="24"/>
                <w:szCs w:val="24"/>
              </w:rPr>
            </w:pPr>
            <w:r w:rsidRPr="006E437B">
              <w:rPr>
                <w:rFonts w:ascii="Times New Roman" w:hAnsi="Times New Roman" w:cs="Times New Roman"/>
                <w:b/>
                <w:bCs/>
                <w:sz w:val="24"/>
                <w:szCs w:val="24"/>
              </w:rPr>
              <w:t>Dichos Sistemas de Captación de Agua Pluvial, plantas y pozos de absorción deberán estar disponibles antes de la ocupación de los conjuntos.</w:t>
            </w:r>
          </w:p>
          <w:p w:rsidR="00EA11D5" w:rsidRPr="006E437B" w:rsidRDefault="00EA11D5" w:rsidP="00141629">
            <w:pPr>
              <w:pStyle w:val="Sinespaciado"/>
              <w:jc w:val="both"/>
              <w:rPr>
                <w:rFonts w:ascii="Times New Roman" w:hAnsi="Times New Roman" w:cs="Times New Roman"/>
                <w:sz w:val="24"/>
                <w:szCs w:val="24"/>
              </w:rPr>
            </w:pPr>
          </w:p>
        </w:tc>
      </w:tr>
    </w:tbl>
    <w:p w:rsidR="00EA11D5" w:rsidRPr="006E437B" w:rsidRDefault="00EA11D5" w:rsidP="00141629">
      <w:pPr>
        <w:spacing w:after="0" w:line="240" w:lineRule="auto"/>
        <w:ind w:right="379"/>
        <w:rPr>
          <w:rFonts w:ascii="Times New Roman" w:hAnsi="Times New Roman" w:cs="Times New Roman"/>
          <w:sz w:val="24"/>
          <w:szCs w:val="24"/>
        </w:rPr>
      </w:pPr>
    </w:p>
    <w:tbl>
      <w:tblPr>
        <w:tblStyle w:val="TableGrid"/>
        <w:tblpPr w:vertAnchor="text" w:tblpX="31" w:tblpY="-1287"/>
        <w:tblOverlap w:val="never"/>
        <w:tblW w:w="9162" w:type="dxa"/>
        <w:tblInd w:w="0" w:type="dxa"/>
        <w:tblLook w:val="04A0" w:firstRow="1" w:lastRow="0" w:firstColumn="1" w:lastColumn="0" w:noHBand="0" w:noVBand="1"/>
      </w:tblPr>
      <w:tblGrid>
        <w:gridCol w:w="324"/>
        <w:gridCol w:w="3917"/>
        <w:gridCol w:w="265"/>
        <w:gridCol w:w="4656"/>
      </w:tblGrid>
      <w:tr w:rsidR="00EA11D5" w:rsidRPr="006E437B" w:rsidTr="00EA11D5">
        <w:trPr>
          <w:trHeight w:val="57"/>
        </w:trPr>
        <w:tc>
          <w:tcPr>
            <w:tcW w:w="324" w:type="dxa"/>
            <w:tcBorders>
              <w:top w:val="nil"/>
              <w:left w:val="nil"/>
              <w:bottom w:val="single" w:sz="4" w:space="0" w:color="000000"/>
              <w:right w:val="single" w:sz="6" w:space="0" w:color="7D8286"/>
            </w:tcBorders>
          </w:tcPr>
          <w:p w:rsidR="00EA11D5" w:rsidRPr="006E437B" w:rsidRDefault="00EA11D5" w:rsidP="00141629">
            <w:pPr>
              <w:spacing w:line="240" w:lineRule="auto"/>
              <w:rPr>
                <w:rFonts w:ascii="Times New Roman" w:hAnsi="Times New Roman" w:cs="Times New Roman"/>
                <w:sz w:val="6"/>
                <w:szCs w:val="24"/>
              </w:rPr>
            </w:pPr>
          </w:p>
        </w:tc>
        <w:tc>
          <w:tcPr>
            <w:tcW w:w="8839" w:type="dxa"/>
            <w:gridSpan w:val="3"/>
            <w:tcBorders>
              <w:top w:val="nil"/>
              <w:left w:val="single" w:sz="6" w:space="0" w:color="7D8286"/>
              <w:bottom w:val="single" w:sz="4" w:space="0" w:color="000000"/>
              <w:right w:val="nil"/>
            </w:tcBorders>
          </w:tcPr>
          <w:p w:rsidR="00EA11D5" w:rsidRPr="006E437B" w:rsidRDefault="00EA11D5" w:rsidP="00141629">
            <w:pPr>
              <w:spacing w:line="240" w:lineRule="auto"/>
              <w:ind w:left="206" w:right="376"/>
              <w:jc w:val="right"/>
              <w:rPr>
                <w:rFonts w:ascii="Times New Roman" w:hAnsi="Times New Roman" w:cs="Times New Roman"/>
                <w:sz w:val="2"/>
                <w:szCs w:val="24"/>
              </w:rPr>
            </w:pPr>
          </w:p>
        </w:tc>
      </w:tr>
      <w:tr w:rsidR="00EA11D5" w:rsidRPr="006E437B" w:rsidTr="00656E24">
        <w:trPr>
          <w:trHeight w:val="712"/>
        </w:trPr>
        <w:tc>
          <w:tcPr>
            <w:tcW w:w="9162"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bottom"/>
          </w:tcPr>
          <w:p w:rsidR="00EA11D5" w:rsidRPr="006E437B" w:rsidRDefault="00EA11D5" w:rsidP="00656E24">
            <w:pPr>
              <w:pStyle w:val="Sinespaciado"/>
              <w:jc w:val="center"/>
              <w:rPr>
                <w:rFonts w:ascii="Times New Roman" w:hAnsi="Times New Roman" w:cs="Times New Roman"/>
                <w:b/>
                <w:i/>
                <w:sz w:val="24"/>
                <w:szCs w:val="24"/>
              </w:rPr>
            </w:pPr>
            <w:r w:rsidRPr="006E437B">
              <w:rPr>
                <w:rFonts w:ascii="Times New Roman" w:hAnsi="Times New Roman" w:cs="Times New Roman"/>
                <w:b/>
                <w:i/>
                <w:sz w:val="24"/>
                <w:szCs w:val="24"/>
              </w:rPr>
              <w:t>LEY DEL AGUA DEL ESTADO DE MÉXICO Y MUNICIPIOS</w:t>
            </w: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 </w:t>
            </w:r>
          </w:p>
        </w:tc>
      </w:tr>
      <w:tr w:rsidR="00EA11D5" w:rsidRPr="006E437B" w:rsidTr="00656E24">
        <w:trPr>
          <w:trHeight w:val="384"/>
        </w:trPr>
        <w:tc>
          <w:tcPr>
            <w:tcW w:w="4241" w:type="dxa"/>
            <w:gridSpan w:val="2"/>
            <w:tcBorders>
              <w:top w:val="single" w:sz="4" w:space="0" w:color="000000"/>
              <w:left w:val="single" w:sz="4" w:space="0" w:color="000000"/>
              <w:bottom w:val="single" w:sz="4" w:space="0" w:color="000000"/>
              <w:right w:val="single" w:sz="4" w:space="0" w:color="000000"/>
            </w:tcBorders>
            <w:shd w:val="clear" w:color="auto" w:fill="D9D9D9"/>
          </w:tcPr>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TEXTO NORMATIVO VIGENTE</w:t>
            </w: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spacing w:line="240" w:lineRule="auto"/>
              <w:ind w:left="98" w:right="-18"/>
              <w:rPr>
                <w:rFonts w:ascii="Times New Roman" w:hAnsi="Times New Roman" w:cs="Times New Roman"/>
                <w:sz w:val="24"/>
                <w:szCs w:val="24"/>
              </w:rPr>
            </w:pPr>
            <w:r w:rsidRPr="006E437B">
              <w:rPr>
                <w:rFonts w:ascii="Times New Roman" w:eastAsia="Arial" w:hAnsi="Times New Roman" w:cs="Times New Roman"/>
                <w:b/>
                <w:sz w:val="24"/>
                <w:szCs w:val="24"/>
              </w:rPr>
              <w:t xml:space="preserve">  </w:t>
            </w:r>
            <w:r w:rsidRPr="006E437B">
              <w:rPr>
                <w:rFonts w:ascii="Times New Roman" w:hAnsi="Times New Roman" w:cs="Times New Roman"/>
                <w:sz w:val="24"/>
                <w:szCs w:val="24"/>
              </w:rPr>
              <w:t xml:space="preserve"> </w:t>
            </w:r>
          </w:p>
        </w:tc>
        <w:tc>
          <w:tcPr>
            <w:tcW w:w="4656" w:type="dxa"/>
            <w:tcBorders>
              <w:top w:val="single" w:sz="4" w:space="0" w:color="000000"/>
              <w:left w:val="single" w:sz="4" w:space="0" w:color="000000"/>
              <w:bottom w:val="single" w:sz="4" w:space="0" w:color="000000"/>
              <w:right w:val="single" w:sz="4" w:space="0" w:color="000000"/>
            </w:tcBorders>
            <w:shd w:val="clear" w:color="auto" w:fill="D9D9D9"/>
          </w:tcPr>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TEXTO NORMATIVO PROPUESTO</w:t>
            </w:r>
          </w:p>
        </w:tc>
      </w:tr>
      <w:tr w:rsidR="00EA11D5" w:rsidRPr="006E437B" w:rsidTr="00656E24">
        <w:trPr>
          <w:trHeight w:val="10258"/>
        </w:trPr>
        <w:tc>
          <w:tcPr>
            <w:tcW w:w="4241" w:type="dxa"/>
            <w:gridSpan w:val="2"/>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i/>
                <w:iCs/>
                <w:color w:val="auto"/>
              </w:rPr>
              <w:t xml:space="preserve">… </w:t>
            </w:r>
          </w:p>
          <w:p w:rsidR="00EA11D5" w:rsidRPr="006E437B" w:rsidRDefault="00EA11D5" w:rsidP="00141629">
            <w:pPr>
              <w:pStyle w:val="Sinespaciado"/>
              <w:jc w:val="both"/>
              <w:rPr>
                <w:rFonts w:ascii="Times New Roman" w:hAnsi="Times New Roman" w:cs="Times New Roman"/>
                <w:i/>
                <w:iCs/>
                <w:sz w:val="24"/>
                <w:szCs w:val="24"/>
              </w:rPr>
            </w:pPr>
            <w:r w:rsidRPr="006E437B">
              <w:rPr>
                <w:rFonts w:ascii="Times New Roman" w:hAnsi="Times New Roman" w:cs="Times New Roman"/>
                <w:b/>
                <w:bCs/>
                <w:i/>
                <w:iCs/>
                <w:sz w:val="24"/>
                <w:szCs w:val="24"/>
              </w:rPr>
              <w:t xml:space="preserve">Artículo 91.- </w:t>
            </w:r>
            <w:r w:rsidRPr="006E437B">
              <w:rPr>
                <w:rFonts w:ascii="Times New Roman" w:hAnsi="Times New Roman" w:cs="Times New Roman"/>
                <w:i/>
                <w:iCs/>
                <w:sz w:val="24"/>
                <w:szCs w:val="24"/>
              </w:rPr>
              <w:t>Las autoridades del agua impulsarán las acciones que sean necesarias para mantener y, en su caso, restablecer el equilibrio entre la disponibilidad y el aprovechamiento de los recursos hídricos, tales como la instalación de sistemas captadores y de naturación del agua, para favorecer el manejo sustentable en el proceso de la gestión integral del agua, así como los diversos usos y usuarios.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i/>
                <w:iCs/>
                <w:color w:val="auto"/>
              </w:rPr>
              <w:t xml:space="preserve">Artículo 92.- </w:t>
            </w:r>
            <w:r w:rsidRPr="006E437B">
              <w:rPr>
                <w:rFonts w:ascii="Times New Roman" w:hAnsi="Times New Roman" w:cs="Times New Roman"/>
                <w:i/>
                <w:iCs/>
                <w:color w:val="auto"/>
              </w:rPr>
              <w:t>Los desarrolladores de nuevos conjuntos habitacionales, industriales y de servicios están obligados a construir instalaciones para la recolección de agua pluvial y, al tratamiento de aguas residuales para su conducción en los términos de la legislación aplicable, para ser aprovechada en el riego de áreas verdes o aquellas actividades que no requieran la utilización de agua potable.</w:t>
            </w:r>
          </w:p>
          <w:p w:rsidR="00EA11D5" w:rsidRPr="006E437B" w:rsidRDefault="00EA11D5" w:rsidP="00141629">
            <w:pPr>
              <w:pStyle w:val="Sinespaciado"/>
              <w:jc w:val="both"/>
              <w:rPr>
                <w:rFonts w:ascii="Times New Roman" w:hAnsi="Times New Roman" w:cs="Times New Roman"/>
                <w:b/>
                <w:bCs/>
                <w:i/>
                <w:iCs/>
                <w:sz w:val="24"/>
                <w:szCs w:val="24"/>
              </w:rPr>
            </w:pPr>
          </w:p>
          <w:p w:rsidR="00EA11D5" w:rsidRPr="006E437B" w:rsidRDefault="00EA11D5" w:rsidP="00141629">
            <w:pPr>
              <w:pStyle w:val="Sinespaciado"/>
              <w:jc w:val="both"/>
              <w:rPr>
                <w:rFonts w:ascii="Times New Roman" w:hAnsi="Times New Roman" w:cs="Times New Roman"/>
                <w:b/>
                <w:bCs/>
                <w:i/>
                <w:iCs/>
                <w:sz w:val="24"/>
                <w:szCs w:val="24"/>
              </w:rPr>
            </w:pPr>
          </w:p>
          <w:p w:rsidR="00EA11D5" w:rsidRPr="006E437B" w:rsidRDefault="00EA11D5" w:rsidP="00141629">
            <w:pPr>
              <w:pStyle w:val="Sinespaciado"/>
              <w:jc w:val="both"/>
              <w:rPr>
                <w:rFonts w:ascii="Times New Roman" w:hAnsi="Times New Roman" w:cs="Times New Roman"/>
                <w:b/>
                <w:bCs/>
                <w:i/>
                <w:iCs/>
                <w:sz w:val="24"/>
                <w:szCs w:val="24"/>
              </w:rPr>
            </w:pPr>
          </w:p>
          <w:p w:rsidR="00EA11D5" w:rsidRPr="006E437B" w:rsidRDefault="00EA11D5" w:rsidP="00141629">
            <w:pPr>
              <w:pStyle w:val="Sinespaciado"/>
              <w:jc w:val="both"/>
              <w:rPr>
                <w:rFonts w:ascii="Times New Roman" w:hAnsi="Times New Roman" w:cs="Times New Roman"/>
                <w:b/>
                <w:bCs/>
                <w:i/>
                <w:iCs/>
                <w:sz w:val="24"/>
                <w:szCs w:val="24"/>
              </w:rPr>
            </w:pPr>
          </w:p>
          <w:p w:rsidR="00EA11D5" w:rsidRPr="006E437B" w:rsidRDefault="00EA11D5" w:rsidP="00141629">
            <w:pPr>
              <w:pStyle w:val="Sinespaciado"/>
              <w:jc w:val="both"/>
              <w:rPr>
                <w:rFonts w:ascii="Times New Roman" w:hAnsi="Times New Roman" w:cs="Times New Roman"/>
                <w:b/>
                <w:bCs/>
                <w:i/>
                <w:iCs/>
                <w:sz w:val="24"/>
                <w:szCs w:val="24"/>
              </w:rPr>
            </w:pPr>
            <w:r w:rsidRPr="006E437B">
              <w:rPr>
                <w:rFonts w:ascii="Times New Roman" w:hAnsi="Times New Roman" w:cs="Times New Roman"/>
                <w:b/>
                <w:bCs/>
                <w:i/>
                <w:iCs/>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i/>
                <w:iCs/>
                <w:color w:val="auto"/>
              </w:rPr>
            </w:pPr>
            <w:r w:rsidRPr="006E437B">
              <w:rPr>
                <w:rFonts w:ascii="Times New Roman" w:hAnsi="Times New Roman" w:cs="Times New Roman"/>
                <w:b/>
                <w:bCs/>
                <w:i/>
                <w:iCs/>
                <w:color w:val="auto"/>
              </w:rPr>
              <w:t xml:space="preserve">Artículo 152.- </w:t>
            </w:r>
            <w:r w:rsidRPr="006E437B">
              <w:rPr>
                <w:rFonts w:ascii="Times New Roman" w:hAnsi="Times New Roman" w:cs="Times New Roman"/>
                <w:i/>
                <w:iCs/>
                <w:color w:val="auto"/>
              </w:rPr>
              <w:t>Las visitas que ordene la autoridad del agua competente tendrán como objetivo:</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color w:val="auto"/>
              </w:rPr>
              <w:t>I. a VIII. …</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IX. Verificar la existencia de sistemas de tratamiento de aguas residuales de los sujetos obligados; el cumplimiento de condiciones particulares de descarga, así como la adecuada operación y funcionamiento de éstos; y </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X. … </w:t>
            </w:r>
          </w:p>
          <w:p w:rsidR="00EA11D5" w:rsidRPr="006E437B" w:rsidRDefault="00EA11D5" w:rsidP="00141629">
            <w:pPr>
              <w:pStyle w:val="Sinespaciado"/>
              <w:jc w:val="both"/>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spacing w:line="240" w:lineRule="auto"/>
              <w:ind w:left="67"/>
              <w:rPr>
                <w:rFonts w:ascii="Times New Roman" w:hAnsi="Times New Roman" w:cs="Times New Roman"/>
                <w:sz w:val="24"/>
                <w:szCs w:val="24"/>
              </w:rPr>
            </w:pPr>
            <w:r w:rsidRPr="006E437B">
              <w:rPr>
                <w:rFonts w:ascii="Times New Roman" w:hAnsi="Times New Roman" w:cs="Times New Roman"/>
                <w:sz w:val="24"/>
                <w:szCs w:val="24"/>
              </w:rPr>
              <w:t xml:space="preserve"> </w:t>
            </w:r>
          </w:p>
          <w:p w:rsidR="00EA11D5" w:rsidRPr="006E437B" w:rsidRDefault="00EA11D5" w:rsidP="00141629">
            <w:pPr>
              <w:spacing w:line="240" w:lineRule="auto"/>
              <w:ind w:left="-5"/>
              <w:rPr>
                <w:rFonts w:ascii="Times New Roman" w:hAnsi="Times New Roman" w:cs="Times New Roman"/>
                <w:sz w:val="24"/>
                <w:szCs w:val="24"/>
              </w:rPr>
            </w:pPr>
            <w:r w:rsidRPr="006E437B">
              <w:rPr>
                <w:rFonts w:ascii="Times New Roman" w:eastAsia="Arial" w:hAnsi="Times New Roman" w:cs="Times New Roman"/>
                <w:i/>
                <w:sz w:val="24"/>
                <w:szCs w:val="24"/>
              </w:rPr>
              <w:t xml:space="preserve"> </w:t>
            </w:r>
          </w:p>
        </w:tc>
        <w:tc>
          <w:tcPr>
            <w:tcW w:w="4656" w:type="dxa"/>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Los particulares propietarios o poseedores de inmuebles que tengan cualquier tipo de uso de suelo que corresponda, podrá implementar y construir mecanismos y Sistemas de Captación de Agua Pluvial y de la misma manera podrás ser acreedora de beneficios fiscales por parte de la autoridad municipal.</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b/>
                <w:bCs/>
                <w:color w:val="auto"/>
                <w:sz w:val="23"/>
                <w:szCs w:val="23"/>
              </w:rPr>
            </w:pPr>
            <w:r w:rsidRPr="006E437B">
              <w:rPr>
                <w:rFonts w:ascii="Times New Roman" w:hAnsi="Times New Roman" w:cs="Times New Roman"/>
                <w:b/>
                <w:bCs/>
                <w:color w:val="auto"/>
                <w:sz w:val="23"/>
                <w:szCs w:val="23"/>
              </w:rPr>
              <w:t>La Comisión deberá determinar mecanismos alternativos para el cumplimiento de esta obligación.</w:t>
            </w:r>
          </w:p>
          <w:p w:rsidR="00EA11D5" w:rsidRPr="006E437B" w:rsidRDefault="00EA11D5" w:rsidP="00141629">
            <w:pPr>
              <w:pStyle w:val="Default"/>
              <w:jc w:val="both"/>
              <w:rPr>
                <w:rFonts w:ascii="Times New Roman" w:hAnsi="Times New Roman" w:cs="Times New Roman"/>
                <w:color w:val="auto"/>
                <w:sz w:val="23"/>
                <w:szCs w:val="23"/>
              </w:rPr>
            </w:pPr>
          </w:p>
          <w:p w:rsidR="00EA11D5" w:rsidRPr="006E437B" w:rsidRDefault="00EA11D5" w:rsidP="00141629">
            <w:pPr>
              <w:pStyle w:val="Default"/>
              <w:jc w:val="both"/>
              <w:rPr>
                <w:rFonts w:ascii="Times New Roman" w:hAnsi="Times New Roman" w:cs="Times New Roman"/>
                <w:b/>
                <w:bCs/>
                <w:color w:val="auto"/>
                <w:sz w:val="23"/>
                <w:szCs w:val="23"/>
              </w:rPr>
            </w:pPr>
            <w:r w:rsidRPr="006E437B">
              <w:rPr>
                <w:rFonts w:ascii="Times New Roman" w:hAnsi="Times New Roman" w:cs="Times New Roman"/>
                <w:b/>
                <w:bCs/>
                <w:color w:val="auto"/>
                <w:sz w:val="23"/>
                <w:szCs w:val="23"/>
              </w:rPr>
              <w:t>El Reglamento establecerá los procedimientos aplicables.</w:t>
            </w:r>
          </w:p>
          <w:p w:rsidR="00EA11D5" w:rsidRPr="006E437B" w:rsidRDefault="00EA11D5" w:rsidP="00141629">
            <w:pPr>
              <w:pStyle w:val="Default"/>
              <w:jc w:val="both"/>
              <w:rPr>
                <w:rFonts w:ascii="Times New Roman" w:hAnsi="Times New Roman" w:cs="Times New Roman"/>
                <w:color w:val="auto"/>
                <w:sz w:val="23"/>
                <w:szCs w:val="23"/>
              </w:rPr>
            </w:pPr>
          </w:p>
          <w:p w:rsidR="00EA11D5" w:rsidRPr="006E437B" w:rsidRDefault="00EA11D5" w:rsidP="00141629">
            <w:pPr>
              <w:pStyle w:val="Default"/>
              <w:jc w:val="both"/>
              <w:rPr>
                <w:rFonts w:ascii="Times New Roman" w:hAnsi="Times New Roman" w:cs="Times New Roman"/>
                <w:b/>
                <w:bCs/>
                <w:color w:val="auto"/>
                <w:sz w:val="23"/>
                <w:szCs w:val="23"/>
              </w:rPr>
            </w:pPr>
            <w:r w:rsidRPr="006E437B">
              <w:rPr>
                <w:rFonts w:ascii="Times New Roman" w:hAnsi="Times New Roman" w:cs="Times New Roman"/>
                <w:b/>
                <w:bCs/>
                <w:color w:val="auto"/>
                <w:sz w:val="23"/>
                <w:szCs w:val="23"/>
              </w:rPr>
              <w:t>Los Gobiernos Municipales deberán de otorgar beneficios fiscales acordes a la proporcionalidad del cumplimiento de esta obligación en favor de dichos particulares y que no pongan en riesgo el cálculo de su presupuesto de ingresos del municipio del que se trate.</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bCs/>
                <w:sz w:val="24"/>
                <w:szCs w:val="24"/>
              </w:rPr>
              <w:t>…</w:t>
            </w: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91.- </w:t>
            </w:r>
            <w:r w:rsidRPr="006E437B">
              <w:rPr>
                <w:rFonts w:ascii="Times New Roman" w:hAnsi="Times New Roman" w:cs="Times New Roman"/>
                <w:color w:val="auto"/>
              </w:rPr>
              <w:t xml:space="preserve">Las autoridades del agua impulsarán las acciones que sean necesarias para mantener y, en su caso, restablecer el equilibrio entre la disponibilidad y el aprovechamiento de los recursos hídricos, tales como la instalación de </w:t>
            </w:r>
            <w:r w:rsidRPr="006E437B">
              <w:rPr>
                <w:rFonts w:ascii="Times New Roman" w:hAnsi="Times New Roman" w:cs="Times New Roman"/>
                <w:b/>
                <w:bCs/>
                <w:color w:val="auto"/>
              </w:rPr>
              <w:t xml:space="preserve">Sistemas de captación de Agua Pluvial </w:t>
            </w:r>
            <w:r w:rsidRPr="006E437B">
              <w:rPr>
                <w:rFonts w:ascii="Times New Roman" w:hAnsi="Times New Roman" w:cs="Times New Roman"/>
                <w:color w:val="auto"/>
              </w:rPr>
              <w:t xml:space="preserve">y de naturación del agua, para favorecer el manejo sustentable en el proceso de la gestión integral del agua, así como los diversos usos y usuarios.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bCs/>
                <w:sz w:val="24"/>
                <w:szCs w:val="24"/>
              </w:rPr>
            </w:pPr>
            <w:r w:rsidRPr="006E437B">
              <w:rPr>
                <w:rFonts w:ascii="Times New Roman" w:hAnsi="Times New Roman" w:cs="Times New Roman"/>
                <w:sz w:val="24"/>
                <w:szCs w:val="24"/>
              </w:rPr>
              <w:t xml:space="preserve">El fomento e impulso de la instalación de mecanismos y </w:t>
            </w:r>
            <w:r w:rsidRPr="006E437B">
              <w:rPr>
                <w:rFonts w:ascii="Times New Roman" w:hAnsi="Times New Roman" w:cs="Times New Roman"/>
                <w:b/>
                <w:bCs/>
                <w:sz w:val="24"/>
                <w:szCs w:val="24"/>
              </w:rPr>
              <w:t>Sistemas de captación de Agua Pluvial deberá de realizarse por parte de los Gobiernos Municipales del Estado de México y deberá de ser contemplado tanto a los desarrolladores de conjuntos condominales, edificaciones y e servicios, así como para particulares propietarios o poseedores de inmuebles para cualquier uso de suelo que presente dicho inmueble.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Los Gobiernos Municipales deberán de otorgar beneficios fiscales acordes a la proporcionalidad del cumplimiento de esta obligación en favor de dichos particulares y que no pongan en riesgo el cálculo de su presupuesto de ingresos del municipio del que se trate.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Artículo 92.- </w:t>
            </w:r>
            <w:r w:rsidRPr="006E437B">
              <w:rPr>
                <w:rFonts w:ascii="Times New Roman" w:hAnsi="Times New Roman" w:cs="Times New Roman"/>
                <w:color w:val="auto"/>
              </w:rPr>
              <w:t xml:space="preserve">Los desarrolladores de nuevos conjuntos habitacionales, industriales y de servicios están obligados a construir </w:t>
            </w:r>
            <w:r w:rsidRPr="006E437B">
              <w:rPr>
                <w:rFonts w:ascii="Times New Roman" w:hAnsi="Times New Roman" w:cs="Times New Roman"/>
                <w:b/>
                <w:bCs/>
                <w:color w:val="auto"/>
              </w:rPr>
              <w:t xml:space="preserve">Sistemas de captación de Agua Pluvial </w:t>
            </w:r>
            <w:r w:rsidRPr="006E437B">
              <w:rPr>
                <w:rFonts w:ascii="Times New Roman" w:hAnsi="Times New Roman" w:cs="Times New Roman"/>
                <w:color w:val="auto"/>
              </w:rPr>
              <w:t xml:space="preserve">para la recolección de agua pluvial y, al tratamiento de aguas residuales para su conducción en los términos de la legislación aplicable, para ser aprovechada en el riego de áreas verdes o aquellas actividades que no requieran la utilización de agua potable.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Los Gobiernos Municipales deberán de otorgar beneficios fiscales acordes a la proporcionalidad del cumplimiento de esta obligación en favor de dichos particulares y que no pongan en riesgo el cálculo de su presupuesto de ingresos del municipio del que se trate. </w:t>
            </w:r>
          </w:p>
          <w:p w:rsidR="00EA11D5" w:rsidRPr="006E437B" w:rsidRDefault="00EA11D5" w:rsidP="00141629">
            <w:pPr>
              <w:pStyle w:val="Sinespaciado"/>
              <w:jc w:val="both"/>
              <w:rPr>
                <w:rFonts w:ascii="Times New Roman" w:hAnsi="Times New Roman" w:cs="Times New Roman"/>
                <w:b/>
                <w:bCs/>
                <w:sz w:val="24"/>
                <w:szCs w:val="24"/>
              </w:rPr>
            </w:pPr>
            <w:r w:rsidRPr="006E437B">
              <w:rPr>
                <w:rFonts w:ascii="Times New Roman" w:hAnsi="Times New Roman" w:cs="Times New Roman"/>
                <w:b/>
                <w:bCs/>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Default"/>
              <w:jc w:val="both"/>
              <w:rPr>
                <w:rFonts w:ascii="Times New Roman" w:hAnsi="Times New Roman" w:cs="Times New Roman"/>
                <w:i/>
                <w:iCs/>
                <w:color w:val="auto"/>
              </w:rPr>
            </w:pPr>
            <w:r w:rsidRPr="006E437B">
              <w:rPr>
                <w:rFonts w:ascii="Times New Roman" w:hAnsi="Times New Roman" w:cs="Times New Roman"/>
                <w:b/>
                <w:bCs/>
                <w:i/>
                <w:iCs/>
                <w:color w:val="auto"/>
              </w:rPr>
              <w:t xml:space="preserve">Artículo 152.- </w:t>
            </w:r>
            <w:r w:rsidRPr="006E437B">
              <w:rPr>
                <w:rFonts w:ascii="Times New Roman" w:hAnsi="Times New Roman" w:cs="Times New Roman"/>
                <w:i/>
                <w:iCs/>
                <w:color w:val="auto"/>
              </w:rPr>
              <w:t>Las visitas que ordene la autoridad del agua competente tendrán como objetivo:</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color w:val="auto"/>
              </w:rPr>
              <w:t>I. a VIII. …</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IX. Verificar la existencia de sistemas de tratamiento de aguas residuales y de Sistemas de Captación de Agua Pluvial que deben cumplir los sujetos obligados señalados en la presente ley. </w:t>
            </w:r>
          </w:p>
          <w:p w:rsidR="00EA11D5" w:rsidRPr="006E437B" w:rsidRDefault="00EA11D5" w:rsidP="00141629">
            <w:pPr>
              <w:pStyle w:val="Default"/>
              <w:jc w:val="both"/>
              <w:rPr>
                <w:rFonts w:ascii="Times New Roman" w:hAnsi="Times New Roman" w:cs="Times New Roman"/>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Así como el cumplimiento de condiciones particulares de descarga, así como la adecuada operación y </w:t>
            </w: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funcionamiento de éstos; y </w:t>
            </w:r>
          </w:p>
          <w:p w:rsidR="00EA11D5" w:rsidRPr="006E437B" w:rsidRDefault="00EA11D5" w:rsidP="00141629">
            <w:pPr>
              <w:pStyle w:val="Default"/>
              <w:jc w:val="both"/>
              <w:rPr>
                <w:rFonts w:ascii="Times New Roman" w:hAnsi="Times New Roman" w:cs="Times New Roman"/>
                <w:b/>
                <w:bCs/>
                <w:color w:val="auto"/>
              </w:rPr>
            </w:pPr>
          </w:p>
          <w:p w:rsidR="00EA11D5" w:rsidRPr="006E437B" w:rsidRDefault="00EA11D5"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 … </w:t>
            </w:r>
          </w:p>
          <w:p w:rsidR="00EA11D5" w:rsidRPr="006E437B" w:rsidRDefault="00EA11D5" w:rsidP="00141629">
            <w:pPr>
              <w:pStyle w:val="Sinespaciado"/>
              <w:jc w:val="both"/>
              <w:rPr>
                <w:rFonts w:ascii="Times New Roman" w:hAnsi="Times New Roman" w:cs="Times New Roman"/>
                <w:sz w:val="24"/>
                <w:szCs w:val="24"/>
              </w:rPr>
            </w:pPr>
          </w:p>
        </w:tc>
      </w:tr>
    </w:tbl>
    <w:p w:rsidR="00EA11D5" w:rsidRPr="006E437B" w:rsidRDefault="00EA11D5" w:rsidP="00824B34">
      <w:pPr>
        <w:spacing w:after="0" w:line="240" w:lineRule="auto"/>
        <w:ind w:right="379"/>
        <w:rPr>
          <w:rFonts w:ascii="Times New Roman" w:hAnsi="Times New Roman" w:cs="Times New Roman"/>
          <w:sz w:val="24"/>
          <w:szCs w:val="24"/>
        </w:rPr>
      </w:pPr>
    </w:p>
    <w:tbl>
      <w:tblPr>
        <w:tblStyle w:val="TableGrid"/>
        <w:tblpPr w:vertAnchor="text" w:tblpX="31" w:tblpY="-1287"/>
        <w:tblOverlap w:val="never"/>
        <w:tblW w:w="9162" w:type="dxa"/>
        <w:tblInd w:w="0" w:type="dxa"/>
        <w:tblCellMar>
          <w:left w:w="34" w:type="dxa"/>
        </w:tblCellMar>
        <w:tblLook w:val="04A0" w:firstRow="1" w:lastRow="0" w:firstColumn="1" w:lastColumn="0" w:noHBand="0" w:noVBand="1"/>
      </w:tblPr>
      <w:tblGrid>
        <w:gridCol w:w="324"/>
        <w:gridCol w:w="3917"/>
        <w:gridCol w:w="265"/>
        <w:gridCol w:w="4656"/>
      </w:tblGrid>
      <w:tr w:rsidR="00EA11D5" w:rsidRPr="006E437B" w:rsidTr="00824B34">
        <w:trPr>
          <w:trHeight w:val="284"/>
        </w:trPr>
        <w:tc>
          <w:tcPr>
            <w:tcW w:w="324" w:type="dxa"/>
            <w:tcBorders>
              <w:top w:val="nil"/>
              <w:left w:val="nil"/>
              <w:bottom w:val="single" w:sz="4" w:space="0" w:color="000000"/>
              <w:right w:val="single" w:sz="6" w:space="0" w:color="7D8286"/>
            </w:tcBorders>
          </w:tcPr>
          <w:p w:rsidR="00EA11D5" w:rsidRPr="006E437B" w:rsidRDefault="00EA11D5" w:rsidP="00141629">
            <w:pPr>
              <w:spacing w:line="240" w:lineRule="auto"/>
              <w:rPr>
                <w:rFonts w:ascii="Times New Roman" w:hAnsi="Times New Roman" w:cs="Times New Roman"/>
                <w:sz w:val="24"/>
                <w:szCs w:val="24"/>
              </w:rPr>
            </w:pPr>
          </w:p>
        </w:tc>
        <w:tc>
          <w:tcPr>
            <w:tcW w:w="8838" w:type="dxa"/>
            <w:gridSpan w:val="3"/>
            <w:tcBorders>
              <w:top w:val="nil"/>
              <w:left w:val="single" w:sz="6" w:space="0" w:color="7D8286"/>
              <w:bottom w:val="single" w:sz="4" w:space="0" w:color="000000"/>
              <w:right w:val="nil"/>
            </w:tcBorders>
          </w:tcPr>
          <w:p w:rsidR="00EA11D5" w:rsidRPr="006E437B" w:rsidRDefault="00EA11D5" w:rsidP="00141629">
            <w:pPr>
              <w:spacing w:line="240" w:lineRule="auto"/>
              <w:ind w:right="376"/>
              <w:rPr>
                <w:rFonts w:ascii="Times New Roman" w:hAnsi="Times New Roman" w:cs="Times New Roman"/>
                <w:sz w:val="24"/>
                <w:szCs w:val="24"/>
              </w:rPr>
            </w:pPr>
          </w:p>
        </w:tc>
      </w:tr>
      <w:tr w:rsidR="00EA11D5" w:rsidRPr="006E437B" w:rsidTr="00656E24">
        <w:trPr>
          <w:trHeight w:val="712"/>
        </w:trPr>
        <w:tc>
          <w:tcPr>
            <w:tcW w:w="9162"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bottom"/>
          </w:tcPr>
          <w:p w:rsidR="00EA11D5" w:rsidRPr="006E437B" w:rsidRDefault="00EA11D5" w:rsidP="00141629">
            <w:pPr>
              <w:pStyle w:val="Sinespaciado"/>
              <w:jc w:val="center"/>
              <w:rPr>
                <w:rFonts w:ascii="Times New Roman" w:hAnsi="Times New Roman" w:cs="Times New Roman"/>
                <w:b/>
                <w:i/>
                <w:sz w:val="24"/>
                <w:szCs w:val="24"/>
              </w:rPr>
            </w:pPr>
            <w:r w:rsidRPr="006E437B">
              <w:rPr>
                <w:rFonts w:ascii="Times New Roman" w:hAnsi="Times New Roman" w:cs="Times New Roman"/>
                <w:b/>
                <w:i/>
                <w:sz w:val="24"/>
                <w:szCs w:val="24"/>
              </w:rPr>
              <w:t>LEY DEL AGUA DEL ESTADO DE MÉXICO Y MUNICIPIOS</w:t>
            </w:r>
          </w:p>
          <w:p w:rsidR="00EA11D5" w:rsidRPr="006E437B" w:rsidRDefault="00EA11D5" w:rsidP="00141629">
            <w:pPr>
              <w:spacing w:line="240" w:lineRule="auto"/>
              <w:rPr>
                <w:rFonts w:ascii="Times New Roman" w:hAnsi="Times New Roman" w:cs="Times New Roman"/>
                <w:sz w:val="24"/>
                <w:szCs w:val="24"/>
              </w:rPr>
            </w:pPr>
          </w:p>
        </w:tc>
      </w:tr>
      <w:tr w:rsidR="00EA11D5" w:rsidRPr="006E437B" w:rsidTr="00656E24">
        <w:trPr>
          <w:trHeight w:val="384"/>
        </w:trPr>
        <w:tc>
          <w:tcPr>
            <w:tcW w:w="4241"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TEXTO NORMATIVO VIGENTE</w:t>
            </w: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   </w:t>
            </w:r>
          </w:p>
        </w:tc>
        <w:tc>
          <w:tcPr>
            <w:tcW w:w="4656" w:type="dxa"/>
            <w:tcBorders>
              <w:top w:val="single" w:sz="4" w:space="0" w:color="000000"/>
              <w:left w:val="single" w:sz="4" w:space="0" w:color="000000"/>
              <w:bottom w:val="single" w:sz="4" w:space="0" w:color="000000"/>
              <w:right w:val="single" w:sz="4" w:space="0" w:color="000000"/>
            </w:tcBorders>
            <w:shd w:val="clear" w:color="auto" w:fill="D9D9D9"/>
          </w:tcPr>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TEXTO NORMATIVO PROPUESTO</w:t>
            </w:r>
          </w:p>
        </w:tc>
      </w:tr>
      <w:tr w:rsidR="00EA11D5" w:rsidRPr="006E437B" w:rsidTr="00656E24">
        <w:trPr>
          <w:trHeight w:val="701"/>
        </w:trPr>
        <w:tc>
          <w:tcPr>
            <w:tcW w:w="4241" w:type="dxa"/>
            <w:gridSpan w:val="2"/>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155</w:t>
            </w:r>
            <w:r w:rsidRPr="006E437B">
              <w:rPr>
                <w:rFonts w:ascii="Times New Roman" w:hAnsi="Times New Roman" w:cs="Times New Roman"/>
                <w:sz w:val="24"/>
                <w:szCs w:val="24"/>
              </w:rPr>
              <w:t>.- Constituyen infracciones a la presente Ley y serán sancionadas por las autoridades del agua, en el ámbito de su competencia, las siguientes: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I. a 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IX</w:t>
            </w:r>
            <w:r w:rsidRPr="006E437B">
              <w:rPr>
                <w:rFonts w:ascii="Times New Roman" w:hAnsi="Times New Roman" w:cs="Times New Roman"/>
                <w:sz w:val="24"/>
                <w:szCs w:val="24"/>
              </w:rPr>
              <w:t>. Incumplir con las disposiciones relativas al uso eficiente del agua previstas en la presente Ley, su Reglamento y demás disposiciones aplicables que emitan las autoridades del agua;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X. a XVIII.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156.</w:t>
            </w:r>
            <w:r w:rsidRPr="006E437B">
              <w:rPr>
                <w:rFonts w:ascii="Times New Roman" w:hAnsi="Times New Roman" w:cs="Times New Roman"/>
                <w:sz w:val="24"/>
                <w:szCs w:val="24"/>
              </w:rPr>
              <w:t xml:space="preserve"> Las infracciones a que se refiere el artículo anterior, serán sancionadas por la autoridad del agua competente, con multas equivalentes a veces el valor diario de la Unidad de Medida y Actualización vigente al momento en que se cometa la infracción, de acuerdo a lo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I. De diez a quinientas en el caso de violación a cualquiera de las fracciones V, VII, IX, X, XI, XII, XIII, XIV, XV, XVII y XVIII.</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III. De tres mil una a diez mil en el caso de violación a cualquiera de las fracciones III, IV y VI.</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IV.    …  </w:t>
            </w:r>
          </w:p>
          <w:p w:rsidR="00EA11D5" w:rsidRPr="006E437B" w:rsidRDefault="00EA11D5" w:rsidP="00141629">
            <w:pPr>
              <w:pStyle w:val="Sinespaciado"/>
              <w:jc w:val="both"/>
              <w:rPr>
                <w:rFonts w:ascii="Times New Roman" w:hAnsi="Times New Roman" w:cs="Times New Roman"/>
                <w:sz w:val="24"/>
                <w:szCs w:val="24"/>
              </w:rPr>
            </w:pPr>
          </w:p>
        </w:tc>
        <w:tc>
          <w:tcPr>
            <w:tcW w:w="26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 </w:t>
            </w:r>
          </w:p>
        </w:tc>
        <w:tc>
          <w:tcPr>
            <w:tcW w:w="4656" w:type="dxa"/>
            <w:tcBorders>
              <w:top w:val="single" w:sz="4" w:space="0" w:color="000000"/>
              <w:left w:val="single" w:sz="4" w:space="0" w:color="000000"/>
              <w:bottom w:val="single" w:sz="4" w:space="0" w:color="000000"/>
              <w:right w:val="single" w:sz="4" w:space="0" w:color="000000"/>
            </w:tcBorders>
          </w:tcPr>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155</w:t>
            </w:r>
            <w:r w:rsidRPr="006E437B">
              <w:rPr>
                <w:rFonts w:ascii="Times New Roman" w:hAnsi="Times New Roman" w:cs="Times New Roman"/>
                <w:sz w:val="24"/>
                <w:szCs w:val="24"/>
              </w:rPr>
              <w:t>.- Constituyen infracciones a la presente Ley y serán sancionadas por las autoridades del agua, en el ámbito de su competencia, las siguientes: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I. a 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IX</w:t>
            </w:r>
            <w:r w:rsidRPr="006E437B">
              <w:rPr>
                <w:rFonts w:ascii="Times New Roman" w:hAnsi="Times New Roman" w:cs="Times New Roman"/>
                <w:sz w:val="24"/>
                <w:szCs w:val="24"/>
              </w:rPr>
              <w:t>. Incumplir con las disposiciones relativas al uso eficiente del agua previstas en la presente Ley, su Reglamento y demás disposiciones aplicables que emitan las autoridades del agua.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De la misma manera, se actualiza infracción para aquellos desarrolladores de vivienda, constructores o propietarios de conjuntos habitacionales, industriales o de servicios que no cumplan con la construcción de mecanismos y de Sistemas de Captación de Agua Pluvial en los términos descritos de la presente ley.</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X. a XVIII.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156.</w:t>
            </w:r>
            <w:r w:rsidRPr="006E437B">
              <w:rPr>
                <w:rFonts w:ascii="Times New Roman" w:hAnsi="Times New Roman" w:cs="Times New Roman"/>
                <w:sz w:val="24"/>
                <w:szCs w:val="24"/>
              </w:rPr>
              <w:t xml:space="preserve"> Las infracciones a que se refiere el artículo anterior, serán sancionadas por la autoridad del agua competente, con multas equivalentes a veces el valor diario de la Unidad de Medida y Actualización vigente al momento en que se cometa la infracción, de acuerdo a lo siguiente:</w:t>
            </w:r>
          </w:p>
          <w:p w:rsidR="00EA11D5" w:rsidRPr="006E437B" w:rsidRDefault="00EA11D5" w:rsidP="00141629">
            <w:pPr>
              <w:pStyle w:val="Sinespaciado"/>
              <w:jc w:val="both"/>
              <w:rPr>
                <w:rFonts w:ascii="Times New Roman" w:hAnsi="Times New Roman" w:cs="Times New Roman"/>
                <w:b/>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I.</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De diez a quinientas en el caso de violación a cualquiera de las fracciones V, VII, primer párrafo de la fracción IX, X, XI, XII, XIII, XIV, XV, XVII y XVIII</w:t>
            </w:r>
            <w:r w:rsidRPr="006E437B">
              <w:rPr>
                <w:rFonts w:ascii="Times New Roman"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III. De tres mil una a diez mil en el caso de violación a cualquiera de las fracciones III, IV, VI y segundo párrafo de la fracción IX.</w:t>
            </w:r>
          </w:p>
          <w:p w:rsidR="00EA11D5" w:rsidRPr="006E437B" w:rsidRDefault="00EA11D5" w:rsidP="00141629">
            <w:pPr>
              <w:pStyle w:val="Sinespaciado"/>
              <w:jc w:val="both"/>
              <w:rPr>
                <w:rFonts w:ascii="Times New Roman" w:hAnsi="Times New Roman" w:cs="Times New Roman"/>
                <w:b/>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 xml:space="preserve">IV. </w:t>
            </w:r>
            <w:r w:rsidRPr="006E437B">
              <w:rPr>
                <w:rFonts w:ascii="Times New Roman" w:hAnsi="Times New Roman" w:cs="Times New Roman"/>
                <w:sz w:val="24"/>
                <w:szCs w:val="24"/>
              </w:rPr>
              <w:t xml:space="preserve">   …</w:t>
            </w:r>
          </w:p>
        </w:tc>
      </w:tr>
    </w:tbl>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En mérito de las consideraciones expuestas, se somete al pleno de este Congreso del Estado de México, </w:t>
      </w:r>
      <w:r w:rsidRPr="006E437B">
        <w:rPr>
          <w:rFonts w:ascii="Times New Roman" w:hAnsi="Times New Roman" w:cs="Times New Roman"/>
          <w:b/>
          <w:sz w:val="24"/>
          <w:szCs w:val="24"/>
        </w:rPr>
        <w:t>INICIATIVA CON PROYECTO DE DECRETO POR EL QUE SE REFORMAN Y ADICIONAN DIVERSAS DISPOSICIONES A LA LEY DEL AGUA DEL ESTADO DE MÉXICO Y SUS MUNICIPIOS</w:t>
      </w:r>
      <w:r w:rsidRPr="006E437B">
        <w:rPr>
          <w:rFonts w:ascii="Times New Roman" w:hAnsi="Times New Roman" w:cs="Times New Roman"/>
          <w:sz w:val="24"/>
          <w:szCs w:val="24"/>
        </w:rPr>
        <w:t>; para que en caso de así considerarlo, sea aprobada en sus términos.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______________________________</w:t>
      </w:r>
    </w:p>
    <w:p w:rsidR="00EA11D5" w:rsidRPr="006E437B" w:rsidRDefault="00EA11D5"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LIC. SUSANA ESTRADA ROJAS</w:t>
      </w:r>
    </w:p>
    <w:p w:rsidR="00EA11D5" w:rsidRPr="006E437B" w:rsidRDefault="00EA11D5"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DIPUTADA LOCAL INTEGRANTE DEL GRUPO</w:t>
      </w:r>
    </w:p>
    <w:p w:rsidR="00EA11D5" w:rsidRPr="006E437B" w:rsidRDefault="00EA11D5"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PARLAMENTARIO DE MORENA DE LA LXII LEGISLATURA DEL</w:t>
      </w:r>
    </w:p>
    <w:p w:rsidR="00EA11D5" w:rsidRPr="006E437B" w:rsidRDefault="00EA11D5"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CONGRESO DEL ESTADO DE MÉXICO</w:t>
      </w:r>
    </w:p>
    <w:p w:rsidR="00EA11D5" w:rsidRPr="006E437B" w:rsidRDefault="00EA11D5" w:rsidP="00141629">
      <w:pPr>
        <w:pStyle w:val="Sinespaciado"/>
        <w:jc w:val="center"/>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hAnsi="Times New Roman" w:cs="Times New Roman"/>
          <w:b/>
          <w:sz w:val="24"/>
          <w:szCs w:val="24"/>
        </w:rPr>
        <w:t>DECRETO NÚMERO:</w:t>
      </w:r>
    </w:p>
    <w:p w:rsidR="00EA11D5" w:rsidRPr="006E437B" w:rsidRDefault="00EA11D5"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LA H. LXII LEGISLATURA DEL ESTADO LIBRE Y SOBERANO DE MÉXICO</w:t>
      </w:r>
    </w:p>
    <w:p w:rsidR="00EA11D5" w:rsidRPr="006E437B" w:rsidRDefault="00EA11D5"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DECRETA: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ÚNICO.</w:t>
      </w:r>
      <w:r w:rsidRPr="006E437B">
        <w:rPr>
          <w:rFonts w:ascii="Times New Roman" w:eastAsia="Arial" w:hAnsi="Times New Roman" w:cs="Times New Roman"/>
          <w:sz w:val="24"/>
          <w:szCs w:val="24"/>
        </w:rPr>
        <w:t xml:space="preserve"> - Se propone </w:t>
      </w:r>
      <w:r w:rsidRPr="006E437B">
        <w:rPr>
          <w:rFonts w:ascii="Times New Roman" w:eastAsia="Arial" w:hAnsi="Times New Roman" w:cs="Times New Roman"/>
          <w:b/>
          <w:sz w:val="24"/>
          <w:szCs w:val="24"/>
          <w:u w:val="single" w:color="000000"/>
        </w:rPr>
        <w:t>adicionar la fracción LXV Bis, al artículo 6, y reformar el</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single" w:color="000000"/>
        </w:rPr>
        <w:t>artículo 53 y 53 Bis, 73, 91, 92, 152 fracción IX, 155 fracción IX y 156 fracción I</w:t>
      </w:r>
      <w:r w:rsidRPr="006E437B">
        <w:rPr>
          <w:rFonts w:ascii="Times New Roman" w:eastAsia="Arial" w:hAnsi="Times New Roman" w:cs="Times New Roman"/>
          <w:b/>
          <w:sz w:val="24"/>
          <w:szCs w:val="24"/>
        </w:rPr>
        <w:t xml:space="preserve"> </w:t>
      </w:r>
      <w:r w:rsidRPr="006E437B">
        <w:rPr>
          <w:rFonts w:ascii="Times New Roman" w:eastAsia="Arial" w:hAnsi="Times New Roman" w:cs="Times New Roman"/>
          <w:b/>
          <w:sz w:val="24"/>
          <w:szCs w:val="24"/>
          <w:u w:val="single" w:color="000000"/>
        </w:rPr>
        <w:t xml:space="preserve">y III de la </w:t>
      </w:r>
      <w:r w:rsidRPr="006E437B">
        <w:rPr>
          <w:rFonts w:ascii="Times New Roman" w:eastAsia="Arial" w:hAnsi="Times New Roman" w:cs="Times New Roman"/>
          <w:b/>
          <w:i/>
          <w:sz w:val="24"/>
          <w:szCs w:val="24"/>
          <w:u w:val="single" w:color="000000"/>
        </w:rPr>
        <w:t>LEY DEL AGUA DEL ESTADO DE MÉXICO Y MUNICIPIOS</w:t>
      </w:r>
      <w:r w:rsidRPr="006E437B">
        <w:rPr>
          <w:rFonts w:ascii="Times New Roman" w:eastAsia="Arial" w:hAnsi="Times New Roman" w:cs="Times New Roman"/>
          <w:i/>
          <w:sz w:val="24"/>
          <w:szCs w:val="24"/>
          <w:u w:val="single" w:color="000000"/>
        </w:rPr>
        <w:t>,</w:t>
      </w:r>
      <w:r w:rsidRPr="006E437B">
        <w:rPr>
          <w:rFonts w:ascii="Times New Roman" w:eastAsia="Arial" w:hAnsi="Times New Roman" w:cs="Times New Roman"/>
          <w:sz w:val="24"/>
          <w:szCs w:val="24"/>
        </w:rPr>
        <w:t xml:space="preserve"> para</w:t>
      </w:r>
      <w:r w:rsidRPr="006E437B">
        <w:rPr>
          <w:rFonts w:ascii="Times New Roman" w:hAnsi="Times New Roman" w:cs="Times New Roman"/>
          <w:sz w:val="24"/>
          <w:szCs w:val="24"/>
        </w:rPr>
        <w:t xml:space="preserve"> </w:t>
      </w:r>
      <w:r w:rsidRPr="006E437B">
        <w:rPr>
          <w:rFonts w:ascii="Times New Roman" w:eastAsia="Arial" w:hAnsi="Times New Roman" w:cs="Times New Roman"/>
          <w:sz w:val="24"/>
          <w:szCs w:val="24"/>
        </w:rPr>
        <w:t>quedar como sigue: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eastAsia="Arial" w:hAnsi="Times New Roman" w:cs="Times New Roman"/>
          <w:b/>
          <w:i/>
          <w:sz w:val="24"/>
          <w:szCs w:val="24"/>
          <w:u w:val="single" w:color="000000"/>
        </w:rPr>
        <w:t>LEY DEL AGUA DEL ESTADO DE MÉXICO Y MUNICIPIOS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6</w:t>
      </w:r>
      <w:r w:rsidRPr="006E437B">
        <w:rPr>
          <w:rFonts w:ascii="Times New Roman" w:eastAsia="Arial" w:hAnsi="Times New Roman" w:cs="Times New Roman"/>
          <w:sz w:val="24"/>
          <w:szCs w:val="24"/>
        </w:rPr>
        <w:t>.- Para efectos de esta Ley se entenderá por:</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I. a LXV.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eastAsia="Arial" w:hAnsi="Times New Roman" w:cs="Times New Roman"/>
          <w:b/>
          <w:sz w:val="24"/>
          <w:szCs w:val="24"/>
        </w:rPr>
        <w:t>LXV Bis.- Sistemas de Captación de Agua Pluvial: Mecanismos que permiten la recolección, filtración, tratamiento y almacenaje del agua de lluvia que cae en el techo o cubierta para su posterior uso y aprovechamiento en la vivienda o edificación.</w:t>
      </w:r>
    </w:p>
    <w:p w:rsidR="00EA11D5" w:rsidRPr="006E437B" w:rsidRDefault="00EA11D5" w:rsidP="00141629">
      <w:pPr>
        <w:pStyle w:val="Sinespaciado"/>
        <w:jc w:val="both"/>
        <w:rPr>
          <w:rFonts w:ascii="Times New Roman" w:eastAsia="Arial"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LXVI. a LXXX. …</w:t>
      </w:r>
    </w:p>
    <w:p w:rsidR="00EA11D5" w:rsidRPr="006E437B" w:rsidRDefault="00EA11D5" w:rsidP="00141629">
      <w:pPr>
        <w:pStyle w:val="Sinespaciado"/>
        <w:jc w:val="both"/>
        <w:rPr>
          <w:rFonts w:ascii="Times New Roman" w:eastAsia="Arial"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Artículo 53</w:t>
      </w:r>
      <w:r w:rsidRPr="006E437B">
        <w:rPr>
          <w:rFonts w:ascii="Times New Roman" w:eastAsia="Arial" w:hAnsi="Times New Roman" w:cs="Times New Roman"/>
          <w:sz w:val="24"/>
          <w:szCs w:val="24"/>
        </w:rPr>
        <w:t xml:space="preserve">.- </w:t>
      </w:r>
      <w:r w:rsidRPr="006E437B">
        <w:rPr>
          <w:rFonts w:ascii="Times New Roman" w:eastAsia="Arial" w:hAnsi="Times New Roman" w:cs="Times New Roman"/>
          <w:b/>
          <w:sz w:val="24"/>
          <w:szCs w:val="24"/>
        </w:rPr>
        <w:t>Las autoridades del agua fomentarán e impulsarán, mediante mecanismos de incentivos fiscales  aprobados por los Ayuntamientos de cada Municipio Mexiquense y operados por los sus respectivos Gobiernos Municipales, la construcción de la infraestructura hidráulica que permita el aprovechamiento del agua pluvial a través de Sistemas de Captación de agua Pluvial con el objeto de conservar reservas hídricas y la recarga de acuíferos, y fomentarán la construcción y conservación de instalaciones alternas que sustituyan al drenaje cuando éste no pueda construirse.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Artículo 53 Bis.-</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sz w:val="24"/>
          <w:szCs w:val="24"/>
        </w:rPr>
        <w:t xml:space="preserve">Las Dependencias y Organismos Auxiliares estatales y municipales, de acuerdo con su naturaleza jurídica y según corresponda, introducirán </w:t>
      </w:r>
      <w:r w:rsidRPr="006E437B">
        <w:rPr>
          <w:rFonts w:ascii="Times New Roman" w:eastAsia="Arial" w:hAnsi="Times New Roman" w:cs="Times New Roman"/>
          <w:b/>
          <w:sz w:val="24"/>
          <w:szCs w:val="24"/>
        </w:rPr>
        <w:t>Sistemas de Captación de Agua Pluvial</w:t>
      </w:r>
      <w:r w:rsidRPr="006E437B">
        <w:rPr>
          <w:rFonts w:ascii="Times New Roman" w:eastAsia="Arial" w:hAnsi="Times New Roman" w:cs="Times New Roman"/>
          <w:sz w:val="24"/>
          <w:szCs w:val="24"/>
        </w:rPr>
        <w:t xml:space="preserve"> para la captación y aprovechamiento de agua pluvial en los inmuebles destinados a un servicio público</w:t>
      </w:r>
      <w:r w:rsidRPr="006E437B">
        <w:rPr>
          <w:rFonts w:ascii="Times New Roman" w:eastAsia="Arial" w:hAnsi="Times New Roman" w:cs="Times New Roman"/>
          <w:i/>
          <w:sz w:val="24"/>
          <w:szCs w:val="24"/>
        </w:rPr>
        <w:t xml:space="preserve"> </w:t>
      </w:r>
      <w:r w:rsidRPr="006E437B">
        <w:rPr>
          <w:rFonts w:ascii="Times New Roman" w:eastAsia="Arial" w:hAnsi="Times New Roman" w:cs="Times New Roman"/>
          <w:sz w:val="24"/>
          <w:szCs w:val="24"/>
        </w:rPr>
        <w:t>que tengan a su cargo, siempre y cuando, las características físicas de los mismos sean aptas para ello y permitan su instalación, operación y mantenimiento.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i/>
          <w:sz w:val="24"/>
          <w:szCs w:val="24"/>
        </w:rPr>
      </w:pPr>
      <w:r w:rsidRPr="006E437B">
        <w:rPr>
          <w:rFonts w:ascii="Times New Roman" w:eastAsia="Arial" w:hAnsi="Times New Roman" w:cs="Times New Roman"/>
          <w:i/>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73</w:t>
      </w:r>
      <w:r w:rsidRPr="006E437B">
        <w:rPr>
          <w:rFonts w:ascii="Times New Roman" w:eastAsia="Arial" w:hAnsi="Times New Roman" w:cs="Times New Roman"/>
          <w:sz w:val="24"/>
          <w:szCs w:val="24"/>
        </w:rPr>
        <w:t>.- Es obligación de los desarrolladores de vivienda, constructores o propietarios de conjuntos habitacionales, industriales o de servicios, la construcción de sus redes de distribución y sistemas de drenaje y alcantarillado de conformidad con la normatividad en la materia, así como la conexión de las mismas a la infraestructura hidráulica municipal.</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Asimismo correrá a su cargo el costo de los aparatos medidores de consumo de agua potable y su instalación en cada una de las tomas; es obligatorio el tratamiento de aguas residuales </w:t>
      </w:r>
      <w:r w:rsidRPr="006E437B">
        <w:rPr>
          <w:rFonts w:ascii="Times New Roman" w:eastAsia="Arial" w:hAnsi="Times New Roman" w:cs="Times New Roman"/>
          <w:b/>
          <w:sz w:val="24"/>
          <w:szCs w:val="24"/>
        </w:rPr>
        <w:t>y de la misma manera, deberá de cumplir con la construcción y adecuación correspondiente para la implementación de Sistemas de Captación de Agua Pluvial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sz w:val="24"/>
          <w:szCs w:val="24"/>
        </w:rPr>
        <w:t>con el objeto de dar cumplimiento a la presente ley y a la Ley General de Aguas y lo previsto en los ordenamientos federales y estatales.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eastAsia="Arial" w:hAnsi="Times New Roman" w:cs="Times New Roman"/>
          <w:b/>
          <w:sz w:val="24"/>
          <w:szCs w:val="24"/>
        </w:rPr>
        <w:t>Dichos Sistemas de Captación de Agua Pluvial,</w:t>
      </w:r>
      <w:r w:rsidRPr="006E437B">
        <w:rPr>
          <w:rFonts w:ascii="Times New Roman" w:eastAsia="Arial" w:hAnsi="Times New Roman" w:cs="Times New Roman"/>
          <w:b/>
          <w:i/>
          <w:sz w:val="24"/>
          <w:szCs w:val="24"/>
        </w:rPr>
        <w:t xml:space="preserve"> </w:t>
      </w:r>
      <w:r w:rsidRPr="006E437B">
        <w:rPr>
          <w:rFonts w:ascii="Times New Roman" w:eastAsia="Arial" w:hAnsi="Times New Roman" w:cs="Times New Roman"/>
          <w:b/>
          <w:sz w:val="24"/>
          <w:szCs w:val="24"/>
        </w:rPr>
        <w:t>plantas y pozos de absorción deberán estar disponibles antes de la ocupación de los conjuntos.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Los particulares propietarios o poseedores de inmuebles que tengan cualquier tipo de uso de suelo que corresponda, podrá implementar y construir mecanismos y Sistemas de Captación de Agua Pluvial y de la misma manera podrás ser acreedora de beneficios fiscales por parte de la autoridad municipal.</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La Comisión deberá determinar mecanismos alternativos para el cumplimiento de esta obligación</w:t>
      </w: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El Reglamento establecerá los procedimientos aplicables</w:t>
      </w: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Los Gobiernos Municipales deberán de otorgar beneficios fiscales acordes a la proporcionalidad del cumplimiento de esta obligación en favor de dichos particulares y que no pongan en riesgo el cálculo de su presupuesto de ingresos del municipio del que se trate</w:t>
      </w: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91</w:t>
      </w:r>
      <w:r w:rsidRPr="006E437B">
        <w:rPr>
          <w:rFonts w:ascii="Times New Roman" w:eastAsia="Arial" w:hAnsi="Times New Roman" w:cs="Times New Roman"/>
          <w:sz w:val="24"/>
          <w:szCs w:val="24"/>
        </w:rPr>
        <w:t xml:space="preserve">.- Las autoridades del agua impulsarán las acciones que sean necesarias para mantener y, en su caso, restablecer el equilibrio entre la disponibilidad y el aprovechamiento de los recursos hídricos, tales como la instalación de </w:t>
      </w:r>
      <w:r w:rsidRPr="006E437B">
        <w:rPr>
          <w:rFonts w:ascii="Times New Roman" w:eastAsia="Arial" w:hAnsi="Times New Roman" w:cs="Times New Roman"/>
          <w:b/>
          <w:sz w:val="24"/>
          <w:szCs w:val="24"/>
        </w:rPr>
        <w:t>Sistemas de captación de Agua Pluvial</w:t>
      </w:r>
      <w:r w:rsidRPr="006E437B">
        <w:rPr>
          <w:rFonts w:ascii="Times New Roman" w:eastAsia="Arial" w:hAnsi="Times New Roman" w:cs="Times New Roman"/>
          <w:sz w:val="24"/>
          <w:szCs w:val="24"/>
        </w:rPr>
        <w:t xml:space="preserve"> y de naturación del agua, para favorecer el manejo sustentable en el proceso de la gestión integral del agua, así como los diversos usos y usuarios.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 xml:space="preserve">El fomento e impulso de la instalación de mecanismos y </w:t>
      </w:r>
      <w:r w:rsidRPr="006E437B">
        <w:rPr>
          <w:rFonts w:ascii="Times New Roman" w:eastAsia="Arial" w:hAnsi="Times New Roman" w:cs="Times New Roman"/>
          <w:b/>
          <w:sz w:val="24"/>
          <w:szCs w:val="24"/>
        </w:rPr>
        <w:t>Sistemas de captación de Agua Pluvial deberá de realizarse por parte de los Gobiernos Municipales del Estado de México y deberá de ser contemplado tanto a los desarrolladores de conjuntos condominales, edificaciones y de servicios, así como para particulares propietarios o poseedores de inmuebles para cualquier uso de suelo que presente dicho inmueble.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Los Gobiernos Municipales deberán de otorgar beneficios fiscales acordes a la proporcionalidad del cumplimiento de esta obligación en favor de dichos particulares y que no pongan en riesgo el cálculo de su presupuesto de ingresos del municipio del que se trate</w:t>
      </w: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92</w:t>
      </w:r>
      <w:r w:rsidRPr="006E437B">
        <w:rPr>
          <w:rFonts w:ascii="Times New Roman" w:eastAsia="Arial" w:hAnsi="Times New Roman" w:cs="Times New Roman"/>
          <w:sz w:val="24"/>
          <w:szCs w:val="24"/>
        </w:rPr>
        <w:t xml:space="preserve">.- Los desarrolladores de nuevos conjuntos habitacionales, industriales y de servicios están obligados a construir </w:t>
      </w:r>
      <w:r w:rsidRPr="006E437B">
        <w:rPr>
          <w:rFonts w:ascii="Times New Roman" w:eastAsia="Arial" w:hAnsi="Times New Roman" w:cs="Times New Roman"/>
          <w:b/>
          <w:sz w:val="24"/>
          <w:szCs w:val="24"/>
        </w:rPr>
        <w:t>Sistemas de captación de Agua Pluvial</w:t>
      </w:r>
      <w:r w:rsidRPr="006E437B">
        <w:rPr>
          <w:rFonts w:ascii="Times New Roman" w:eastAsia="Arial" w:hAnsi="Times New Roman" w:cs="Times New Roman"/>
          <w:sz w:val="24"/>
          <w:szCs w:val="24"/>
        </w:rPr>
        <w:t xml:space="preserve"> para la recolección de agua pluvial y, al tratamiento de aguas residuales para su conducción en los términos de la legislación aplicable, para ser aprovechada en el riego de áreas verdes o aquellas actividades que no requieran la utilización de agua potable.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b/>
          <w:sz w:val="24"/>
          <w:szCs w:val="24"/>
        </w:rPr>
      </w:pPr>
      <w:r w:rsidRPr="006E437B">
        <w:rPr>
          <w:rFonts w:ascii="Times New Roman" w:eastAsia="Arial" w:hAnsi="Times New Roman" w:cs="Times New Roman"/>
          <w:b/>
          <w:sz w:val="24"/>
          <w:szCs w:val="24"/>
        </w:rPr>
        <w:t>Los Gobiernos Municipales deberán de otorgar beneficios fiscales acordes a la proporcionalidad del cumplimiento de esta obligación en favor de dichos particulares y que no pongan en riesgo el cálculo de su presupuesto de ingresos del municipio del que se trate.</w:t>
      </w:r>
    </w:p>
    <w:p w:rsidR="00EA11D5" w:rsidRPr="006E437B" w:rsidRDefault="00EA11D5" w:rsidP="00141629">
      <w:pPr>
        <w:pStyle w:val="Sinespaciado"/>
        <w:jc w:val="both"/>
        <w:rPr>
          <w:rFonts w:ascii="Times New Roman" w:eastAsia="Arial"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i/>
          <w:sz w:val="24"/>
          <w:szCs w:val="24"/>
        </w:rPr>
        <w:t>Artículo 152</w:t>
      </w:r>
      <w:r w:rsidRPr="006E437B">
        <w:rPr>
          <w:rFonts w:ascii="Times New Roman" w:eastAsia="Arial" w:hAnsi="Times New Roman" w:cs="Times New Roman"/>
          <w:i/>
          <w:sz w:val="24"/>
          <w:szCs w:val="24"/>
        </w:rPr>
        <w:t>.-</w:t>
      </w:r>
      <w:r w:rsidRPr="006E437B">
        <w:rPr>
          <w:rFonts w:ascii="Times New Roman" w:eastAsia="Arial" w:hAnsi="Times New Roman" w:cs="Times New Roman"/>
          <w:sz w:val="24"/>
          <w:szCs w:val="24"/>
        </w:rPr>
        <w:t xml:space="preserve"> Las visitas que ordene la autoridad del agua competente tendrán como objetivo: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I. a 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IX</w:t>
      </w:r>
      <w:r w:rsidRPr="006E437B">
        <w:rPr>
          <w:rFonts w:ascii="Times New Roman" w:eastAsia="Arial" w:hAnsi="Times New Roman" w:cs="Times New Roman"/>
          <w:sz w:val="24"/>
          <w:szCs w:val="24"/>
        </w:rPr>
        <w:t>.</w:t>
      </w:r>
      <w:r w:rsidRPr="006E437B">
        <w:rPr>
          <w:rFonts w:ascii="Times New Roman" w:eastAsia="Arial" w:hAnsi="Times New Roman" w:cs="Times New Roman"/>
          <w:b/>
          <w:sz w:val="24"/>
          <w:szCs w:val="24"/>
        </w:rPr>
        <w:t xml:space="preserve"> Verificar la existencia de sistemas de tratamiento de aguas residuales y de Sistemas de Captación de Agua Pluvial que deben cumplir los sujetos obligados señalados en la presente ley</w:t>
      </w: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b/>
          <w:sz w:val="24"/>
          <w:szCs w:val="24"/>
        </w:rPr>
        <w:t>Así como el cumplimiento de condiciones particulares de descarga, así como la adecuada operación y funcionamiento de éstos; y</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X…</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155</w:t>
      </w:r>
      <w:r w:rsidRPr="006E437B">
        <w:rPr>
          <w:rFonts w:ascii="Times New Roman" w:eastAsia="Arial" w:hAnsi="Times New Roman" w:cs="Times New Roman"/>
          <w:sz w:val="24"/>
          <w:szCs w:val="24"/>
        </w:rPr>
        <w:t>.- Constituyen infracciones a la presente Ley y serán sancionadas por las autoridades del agua, en el ámbito de su competencia, las siguientes: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I. a 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IX. Incumplir con las disposiciones relativas al uso eficiente del agua previstas en la presente Ley, su Reglamento y demás disposiciones aplicables que emitan las autoridades del agua.</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De la misma manera, se actualiza infracción para aquellos desarrolladores de vivienda, constructores o propietarios de conjuntos habitacionales, industriales o de servicios que no cumplan con la construcción de mecanismos y de Sistemas de Captación de Agua Pluvial en los términos descritos de la presente ley</w:t>
      </w:r>
      <w:r w:rsidRPr="006E437B">
        <w:rPr>
          <w:rFonts w:ascii="Times New Roman" w:eastAsia="Arial" w:hAnsi="Times New Roman" w:cs="Times New Roman"/>
          <w:sz w:val="24"/>
          <w:szCs w:val="24"/>
        </w:rPr>
        <w:t>.</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X</w:t>
      </w:r>
      <w:r w:rsidRPr="006E437B">
        <w:rPr>
          <w:rFonts w:ascii="Times New Roman" w:eastAsia="Arial" w:hAnsi="Times New Roman" w:cs="Times New Roman"/>
          <w:sz w:val="24"/>
          <w:szCs w:val="24"/>
        </w:rPr>
        <w:t xml:space="preserve"> a XVIII. …</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Artículo 156</w:t>
      </w:r>
      <w:r w:rsidRPr="006E437B">
        <w:rPr>
          <w:rFonts w:ascii="Times New Roman" w:eastAsia="Arial" w:hAnsi="Times New Roman" w:cs="Times New Roman"/>
          <w:sz w:val="24"/>
          <w:szCs w:val="24"/>
        </w:rPr>
        <w:t>. Las infracciones a que se refiere el artículo anterior, serán sancionadas por la autoridad del agua competente, con multas equivalentes a veces el valor diario de la Unidad de Medida y Actualización vigente al momento en que se cometa la infracción, de acuerdo a lo siguiente:</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eastAsia="Arial" w:hAnsi="Times New Roman" w:cs="Times New Roman"/>
          <w:b/>
          <w:sz w:val="24"/>
          <w:szCs w:val="24"/>
        </w:rPr>
        <w:t>I. De diez a quinientas en el caso de violación a cualquiera de las fracciones V, VII, primer párrafo de la fracción IX, X, XI, XII, XIII, XIV, XV, XVII y XVIII.</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II…</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b/>
          <w:sz w:val="24"/>
          <w:szCs w:val="24"/>
        </w:rPr>
      </w:pPr>
      <w:r w:rsidRPr="006E437B">
        <w:rPr>
          <w:rFonts w:ascii="Times New Roman" w:eastAsia="Arial" w:hAnsi="Times New Roman" w:cs="Times New Roman"/>
          <w:b/>
          <w:sz w:val="24"/>
          <w:szCs w:val="24"/>
        </w:rPr>
        <w:t>III. De tres mil una a diez mil en el caso de violación a cualquiera de las fracciones III, IV, VI y segundo párrafo de la fracción IX.</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eastAsia="Arial" w:hAnsi="Times New Roman" w:cs="Times New Roman"/>
          <w:sz w:val="24"/>
          <w:szCs w:val="24"/>
        </w:rPr>
      </w:pPr>
      <w:r w:rsidRPr="006E437B">
        <w:rPr>
          <w:rFonts w:ascii="Times New Roman" w:eastAsia="Arial" w:hAnsi="Times New Roman" w:cs="Times New Roman"/>
          <w:sz w:val="24"/>
          <w:szCs w:val="24"/>
        </w:rPr>
        <w:t>IV.…</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ARTÍCULOS TRANSITORIOS</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PRIMERO</w:t>
      </w:r>
      <w:r w:rsidRPr="006E437B">
        <w:rPr>
          <w:rFonts w:ascii="Times New Roman" w:eastAsia="Arial" w:hAnsi="Times New Roman" w:cs="Times New Roman"/>
          <w:sz w:val="24"/>
          <w:szCs w:val="24"/>
        </w:rPr>
        <w:t>. Publíquese en la Periódico Oficial Gaceta del Gobierno del Estado de México.</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b/>
          <w:sz w:val="24"/>
          <w:szCs w:val="24"/>
        </w:rPr>
        <w:t>SEGUNDO</w:t>
      </w:r>
      <w:r w:rsidRPr="006E437B">
        <w:rPr>
          <w:rFonts w:ascii="Times New Roman" w:eastAsia="Arial" w:hAnsi="Times New Roman" w:cs="Times New Roman"/>
          <w:sz w:val="24"/>
          <w:szCs w:val="24"/>
        </w:rPr>
        <w:t>. El presente Decreto entrará en vigor al día siguiente de su publicación.</w:t>
      </w:r>
    </w:p>
    <w:p w:rsidR="00EA11D5" w:rsidRPr="006E437B" w:rsidRDefault="00EA11D5" w:rsidP="00141629">
      <w:pPr>
        <w:pStyle w:val="Sinespaciado"/>
        <w:jc w:val="both"/>
        <w:rPr>
          <w:rFonts w:ascii="Times New Roman" w:hAnsi="Times New Roman" w:cs="Times New Roman"/>
          <w:sz w:val="24"/>
          <w:szCs w:val="24"/>
        </w:rPr>
      </w:pPr>
    </w:p>
    <w:p w:rsidR="00EA11D5" w:rsidRPr="006E437B" w:rsidRDefault="00EA11D5" w:rsidP="00141629">
      <w:pPr>
        <w:pStyle w:val="Sinespaciado"/>
        <w:jc w:val="both"/>
        <w:rPr>
          <w:rFonts w:ascii="Times New Roman" w:hAnsi="Times New Roman" w:cs="Times New Roman"/>
          <w:sz w:val="24"/>
          <w:szCs w:val="24"/>
        </w:rPr>
      </w:pPr>
      <w:r w:rsidRPr="006E437B">
        <w:rPr>
          <w:rFonts w:ascii="Times New Roman" w:eastAsia="Arial" w:hAnsi="Times New Roman" w:cs="Times New Roman"/>
          <w:sz w:val="24"/>
          <w:szCs w:val="24"/>
        </w:rPr>
        <w:t>Dado en el Palacio del Poder Legislativo, en la Ciudad de Toluca de Lerdo, Capital del Estado de México, a los __ días del mes de ______ del 2026.</w:t>
      </w:r>
    </w:p>
    <w:p w:rsidR="00950B44" w:rsidRPr="006E437B" w:rsidRDefault="00950B44" w:rsidP="00141629">
      <w:pPr>
        <w:pStyle w:val="Sinespaciado"/>
        <w:jc w:val="both"/>
        <w:rPr>
          <w:rFonts w:ascii="Times New Roman" w:hAnsi="Times New Roman" w:cs="Times New Roman"/>
          <w:sz w:val="24"/>
          <w:szCs w:val="24"/>
        </w:rPr>
      </w:pPr>
    </w:p>
    <w:p w:rsidR="00950B44" w:rsidRPr="006E437B" w:rsidRDefault="00950B44"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950B44" w:rsidRPr="006E437B" w:rsidRDefault="00950B44" w:rsidP="00141629">
      <w:pPr>
        <w:pStyle w:val="Sinespaciado"/>
        <w:jc w:val="both"/>
        <w:rPr>
          <w:rFonts w:ascii="Times New Roman" w:hAnsi="Times New Roman" w:cs="Times New Roman"/>
          <w:sz w:val="24"/>
          <w:szCs w:val="24"/>
        </w:rPr>
      </w:pPr>
    </w:p>
    <w:p w:rsidR="00F559E6" w:rsidRPr="006E437B" w:rsidRDefault="00F559E6" w:rsidP="00141629">
      <w:pPr>
        <w:pStyle w:val="Sinespaciado"/>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PRESIDENTE DIP. VLADIMIR HERNÁNDEZ VILLEGAS. Muchas gracias diputada.</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Se registra la iniciativa y se remite a las Comisiones Legislativas de Recursos Hidráulicos, de Planeación y Gasto Público y de Finanzas Públicas para su estudio y dictamen.</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Consecuentes con el punto 8, el diputado Carlos Alberto López Im</w:t>
      </w:r>
      <w:r w:rsidR="00B27999" w:rsidRPr="006E437B">
        <w:rPr>
          <w:rFonts w:ascii="Times New Roman" w:eastAsia="Times New Roman" w:hAnsi="Times New Roman" w:cs="Times New Roman"/>
          <w:sz w:val="24"/>
          <w:szCs w:val="24"/>
          <w:lang w:eastAsia="es-419"/>
        </w:rPr>
        <w:t>m</w:t>
      </w:r>
      <w:r w:rsidRPr="006E437B">
        <w:rPr>
          <w:rFonts w:ascii="Times New Roman" w:eastAsia="Times New Roman" w:hAnsi="Times New Roman" w:cs="Times New Roman"/>
          <w:sz w:val="24"/>
          <w:szCs w:val="24"/>
          <w:lang w:eastAsia="es-419"/>
        </w:rPr>
        <w:t xml:space="preserve"> presenta</w:t>
      </w:r>
      <w:r w:rsidR="001112FA"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en nombre del Grupo Parlamentario del Partido Verde Ecologista de México, Iniciativa con Proyecto de Decreto por el que se reforma el párrafo cuarto del artículo 3.66 y se adiciona un tercer párrafo al artículo 3.67 del Código para la Biodiversidad del Estado de México en materia de reforestación y restauración ecológica en zonas vulnerables a deslaves, erosión del suelo e inundaciones</w:t>
      </w:r>
      <w:r w:rsidR="00764DFA" w:rsidRPr="006E437B">
        <w:rPr>
          <w:rFonts w:ascii="Times New Roman" w:eastAsia="Times New Roman" w:hAnsi="Times New Roman" w:cs="Times New Roman"/>
          <w:sz w:val="24"/>
          <w:szCs w:val="24"/>
          <w:lang w:eastAsia="es-419"/>
        </w:rPr>
        <w:t>, a</w:t>
      </w:r>
      <w:r w:rsidRPr="006E437B">
        <w:rPr>
          <w:rFonts w:ascii="Times New Roman" w:eastAsia="Times New Roman" w:hAnsi="Times New Roman" w:cs="Times New Roman"/>
          <w:sz w:val="24"/>
          <w:szCs w:val="24"/>
          <w:lang w:eastAsia="es-419"/>
        </w:rPr>
        <w:t>delante diputado.</w:t>
      </w:r>
    </w:p>
    <w:p w:rsidR="00F559E6" w:rsidRPr="006E437B" w:rsidRDefault="00F559E6" w:rsidP="00141629">
      <w:pPr>
        <w:pStyle w:val="Sinespaciado"/>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DIP. CARLOS ALBERTO LÓPEZ IMM. Muchas gracias.</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Saludo con gusto a quienes integran la Mesa Directiva</w:t>
      </w:r>
      <w:r w:rsidR="001E15DB"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así como a las y los representantes de los medios de comunicación.</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Hablar de reforestación es hablar también de prevención, seguridad y protección de nuestras comunidades</w:t>
      </w:r>
      <w:r w:rsidR="001E15DB"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los bosques cumplen funciones que van mucho más allá de la conservación de la biodiversidad</w:t>
      </w:r>
      <w:r w:rsidR="001E15DB"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la cobertura vegetal contribuye a la estabilidad del suelo, favorece la infiltración y regulación del agua y ayuda a reducir la erosión y los escurrimientos por eso, cuando perdemos cobertura vegetal, no solamente perdemos árboles, también incrementamos la vulnerabilidad de nuestros territorios frente a los fenómenos como la erosión del suelo y los deslaves y las inundaciones, particularmente en zonas con pendientes pronunciadas, cauces y escurrimientos naturales. </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 xml:space="preserve">En el Estado de México esta situación merece nuestra atención entre 2001 y 2023 la </w:t>
      </w:r>
      <w:r w:rsidR="001565D2" w:rsidRPr="006E437B">
        <w:rPr>
          <w:rFonts w:ascii="Times New Roman" w:eastAsia="Times New Roman" w:hAnsi="Times New Roman" w:cs="Times New Roman"/>
          <w:sz w:val="24"/>
          <w:szCs w:val="24"/>
          <w:lang w:eastAsia="es-419"/>
        </w:rPr>
        <w:t xml:space="preserve">Entidad </w:t>
      </w:r>
      <w:r w:rsidRPr="006E437B">
        <w:rPr>
          <w:rFonts w:ascii="Times New Roman" w:eastAsia="Times New Roman" w:hAnsi="Times New Roman" w:cs="Times New Roman"/>
          <w:sz w:val="24"/>
          <w:szCs w:val="24"/>
          <w:lang w:eastAsia="es-419"/>
        </w:rPr>
        <w:t xml:space="preserve">perdió aproximadamente 10 mil 400 hectáreas de cobertura arbórea, de acuerdo con datos de Global Forest Watch, dentro de este escenario, Temascaltepec registró la mayor pérdida municipal con 899 hectáreas. </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Estos datos nos muestran que la pérdida de cobertura vegetal no es un problema lejano ni abstracto</w:t>
      </w:r>
      <w:r w:rsidR="00C7299F"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tiene una expresión concreta en nuestro territorio y puede tener consecuencias directas para nosotros, a esto se suma una realidad que enfrentamos cada temporada de lluvias las inundaciones. </w:t>
      </w:r>
    </w:p>
    <w:p w:rsidR="00F559E6" w:rsidRPr="006E437B" w:rsidRDefault="00F559E6" w:rsidP="00141629">
      <w:pPr>
        <w:pStyle w:val="Sinespaciado"/>
        <w:ind w:firstLine="708"/>
        <w:jc w:val="both"/>
        <w:rPr>
          <w:rFonts w:ascii="Times New Roman" w:eastAsia="Times New Roman" w:hAnsi="Times New Roman" w:cs="Times New Roman"/>
          <w:sz w:val="24"/>
          <w:szCs w:val="24"/>
          <w:lang w:eastAsia="es-419"/>
        </w:rPr>
      </w:pPr>
      <w:r w:rsidRPr="006E437B">
        <w:rPr>
          <w:rFonts w:ascii="Times New Roman" w:eastAsia="Times New Roman" w:hAnsi="Times New Roman" w:cs="Times New Roman"/>
          <w:sz w:val="24"/>
          <w:szCs w:val="24"/>
          <w:lang w:eastAsia="es-419"/>
        </w:rPr>
        <w:t xml:space="preserve">De acuerdo con el Atlas de Inundaciones de la </w:t>
      </w:r>
      <w:r w:rsidR="006B387F" w:rsidRPr="006E437B">
        <w:rPr>
          <w:rFonts w:ascii="Times New Roman" w:eastAsia="Times New Roman" w:hAnsi="Times New Roman" w:cs="Times New Roman"/>
          <w:sz w:val="24"/>
          <w:szCs w:val="24"/>
          <w:lang w:eastAsia="es-419"/>
        </w:rPr>
        <w:t xml:space="preserve">Edición </w:t>
      </w:r>
      <w:r w:rsidRPr="006E437B">
        <w:rPr>
          <w:rFonts w:ascii="Times New Roman" w:eastAsia="Times New Roman" w:hAnsi="Times New Roman" w:cs="Times New Roman"/>
          <w:sz w:val="24"/>
          <w:szCs w:val="24"/>
          <w:lang w:eastAsia="es-419"/>
        </w:rPr>
        <w:t>2026, la Comisión del Agua del Estado de México</w:t>
      </w:r>
      <w:r w:rsidR="006B387F"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se estima </w:t>
      </w:r>
      <w:r w:rsidR="00D01CEB" w:rsidRPr="006E437B">
        <w:rPr>
          <w:rFonts w:ascii="Times New Roman" w:eastAsia="Times New Roman" w:hAnsi="Times New Roman" w:cs="Times New Roman"/>
          <w:sz w:val="24"/>
          <w:szCs w:val="24"/>
          <w:lang w:eastAsia="es-419"/>
        </w:rPr>
        <w:t>que,</w:t>
      </w:r>
      <w:r w:rsidRPr="006E437B">
        <w:rPr>
          <w:rFonts w:ascii="Times New Roman" w:eastAsia="Times New Roman" w:hAnsi="Times New Roman" w:cs="Times New Roman"/>
          <w:sz w:val="24"/>
          <w:szCs w:val="24"/>
          <w:lang w:eastAsia="es-419"/>
        </w:rPr>
        <w:t xml:space="preserve"> durante la temporada de lluvias del 2025</w:t>
      </w:r>
      <w:r w:rsidR="006B387F" w:rsidRPr="006E437B">
        <w:rPr>
          <w:rFonts w:ascii="Times New Roman" w:eastAsia="Times New Roman" w:hAnsi="Times New Roman" w:cs="Times New Roman"/>
          <w:sz w:val="24"/>
          <w:szCs w:val="24"/>
          <w:lang w:eastAsia="es-419"/>
        </w:rPr>
        <w:t>,</w:t>
      </w:r>
      <w:r w:rsidRPr="006E437B">
        <w:rPr>
          <w:rFonts w:ascii="Times New Roman" w:eastAsia="Times New Roman" w:hAnsi="Times New Roman" w:cs="Times New Roman"/>
          <w:sz w:val="24"/>
          <w:szCs w:val="24"/>
          <w:lang w:eastAsia="es-419"/>
        </w:rPr>
        <w:t xml:space="preserve"> se registraron 382 eventos en 41 municipios del Estado de México, con afectaciones a 94 sitios y 96 colonias que impactaron a más de 11 mil habitantes y no podemos hablar únicamente de inundaciones. </w:t>
      </w:r>
    </w:p>
    <w:p w:rsidR="00412A72" w:rsidRPr="006E437B" w:rsidRDefault="00F559E6" w:rsidP="00141629">
      <w:pPr>
        <w:pStyle w:val="Sinespaciado"/>
        <w:ind w:firstLine="708"/>
        <w:jc w:val="both"/>
        <w:rPr>
          <w:rFonts w:ascii="Times New Roman" w:hAnsi="Times New Roman" w:cs="Times New Roman"/>
          <w:sz w:val="24"/>
          <w:szCs w:val="24"/>
          <w:lang w:eastAsia="es-419"/>
        </w:rPr>
      </w:pPr>
      <w:r w:rsidRPr="006E437B">
        <w:rPr>
          <w:rFonts w:ascii="Times New Roman" w:hAnsi="Times New Roman" w:cs="Times New Roman"/>
          <w:sz w:val="24"/>
          <w:szCs w:val="24"/>
          <w:lang w:eastAsia="es-419"/>
        </w:rPr>
        <w:t xml:space="preserve">Los deslaves y los movimientos de laderas también representan un riesgo para las personas, las viviendas, las escuelas, la infraestructura y el patrimonio de las familias mexiquenses, un ejemplo </w:t>
      </w:r>
      <w:r w:rsidR="00E12A02" w:rsidRPr="006E437B">
        <w:rPr>
          <w:rFonts w:ascii="Times New Roman" w:hAnsi="Times New Roman" w:cs="Times New Roman"/>
          <w:sz w:val="24"/>
          <w:szCs w:val="24"/>
          <w:lang w:eastAsia="es-419"/>
        </w:rPr>
        <w:t xml:space="preserve">reciente </w:t>
      </w:r>
      <w:r w:rsidR="00412A72" w:rsidRPr="006E437B">
        <w:rPr>
          <w:rFonts w:ascii="Times New Roman" w:hAnsi="Times New Roman" w:cs="Times New Roman"/>
          <w:sz w:val="24"/>
          <w:szCs w:val="24"/>
        </w:rPr>
        <w:t>la encontramos en San Pedro en Temascaltepec, donde las lluvias, en julio del 2026, provocaron el arrastre de lodo, piedras y ramas dejando afectaciones en 14 viviendas, 6 vehículos y planteles educativos, frente a esta realidad, desde el Partido Verde Ecologista de México, consideramos que debernos replantear la manera en la que entendemos la reforestación, reforestar no debe significar solamente plantar árboles, debe significar recuperar cobertura vegetal en los lugares donde realmente pueda contribuir a restaurar nuestros ecosistemas, proteger el suelo, favorecer la infiltración del agua y disminuir condiciones de vulnerabilidad.</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ello, la presente Iniciativa propone que las acciones de reforestación prioricen las zonas que presentan condiciones de vulnerabilidad frente a los deslaves, erosión del suelo e inundaciones.</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La propuesta contempla que, mediante estudios técnicos y criterios de carácter ambiental y territorial, puedan identificarse y delimitarse aquellas zonas que presentan afectaciones recurrentes o condiciones que incrementan el riesgo.</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De esta manera, los recursos, programas y esfuerzos institucionales, podrán dirigirse de manera estratégica hacia los sitios que verdaderamente requieren atención, debemos entender que no cualquier árbol puede plantarse en cualquier lugar, las especies, las técnicas y las temporadas de reforestación deben responder a las características ambientales, climatológicas e hidrológicas de cada región.</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Necesitamos una reforestación que tenga planeación, sustento técnico y permanencia en el territorio, que considere las condiciones del suelo, la disponibilidad de agua, las especies nativas y las características particulares de cada ecosistema, porque plantar un árbol es importante; pro lograr que ese árbol sobreviva, se desarrolle y contribuya a la recuperación del ecosistema, es todavía más importante.</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Lo que buscamos con esta Iniciativa es que los esfuerzos de reforestación estén mejor orientados y que la recuperación de nuestros bosques contribuya también a proteger a las personas sus viviendas, sus </w:t>
      </w:r>
      <w:r w:rsidR="00D01CEB" w:rsidRPr="006E437B">
        <w:rPr>
          <w:rFonts w:ascii="Times New Roman" w:hAnsi="Times New Roman" w:cs="Times New Roman"/>
          <w:sz w:val="24"/>
          <w:szCs w:val="24"/>
        </w:rPr>
        <w:t>b</w:t>
      </w:r>
      <w:r w:rsidRPr="006E437B">
        <w:rPr>
          <w:rFonts w:ascii="Times New Roman" w:hAnsi="Times New Roman" w:cs="Times New Roman"/>
          <w:sz w:val="24"/>
          <w:szCs w:val="24"/>
        </w:rPr>
        <w:t>ienes y el territorio en el que viven.</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Esa es la responsabilidad que debemos de asumir frente a nuestro territorio y frente a las futuras generaciones, porque cuidar nuestros bosques, también es cuidar a nuestra gente.</w:t>
      </w:r>
    </w:p>
    <w:p w:rsidR="00894D9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 cuanto Presidente.</w:t>
      </w:r>
    </w:p>
    <w:p w:rsidR="00894D92" w:rsidRPr="006E437B" w:rsidRDefault="00894D92" w:rsidP="00141629">
      <w:pPr>
        <w:pStyle w:val="Sinespaciado"/>
        <w:jc w:val="both"/>
        <w:rPr>
          <w:rFonts w:ascii="Times New Roman" w:hAnsi="Times New Roman" w:cs="Times New Roman"/>
          <w:sz w:val="24"/>
          <w:szCs w:val="24"/>
        </w:rPr>
      </w:pPr>
    </w:p>
    <w:p w:rsidR="00894D92" w:rsidRPr="006E437B" w:rsidRDefault="00894D9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894D92" w:rsidRPr="006E437B" w:rsidRDefault="00894D92" w:rsidP="00141629">
      <w:pPr>
        <w:pStyle w:val="Sinespaciado"/>
        <w:jc w:val="both"/>
        <w:rPr>
          <w:rFonts w:ascii="Times New Roman" w:hAnsi="Times New Roman" w:cs="Times New Roman"/>
          <w:sz w:val="24"/>
          <w:szCs w:val="24"/>
        </w:rPr>
      </w:pPr>
    </w:p>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eastAsiaTheme="minorEastAsia" w:hAnsi="Times New Roman" w:cs="Times New Roman"/>
          <w:sz w:val="24"/>
          <w:szCs w:val="24"/>
        </w:rPr>
        <w:t>“2026. Año del Humanismo Mexicano en el Estado de México”.</w:t>
      </w:r>
    </w:p>
    <w:p w:rsidR="003C4FA3" w:rsidRPr="006E437B" w:rsidRDefault="003C4FA3" w:rsidP="00141629">
      <w:pPr>
        <w:pStyle w:val="Sinespaciado"/>
        <w:jc w:val="center"/>
        <w:rPr>
          <w:rFonts w:ascii="Times New Roman" w:hAnsi="Times New Roman" w:cs="Times New Roman"/>
          <w:sz w:val="24"/>
          <w:szCs w:val="24"/>
        </w:rPr>
      </w:pPr>
    </w:p>
    <w:p w:rsidR="003C4FA3" w:rsidRPr="006E437B" w:rsidRDefault="003C4FA3" w:rsidP="00141629">
      <w:pPr>
        <w:pStyle w:val="Sinespaciado"/>
        <w:jc w:val="right"/>
        <w:rPr>
          <w:rFonts w:ascii="Times New Roman" w:hAnsi="Times New Roman" w:cs="Times New Roman"/>
          <w:sz w:val="24"/>
          <w:szCs w:val="24"/>
        </w:rPr>
      </w:pPr>
      <w:r w:rsidRPr="006E437B">
        <w:rPr>
          <w:rFonts w:ascii="Times New Roman" w:hAnsi="Times New Roman" w:cs="Times New Roman"/>
          <w:sz w:val="24"/>
          <w:szCs w:val="24"/>
        </w:rPr>
        <w:t>Toluca de Lerdo, Estado de México, a __ de __de 2026.</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DIP. VLADIMIR HERNÁNDEZ VILLEGAS</w:t>
      </w: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PRESIDENTE DE LA MESA DIRECTIVA</w:t>
      </w: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LXII LEGISLATURA DEL H. PODER LEGISLATIVO</w:t>
      </w: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DEL ESTADO LIBRE Y SOBERANO DE MÉXICO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P R E S E N T E</w:t>
      </w:r>
    </w:p>
    <w:p w:rsidR="003C4FA3" w:rsidRPr="006E437B" w:rsidRDefault="003C4FA3"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Honorable Asamblea:</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Quienes suscriben, </w:t>
      </w:r>
      <w:r w:rsidRPr="006E437B">
        <w:rPr>
          <w:rFonts w:ascii="Times New Roman"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6E437B">
        <w:rPr>
          <w:rFonts w:ascii="Times New Roman" w:hAnsi="Times New Roman" w:cs="Times New Roman"/>
          <w:sz w:val="24"/>
          <w:szCs w:val="24"/>
        </w:rPr>
        <w:t>y</w:t>
      </w:r>
      <w:r w:rsidRPr="006E437B">
        <w:rPr>
          <w:rFonts w:ascii="Times New Roman" w:hAnsi="Times New Roman" w:cs="Times New Roman"/>
          <w:b/>
          <w:sz w:val="24"/>
          <w:szCs w:val="24"/>
        </w:rPr>
        <w:t xml:space="preserve"> MIRIAM SILVA MATA, </w:t>
      </w:r>
      <w:r w:rsidRPr="006E437B">
        <w:rPr>
          <w:rFonts w:ascii="Times New Roman" w:hAnsi="Times New Roman" w:cs="Times New Roman"/>
          <w:sz w:val="24"/>
          <w:szCs w:val="24"/>
        </w:rPr>
        <w:t xml:space="preserve">diputadas y diputados integrantes del </w:t>
      </w:r>
      <w:r w:rsidRPr="006E437B">
        <w:rPr>
          <w:rFonts w:ascii="Times New Roman" w:hAnsi="Times New Roman" w:cs="Times New Roman"/>
          <w:b/>
          <w:sz w:val="24"/>
          <w:szCs w:val="24"/>
        </w:rPr>
        <w:t>GRUPO PARLAMENTARIO DEL PARTIDO VERDE ECOLOGISTA DE MÉXICO</w:t>
      </w:r>
      <w:r w:rsidRPr="006E437B">
        <w:rPr>
          <w:rFonts w:ascii="Times New Roman" w:hAnsi="Times New Roman" w:cs="Times New Roman"/>
          <w:sz w:val="24"/>
          <w:szCs w:val="24"/>
        </w:rPr>
        <w:t xml:space="preserve"> en la LXII Legislatura del Estado de México, con fundamento en lo dispuesto por los artículos 51, fracción II, y 61, fracción I, de la Constitución Política del Estado Libre y Soberano de México; 38, fracción II, 28, fracción I, de la Ley Orgánica del Poder Legislativo del Estado Libre y Soberano de México, sometemos a la consideración de este Órgano legislativo la siguiente </w:t>
      </w:r>
      <w:r w:rsidRPr="006E437B">
        <w:rPr>
          <w:rFonts w:ascii="Times New Roman" w:hAnsi="Times New Roman" w:cs="Times New Roman"/>
          <w:b/>
          <w:sz w:val="24"/>
          <w:szCs w:val="24"/>
        </w:rPr>
        <w:t xml:space="preserve">INICIATIVA CON PROYECTO DE DECRETO POR LA QUE SE REFORMA EL PÁRRAFO CUARTO DEL ARTÍCULO 3.66, Y SE ADICIONA UN TERCER PÁRRAFO AL ARTÍCULO 3.67 DEL CÓDIGO PARA LA BIODIVERSIDAD DEL ESTADO DE MÉXICO, EN MATERIA DE REFORESTACIÓN Y RESTAURACIÓN ECOLÓGICA EN ZONAS VULNERABLES A DESLAVES, EROSIÓN DE SUELO E INUNDACIONES, </w:t>
      </w:r>
      <w:r w:rsidRPr="006E437B">
        <w:rPr>
          <w:rFonts w:ascii="Times New Roman" w:hAnsi="Times New Roman" w:cs="Times New Roman"/>
          <w:sz w:val="24"/>
          <w:szCs w:val="24"/>
        </w:rPr>
        <w:t>con sustento en la siguiente:</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EXPOSICIÓN DE MOTIVOS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Los ecosistemas forestales cumplen funciones ambientales que trascienden la conservación de la biodiversidad. La cobertura vegetal contribuye a la estabilización de los suelos, favorece la infiltración y regulación del agua, disminuye los procesos erosivos y ayuda a reducir la velocidad y el volumen de los escurrimientos superficiales. Por ello, los bosques y las áreas verdes representan una barrera natural de protección para las comunidades asentadas en zonas próximas a barrancas, laderas, cauces y otros sitios susceptibles a fenómenos hidrometeorológicos.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los últimos años, la pérdida y degradación de la cobertura vegetal han incrementado la vulnerabilidad de diversas regiones frente a fenómenos como la erosión del suelo, los deslaves y las inundaciones. Cuando se pierde la vegetación, particularmente en terrenos con pendientes pronunciadas o con características que favorecen el escurrimiento superficial, se disminuye la capacidad natural del territorio para absorber y regular el agua, al tiempo que aumenta la susceptibilidad del suelo a procesos de degradación y desplazamiento.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degradación de los ecosistemas forestales se ha convertido, por tanto, en uno de los principales desafíos ambientales de nuestro tiempo. De acuerdo con la Organización de las Naciones Unidas para la Alimentación y la Agricultura (FAO), entre 2015 y 2025 la actividad humana ha provocado la pérdida de aproximadamente 10.9 millones de hectáreas de bosque cada año.</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 xml:space="preserve"> Asimismo, se estima que desde 1990 se han perdido alrededor de 489 millones de hectáreas de superficie forestal en nuestro planeta, siendo esta superficie más extensa que la Unión Europea, lo que evidencia la magnitud del deterioro que enfrentan los ecosistemas forestales a escala mundial.</w:t>
      </w:r>
      <w:r w:rsidRPr="006E437B">
        <w:rPr>
          <w:rFonts w:ascii="Times New Roman" w:hAnsi="Times New Roman" w:cs="Times New Roman"/>
          <w:sz w:val="24"/>
          <w:szCs w:val="24"/>
          <w:vertAlign w:val="superscript"/>
        </w:rPr>
        <w:t>2</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0"/>
          <w:szCs w:val="24"/>
        </w:rPr>
      </w:pPr>
      <w:r w:rsidRPr="006E437B">
        <w:rPr>
          <w:rFonts w:ascii="Times New Roman" w:hAnsi="Times New Roman" w:cs="Times New Roman"/>
          <w:sz w:val="20"/>
          <w:szCs w:val="24"/>
          <w:vertAlign w:val="superscript"/>
        </w:rPr>
        <w:t>1</w:t>
      </w:r>
      <w:r w:rsidRPr="006E437B">
        <w:rPr>
          <w:rFonts w:ascii="Times New Roman" w:hAnsi="Times New Roman" w:cs="Times New Roman"/>
          <w:sz w:val="20"/>
          <w:szCs w:val="24"/>
        </w:rPr>
        <w:t xml:space="preserve"> UN News. (2025, 21 octubre). La deforestación mundial se ralentiza, pero los bosques siguen bajo presión. Noticias ONU. </w:t>
      </w:r>
      <w:hyperlink r:id="rId25" w:history="1">
        <w:r w:rsidRPr="006E437B">
          <w:rPr>
            <w:rStyle w:val="Hipervnculo"/>
            <w:rFonts w:ascii="Times New Roman" w:hAnsi="Times New Roman" w:cs="Times New Roman"/>
            <w:color w:val="auto"/>
            <w:sz w:val="20"/>
            <w:szCs w:val="24"/>
          </w:rPr>
          <w:t>https://news.un.org/es/story/2025/10/1540606</w:t>
        </w:r>
      </w:hyperlink>
    </w:p>
    <w:p w:rsidR="003C4FA3" w:rsidRPr="006E437B" w:rsidRDefault="003C4FA3" w:rsidP="00141629">
      <w:pPr>
        <w:pStyle w:val="Sinespaciado"/>
        <w:rPr>
          <w:rFonts w:ascii="Times New Roman" w:hAnsi="Times New Roman" w:cs="Times New Roman"/>
          <w:sz w:val="20"/>
          <w:szCs w:val="24"/>
        </w:rPr>
      </w:pPr>
      <w:r w:rsidRPr="006E437B">
        <w:rPr>
          <w:rFonts w:ascii="Times New Roman" w:hAnsi="Times New Roman" w:cs="Times New Roman"/>
          <w:sz w:val="20"/>
          <w:szCs w:val="24"/>
          <w:vertAlign w:val="superscript"/>
        </w:rPr>
        <w:t>2</w:t>
      </w:r>
      <w:r w:rsidRPr="006E437B">
        <w:rPr>
          <w:rFonts w:ascii="Times New Roman" w:hAnsi="Times New Roman" w:cs="Times New Roman"/>
          <w:b/>
          <w:sz w:val="20"/>
          <w:szCs w:val="24"/>
        </w:rPr>
        <w:t xml:space="preserve"> </w:t>
      </w:r>
      <w:r w:rsidRPr="006E437B">
        <w:rPr>
          <w:rFonts w:ascii="Times New Roman" w:hAnsi="Times New Roman" w:cs="Times New Roman"/>
          <w:sz w:val="20"/>
          <w:szCs w:val="24"/>
        </w:rPr>
        <w:t xml:space="preserve">Evaluación de Recursos Forestales Mundiales 2025. (s.f.). </w:t>
      </w:r>
      <w:hyperlink r:id="rId26" w:history="1">
        <w:r w:rsidRPr="006E437B">
          <w:rPr>
            <w:rStyle w:val="Hipervnculo"/>
            <w:rFonts w:ascii="Times New Roman" w:hAnsi="Times New Roman" w:cs="Times New Roman"/>
            <w:color w:val="auto"/>
            <w:sz w:val="20"/>
            <w:szCs w:val="24"/>
          </w:rPr>
          <w:t>https://openknowledge.fao.org/server/api/core/bitstreams/dee6e93-1988-4659-aa89-30dd20b43b15/content/FRA-2025/key-findings.html</w:t>
        </w:r>
      </w:hyperlink>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 esta situación se suma un elemento particularmente relevante: la capacidad de recuperación de los bosques no ha sido suficiente para compensar las pérdidas acumuladas. La propia FAO señala que la superficie forestal que se recupera, disminuyó anualmente de 9.88 millones de hectáreas durante el periodo de 2000 y 2015 a 6.78 millones de hectáreas por año en la década que finaliza en 2025.</w:t>
      </w:r>
      <w:r w:rsidRPr="006E437B">
        <w:rPr>
          <w:rFonts w:ascii="Times New Roman" w:hAnsi="Times New Roman" w:cs="Times New Roman"/>
          <w:sz w:val="24"/>
          <w:szCs w:val="24"/>
          <w:vertAlign w:val="superscript"/>
        </w:rPr>
        <w:t>3</w:t>
      </w:r>
      <w:r w:rsidRPr="006E437B">
        <w:rPr>
          <w:rFonts w:ascii="Times New Roman" w:hAnsi="Times New Roman" w:cs="Times New Roman"/>
          <w:b/>
          <w:sz w:val="24"/>
          <w:szCs w:val="24"/>
          <w:vertAlign w:val="superscript"/>
        </w:rPr>
        <w:t xml:space="preserve"> </w:t>
      </w:r>
      <w:r w:rsidRPr="006E437B">
        <w:rPr>
          <w:rFonts w:ascii="Times New Roman" w:hAnsi="Times New Roman" w:cs="Times New Roman"/>
          <w:sz w:val="24"/>
          <w:szCs w:val="24"/>
        </w:rPr>
        <w:t>Esto significa que, mientras la presión de los ecosistemas forestales persiste, los procesos de recuperación avanzan a un ritmo insuficiente para revertir las pérdidas registradas.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Las consecuencias de esta degradación no son exclusivamente ambientales. También tienen una dimensión social y humana. Durante la última década se registró un promedio de 24 millones de desplazamientos humanos anuales ocasionados por desastres, de los cuales el 92% estuvo relacionado con fenómenos climáticos. Tan solo en 2023, las inundaciones provocaron 9.8 millones de desplazamientos. En países como Brasil, estos fenómenos ocasionaron la muerte de 161 personas y afectaron a más de 2.34 millones de habitantes; mientras que, en África, las lluvias asociadas con el fenómeno El Niño afectaron a más de 637 mil personas y provocaron la muerte de al menos 210 personas en Kenia.</w:t>
      </w:r>
      <w:r w:rsidRPr="006E437B">
        <w:rPr>
          <w:rFonts w:ascii="Times New Roman" w:hAnsi="Times New Roman" w:cs="Times New Roman"/>
          <w:sz w:val="24"/>
          <w:szCs w:val="24"/>
          <w:vertAlign w:val="superscript"/>
        </w:rPr>
        <w:t>4</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igual manera, países como Indonesia han experimentado significativas pérdidas forestales. En 2024 desaparecieron más de 240 mil hectáreas de bosque primario, mientras que durante 2025 las inundaciones provocaron la muerte de más de 700 personas. Estos hechos permiten advertir la relación existente entre la degradación de los ecosistemas y la disminución de la capacidad natural del territorio para contener escurrimientos y reducir el impacto de fenómenos hidrometeorológicos.</w:t>
      </w:r>
      <w:r w:rsidRPr="006E437B">
        <w:rPr>
          <w:rFonts w:ascii="Times New Roman" w:hAnsi="Times New Roman" w:cs="Times New Roman"/>
          <w:sz w:val="24"/>
          <w:szCs w:val="24"/>
          <w:vertAlign w:val="superscript"/>
        </w:rPr>
        <w:t>5</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México no es ajeno a esta problemática. Entre 2019 y 2024 se ha registrado la pérdida de 177 mil 997 hectáreas de cobertura arbórea por año. Asimismo, durante las últimas dos décadas se han perdido aproximadamente 736 mil hectáreas de bosques primarios, situando al país cerca de los diez países con mayores pérdidas de este tipo de bosques a nivel mundial.</w:t>
      </w:r>
      <w:r w:rsidRPr="006E437B">
        <w:rPr>
          <w:rFonts w:ascii="Times New Roman" w:hAnsi="Times New Roman" w:cs="Times New Roman"/>
          <w:sz w:val="24"/>
          <w:szCs w:val="24"/>
          <w:vertAlign w:val="superscript"/>
        </w:rPr>
        <w:t>6</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vertAlign w:val="superscript"/>
        </w:rPr>
        <w:t>3</w:t>
      </w:r>
      <w:r w:rsidRPr="006E437B">
        <w:rPr>
          <w:rFonts w:ascii="Times New Roman" w:hAnsi="Times New Roman" w:cs="Times New Roman"/>
          <w:sz w:val="20"/>
          <w:szCs w:val="24"/>
        </w:rPr>
        <w:t xml:space="preserve"> Ibídem</w:t>
      </w:r>
    </w:p>
    <w:p w:rsidR="003C4FA3" w:rsidRPr="006E437B" w:rsidRDefault="003C4FA3" w:rsidP="00141629">
      <w:pPr>
        <w:autoSpaceDE w:val="0"/>
        <w:autoSpaceDN w:val="0"/>
        <w:adjustRightInd w:val="0"/>
        <w:spacing w:after="0" w:line="240" w:lineRule="auto"/>
        <w:jc w:val="both"/>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4</w:t>
      </w:r>
      <w:r w:rsidRPr="006E437B">
        <w:rPr>
          <w:rFonts w:ascii="Times New Roman" w:eastAsiaTheme="minorEastAsia" w:hAnsi="Times New Roman" w:cs="Times New Roman"/>
          <w:sz w:val="20"/>
          <w:szCs w:val="24"/>
        </w:rPr>
        <w:t xml:space="preserve"> </w:t>
      </w:r>
      <w:r w:rsidRPr="006E437B">
        <w:rPr>
          <w:rFonts w:ascii="Times New Roman" w:eastAsiaTheme="minorEastAsia" w:hAnsi="Times New Roman" w:cs="Times New Roman"/>
          <w:i/>
          <w:iCs/>
          <w:sz w:val="20"/>
          <w:szCs w:val="24"/>
        </w:rPr>
        <w:t>Inundaciones causadas por la crisis climática provocan nuevos desplazamientos</w:t>
      </w:r>
      <w:r w:rsidRPr="006E437B">
        <w:rPr>
          <w:rFonts w:ascii="Times New Roman" w:eastAsiaTheme="minorEastAsia" w:hAnsi="Times New Roman" w:cs="Times New Roman"/>
          <w:sz w:val="20"/>
          <w:szCs w:val="24"/>
        </w:rPr>
        <w:t>. (s. f.).</w:t>
      </w:r>
    </w:p>
    <w:p w:rsidR="003C4FA3" w:rsidRPr="006E437B" w:rsidRDefault="003C4FA3" w:rsidP="00141629">
      <w:pPr>
        <w:autoSpaceDE w:val="0"/>
        <w:autoSpaceDN w:val="0"/>
        <w:adjustRightInd w:val="0"/>
        <w:spacing w:after="0" w:line="240" w:lineRule="auto"/>
        <w:jc w:val="both"/>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rPr>
        <w:t>https://www.acnur.org/mx/noticias/historias/inundaciones-causadas-por-la-crisis-climatica-provocan-nuevos-desplazamientos</w:t>
      </w:r>
    </w:p>
    <w:p w:rsidR="003C4FA3" w:rsidRPr="006E437B" w:rsidRDefault="003C4FA3" w:rsidP="00141629">
      <w:pPr>
        <w:autoSpaceDE w:val="0"/>
        <w:autoSpaceDN w:val="0"/>
        <w:adjustRightInd w:val="0"/>
        <w:spacing w:after="0" w:line="240" w:lineRule="auto"/>
        <w:jc w:val="both"/>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5</w:t>
      </w:r>
      <w:r w:rsidRPr="006E437B">
        <w:rPr>
          <w:rFonts w:ascii="Times New Roman" w:eastAsiaTheme="minorEastAsia" w:hAnsi="Times New Roman" w:cs="Times New Roman"/>
          <w:sz w:val="20"/>
          <w:szCs w:val="24"/>
        </w:rPr>
        <w:t xml:space="preserve"> Afp_Tickers. (2025, 2 diciembre). Cómo la deforestación empeoró las inundaciones en Indonesia. </w:t>
      </w:r>
      <w:r w:rsidRPr="006E437B">
        <w:rPr>
          <w:rFonts w:ascii="Times New Roman" w:eastAsiaTheme="minorEastAsia" w:hAnsi="Times New Roman" w:cs="Times New Roman"/>
          <w:i/>
          <w:iCs/>
          <w:sz w:val="20"/>
          <w:szCs w:val="24"/>
        </w:rPr>
        <w:t>SWI swissinfo.ch</w:t>
      </w:r>
      <w:r w:rsidRPr="006E437B">
        <w:rPr>
          <w:rFonts w:ascii="Times New Roman" w:eastAsiaTheme="minorEastAsia" w:hAnsi="Times New Roman" w:cs="Times New Roman"/>
          <w:sz w:val="20"/>
          <w:szCs w:val="24"/>
        </w:rPr>
        <w:t>.</w:t>
      </w:r>
    </w:p>
    <w:p w:rsidR="003C4FA3" w:rsidRPr="006E437B" w:rsidRDefault="003C4FA3" w:rsidP="00141629">
      <w:pPr>
        <w:pStyle w:val="Sinespaciado"/>
        <w:jc w:val="both"/>
        <w:rPr>
          <w:rFonts w:ascii="Times New Roman" w:hAnsi="Times New Roman" w:cs="Times New Roman"/>
          <w:sz w:val="20"/>
          <w:szCs w:val="24"/>
        </w:rPr>
      </w:pPr>
      <w:r w:rsidRPr="006E437B">
        <w:rPr>
          <w:rFonts w:ascii="Times New Roman" w:eastAsiaTheme="minorEastAsia" w:hAnsi="Times New Roman" w:cs="Times New Roman"/>
          <w:sz w:val="20"/>
          <w:szCs w:val="24"/>
        </w:rPr>
        <w:t>https://www.swissinfo.ch/spa/c%C3%B3mo-la-deforestaci%C3%B3n-empeor%C3%B3-las-inundaciones-en-indonesia/90569367</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Estado de México, esta problemática adquiere especial relevancia. Durante los últimos 23 años, la entidad ha perdido más de 10.4 mil hectáreas de cobertura arbórea, lo que ha generado emisiones estimadas en 5.22 megatoneladas de dióxido de carbono. Entre los municipios que registran mayores pérdidas se encuentra Temascaltepec, que tiene la mayor pérdida de cobertura arbórea con 899 hectáreas, seguido por Valle de Bravo, Amatepec, Donato Guerra, Sultepec, Texcaltitlán, Xalatlaco, Tejupilco, Texcoco, Villa Guerrero, San Felipe del Progreso, Ocuilan, Tianguistenco, Zacualpan y Tlatlaya.</w:t>
      </w:r>
      <w:r w:rsidRPr="006E437B">
        <w:rPr>
          <w:rFonts w:ascii="Times New Roman" w:hAnsi="Times New Roman" w:cs="Times New Roman"/>
          <w:sz w:val="24"/>
          <w:szCs w:val="24"/>
          <w:vertAlign w:val="superscript"/>
        </w:rPr>
        <w:t>7</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 imperativo señalar que, además de las problemáticas relacionadas con la conservación forestal anteriormente expuestas, el Estado de México enfrenta diversos fenómenos que generan afectaciones recurrentes a la población y al territorio. Entre ellos destacan las inundaciones, particularmente aquellas que se presentan en zonas susceptibles a este tipo de eventos. Estas tienen su origen, entre otros factores, en la presencia de lluvias continuas o intensas que superan la capacidad de absorción de los suelos y de conducción de los cauces. Esto ocasiona que el excedente de agua se desborde e invada áreas urbanas, rurales y zonas habitadas.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acuerdo con el Atlas de Inundaciones XXXII, Primera Edición 2026, elaborado por el Gobierno del Estado de México,</w:t>
      </w:r>
      <w:r w:rsidRPr="006E437B">
        <w:rPr>
          <w:rFonts w:ascii="Times New Roman" w:hAnsi="Times New Roman" w:cs="Times New Roman"/>
          <w:sz w:val="24"/>
          <w:szCs w:val="24"/>
          <w:vertAlign w:val="superscript"/>
        </w:rPr>
        <w:t>8</w:t>
      </w:r>
      <w:r w:rsidRPr="006E437B">
        <w:rPr>
          <w:rFonts w:ascii="Times New Roman" w:hAnsi="Times New Roman" w:cs="Times New Roman"/>
          <w:sz w:val="24"/>
          <w:szCs w:val="24"/>
        </w:rPr>
        <w:t xml:space="preserve"> cuyo propósito es identificar los sitios afectados por fenómenos hidrometeorológicos extremos y contribuir a la toma de decisiones para la definición de obras y acciones preventivas, correctivas y emergentes, durante 2025 se registraron 382 eventos de inundación y encharcamiento, distribuidos en 94 sitios correspondientes a 41 municipios y 96 colonias. De estos eventos, 285 correspondieron a encharcamientos, 92 a inundaciones urbanas y 5 a inundaciones rurales.</w:t>
      </w:r>
    </w:p>
    <w:p w:rsidR="003C4FA3" w:rsidRPr="006E437B" w:rsidRDefault="003C4FA3" w:rsidP="00141629">
      <w:pPr>
        <w:pStyle w:val="Sinespaciado"/>
        <w:rPr>
          <w:rFonts w:ascii="Times New Roman" w:eastAsia="Calibri" w:hAnsi="Times New Roman" w:cs="Times New Roman"/>
          <w:sz w:val="24"/>
          <w:szCs w:val="24"/>
        </w:rPr>
      </w:pPr>
    </w:p>
    <w:p w:rsidR="003C4FA3" w:rsidRPr="006E437B" w:rsidRDefault="003C4FA3"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6</w:t>
      </w:r>
      <w:r w:rsidRPr="006E437B">
        <w:rPr>
          <w:rFonts w:ascii="Times New Roman" w:eastAsiaTheme="minorEastAsia" w:hAnsi="Times New Roman" w:cs="Times New Roman"/>
          <w:sz w:val="20"/>
          <w:szCs w:val="24"/>
        </w:rPr>
        <w:t xml:space="preserve"> Badillo, D. (2026, 15 agosto). México registra una deforestación bruta de 178,000 hectáreas y restaura menos de 35,000. </w:t>
      </w:r>
      <w:r w:rsidRPr="006E437B">
        <w:rPr>
          <w:rFonts w:ascii="Times New Roman" w:eastAsiaTheme="minorEastAsia" w:hAnsi="Times New Roman" w:cs="Times New Roman"/>
          <w:i/>
          <w:iCs/>
          <w:sz w:val="20"/>
          <w:szCs w:val="24"/>
        </w:rPr>
        <w:t>El Economista</w:t>
      </w:r>
      <w:r w:rsidRPr="006E437B">
        <w:rPr>
          <w:rFonts w:ascii="Times New Roman" w:eastAsiaTheme="minorEastAsia" w:hAnsi="Times New Roman" w:cs="Times New Roman"/>
          <w:sz w:val="20"/>
          <w:szCs w:val="24"/>
        </w:rPr>
        <w:t>. https://www.eleconomista.com.mx/politica/mexico-registra-deforestacion-bruta-178-000-hectareas-restaura-35-20260815-828430.html</w:t>
      </w:r>
    </w:p>
    <w:p w:rsidR="003C4FA3" w:rsidRPr="006E437B" w:rsidRDefault="003C4FA3"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7</w:t>
      </w:r>
      <w:r w:rsidRPr="006E437B">
        <w:rPr>
          <w:rFonts w:ascii="Times New Roman" w:eastAsiaTheme="minorEastAsia" w:hAnsi="Times New Roman" w:cs="Times New Roman"/>
          <w:sz w:val="20"/>
          <w:szCs w:val="24"/>
        </w:rPr>
        <w:t xml:space="preserve"> Ríos, A. (2025, 24 marzo). ¡Ecocidio en Edomex! Miles de hectáreas deforestadas de 2001 a 2023. El Universal Edomex. https://www.eluniversaledomex.com.mx/valle-de-toluca/ecocidio-en-edomex-miles-de-hectareas-deforestadas-de-2001-a-2023/</w:t>
      </w:r>
    </w:p>
    <w:p w:rsidR="003C4FA3" w:rsidRPr="006E437B" w:rsidRDefault="003C4FA3"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8</w:t>
      </w:r>
      <w:r w:rsidRPr="006E437B">
        <w:rPr>
          <w:rFonts w:ascii="Times New Roman" w:eastAsiaTheme="minorEastAsia" w:hAnsi="Times New Roman" w:cs="Times New Roman"/>
          <w:sz w:val="20"/>
          <w:szCs w:val="24"/>
        </w:rPr>
        <w:t xml:space="preserve"> Disponible en: </w:t>
      </w:r>
    </w:p>
    <w:p w:rsidR="003C4FA3" w:rsidRPr="006E437B" w:rsidRDefault="003C4FA3" w:rsidP="00141629">
      <w:pPr>
        <w:pStyle w:val="Sinespaciado"/>
        <w:rPr>
          <w:rFonts w:ascii="Times New Roman" w:eastAsia="Calibri" w:hAnsi="Times New Roman" w:cs="Times New Roman"/>
          <w:sz w:val="20"/>
          <w:szCs w:val="24"/>
        </w:rPr>
      </w:pPr>
      <w:r w:rsidRPr="006E437B">
        <w:rPr>
          <w:rFonts w:ascii="Times New Roman" w:eastAsiaTheme="minorEastAsia" w:hAnsi="Times New Roman" w:cs="Times New Roman"/>
          <w:sz w:val="20"/>
          <w:szCs w:val="24"/>
        </w:rPr>
        <w:t>https://caem.edomex.gob.mx/sites/caem.edomex.gob.mx/files/files/AtlasInundaciones/Atlas2026/AtlasInundacionesXXXII-2026.pdf</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mismo documento señala que los municipios de Ecatepec, La Paz, Nezahualcóyotl, Atizapán de Zaragoza y Atlacomulco concentraron el mayor número de eventos durante la temporada de lluvias de 2025. Asimismo, se reportaron más de 11 mil habitantes afectados, principalmente en municipios urbanos como Ecatepec, La Paz, Cuautitlán Izcalli y Nezahualcóyotl. Particularmente, en la zona de Lerma y Ocoyoacac, el 2 de junio de 2025 se registró una inundación en la zona industrial, con un tirante aproximado de 90 centímetros.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recurrencia y magnitud de estos fenómenos hacen evidente la necesidad de fortalecer las acciones de prevención y mitigación de riesgos mediante estrategias integrales que atiendan las causas y condiciones que favorecen su ocurrencia. En este sentido, la conservación, restauración y recuperación de la cobertura vegetal adquieren especial relevancia, toda vez que los ecosistemas forestales contribuyen a la infiltración y regulación del agua, favorecen la estabilidad del suelo y disminuyen los procesos de erosión y escurrimiento superficial.</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Aunado a lo anterior, otra problemática que afecta de manera recurrente a diversos municipios del Estado de México es la ocurrencia de deslaves y movimientos de ladera. Estos fenómenos consisten en el desplazamiento de masas de suelo, roca y otros materiales pendiente abajo. Estos fenómenos pueden generar graves afectaciones a la población, la infraestructura y los bienes.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ocurrencia de estos fenómenos responde a la interacción de diversos factores naturales. Entre ellos se encuentran las características geológicas y geomorfológicas del territorio, la pendiente y estabilidad de las laderas, la saturación del suelo derivada de lluvias intensas o prolongadas y, en determinados casos, la actividad sísmica. A estos factores pueden sumarse procesos de deforestación, pérdida de cobertura vegetal, erosión y modificaciones del terreno, que disminuyen la estabilidad de las laderas y pueden incrementar su susceptibilidad a los deslizamientos.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Estado de México, los deslaves y movimientos de ladera han ocasionado afectaciones en distintos municipios. En julio de 2026, las intensas lluvias provocaron afectaciones en la comunidad de San Pedro Tenayac, municipio de Temascaltepec. De acuerdo con el censo municipal, dos personas resultaron lesionadas y fueron trasladadas a hospitales de la zona. Asimismo, seis vehículos y 14 viviendas resultaron afectados, además del colapso de las bardas perimetrales de una escuela primaria y una secundaria.</w:t>
      </w:r>
      <w:r w:rsidRPr="006E437B">
        <w:rPr>
          <w:rFonts w:ascii="Times New Roman" w:hAnsi="Times New Roman" w:cs="Times New Roman"/>
          <w:sz w:val="24"/>
          <w:szCs w:val="24"/>
          <w:vertAlign w:val="superscript"/>
        </w:rPr>
        <w:t>9</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igual manera, el municipio de Tlalnepantla de Baz ha enfrentado de manera recurrente situaciones de riesgo asociadas con deslaves y movimientos de ladera en el cerro del Chiquihuite, lo que ha llevado a las autoridades a llevar a cabo estudios especializados con la participación de geólogos, académicos e investigadores, ante el riesgo que representa para la población asentada en sus laderas. En septiembre de 2021, un deslizamiento registrado en esta zona afectó viviendas de la calle Alacranes, en la colonia Lázaro Cárdenas Tercera Sección, dejando como saldo una persona fallecida y diez personas desaparecidas.</w:t>
      </w:r>
      <w:r w:rsidRPr="006E437B">
        <w:rPr>
          <w:rFonts w:ascii="Times New Roman" w:hAnsi="Times New Roman" w:cs="Times New Roman"/>
          <w:sz w:val="24"/>
          <w:szCs w:val="24"/>
          <w:vertAlign w:val="superscript"/>
        </w:rPr>
        <w:t>10</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Asimismo, durante 2025 se reportó un deslave en el cerro El Capulín, en Naucalpan de Juárez, que afectó una vivienda.</w:t>
      </w:r>
      <w:r w:rsidRPr="006E437B">
        <w:rPr>
          <w:rFonts w:ascii="Times New Roman" w:hAnsi="Times New Roman" w:cs="Times New Roman"/>
          <w:sz w:val="24"/>
          <w:szCs w:val="24"/>
          <w:vertAlign w:val="superscript"/>
        </w:rPr>
        <w:t>11</w:t>
      </w:r>
      <w:r w:rsidRPr="006E437B">
        <w:rPr>
          <w:rFonts w:ascii="Times New Roman" w:hAnsi="Times New Roman" w:cs="Times New Roman"/>
          <w:sz w:val="24"/>
          <w:szCs w:val="24"/>
        </w:rPr>
        <w:t xml:space="preserve"> Estos hechos, lejos de constituir casos aislados, evidencian la presencia de condiciones de vulnerabilidad en distintas regiones de la entidad y la necesidad de fortalecer las medidas de prevención y mitigación frente a los movimientos de ladera.</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ámbito internacional, la propuesta se encuentra vinculada con el Objetivo de Desarrollo Sostenible 15 de la Agenda 2030, relativo a “Gestionar sosteniblemente los bosques, luchar contra la desertificación, detener e invertir la degradación de las tierras y detener la pérdida de biodiversidad”, el cual reconoce la importancia de la conservación y gestión sostenible de los ecosistemas terrestres y forestales.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vertAlign w:val="superscript"/>
        </w:rPr>
        <w:t>9</w:t>
      </w:r>
      <w:r w:rsidRPr="006E437B">
        <w:rPr>
          <w:rFonts w:ascii="Times New Roman" w:hAnsi="Times New Roman" w:cs="Times New Roman"/>
          <w:b/>
          <w:sz w:val="20"/>
          <w:szCs w:val="24"/>
          <w:vertAlign w:val="superscript"/>
        </w:rPr>
        <w:t xml:space="preserve"> </w:t>
      </w:r>
      <w:r w:rsidRPr="006E437B">
        <w:rPr>
          <w:rFonts w:ascii="Times New Roman" w:hAnsi="Times New Roman" w:cs="Times New Roman"/>
          <w:sz w:val="20"/>
          <w:szCs w:val="24"/>
        </w:rPr>
        <w:t>MILENIO, Lluvias provocan deslave de cerro en Temascaltepec, Edomex; hay afectaciones en viviendas y escuelas, 2026.</w:t>
      </w:r>
    </w:p>
    <w:p w:rsidR="003C4FA3" w:rsidRPr="006E437B" w:rsidRDefault="003C4FA3"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vertAlign w:val="superscript"/>
        </w:rPr>
        <w:t>10</w:t>
      </w:r>
      <w:r w:rsidRPr="006E437B">
        <w:rPr>
          <w:rFonts w:ascii="Times New Roman" w:hAnsi="Times New Roman" w:cs="Times New Roman"/>
          <w:b/>
          <w:sz w:val="20"/>
          <w:szCs w:val="24"/>
          <w:vertAlign w:val="superscript"/>
        </w:rPr>
        <w:t xml:space="preserve"> </w:t>
      </w:r>
      <w:r w:rsidRPr="006E437B">
        <w:rPr>
          <w:rFonts w:ascii="Times New Roman" w:hAnsi="Times New Roman" w:cs="Times New Roman"/>
          <w:sz w:val="20"/>
          <w:szCs w:val="24"/>
        </w:rPr>
        <w:t xml:space="preserve">LA PRENSA, Cerro del Chiquihuite: estudian con inteligencia artificial las zonas de mayor riesgo de deslaves, 2026. Disponibles en: </w:t>
      </w:r>
      <w:hyperlink r:id="rId27" w:history="1">
        <w:r w:rsidRPr="006E437B">
          <w:rPr>
            <w:rStyle w:val="Hipervnculo"/>
            <w:rFonts w:ascii="Times New Roman" w:hAnsi="Times New Roman" w:cs="Times New Roman"/>
            <w:color w:val="auto"/>
            <w:sz w:val="20"/>
            <w:szCs w:val="24"/>
          </w:rPr>
          <w:t>https://oem.com.mx/la-prensa/metropoli/cerro-de-chiquihuite-estudian-con-inteligencia-artificial-las-zonas-de-mayor-riesgo-de-deslaves-31918012</w:t>
        </w:r>
      </w:hyperlink>
    </w:p>
    <w:p w:rsidR="003C4FA3" w:rsidRPr="006E437B" w:rsidRDefault="003C4FA3"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vertAlign w:val="superscript"/>
        </w:rPr>
        <w:t>11</w:t>
      </w:r>
      <w:r w:rsidRPr="006E437B">
        <w:rPr>
          <w:rFonts w:ascii="Times New Roman" w:hAnsi="Times New Roman" w:cs="Times New Roman"/>
          <w:b/>
          <w:sz w:val="20"/>
          <w:szCs w:val="24"/>
          <w:vertAlign w:val="superscript"/>
        </w:rPr>
        <w:t xml:space="preserve"> </w:t>
      </w:r>
      <w:r w:rsidRPr="006E437B">
        <w:rPr>
          <w:rFonts w:ascii="Times New Roman" w:hAnsi="Times New Roman" w:cs="Times New Roman"/>
          <w:sz w:val="20"/>
          <w:szCs w:val="24"/>
        </w:rPr>
        <w:t>N+, Reportan Deslave de Cerro ‘El Capulín’ en Naucalpan, Edomex, 2025. Disponible en:  https://www.nmas.com.mx/seguridad/accidentes/reportan-deslave-cerro-el-capulin-naucalpan-edomex/</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ámbito nacional, el artículo 4o. de la Constitución Política de los Estados Unidos Mexicanos reconoce el derecho de toda persona a un medio ambiente sano para su desarrollo y bienestar, y establece que el Estado garantizará el respeto a este derecho.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concordancia con este mandato constitucional, la Ley General de Desarrollo Forestal Sustentable, en su artículo 11, establece las atribuciones de las entidades federativas en materia forestal y, entre ellas, contempla la elaboración y aplicación de programas de forestación y reforestación en zonas degradadas, de conformidad con las disposiciones de dicha Ley y de las leyes locales en la materia.</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ámbito estatal, la Constitución Política del Estado Libre y Soberano de México, en su artículo 18, reconoce el derecho de toda persona a un medio ambiente sano, así como a la protección de la naturaleza, con el propósito de garantizar la existencia, preservación, conservación, reparación, restauración, mantenimiento, regeneración, cuidado y protección de los ecosistemas, asegurando el pleno desarrollo de los ciclos biológicos de todos los seres vivos.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Por su parte, el Código para la Biodiversidad del Estado de México establece, entre sus fines, el fomento del desarrollo forestal sostenible. En particular, el Libro Tercero, denominado “Del Fomento para el Desarrollo Forestal Sostenible del Estado de México”, tiene por objeto regular la protección, conservación, restauración, producción, ordenación, cultivo, manejo, fomento y aprovechamiento de los ecosistemas forestales.  Asimismo, el artículo 3.66 del citado Código establece actualmente criterios de prioridad para las acciones de reforestación, al disponer que se consideran prioritarias las zonas incendiadas, especialmente aquellas que hayan sufrido incendios reiterados.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atención a las problemáticas anteriormente expuestas, y fundado en las disposiciones normativas referidas, la presente iniciativa tiene como finalidad orientar las acciones de reforestación y restauración ecológica hacia aquellas zonas del Estado de México en las que la recuperación de la cobertura forestal pueda contribuir a prevenir y mitigar los efectos de los deslaves, la erosión del suelo y las inundaciones, mediante la identificación y delimitación técnica de las áreas que, por sus características territoriales, requieren atención prioritaria.</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propuesta parte de una premisa sencilla, pero jurídicamente relevante: la reforestación debe responder a las necesidades concretas del territorio y no desarrollarse únicamente como una acción aislada de plantación de árboles. Para que una política de reforestación sea eficaz, debe considerar las condiciones ambientales, físicas, hidrológicas y territoriales de cada región, así como los riesgos existentes y las características de las especies que se pretende establecer. Por ello, se propone reformar el artículo 3.66 del Código Administrativo del Estado de México, a fin de establecer expresamente como zonas prioritarias para las acciones de reforestación aquellas que presenten vulnerabilidad ante deslaves, erosión del suelo e inundaciones.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Con esta modificación se busca que la priorización de las acciones de reforestación incorpore una perspectiva de gestión preventiva del territorio. De esta manera, los recursos y esfuerzos institucionales pueden dirigirse, de forma estratégica, hacia aquellos sitios en los que la recuperación de la cobertura vegetal pueda generar mayores beneficios ambientales y contribuir a reducir condiciones de vulnerabilidad.</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esta manera, la propuesta pretende que las decisiones sobre dónde y cómo llevar a cabo las acciones de forestación y reforestación cuenten con un sustento técnico y territorial, evitando que dichas acciones se desarrollen de manera aislada o sin considerar las características particulares de cada región. La identificación previa de las zonas prioritarias permitirá orientar los recursos y esfuerzos institucionales hacia aquellos sitios donde la recuperación de la cobertura vegetal pueda generar mayores beneficios ambientales y contribuir a la prevención y mitigación de riesgos.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Para hacer efectiva esta modificación, los artículos transitorios establecen una ruta de implementación. En primer término, se dispone que, dentro de los 180 días naturales siguientes a la entrada en vigor del Decreto, la Secretaría del Campo lleve a cabo el estudio técnico. Esto debe hacerse a través de la Protectora de Bosques del Estado de México y en colaboración con las autoridades competentes y los municipios. Este estudio debe identificar y delimitar las zonas prioritarias. Posteriormente, con base en sus resultados, deberán priorizarse e incorporarse dichas zonas en los programas, campañas y acciones de forestación y reforestación.</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propuesta también contempla que las especies utilizadas se seleccionen de acuerdo con las características ambientales y del suelo de cada región, y que las acciones se desarrollen durante las temporadas climáticas y ambientales más adecuadas para favorecer la supervivencia y el establecimiento de las especies. Con ello, se busca que la reforestación responda a criterios técnicos que permitan incrementar la eficacia y permanencia de las acciones realizadas.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Finalmente, se establece que el Ejecutivo del Estado y los ayuntamientos, en el ámbito de sus respectivas competencias, deberán prever los recursos necesarios para el cumplimiento del Decreto en sus respectivos presupuestos de egresos. Esta previsión resulta indispensable para que las disposiciones propuestas trasciendan del plano normativo y puedan traducirse efectivamente en acciones de prevención, restauración ecológica y protección del territorio y de las comunidades mexiquenses.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Grupo Parlamentario propone esta iniciativa con la convicción de que la protección ambiental debe partir del reconocimiento de las condiciones específicas de cada territorio y de las necesidades concretas de sus comunidades. Reforestar no debe significar únicamente plantar árboles; significa recuperar cobertura vegetal, fortalecer ecosistemas y, cuando las condiciones lo permitan, contribuir a disminuir factores de vulnerabilidad frente a fenómenos que pueden poner en riesgo a las personas, sus bienes y su entorno.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Orientar prioritariamente las acciones de reforestación y restauración ecológica hacia zonas susceptibles a deslaves, erosión del suelo e inundaciones permitirá aprovechar de mejor manera los esfuerzos institucionales, fortalecer la conservación ambiental y contribuir a la prevención y mitigación de riesgos en el Estado de México.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Se trata de que las acciones públicas en materia de reforestación sean más estratégicas, eficientes y permanentes. Además, que los recursos destinados a ellas se orienten hacia donde pueden generar mayores beneficios. Además, que la recuperación de nuestros ecosistemas contribuya también a construir comunidades más resilientes frente a los efectos del cambio climático y de los fenómenos hidrometeorológicos. En suma, la propuesta pretende fortalecer el marco jurídico estatal para que la restauración de la cobertura vegetal se entienda como una herramienta de conservación ambiental, pero también como una medida complementaria de prevención y mitigación de riesgos.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Con la intención de contar con más elementos para facilitar la comprensión de las modificaciones planteadas en la presente iniciativa, se hace un estudio comparativo entre el texto vigente y el que se propone modificar:</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p>
    <w:tbl>
      <w:tblPr>
        <w:tblStyle w:val="TableGrid"/>
        <w:tblW w:w="9350" w:type="dxa"/>
        <w:tblInd w:w="5" w:type="dxa"/>
        <w:tblCellMar>
          <w:left w:w="106" w:type="dxa"/>
          <w:right w:w="53" w:type="dxa"/>
        </w:tblCellMar>
        <w:tblLook w:val="04A0" w:firstRow="1" w:lastRow="0" w:firstColumn="1" w:lastColumn="0" w:noHBand="0" w:noVBand="1"/>
      </w:tblPr>
      <w:tblGrid>
        <w:gridCol w:w="4675"/>
        <w:gridCol w:w="4675"/>
      </w:tblGrid>
      <w:tr w:rsidR="003C4FA3" w:rsidRPr="006E437B" w:rsidTr="00AA11EA">
        <w:trPr>
          <w:trHeight w:val="250"/>
        </w:trPr>
        <w:tc>
          <w:tcPr>
            <w:tcW w:w="9350" w:type="dxa"/>
            <w:gridSpan w:val="2"/>
            <w:tcBorders>
              <w:top w:val="nil"/>
              <w:left w:val="nil"/>
              <w:bottom w:val="nil"/>
              <w:right w:val="nil"/>
            </w:tcBorders>
            <w:shd w:val="clear" w:color="auto" w:fill="BFBFBF"/>
          </w:tcPr>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CÓDIGO PARA LA BIODIVERSIDAD DEL ESTADO DE MÉXICO</w:t>
            </w:r>
          </w:p>
        </w:tc>
      </w:tr>
      <w:tr w:rsidR="003C4FA3" w:rsidRPr="006E437B" w:rsidTr="00AA11EA">
        <w:trPr>
          <w:trHeight w:val="234"/>
        </w:trPr>
        <w:tc>
          <w:tcPr>
            <w:tcW w:w="4675" w:type="dxa"/>
            <w:tcBorders>
              <w:top w:val="nil"/>
              <w:left w:val="single" w:sz="4" w:space="0" w:color="BFBFBF"/>
              <w:bottom w:val="single" w:sz="4" w:space="0" w:color="BFBFBF"/>
              <w:right w:val="single" w:sz="4" w:space="0" w:color="BFBFBF"/>
            </w:tcBorders>
            <w:shd w:val="clear" w:color="auto" w:fill="D9D9D9"/>
          </w:tcPr>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TEXTO VIGENTE</w:t>
            </w:r>
          </w:p>
        </w:tc>
        <w:tc>
          <w:tcPr>
            <w:tcW w:w="4675" w:type="dxa"/>
            <w:tcBorders>
              <w:top w:val="nil"/>
              <w:left w:val="single" w:sz="4" w:space="0" w:color="BFBFBF"/>
              <w:bottom w:val="single" w:sz="4" w:space="0" w:color="BFBFBF"/>
              <w:right w:val="single" w:sz="4" w:space="0" w:color="BFBFBF"/>
            </w:tcBorders>
            <w:shd w:val="clear" w:color="auto" w:fill="D9D9D9"/>
          </w:tcPr>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TEXTO PROPUESTO</w:t>
            </w:r>
          </w:p>
        </w:tc>
      </w:tr>
      <w:tr w:rsidR="003C4FA3" w:rsidRPr="006E437B" w:rsidTr="00AA11EA">
        <w:trPr>
          <w:trHeight w:val="2425"/>
        </w:trPr>
        <w:tc>
          <w:tcPr>
            <w:tcW w:w="4675" w:type="dxa"/>
            <w:tcBorders>
              <w:top w:val="single" w:sz="4" w:space="0" w:color="BFBFBF"/>
              <w:left w:val="single" w:sz="4" w:space="0" w:color="BFBFBF"/>
              <w:bottom w:val="nil"/>
              <w:right w:val="single" w:sz="4" w:space="0" w:color="BFBFBF"/>
            </w:tcBorders>
            <w:vAlign w:val="bottom"/>
          </w:tcPr>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3.66.</w:t>
            </w:r>
            <w:r w:rsidRPr="006E437B">
              <w:rPr>
                <w:rFonts w:ascii="Times New Roman" w:hAnsi="Times New Roman" w:cs="Times New Roman"/>
                <w:sz w:val="24"/>
                <w:szCs w:val="24"/>
              </w:rPr>
              <w:t xml:space="preserve"> La reforestación que se realice con propósitos de conservación y restauración, las actividades de forestación, así como las prácticas de agroforestales en terrenos degradados de vocación forestal, se realizará preferentemente con especies compatibles con las nativas y con la persistencia de los ecosistemas, no requerirán de autorización y solamente estarán sujetas a las normas oficiales mexicanas y normas técnicas estatales.</w:t>
            </w:r>
          </w:p>
          <w:p w:rsidR="003C4FA3" w:rsidRPr="006E437B" w:rsidRDefault="003C4FA3" w:rsidP="00141629">
            <w:pPr>
              <w:pStyle w:val="Sinespaciado"/>
              <w:rPr>
                <w:rFonts w:ascii="Times New Roman" w:hAnsi="Times New Roman" w:cs="Times New Roman"/>
                <w:sz w:val="24"/>
                <w:szCs w:val="24"/>
              </w:rPr>
            </w:pPr>
          </w:p>
        </w:tc>
        <w:tc>
          <w:tcPr>
            <w:tcW w:w="4675" w:type="dxa"/>
            <w:tcBorders>
              <w:top w:val="single" w:sz="4" w:space="0" w:color="BFBFBF"/>
              <w:left w:val="single" w:sz="4" w:space="0" w:color="BFBFBF"/>
              <w:bottom w:val="nil"/>
              <w:right w:val="single" w:sz="4" w:space="0" w:color="BFBFBF"/>
            </w:tcBorders>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Artículo 3.66.</w:t>
            </w:r>
            <w:r w:rsidRPr="006E437B">
              <w:rPr>
                <w:rFonts w:ascii="Times New Roman" w:hAnsi="Times New Roman" w:cs="Times New Roman"/>
                <w:sz w:val="24"/>
                <w:szCs w:val="24"/>
              </w:rPr>
              <w:t xml:space="preserve"> …</w:t>
            </w:r>
          </w:p>
        </w:tc>
      </w:tr>
      <w:tr w:rsidR="003C4FA3" w:rsidRPr="006E437B" w:rsidTr="00AA11EA">
        <w:trPr>
          <w:trHeight w:val="343"/>
        </w:trPr>
        <w:tc>
          <w:tcPr>
            <w:tcW w:w="4675" w:type="dxa"/>
            <w:tcBorders>
              <w:top w:val="nil"/>
              <w:left w:val="single" w:sz="4" w:space="0" w:color="BFBFBF"/>
              <w:bottom w:val="nil"/>
              <w:right w:val="single" w:sz="4" w:space="0" w:color="BFBFBF"/>
            </w:tcBorders>
            <w:vAlign w:val="bottom"/>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tc>
        <w:tc>
          <w:tcPr>
            <w:tcW w:w="4675" w:type="dxa"/>
            <w:tcBorders>
              <w:top w:val="nil"/>
              <w:left w:val="single" w:sz="4" w:space="0" w:color="BFBFBF"/>
              <w:bottom w:val="nil"/>
              <w:right w:val="single" w:sz="4" w:space="0" w:color="BFBFBF"/>
            </w:tcBorders>
            <w:vAlign w:val="bottom"/>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tc>
      </w:tr>
      <w:tr w:rsidR="003C4FA3" w:rsidRPr="006E437B" w:rsidTr="00AA11EA">
        <w:trPr>
          <w:trHeight w:val="230"/>
        </w:trPr>
        <w:tc>
          <w:tcPr>
            <w:tcW w:w="4675" w:type="dxa"/>
            <w:tcBorders>
              <w:top w:val="nil"/>
              <w:left w:val="single" w:sz="4" w:space="0" w:color="BFBFBF"/>
              <w:bottom w:val="nil"/>
              <w:right w:val="single" w:sz="4" w:space="0" w:color="BFBFBF"/>
            </w:tcBorders>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tc>
        <w:tc>
          <w:tcPr>
            <w:tcW w:w="4675" w:type="dxa"/>
            <w:tcBorders>
              <w:top w:val="nil"/>
              <w:left w:val="single" w:sz="4" w:space="0" w:color="BFBFBF"/>
              <w:bottom w:val="nil"/>
              <w:right w:val="single" w:sz="4" w:space="0" w:color="BFBFBF"/>
            </w:tcBorders>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tc>
      </w:tr>
      <w:tr w:rsidR="003C4FA3" w:rsidRPr="006E437B" w:rsidTr="00AA11EA">
        <w:trPr>
          <w:trHeight w:val="346"/>
        </w:trPr>
        <w:tc>
          <w:tcPr>
            <w:tcW w:w="4675" w:type="dxa"/>
            <w:tcBorders>
              <w:top w:val="nil"/>
              <w:left w:val="single" w:sz="4" w:space="0" w:color="BFBFBF"/>
              <w:bottom w:val="nil"/>
              <w:right w:val="single" w:sz="4" w:space="0" w:color="BFBFBF"/>
            </w:tcBorders>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tc>
        <w:tc>
          <w:tcPr>
            <w:tcW w:w="4675" w:type="dxa"/>
            <w:tcBorders>
              <w:top w:val="nil"/>
              <w:left w:val="single" w:sz="4" w:space="0" w:color="BFBFBF"/>
              <w:bottom w:val="nil"/>
              <w:right w:val="single" w:sz="4" w:space="0" w:color="BFBFBF"/>
            </w:tcBorders>
            <w:vAlign w:val="bottom"/>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p w:rsidR="003C4FA3" w:rsidRPr="006E437B" w:rsidRDefault="003C4FA3" w:rsidP="00141629">
            <w:pPr>
              <w:pStyle w:val="Sinespaciado"/>
              <w:rPr>
                <w:rFonts w:ascii="Times New Roman" w:hAnsi="Times New Roman" w:cs="Times New Roman"/>
                <w:sz w:val="24"/>
                <w:szCs w:val="24"/>
              </w:rPr>
            </w:pPr>
          </w:p>
        </w:tc>
      </w:tr>
      <w:tr w:rsidR="003C4FA3" w:rsidRPr="006E437B" w:rsidTr="00AA11EA">
        <w:trPr>
          <w:trHeight w:val="1500"/>
        </w:trPr>
        <w:tc>
          <w:tcPr>
            <w:tcW w:w="4675" w:type="dxa"/>
            <w:tcBorders>
              <w:top w:val="nil"/>
              <w:left w:val="single" w:sz="4" w:space="0" w:color="BFBFBF"/>
              <w:bottom w:val="single" w:sz="4" w:space="0" w:color="BFBFBF"/>
              <w:right w:val="single" w:sz="4" w:space="0" w:color="BFBFBF"/>
            </w:tcBorders>
          </w:tcPr>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Para los efectos del presente Capítulo se consideran prioritarias las zonas incendiadas, especialmente las que hayan sufrido incendios reiterados.</w:t>
            </w:r>
          </w:p>
        </w:tc>
        <w:tc>
          <w:tcPr>
            <w:tcW w:w="4675" w:type="dxa"/>
            <w:tcBorders>
              <w:top w:val="nil"/>
              <w:left w:val="single" w:sz="4" w:space="0" w:color="BFBFBF"/>
              <w:bottom w:val="single" w:sz="4" w:space="0" w:color="BFBFBF"/>
              <w:right w:val="single" w:sz="4" w:space="0" w:color="BFBFBF"/>
            </w:tcBorders>
            <w:vAlign w:val="bottom"/>
          </w:tcPr>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Para los efectos del presente Capítulo se consideran prioritarias las </w:t>
            </w:r>
            <w:r w:rsidRPr="006E437B">
              <w:rPr>
                <w:rFonts w:ascii="Times New Roman" w:hAnsi="Times New Roman" w:cs="Times New Roman"/>
                <w:b/>
                <w:sz w:val="24"/>
                <w:szCs w:val="24"/>
              </w:rPr>
              <w:t>zonas vulnerables a deslaves, erosión de suelo e inundaciones, así como las</w:t>
            </w:r>
            <w:r w:rsidRPr="006E437B">
              <w:rPr>
                <w:rFonts w:ascii="Times New Roman" w:hAnsi="Times New Roman" w:cs="Times New Roman"/>
                <w:sz w:val="24"/>
                <w:szCs w:val="24"/>
              </w:rPr>
              <w:t xml:space="preserve"> zonas incendiadas, especialmente las que hayan sufrido incendios reiterados.</w:t>
            </w:r>
          </w:p>
          <w:p w:rsidR="003C4FA3" w:rsidRPr="006E437B" w:rsidRDefault="003C4FA3" w:rsidP="00141629">
            <w:pPr>
              <w:pStyle w:val="Sinespaciado"/>
              <w:rPr>
                <w:rFonts w:ascii="Times New Roman" w:hAnsi="Times New Roman" w:cs="Times New Roman"/>
                <w:sz w:val="24"/>
                <w:szCs w:val="24"/>
              </w:rPr>
            </w:pPr>
          </w:p>
        </w:tc>
      </w:tr>
      <w:tr w:rsidR="003C4FA3" w:rsidRPr="006E437B" w:rsidTr="00AA11EA">
        <w:trPr>
          <w:trHeight w:val="1273"/>
        </w:trPr>
        <w:tc>
          <w:tcPr>
            <w:tcW w:w="4675" w:type="dxa"/>
            <w:tcBorders>
              <w:top w:val="single" w:sz="4" w:space="0" w:color="BFBFBF"/>
              <w:left w:val="single" w:sz="4" w:space="0" w:color="BFBFBF"/>
              <w:bottom w:val="nil"/>
              <w:right w:val="single" w:sz="4" w:space="0" w:color="BFBFBF"/>
            </w:tcBorders>
          </w:tcPr>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3.67.</w:t>
            </w:r>
            <w:r w:rsidRPr="006E437B">
              <w:rPr>
                <w:rFonts w:ascii="Times New Roman" w:hAnsi="Times New Roman" w:cs="Times New Roman"/>
                <w:sz w:val="24"/>
                <w:szCs w:val="24"/>
              </w:rPr>
              <w:t xml:space="preserve"> El Gobierno del Estado y los Municipios promoverán programas tendientes a la forestación y reforestación de los terrenos de vocación forestal, degradados o que han sufrido cambio de uso del suelo.</w:t>
            </w:r>
          </w:p>
        </w:tc>
        <w:tc>
          <w:tcPr>
            <w:tcW w:w="4675" w:type="dxa"/>
            <w:tcBorders>
              <w:top w:val="single" w:sz="4" w:space="0" w:color="BFBFBF"/>
              <w:left w:val="single" w:sz="4" w:space="0" w:color="BFBFBF"/>
              <w:bottom w:val="nil"/>
              <w:right w:val="single" w:sz="4" w:space="0" w:color="BFBFBF"/>
            </w:tcBorders>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Artículo 3.67.</w:t>
            </w:r>
            <w:r w:rsidRPr="006E437B">
              <w:rPr>
                <w:rFonts w:ascii="Times New Roman" w:hAnsi="Times New Roman" w:cs="Times New Roman"/>
                <w:sz w:val="24"/>
                <w:szCs w:val="24"/>
              </w:rPr>
              <w:t xml:space="preserve"> …</w:t>
            </w:r>
          </w:p>
        </w:tc>
      </w:tr>
      <w:tr w:rsidR="003C4FA3" w:rsidRPr="006E437B" w:rsidTr="00AA11EA">
        <w:trPr>
          <w:trHeight w:val="458"/>
        </w:trPr>
        <w:tc>
          <w:tcPr>
            <w:tcW w:w="4675" w:type="dxa"/>
            <w:tcBorders>
              <w:top w:val="nil"/>
              <w:left w:val="single" w:sz="4" w:space="0" w:color="BFBFBF"/>
              <w:bottom w:val="nil"/>
              <w:right w:val="single" w:sz="4" w:space="0" w:color="BFBFBF"/>
            </w:tcBorders>
          </w:tcPr>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p w:rsidR="003C4FA3" w:rsidRPr="006E437B" w:rsidRDefault="003C4FA3" w:rsidP="00141629">
            <w:pPr>
              <w:pStyle w:val="Sinespaciado"/>
              <w:rPr>
                <w:rFonts w:ascii="Times New Roman" w:hAnsi="Times New Roman" w:cs="Times New Roman"/>
                <w:sz w:val="24"/>
                <w:szCs w:val="24"/>
              </w:rPr>
            </w:pPr>
          </w:p>
        </w:tc>
        <w:tc>
          <w:tcPr>
            <w:tcW w:w="4675" w:type="dxa"/>
            <w:tcBorders>
              <w:top w:val="nil"/>
              <w:left w:val="single" w:sz="4" w:space="0" w:color="BFBFBF"/>
              <w:bottom w:val="nil"/>
              <w:right w:val="single" w:sz="4" w:space="0" w:color="BFBFBF"/>
            </w:tcBorders>
            <w:vAlign w:val="center"/>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tc>
      </w:tr>
      <w:tr w:rsidR="003C4FA3" w:rsidRPr="006E437B" w:rsidTr="00AA11EA">
        <w:trPr>
          <w:trHeight w:val="3108"/>
        </w:trPr>
        <w:tc>
          <w:tcPr>
            <w:tcW w:w="4675" w:type="dxa"/>
            <w:tcBorders>
              <w:top w:val="nil"/>
              <w:left w:val="single" w:sz="4" w:space="0" w:color="BFBFBF"/>
              <w:bottom w:val="single" w:sz="4" w:space="0" w:color="BFBFBF"/>
              <w:right w:val="single" w:sz="4" w:space="0" w:color="BFBFBF"/>
            </w:tcBorders>
          </w:tcPr>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 xml:space="preserve">Sin correlativo </w:t>
            </w:r>
          </w:p>
        </w:tc>
        <w:tc>
          <w:tcPr>
            <w:tcW w:w="4675" w:type="dxa"/>
            <w:tcBorders>
              <w:top w:val="nil"/>
              <w:left w:val="single" w:sz="4" w:space="0" w:color="BFBFBF"/>
              <w:bottom w:val="single" w:sz="4" w:space="0" w:color="BFBFBF"/>
              <w:right w:val="single" w:sz="4" w:space="0" w:color="BFBFBF"/>
            </w:tcBorders>
            <w:vAlign w:val="bottom"/>
          </w:tcPr>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Los programas de reforestación y de restauración ecológica se realizarán preferentemente en zonas vulnerables a deslaves, erosión e inundaciones. Para tal efecto, la Secretaría, en coordinación con las autoridades competentes en materia de protección civil, ordenamiento territorial y gestión del agua, llevará a cabo los estudios técnicos correspondientes, considerando, entre otros elementos, las condiciones de riesgo de deslaves, erosión del suelo e inundaciones y la recurrencia de incendios forestales.</w:t>
            </w:r>
          </w:p>
        </w:tc>
      </w:tr>
    </w:tbl>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6E437B">
        <w:rPr>
          <w:rFonts w:ascii="Times New Roman" w:hAnsi="Times New Roman" w:cs="Times New Roman"/>
          <w:b/>
          <w:sz w:val="24"/>
          <w:szCs w:val="24"/>
        </w:rPr>
        <w:t>INICIATIVA CON PROYECTO DE DECRETO POR LA QUE SE REFORMA EL PÁRRAFO CUARTO DEL ARTÍCULO 3.66, Y SE ADICIONA UN TERCER PÁRRAFO AL ARTÍCULO 3.67 DEL CÓDIGO PARA LA BIODIVERSIDAD DEL ESTADO DE MÉXICO, EN MATERIA DE REFORESTACIÓN Y RESTAURACIÓN ECOLÓGICA EN ZONAS VULNERABLES A DESLAVES, EROSIÓN DE SUELO E INUNDACIONES.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A T E N T A M E N T E</w:t>
      </w:r>
    </w:p>
    <w:p w:rsidR="003C4FA3" w:rsidRPr="006E437B" w:rsidRDefault="003C4FA3" w:rsidP="00141629">
      <w:pPr>
        <w:pStyle w:val="Sinespaciado"/>
        <w:jc w:val="center"/>
        <w:rPr>
          <w:rFonts w:ascii="Times New Roman" w:hAnsi="Times New Roman" w:cs="Times New Roman"/>
          <w:sz w:val="24"/>
          <w:szCs w:val="24"/>
        </w:rPr>
      </w:pPr>
    </w:p>
    <w:p w:rsidR="003C4FA3" w:rsidRPr="006E437B" w:rsidRDefault="003C4FA3"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DIP. JOSÉ ALBERTO COUTTOLENC BUENTELLO</w:t>
      </w:r>
    </w:p>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COORDINADOR DEL GRUPO PARLAMENTARIO DEL</w:t>
      </w:r>
    </w:p>
    <w:p w:rsidR="003C4FA3" w:rsidRPr="006E437B" w:rsidRDefault="003C4FA3"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PARTIDO VERDE ECOLOGISTA DE MÉXICO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DECRETO NÚMERO ____</w:t>
      </w:r>
    </w:p>
    <w:p w:rsidR="003C4FA3" w:rsidRPr="006E437B" w:rsidRDefault="003C4FA3"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LA LXII LEGISLATURA DEL ESTADO DE MÉXICO</w:t>
      </w: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DECRETA:</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ÚNICO. - </w:t>
      </w:r>
      <w:r w:rsidRPr="006E437B">
        <w:rPr>
          <w:rFonts w:ascii="Times New Roman" w:hAnsi="Times New Roman" w:cs="Times New Roman"/>
          <w:sz w:val="24"/>
          <w:szCs w:val="24"/>
        </w:rPr>
        <w:t>Se reforma el cuarto párrafo del artículo 3.66 y un tercer párrafo al artículo 3.67 del Código para la Biodiversidad del Estado de México, para quedar como sigue:</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CÓDIGO PARA LA BIODIVERSIDAD DEL ESTADO DE MÉXICO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Artículo 3.66</w:t>
      </w:r>
      <w:r w:rsidRPr="006E437B">
        <w:rPr>
          <w:rFonts w:ascii="Times New Roman" w:hAnsi="Times New Roman" w:cs="Times New Roman"/>
          <w:sz w:val="24"/>
          <w:szCs w:val="24"/>
        </w:rPr>
        <w:t>. …</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Para los efectos del presente Capítulo se consideran prioritarias las </w:t>
      </w:r>
      <w:r w:rsidRPr="006E437B">
        <w:rPr>
          <w:rFonts w:ascii="Times New Roman" w:hAnsi="Times New Roman" w:cs="Times New Roman"/>
          <w:b/>
          <w:sz w:val="24"/>
          <w:szCs w:val="24"/>
        </w:rPr>
        <w:t>zonas vulnerables a deslaves, erosión de suelo e inundaciones, así como las</w:t>
      </w:r>
      <w:r w:rsidRPr="006E437B">
        <w:rPr>
          <w:rFonts w:ascii="Times New Roman" w:hAnsi="Times New Roman" w:cs="Times New Roman"/>
          <w:sz w:val="24"/>
          <w:szCs w:val="24"/>
        </w:rPr>
        <w:t xml:space="preserve"> zonas incendiadas, especialmente las que hayan sufrido incendios reiterados.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Artículo 3.67…</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Los programas de reforestación y de restauración ecológica se realizarán preferentemente en zonas vulnerables a deslaves, erosión e inundaciones. Para tal efecto, la Secretaría, en coordinación con las autoridades competentes en materia de protección civil, ordenamiento territorial y gestión del agua, llevará a cabo los estudios técnicos correspondientes, considerando, entre otros elementos, las condiciones de riesgo de deslaves, erosión del suelo e inundaciones y la recurrencia de incendios forestales.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T R A N S I T O R I O S</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PRIMERO. </w:t>
      </w:r>
      <w:r w:rsidRPr="006E437B">
        <w:rPr>
          <w:rFonts w:ascii="Times New Roman" w:hAnsi="Times New Roman" w:cs="Times New Roman"/>
          <w:sz w:val="24"/>
          <w:szCs w:val="24"/>
        </w:rPr>
        <w:t>Publíquese el presente Decreto en el Periódico Oficial “Gaceta de Gobierno” del Estado de México.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SEGUNDO. </w:t>
      </w:r>
      <w:r w:rsidRPr="006E437B">
        <w:rPr>
          <w:rFonts w:ascii="Times New Roman" w:hAnsi="Times New Roman" w:cs="Times New Roman"/>
          <w:sz w:val="24"/>
          <w:szCs w:val="24"/>
        </w:rPr>
        <w:t>El presente Decreto entrará en vigor el día siguiente de su publicación en el Periódico Oficial “Gaceta de Gobierno” del Estado de México.</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persona titular del Poder Ejecutivo lo tendrá por entendido, haciendo que se publique y se cumpla.</w:t>
      </w:r>
    </w:p>
    <w:p w:rsidR="003C4FA3" w:rsidRPr="006E437B" w:rsidRDefault="003C4FA3" w:rsidP="00141629">
      <w:pPr>
        <w:pStyle w:val="Sinespaciado"/>
        <w:rPr>
          <w:rFonts w:ascii="Times New Roman" w:hAnsi="Times New Roman" w:cs="Times New Roman"/>
          <w:sz w:val="24"/>
          <w:szCs w:val="24"/>
        </w:rPr>
      </w:pPr>
    </w:p>
    <w:p w:rsidR="003C4FA3" w:rsidRPr="006E437B" w:rsidRDefault="003C4FA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Capital del Estado de México, a los días _ del mes _ de dos mil veintiséis.</w:t>
      </w:r>
    </w:p>
    <w:p w:rsidR="00894D92" w:rsidRPr="006E437B" w:rsidRDefault="00894D92" w:rsidP="00141629">
      <w:pPr>
        <w:pStyle w:val="Sinespaciado"/>
        <w:jc w:val="both"/>
        <w:rPr>
          <w:rFonts w:ascii="Times New Roman" w:hAnsi="Times New Roman" w:cs="Times New Roman"/>
          <w:sz w:val="24"/>
          <w:szCs w:val="24"/>
        </w:rPr>
      </w:pPr>
    </w:p>
    <w:p w:rsidR="00894D92" w:rsidRPr="006E437B" w:rsidRDefault="00894D9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894D92" w:rsidRPr="006E437B" w:rsidRDefault="00894D92" w:rsidP="00141629">
      <w:pPr>
        <w:pStyle w:val="Sinespaciado"/>
        <w:jc w:val="both"/>
        <w:rPr>
          <w:rFonts w:ascii="Times New Roman" w:hAnsi="Times New Roman" w:cs="Times New Roman"/>
          <w:sz w:val="24"/>
          <w:szCs w:val="24"/>
        </w:rPr>
      </w:pP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diputado.</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registra la iniciativa y se remite la Comisión Legislativa de Protección Ambiental y Cambio Climático para su estudio y dictamen.</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el punto 9, la diputada Miriam Silva Mata, presenta en nombre del Grupo Parlamentario del Partido Verde Ecologista de México, iniciativa con proyecto de decreto por el que se adiciona un último párrafo al artículo 75 y un tercer párrafo al artículo 159 de la Ley del Agua para el Estado de México y Municipios, a fin de garantizar a la ciudadanía el suministro diario de 100 litros de agua, adelante diputada.</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MIRIAM SILVA MATA. Con su venia diputado Presidente, Mesa Directiva de este Honorable Congreso; así como compañeras y compañeros legisladores, mexiquenses del Estado de México y reciban un afectuoso</w:t>
      </w:r>
      <w:r w:rsidR="00636FEA" w:rsidRPr="006E437B">
        <w:rPr>
          <w:rFonts w:ascii="Times New Roman" w:hAnsi="Times New Roman" w:cs="Times New Roman"/>
          <w:sz w:val="24"/>
          <w:szCs w:val="24"/>
        </w:rPr>
        <w:t>,</w:t>
      </w:r>
      <w:r w:rsidRPr="006E437B">
        <w:rPr>
          <w:rFonts w:ascii="Times New Roman" w:hAnsi="Times New Roman" w:cs="Times New Roman"/>
          <w:sz w:val="24"/>
          <w:szCs w:val="24"/>
        </w:rPr>
        <w:t xml:space="preserve"> saludo amigas y amigos de Ecatepec que hoy nos acompañan en este Congreso.</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Espero algún día</w:t>
      </w:r>
      <w:r w:rsidR="00AD7C81" w:rsidRPr="006E437B">
        <w:rPr>
          <w:rFonts w:ascii="Times New Roman" w:hAnsi="Times New Roman" w:cs="Times New Roman"/>
          <w:sz w:val="24"/>
          <w:szCs w:val="24"/>
        </w:rPr>
        <w:t>,</w:t>
      </w:r>
      <w:r w:rsidRPr="006E437B">
        <w:rPr>
          <w:rFonts w:ascii="Times New Roman" w:hAnsi="Times New Roman" w:cs="Times New Roman"/>
          <w:sz w:val="24"/>
          <w:szCs w:val="24"/>
        </w:rPr>
        <w:t xml:space="preserve"> volver a ver agua limpia en la llave de mi casa, </w:t>
      </w:r>
      <w:r w:rsidR="00AD7C81" w:rsidRPr="006E437B">
        <w:rPr>
          <w:rFonts w:ascii="Times New Roman" w:hAnsi="Times New Roman" w:cs="Times New Roman"/>
          <w:sz w:val="24"/>
          <w:szCs w:val="24"/>
        </w:rPr>
        <w:t>“</w:t>
      </w:r>
      <w:r w:rsidRPr="006E437B">
        <w:rPr>
          <w:rFonts w:ascii="Times New Roman" w:hAnsi="Times New Roman" w:cs="Times New Roman"/>
          <w:sz w:val="24"/>
          <w:szCs w:val="24"/>
        </w:rPr>
        <w:t>hagan realidad nuestro sueño</w:t>
      </w:r>
      <w:r w:rsidR="00AD7C81" w:rsidRPr="006E437B">
        <w:rPr>
          <w:rFonts w:ascii="Times New Roman" w:hAnsi="Times New Roman" w:cs="Times New Roman"/>
          <w:sz w:val="24"/>
          <w:szCs w:val="24"/>
        </w:rPr>
        <w:t>”</w:t>
      </w:r>
      <w:r w:rsidRPr="006E437B">
        <w:rPr>
          <w:rFonts w:ascii="Times New Roman" w:hAnsi="Times New Roman" w:cs="Times New Roman"/>
          <w:sz w:val="24"/>
          <w:szCs w:val="24"/>
        </w:rPr>
        <w:t>, dicho de un vecino</w:t>
      </w:r>
      <w:r w:rsidR="00AD7C81" w:rsidRPr="006E437B">
        <w:rPr>
          <w:rFonts w:ascii="Times New Roman" w:hAnsi="Times New Roman" w:cs="Times New Roman"/>
          <w:sz w:val="24"/>
          <w:szCs w:val="24"/>
        </w:rPr>
        <w:t>,</w:t>
      </w:r>
      <w:r w:rsidRPr="006E437B">
        <w:rPr>
          <w:rFonts w:ascii="Times New Roman" w:hAnsi="Times New Roman" w:cs="Times New Roman"/>
          <w:sz w:val="24"/>
          <w:szCs w:val="24"/>
        </w:rPr>
        <w:t xml:space="preserve"> ante la Suprema Corte de Justicia de la Nación.</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Presidente, le pediría de favor</w:t>
      </w:r>
      <w:r w:rsidR="00E21729" w:rsidRPr="006E437B">
        <w:rPr>
          <w:rFonts w:ascii="Times New Roman" w:hAnsi="Times New Roman" w:cs="Times New Roman"/>
          <w:sz w:val="24"/>
          <w:szCs w:val="24"/>
        </w:rPr>
        <w:t>,</w:t>
      </w:r>
      <w:r w:rsidRPr="006E437B">
        <w:rPr>
          <w:rFonts w:ascii="Times New Roman" w:hAnsi="Times New Roman" w:cs="Times New Roman"/>
          <w:sz w:val="24"/>
          <w:szCs w:val="24"/>
        </w:rPr>
        <w:t xml:space="preserve"> si me puede poner la moción de ilustración.</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Si nos apoyan con la proyección, por favor.</w:t>
      </w:r>
    </w:p>
    <w:p w:rsidR="00FE6D14" w:rsidRPr="006E437B" w:rsidRDefault="00FE6D14"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(Se reproduce video)</w:t>
      </w:r>
    </w:p>
    <w:p w:rsidR="00412A72"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MIRIAM SILVA MATA. Pero y si sí.</w:t>
      </w:r>
    </w:p>
    <w:p w:rsidR="00E21729" w:rsidRPr="006E437B" w:rsidRDefault="00412A7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El pasado 24 de agosto de este año, en este Estado de México, la historia ya cambió</w:t>
      </w:r>
      <w:r w:rsidR="00E21729" w:rsidRPr="006E437B">
        <w:rPr>
          <w:rFonts w:ascii="Times New Roman" w:hAnsi="Times New Roman" w:cs="Times New Roman"/>
          <w:sz w:val="24"/>
          <w:szCs w:val="24"/>
        </w:rPr>
        <w:t>.</w:t>
      </w:r>
    </w:p>
    <w:p w:rsidR="0096696E" w:rsidRPr="006E437B" w:rsidRDefault="00E2172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La </w:t>
      </w:r>
      <w:r w:rsidR="00412A72" w:rsidRPr="006E437B">
        <w:rPr>
          <w:rFonts w:ascii="Times New Roman" w:hAnsi="Times New Roman" w:cs="Times New Roman"/>
          <w:sz w:val="24"/>
          <w:szCs w:val="24"/>
        </w:rPr>
        <w:t xml:space="preserve">Suprema Corte de Justicia de la Nación, hizo algo que nunca había hecho, ordenó un municipio a garantizar al menos 100 litros de agua limpia, por persona a cada habitante de la quinta zona de Ecatepec, no es una mera recomendación, </w:t>
      </w:r>
      <w:r w:rsidR="002641F1" w:rsidRPr="006E437B">
        <w:rPr>
          <w:rFonts w:ascii="Times New Roman" w:hAnsi="Times New Roman" w:cs="Times New Roman"/>
          <w:sz w:val="24"/>
          <w:szCs w:val="24"/>
        </w:rPr>
        <w:t xml:space="preserve">es una </w:t>
      </w:r>
      <w:r w:rsidR="0096696E" w:rsidRPr="006E437B">
        <w:rPr>
          <w:rFonts w:ascii="Times New Roman" w:hAnsi="Times New Roman" w:cs="Times New Roman"/>
          <w:sz w:val="24"/>
          <w:szCs w:val="24"/>
        </w:rPr>
        <w:t>sentencia que ya condenó al Municipio de Ecatepec de Morelos</w:t>
      </w:r>
      <w:r w:rsidRPr="006E437B">
        <w:rPr>
          <w:rFonts w:ascii="Times New Roman" w:hAnsi="Times New Roman" w:cs="Times New Roman"/>
          <w:sz w:val="24"/>
          <w:szCs w:val="24"/>
        </w:rPr>
        <w:t xml:space="preserve">; </w:t>
      </w:r>
      <w:r w:rsidR="0096696E" w:rsidRPr="006E437B">
        <w:rPr>
          <w:rFonts w:ascii="Times New Roman" w:hAnsi="Times New Roman" w:cs="Times New Roman"/>
          <w:sz w:val="24"/>
          <w:szCs w:val="24"/>
        </w:rPr>
        <w:t>2 amparos, 13 y 14</w:t>
      </w:r>
      <w:r w:rsidRPr="006E437B">
        <w:rPr>
          <w:rFonts w:ascii="Times New Roman" w:hAnsi="Times New Roman" w:cs="Times New Roman"/>
          <w:sz w:val="24"/>
          <w:szCs w:val="24"/>
        </w:rPr>
        <w:t>,</w:t>
      </w:r>
      <w:r w:rsidR="0096696E" w:rsidRPr="006E437B">
        <w:rPr>
          <w:rFonts w:ascii="Times New Roman" w:hAnsi="Times New Roman" w:cs="Times New Roman"/>
          <w:sz w:val="24"/>
          <w:szCs w:val="24"/>
        </w:rPr>
        <w:t xml:space="preserve"> 2026, 806 habitantes que se atrevieron a demandar lo que todos merecemos, personas que llevamos más de 6 años litigando por algo tan básico, como abrir la llave en tu casa y tener agua limpia, 6 votos de las y los ministros de la Suprema Corte de Justicia de la Nación</w:t>
      </w:r>
      <w:r w:rsidR="00F70147" w:rsidRPr="006E437B">
        <w:rPr>
          <w:rFonts w:ascii="Times New Roman" w:hAnsi="Times New Roman" w:cs="Times New Roman"/>
          <w:sz w:val="24"/>
          <w:szCs w:val="24"/>
        </w:rPr>
        <w:t>,</w:t>
      </w:r>
      <w:r w:rsidR="0096696E" w:rsidRPr="006E437B">
        <w:rPr>
          <w:rFonts w:ascii="Times New Roman" w:hAnsi="Times New Roman" w:cs="Times New Roman"/>
          <w:sz w:val="24"/>
          <w:szCs w:val="24"/>
        </w:rPr>
        <w:t xml:space="preserve"> se atrevieron a reconocer la crueldad en mi municipio ¡Sí! El Municipio Ecatepec de Morelos, aquel que no cumple con un derecho humano tan básico que es parte de la vida, como dar agua limpia en cada casa vía red; pero quiero que escuchen lo que dijo ya la Corte, porque no habla sólo de Ecatepec, habla de todo nuestro País.</w:t>
      </w:r>
    </w:p>
    <w:p w:rsidR="008A2771"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Primero, el Pleno ordenó garantizar un suministro suficiente continuo y de calidad</w:t>
      </w:r>
      <w:r w:rsidR="00F70147" w:rsidRPr="006E437B">
        <w:rPr>
          <w:rFonts w:ascii="Times New Roman" w:hAnsi="Times New Roman" w:cs="Times New Roman"/>
          <w:sz w:val="24"/>
          <w:szCs w:val="24"/>
        </w:rPr>
        <w:t>;</w:t>
      </w:r>
      <w:r w:rsidRPr="006E437B">
        <w:rPr>
          <w:rFonts w:ascii="Times New Roman" w:hAnsi="Times New Roman" w:cs="Times New Roman"/>
          <w:sz w:val="24"/>
          <w:szCs w:val="24"/>
        </w:rPr>
        <w:t xml:space="preserve"> preferentemente</w:t>
      </w:r>
      <w:r w:rsidR="00F70147" w:rsidRPr="006E437B">
        <w:rPr>
          <w:rFonts w:ascii="Times New Roman" w:hAnsi="Times New Roman" w:cs="Times New Roman"/>
          <w:sz w:val="24"/>
          <w:szCs w:val="24"/>
        </w:rPr>
        <w:t>,</w:t>
      </w:r>
      <w:r w:rsidRPr="006E437B">
        <w:rPr>
          <w:rFonts w:ascii="Times New Roman" w:hAnsi="Times New Roman" w:cs="Times New Roman"/>
          <w:sz w:val="24"/>
          <w:szCs w:val="24"/>
        </w:rPr>
        <w:t xml:space="preserve"> a través de la red hidráulica.</w:t>
      </w:r>
    </w:p>
    <w:p w:rsidR="008A2771" w:rsidRPr="006E437B" w:rsidRDefault="0096696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Segundo, dijo con todas sus letras, que entregar agua con pipas por sí sola no demuestra el cumplimiento de un derecho humano al agua; que las autoridades deberán demostrar que el agua llega efectivamente a las personas en cantidad suficiente, pero con calidad adecuada.</w:t>
      </w:r>
    </w:p>
    <w:p w:rsidR="008A2771" w:rsidRPr="006E437B" w:rsidRDefault="0096696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Tercero, ordenó lo que por años ha sido negado, que el Organismo Operador del Agua Municipal, entregue al menos 100 litros de agua limpia diarios por persona, preferentemente por la red sin condición alguna al pago y mucho menos, sin ningún hostigamiento y ningún condicionamiento político por parte de las autoridades municipales y</w:t>
      </w:r>
    </w:p>
    <w:p w:rsidR="0096696E" w:rsidRPr="006E437B" w:rsidRDefault="0096696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Cuarto</w:t>
      </w:r>
      <w:r w:rsidR="008A2771" w:rsidRPr="006E437B">
        <w:rPr>
          <w:rFonts w:ascii="Times New Roman" w:hAnsi="Times New Roman" w:cs="Times New Roman"/>
          <w:sz w:val="24"/>
          <w:szCs w:val="24"/>
        </w:rPr>
        <w:t xml:space="preserve">, esto </w:t>
      </w:r>
      <w:r w:rsidRPr="006E437B">
        <w:rPr>
          <w:rFonts w:ascii="Times New Roman" w:hAnsi="Times New Roman" w:cs="Times New Roman"/>
          <w:sz w:val="24"/>
          <w:szCs w:val="24"/>
        </w:rPr>
        <w:t>es lo más importante, ordenó ir al fondo del problema, un programa de cambio de infraestructura hidráulica. ¿</w:t>
      </w:r>
      <w:r w:rsidR="008A2771" w:rsidRPr="006E437B">
        <w:rPr>
          <w:rFonts w:ascii="Times New Roman" w:hAnsi="Times New Roman" w:cs="Times New Roman"/>
          <w:sz w:val="24"/>
          <w:szCs w:val="24"/>
        </w:rPr>
        <w:t xml:space="preserve">Para </w:t>
      </w:r>
      <w:r w:rsidRPr="006E437B">
        <w:rPr>
          <w:rFonts w:ascii="Times New Roman" w:hAnsi="Times New Roman" w:cs="Times New Roman"/>
          <w:sz w:val="24"/>
          <w:szCs w:val="24"/>
        </w:rPr>
        <w:t>qué? Para corregir primero la calidad del agua, no el agua puerca que hoy está dando, corregir las fugas, las tomas clandestinas, el huachicoleo del agua y el colapso que tenemos en Ecatepec.</w:t>
      </w:r>
    </w:p>
    <w:p w:rsidR="00AB0E1B"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Ejemplo aquello, es lo que se puede hacer con la justicia en mano.</w:t>
      </w:r>
    </w:p>
    <w:p w:rsidR="0096696E" w:rsidRPr="006E437B" w:rsidRDefault="0096696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Ecatepec, el 24 de agosto se volvió agenda nacional de una justicia hídrica, cuando un municipio viola tajantemente en todas sus facetas un derecho humano al agua, a la vida, a la salud, al medio ambiente, dar agua puerca, permitir el robo del agua, hostigar a los vecinos para desistir de un derecho, no tener transparencia, no tener rendición de cuentas, no dictaminar un impacto el medio ambiente, no saber cómo se gasta el Erario Público, eso fue la lucha de la justicia hídrica y hoy, sí</w:t>
      </w:r>
      <w:r w:rsidR="00AB0E1B" w:rsidRPr="006E437B">
        <w:rPr>
          <w:rFonts w:ascii="Times New Roman" w:hAnsi="Times New Roman" w:cs="Times New Roman"/>
          <w:sz w:val="24"/>
          <w:szCs w:val="24"/>
        </w:rPr>
        <w:t xml:space="preserve">, sí </w:t>
      </w:r>
      <w:r w:rsidRPr="006E437B">
        <w:rPr>
          <w:rFonts w:ascii="Times New Roman" w:hAnsi="Times New Roman" w:cs="Times New Roman"/>
          <w:sz w:val="24"/>
          <w:szCs w:val="24"/>
        </w:rPr>
        <w:t>tenemos reconocido al menos 100 litros de agua limpia para todos los habitantes de Ecatepec y en este proceso se nos ha acusado de todo, actos anticipados de campaña y déjenme decirles algo, sí, sí hemos hecho una campaña permanente, desde el 2020 hasta la fecha, pero hemos hecho una campaña por pelear de un agua limpia para todas y todos en el Municipio de Ecatepec y ahora para los 17 millones del Estado de México.</w:t>
      </w:r>
    </w:p>
    <w:p w:rsidR="0096696E"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La Corte ya dijo, 100 litros de agua limpia es lo mínimo que puede recibir un habitante y mencionemos a la Alcaldesa de Ecatepec, que cuando dio una conferencia dijo que se requieren 7 mil millones de pesos para garantizar ese derecho humano y que eso es carísimo, que es el presupuesto anual de Ecatepec y tiene la razón es carísimo ¿</w:t>
      </w:r>
      <w:r w:rsidR="00A67514" w:rsidRPr="006E437B">
        <w:rPr>
          <w:rFonts w:ascii="Times New Roman" w:hAnsi="Times New Roman" w:cs="Times New Roman"/>
          <w:sz w:val="24"/>
          <w:szCs w:val="24"/>
        </w:rPr>
        <w:t xml:space="preserve">Pero </w:t>
      </w:r>
      <w:r w:rsidRPr="006E437B">
        <w:rPr>
          <w:rFonts w:ascii="Times New Roman" w:hAnsi="Times New Roman" w:cs="Times New Roman"/>
          <w:sz w:val="24"/>
          <w:szCs w:val="24"/>
        </w:rPr>
        <w:t>saben qué es más caro? Que una persona no tenga agua ni para bañarse, que las escuelas tengan agua contaminada, que los abuelitos no puedan tener un tema de tener tranquilidad en sus casas, eso sí es caro, la dignidad de las personas no tiene precio, porque lo más caro es dar agua puerca y que al rato tengamos una población altamente enferma, la indiferencia eso sí es caro.</w:t>
      </w:r>
    </w:p>
    <w:p w:rsidR="0096696E"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eso</w:t>
      </w:r>
      <w:r w:rsidR="00A67514" w:rsidRPr="006E437B">
        <w:rPr>
          <w:rFonts w:ascii="Times New Roman" w:hAnsi="Times New Roman" w:cs="Times New Roman"/>
          <w:sz w:val="24"/>
          <w:szCs w:val="24"/>
        </w:rPr>
        <w:t>,</w:t>
      </w:r>
      <w:r w:rsidRPr="006E437B">
        <w:rPr>
          <w:rFonts w:ascii="Times New Roman" w:hAnsi="Times New Roman" w:cs="Times New Roman"/>
          <w:sz w:val="24"/>
          <w:szCs w:val="24"/>
        </w:rPr>
        <w:t xml:space="preserve"> hoy no vengo a pedirles que inventemos algo, vengo a pedirles que tomemos la sentencia de Ecatepec y la hagamos ley para todo el Estado de México, que lo que hoy es un amparo para 806 personas de 38 colonias, mañana sea un derecho para los 17 millones de mexiquenses.</w:t>
      </w:r>
    </w:p>
    <w:p w:rsidR="00907F50" w:rsidRPr="006E437B" w:rsidRDefault="0096696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Les propongo desde el Partido Verde Ecologista, se adicione un último párrafo del artículo 75 y un tercer párrafo del artículo 159 de la Ley de Agua del Estado de México y Municipios y se legisle la ley que le llamamos, 100 litros de agua limpia para ca</w:t>
      </w:r>
      <w:r w:rsidR="00497903" w:rsidRPr="006E437B">
        <w:rPr>
          <w:rFonts w:ascii="Times New Roman" w:hAnsi="Times New Roman" w:cs="Times New Roman"/>
          <w:sz w:val="24"/>
          <w:szCs w:val="24"/>
        </w:rPr>
        <w:t xml:space="preserve">da habitante </w:t>
      </w:r>
      <w:r w:rsidR="00907F50" w:rsidRPr="006E437B">
        <w:rPr>
          <w:rFonts w:ascii="Times New Roman" w:hAnsi="Times New Roman" w:cs="Times New Roman"/>
          <w:sz w:val="24"/>
          <w:szCs w:val="24"/>
        </w:rPr>
        <w:t>e</w:t>
      </w:r>
      <w:r w:rsidR="00907F50" w:rsidRPr="006E437B">
        <w:rPr>
          <w:rFonts w:ascii="Times New Roman" w:hAnsi="Times New Roman" w:cs="Times New Roman"/>
          <w:sz w:val="24"/>
          <w:szCs w:val="24"/>
          <w:lang w:bidi="en-US"/>
        </w:rPr>
        <w:t>n el Estado de México</w:t>
      </w:r>
      <w:r w:rsidR="001837C1" w:rsidRPr="006E437B">
        <w:rPr>
          <w:rFonts w:ascii="Times New Roman" w:hAnsi="Times New Roman" w:cs="Times New Roman"/>
          <w:sz w:val="24"/>
          <w:szCs w:val="24"/>
          <w:lang w:bidi="en-US"/>
        </w:rPr>
        <w:t>,</w:t>
      </w:r>
      <w:r w:rsidR="00907F50" w:rsidRPr="006E437B">
        <w:rPr>
          <w:rFonts w:ascii="Times New Roman" w:hAnsi="Times New Roman" w:cs="Times New Roman"/>
          <w:sz w:val="24"/>
          <w:szCs w:val="24"/>
          <w:lang w:bidi="en-US"/>
        </w:rPr>
        <w:t xml:space="preserve"> tomemos como base los efectos ya de una sentencia nacional.</w:t>
      </w:r>
    </w:p>
    <w:p w:rsidR="00665271"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Ecatepec ya nos abrió la puerta, nos dijo que sí se puede exigir, nos dijo que el tan</w:t>
      </w:r>
      <w:r w:rsidR="001837C1" w:rsidRPr="006E437B">
        <w:rPr>
          <w:rFonts w:ascii="Times New Roman" w:hAnsi="Times New Roman" w:cs="Times New Roman"/>
          <w:sz w:val="24"/>
          <w:szCs w:val="24"/>
          <w:lang w:bidi="en-US"/>
        </w:rPr>
        <w:t>d</w:t>
      </w:r>
      <w:r w:rsidRPr="006E437B">
        <w:rPr>
          <w:rFonts w:ascii="Times New Roman" w:hAnsi="Times New Roman" w:cs="Times New Roman"/>
          <w:sz w:val="24"/>
          <w:szCs w:val="24"/>
          <w:lang w:bidi="en-US"/>
        </w:rPr>
        <w:t xml:space="preserve">eo y la pipa no son política pública, eso ya es una omisión, no esperemos a que cada colonia tenga que ampararse durante </w:t>
      </w:r>
      <w:r w:rsidR="00E850BD" w:rsidRPr="006E437B">
        <w:rPr>
          <w:rFonts w:ascii="Times New Roman" w:hAnsi="Times New Roman" w:cs="Times New Roman"/>
          <w:sz w:val="24"/>
          <w:szCs w:val="24"/>
          <w:lang w:bidi="en-US"/>
        </w:rPr>
        <w:t>6</w:t>
      </w:r>
      <w:r w:rsidRPr="006E437B">
        <w:rPr>
          <w:rFonts w:ascii="Times New Roman" w:hAnsi="Times New Roman" w:cs="Times New Roman"/>
          <w:sz w:val="24"/>
          <w:szCs w:val="24"/>
          <w:lang w:bidi="en-US"/>
        </w:rPr>
        <w:t xml:space="preserve"> años para tener agua limpia en sus casas, hagamos lo que la Corte ya ordenó</w:t>
      </w:r>
      <w:r w:rsidR="00E850BD"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garantizar al mínimo cien litros de agua limpia para cada habitante, porque el agua no llega sola, llega con presupuesto, con capacidad y con mucha voluntad</w:t>
      </w:r>
      <w:r w:rsidR="00E850BD"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pero sobre todo llega cuando entendemos que el agua no es un favor, es una obligación dar un servicio público y ese es un derecho humano, parte de nuestra vida, que Ecatepec no sea la excepción, que sea el principio de tener agua para todo el Estado de México</w:t>
      </w:r>
      <w:r w:rsidR="00E850BD" w:rsidRPr="006E437B">
        <w:rPr>
          <w:rFonts w:ascii="Times New Roman" w:hAnsi="Times New Roman" w:cs="Times New Roman"/>
          <w:sz w:val="24"/>
          <w:szCs w:val="24"/>
          <w:lang w:bidi="en-US"/>
        </w:rPr>
        <w:t>.</w:t>
      </w:r>
    </w:p>
    <w:p w:rsidR="00907F50" w:rsidRPr="006E437B" w:rsidRDefault="00E850BD"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Es </w:t>
      </w:r>
      <w:r w:rsidR="00907F50" w:rsidRPr="006E437B">
        <w:rPr>
          <w:rFonts w:ascii="Times New Roman" w:hAnsi="Times New Roman" w:cs="Times New Roman"/>
          <w:sz w:val="24"/>
          <w:szCs w:val="24"/>
          <w:lang w:bidi="en-US"/>
        </w:rPr>
        <w:t>cuanto.</w:t>
      </w:r>
    </w:p>
    <w:p w:rsidR="00665271" w:rsidRPr="006E437B" w:rsidRDefault="00665271" w:rsidP="00141629">
      <w:pPr>
        <w:pStyle w:val="Sinespaciado"/>
        <w:jc w:val="both"/>
        <w:rPr>
          <w:rFonts w:ascii="Times New Roman" w:hAnsi="Times New Roman" w:cs="Times New Roman"/>
          <w:sz w:val="24"/>
          <w:szCs w:val="24"/>
          <w:lang w:bidi="en-US"/>
        </w:rPr>
      </w:pPr>
    </w:p>
    <w:p w:rsidR="00665271" w:rsidRPr="006E437B" w:rsidRDefault="00665271"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665271" w:rsidRPr="006E437B" w:rsidRDefault="00665271" w:rsidP="00141629">
      <w:pPr>
        <w:pStyle w:val="Sinespaciado"/>
        <w:jc w:val="both"/>
        <w:rPr>
          <w:rFonts w:ascii="Times New Roman" w:hAnsi="Times New Roman" w:cs="Times New Roman"/>
          <w:sz w:val="24"/>
          <w:szCs w:val="24"/>
        </w:rPr>
      </w:pPr>
    </w:p>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“2026. Año del Humanismo Mexicano en el Estado de México”.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right"/>
        <w:rPr>
          <w:rFonts w:ascii="Times New Roman" w:hAnsi="Times New Roman" w:cs="Times New Roman"/>
          <w:sz w:val="24"/>
          <w:szCs w:val="24"/>
        </w:rPr>
      </w:pPr>
      <w:r w:rsidRPr="006E437B">
        <w:rPr>
          <w:rFonts w:ascii="Times New Roman" w:hAnsi="Times New Roman" w:cs="Times New Roman"/>
          <w:sz w:val="24"/>
          <w:szCs w:val="24"/>
        </w:rPr>
        <w:t>Toluca de Lerdo, Estado de México, a __ de __de 2026.</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DIP. VLADIMIR HERNÁNDEZ VILLEGAS</w:t>
      </w: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PRESIDENTE DE LA MESA DIRECTIVA</w:t>
      </w: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LXII LEGISLATURA DEL H. PODER LEGISLATIVO</w:t>
      </w: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DEL ESTADO LIBRE Y SOBERANO DE MÉXICO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P R E S E N T E</w:t>
      </w: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Honorable Asamblea: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Quienes suscriben, </w:t>
      </w:r>
      <w:r w:rsidRPr="006E437B">
        <w:rPr>
          <w:rFonts w:ascii="Times New Roman"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6E437B">
        <w:rPr>
          <w:rFonts w:ascii="Times New Roman" w:hAnsi="Times New Roman" w:cs="Times New Roman"/>
          <w:sz w:val="24"/>
          <w:szCs w:val="24"/>
        </w:rPr>
        <w:t>y</w:t>
      </w:r>
      <w:r w:rsidRPr="006E437B">
        <w:rPr>
          <w:rFonts w:ascii="Times New Roman" w:hAnsi="Times New Roman" w:cs="Times New Roman"/>
          <w:b/>
          <w:sz w:val="24"/>
          <w:szCs w:val="24"/>
        </w:rPr>
        <w:t xml:space="preserve"> MIRIAM SILVA MATA, </w:t>
      </w:r>
      <w:r w:rsidRPr="006E437B">
        <w:rPr>
          <w:rFonts w:ascii="Times New Roman" w:hAnsi="Times New Roman" w:cs="Times New Roman"/>
          <w:sz w:val="24"/>
          <w:szCs w:val="24"/>
        </w:rPr>
        <w:t xml:space="preserve">diputadas y diputados integrantes del </w:t>
      </w:r>
      <w:r w:rsidRPr="006E437B">
        <w:rPr>
          <w:rFonts w:ascii="Times New Roman" w:hAnsi="Times New Roman" w:cs="Times New Roman"/>
          <w:b/>
          <w:sz w:val="24"/>
          <w:szCs w:val="24"/>
        </w:rPr>
        <w:t>GRUPO PARLAMENTARIO DEL PARTIDO VERDE ECOLOGISTA DE MÉXICO</w:t>
      </w:r>
      <w:r w:rsidRPr="006E437B">
        <w:rPr>
          <w:rFonts w:ascii="Times New Roman" w:hAnsi="Times New Roman" w:cs="Times New Roman"/>
          <w:sz w:val="24"/>
          <w:szCs w:val="24"/>
        </w:rPr>
        <w:t xml:space="preserve"> en la LXII Legislatura del Estado de México, con fundamento en lo dispuesto por los artículos 51, fracción II, y 61, fracción I, de la Constitución Política del Estado Libre y Soberano de México; 38, fracción II, 28, fracción I, de la Ley Orgánica del Poder Legislativo del Estado Libre y Soberano de México, sometemos a la consideración de este Órgano legislativo la siguiente </w:t>
      </w:r>
      <w:r w:rsidRPr="006E437B">
        <w:rPr>
          <w:rFonts w:ascii="Times New Roman" w:hAnsi="Times New Roman" w:cs="Times New Roman"/>
          <w:b/>
          <w:sz w:val="24"/>
          <w:szCs w:val="24"/>
        </w:rPr>
        <w:t xml:space="preserve">INICIATIVA CON PROYECTO DE DECRETO POR EL QUE SE ADICIONA UN ÚLTIMO PÁRRAFO AL ARTÍCULO 75 Y UN TERCER PÁRRAFO AL ARTÍCULO 159, DE LA LEY DEL AGUA PARA EL ESTADO DE MÉXICO Y MUNICIPIOS, PARA GARANTIZAR EL SUMINISTRO DE, POR LO MENOS, 100 LITROS DE AGUA POR PERSONA AL DÍA, </w:t>
      </w:r>
      <w:r w:rsidRPr="006E437B">
        <w:rPr>
          <w:rFonts w:ascii="Times New Roman" w:hAnsi="Times New Roman" w:cs="Times New Roman"/>
          <w:sz w:val="24"/>
          <w:szCs w:val="24"/>
        </w:rPr>
        <w:t>con sustento en la siguiente:</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EXPOSICIÓN DE MOTIVOS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agua es uno de los recursos más importantes del planeta, pues representa la vida misma, y constituye un elemento indispensable para la supervivencia de los seres humanos, los ecosistemas y el desarrollo de las actividades económicas y sociales. Su disponibilidad y gestión sostenible son fundamentales para garantizar la salud, la seguridad alimentaria, la preservación del medio ambiente y el bienestar de las generaciones presentes y futuras.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 pesar de su importancia vital, el acceso al agua se ha convertido en un privilegio para muchas familias mexiquenses. Esta problemática obedece a diversos factores, entre ellos el estrés hídrico, el deterioro y la falta de mantenimiento de la infraestructura hidráulica, el uso ineficiente y desperdicio del recurso, así como la creciente demanda derivada de las actividades domésticas, agrícolas e industriales. Es un problema de tipo multifactorial que afecta a toda la población, pero que recae con mayor intensidad sobre los más vulnerables que tienen más dificultades de acceder de forma suficiente a este recurso indispensable para la vida.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acceso al agua potable constituye uno de los mayores desafíos que enfrenta la comunidad internacional. De acuerdo con la Organización de las Naciones Unidas,</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 xml:space="preserve"> alrededor de 2,200 millones de personas carece de acceso a servicios de agua potable gestionados de forma segura, mientras que 3,500 millones aún no cuentan con servicios de saneamiento que garanticen seguridad.</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disponibilidad del recurso hídrico también enfrenta una presión creciente. La Organización Mundial de la Salud estima que más de 2,000 millones de personas viven en países con estrés hídrico, fenómeno que se agravará como consecuencia del cambio climático, el crecimiento demográfico y el incremento en la demanda de agua. En el mismo sentido, la FAO señala que aproximadamente el 10% de la población mundial habita en países con un nivel alto o crítico de estrés hídrico. Mientras tanto, el 72% de las extracciones de agua dulce se destinan a la agricultura. Esto refleja la necesidad de fortalecer estrategias para un uso más eficiente y sostenible del recurso.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0"/>
          <w:szCs w:val="24"/>
        </w:rPr>
      </w:pPr>
      <w:r w:rsidRPr="006E437B">
        <w:rPr>
          <w:rFonts w:ascii="Times New Roman" w:hAnsi="Times New Roman" w:cs="Times New Roman"/>
          <w:sz w:val="20"/>
          <w:szCs w:val="24"/>
          <w:vertAlign w:val="superscript"/>
        </w:rPr>
        <w:t>1</w:t>
      </w:r>
      <w:r w:rsidRPr="006E437B">
        <w:rPr>
          <w:rFonts w:ascii="Times New Roman" w:hAnsi="Times New Roman" w:cs="Times New Roman"/>
          <w:sz w:val="20"/>
          <w:szCs w:val="24"/>
        </w:rPr>
        <w:t xml:space="preserve"> ONU, agua. Disponible en: </w:t>
      </w:r>
      <w:hyperlink r:id="rId28" w:history="1">
        <w:r w:rsidRPr="006E437B">
          <w:rPr>
            <w:rStyle w:val="Hipervnculo"/>
            <w:rFonts w:ascii="Times New Roman" w:hAnsi="Times New Roman" w:cs="Times New Roman"/>
            <w:color w:val="auto"/>
            <w:sz w:val="20"/>
            <w:szCs w:val="24"/>
          </w:rPr>
          <w:t>https://www.un.org/es/global-issues/water</w:t>
        </w:r>
      </w:hyperlink>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 esta problemática se suma el deterioro en la calidad del agua. En 2022, al menos 1,700 millones de personas consumían agua potable contaminada, situación que representa el principal riesgo microbiológico para la seguridad del recurso destinado al consumo humano. Esta contaminación favorece la propagación de enfermedades como diarrea, cólera, disentería, fiebre tifoidea y poliomielitis, y se estima que provoca aproximadamente 505 mil muertes por diarrea cada año. Asimismo, el 44% de las aguas residuales domésticas no recibe un tratamiento adecuado y cerca del 80% de esas generadas en el mundo regresan a los ecosistemas sin ser tratadas ni reutilizadas, con graves consecuencias para la salud pública y el equilibrio ambiental.</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Las repercusiones de esta crisis trascienden el ámbito sanitario. El Banco Mundial señala que los desastres relacionados con el agua han sido los fenómenos naturales más frecuentes durante los últimos cincuenta años y concentran el 70% de las muertes ocasionadas por este tipo de eventos. En contraste, la Organización Mundial de la Salud</w:t>
      </w:r>
      <w:r w:rsidRPr="006E437B">
        <w:rPr>
          <w:rFonts w:ascii="Times New Roman" w:hAnsi="Times New Roman" w:cs="Times New Roman"/>
          <w:sz w:val="24"/>
          <w:szCs w:val="24"/>
          <w:vertAlign w:val="superscript"/>
        </w:rPr>
        <w:t>2</w:t>
      </w:r>
      <w:r w:rsidRPr="006E437B">
        <w:rPr>
          <w:rFonts w:ascii="Times New Roman" w:hAnsi="Times New Roman" w:cs="Times New Roman"/>
          <w:b/>
          <w:sz w:val="24"/>
          <w:szCs w:val="24"/>
          <w:vertAlign w:val="superscript"/>
        </w:rPr>
        <w:t xml:space="preserve"> </w:t>
      </w:r>
      <w:r w:rsidRPr="006E437B">
        <w:rPr>
          <w:rFonts w:ascii="Times New Roman" w:hAnsi="Times New Roman" w:cs="Times New Roman"/>
          <w:sz w:val="24"/>
          <w:szCs w:val="24"/>
        </w:rPr>
        <w:t>estima que mejorar el acceso al agua potable, al saneamiento y a la higiene permitiría salvar la vida de aproximadamente 1.4 millones de personas cada año. También evitaría la muerte diaria de alrededor de mil niñas y niños menores de cinco años.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México, la situación no es más favorable, según datos de la UNICEF,</w:t>
      </w:r>
      <w:r w:rsidRPr="006E437B">
        <w:rPr>
          <w:rFonts w:ascii="Times New Roman" w:hAnsi="Times New Roman" w:cs="Times New Roman"/>
          <w:sz w:val="24"/>
          <w:szCs w:val="24"/>
          <w:vertAlign w:val="superscript"/>
        </w:rPr>
        <w:t>3</w:t>
      </w:r>
      <w:r w:rsidRPr="006E437B">
        <w:rPr>
          <w:rFonts w:ascii="Times New Roman" w:hAnsi="Times New Roman" w:cs="Times New Roman"/>
          <w:sz w:val="24"/>
          <w:szCs w:val="24"/>
        </w:rPr>
        <w:t xml:space="preserve"> el país enfrenta una creciente presión sobre sus recursos hídricos que compromete la disponibilidad de agua para las generaciones presentes y futuras. Si bien, durante las últimas décadas, el país ha logrado ampliar la cobertura de agua entubada, al pasar de 78.4% en 1990 a 96.1% en 2020, este avance no se ha traducido en un acceso continuo y suficiente. Actualmente, únicamente el 56.3% de la población dispone de agua entubada de manera diaria, situación que evidencia importantes deficiencias en el suministro y una marcada desigualdad territorial. Mientras que en algunas entidades la cobertura diaria alcanza niveles cercanos a la universalidad, como ocurre en Nuevo León, en otras, como Guerrero, apenas una minoría de la población recibe el servicio de forma continua.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2</w:t>
      </w:r>
      <w:r w:rsidRPr="006E437B">
        <w:rPr>
          <w:rFonts w:ascii="Times New Roman" w:eastAsiaTheme="minorEastAsia" w:hAnsi="Times New Roman" w:cs="Times New Roman"/>
          <w:sz w:val="20"/>
          <w:szCs w:val="24"/>
        </w:rPr>
        <w:t xml:space="preserve"> OMS, agua potable, 2023. Disponible en: https://www.who.int/news-room/fact-sheets/detail/drinkingwater</w:t>
      </w:r>
    </w:p>
    <w:p w:rsidR="000D1BE2" w:rsidRPr="006E437B" w:rsidRDefault="000D1BE2"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3</w:t>
      </w:r>
      <w:r w:rsidRPr="006E437B">
        <w:rPr>
          <w:rFonts w:ascii="Times New Roman" w:eastAsiaTheme="minorEastAsia" w:hAnsi="Times New Roman" w:cs="Times New Roman"/>
          <w:sz w:val="20"/>
          <w:szCs w:val="24"/>
        </w:rPr>
        <w:t xml:space="preserve"> INICEF México, Agua, higiene y saneamiento. Disponible en: https://www.unicef.org/mexico/aguahigiene-y-saneamiento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disponibilidad del recurso también se encuentra seriamente comprometida. México ocupa el lugar 26 entre los países con mayor estrés hídrico en el mundo y registra un índice de 45.48%, lo que significa que se extrae casi la mitad del agua dulce disponible cada año. Este nivel rebasa el umbral internacional considerado de alto riesgo y pone en evidencia la necesidad de adoptar medidas que garanticen un aprovechamiento sostenible del recurso. A ello se suma una disminución constante en la disponibilidad anual de agua por habitante, que pasó de aproximadamente 10 mil metros cúbicos en 1960 a cerca de 4 mil en 2012, con estimaciones que prevén un descenso por debajo de los 3 mil metros cúbicos para 2030.</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cambio climático ha profundizado esta problemática. Más de la mitad del territorio nacional presenta condiciones áridas o semiáridas y las sequías han incrementado su frecuencia, intensidad y duración durante la última década. Tan solo en 2021 se registraron 8,491 eventos de sequía, de los cuales el 97% correspondieron a categorías severa o extrema. Paralelamente, la distribución de las lluvias es desigual. Cerca del 67% de la precipitación anual ocurre entre junio y septiembre. La mitad se concentra en la región sur-sureste. Mientras tanto, entidades como la Ciudad de México y el Estado de México han registrado una disminución en sus niveles de precipitación. Estas condiciones han provocado que las regiones centro y norte del país enfrenten periodos recurrentes de escasez de agua y que millones de personas, se encuentren expuestas tanto a sequías como a inundaciones y otros fenómenos hidrometeorológicos.</w:t>
      </w:r>
      <w:r w:rsidRPr="006E437B">
        <w:rPr>
          <w:rFonts w:ascii="Times New Roman" w:hAnsi="Times New Roman" w:cs="Times New Roman"/>
          <w:sz w:val="24"/>
          <w:szCs w:val="24"/>
          <w:vertAlign w:val="superscript"/>
        </w:rPr>
        <w:t>4</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presión sobre el recurso hídrico también responde a la forma en la que se distribuye su aprovechamiento. El sector agropecuario concentra el 76% del volumen total de agua concesionada, seguido del abastecimiento público con el 15%, la industria autoabastecida con el 5% y las centrales termoeléctricas con el 4%. Esta demanda exige fortalecer las políticas de eficiencia, conservación y reutilización del agua para garantizar el equilibrio entre las actividades productivas y el consumo humano.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eastAsia="Calibri" w:hAnsi="Times New Roman" w:cs="Times New Roman"/>
          <w:sz w:val="20"/>
          <w:szCs w:val="20"/>
        </w:rPr>
      </w:pPr>
      <w:r w:rsidRPr="006E437B">
        <w:rPr>
          <w:rFonts w:ascii="Times New Roman" w:eastAsia="Calibri" w:hAnsi="Times New Roman" w:cs="Times New Roman"/>
          <w:sz w:val="20"/>
          <w:szCs w:val="20"/>
          <w:vertAlign w:val="superscript"/>
        </w:rPr>
        <w:t>4</w:t>
      </w:r>
      <w:r w:rsidRPr="006E437B">
        <w:rPr>
          <w:rFonts w:ascii="Times New Roman" w:eastAsia="Calibri" w:hAnsi="Times New Roman" w:cs="Times New Roman"/>
          <w:sz w:val="20"/>
          <w:szCs w:val="20"/>
        </w:rPr>
        <w:t xml:space="preserve"> CENTRO DE INVESTIGAIÓN EN POLÍTICA PÚBLICA, Situación del agua en México, 2023. Disponible en: </w:t>
      </w:r>
      <w:hyperlink r:id="rId29" w:history="1">
        <w:r w:rsidRPr="006E437B">
          <w:rPr>
            <w:rStyle w:val="Hipervnculo"/>
            <w:rFonts w:ascii="Times New Roman" w:eastAsia="Calibri" w:hAnsi="Times New Roman" w:cs="Times New Roman"/>
            <w:color w:val="auto"/>
            <w:sz w:val="20"/>
            <w:szCs w:val="20"/>
          </w:rPr>
          <w:t>https://imco.org.mx/situacion-del-agua-en-mexico/</w:t>
        </w:r>
      </w:hyperlink>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 los problemas de disponibilidad se suman importantes retos relacionados con la calidad del agua. En México, el 60% del agua potable proviene de fuentes superficiales, las cuales presentan altos niveles de contaminación derivados de descargas domésticas, industriales, agrícolas y pecuarias que, en muchos casos, se realizan sin tratamiento previo. Por su parte, los acuíferos enfrentan un deterioro progresivo: el 18% presenta sobreexplotación, mientras que otros registran problemas de salinización e intrusión marina, fenómenos que reducen la calidad del agua, incrementan los costos de extracción y generan afectaciones como hundimientos del suelo.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El saneamiento constituye otro desafío relevante. Aunque el 95.2% de la población cuenta con acceso a alcantarillado, únicamente el 89.2% dispone de servicios de saneamiento adecuados, es decir, sistemas capaces de conducir y tratar correctamente las aguas residuales. Esta diferencia representa millones de personas cuyos desechos continúan contaminando el entorno y elevando los riesgos para la salud pública.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Este panorama evidencia que la problemática del agua en México trasciende la disponibilidad física del recurso. Se trata de un desafío que involucra la gestión integral del agua, la modernización de la infraestructura hidráulica, la protección de las fuentes de abastecimiento, el fortalecimiento de los sistemas de saneamiento y la adaptación frente a los efectos del cambio climático.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Estado de México, según datos del Plan de Desarrollo 2023-2029,</w:t>
      </w:r>
      <w:r w:rsidRPr="006E437B">
        <w:rPr>
          <w:rFonts w:ascii="Times New Roman" w:hAnsi="Times New Roman" w:cs="Times New Roman"/>
          <w:sz w:val="24"/>
          <w:szCs w:val="24"/>
          <w:vertAlign w:val="superscript"/>
        </w:rPr>
        <w:t>5</w:t>
      </w:r>
      <w:r w:rsidRPr="006E437B">
        <w:rPr>
          <w:rFonts w:ascii="Times New Roman" w:hAnsi="Times New Roman" w:cs="Times New Roman"/>
          <w:sz w:val="24"/>
          <w:szCs w:val="24"/>
        </w:rPr>
        <w:t xml:space="preserve"> enfrenta una creciente crisis hídrica derivada del aumento en la demanda de agua, la gestión ineficiente del recurso, el uso agrícola poco sostenible, el tratamiento insuficiente de aguas residuales y la disminución en la recarga de los acuíferos. Esta situación ha comprometido la disponibilidad y calidad del agua para la población.</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eastAsia="Calibri" w:hAnsi="Times New Roman" w:cs="Times New Roman"/>
          <w:sz w:val="20"/>
          <w:szCs w:val="24"/>
        </w:rPr>
      </w:pPr>
      <w:r w:rsidRPr="006E437B">
        <w:rPr>
          <w:rFonts w:ascii="Times New Roman" w:eastAsia="Calibri" w:hAnsi="Times New Roman" w:cs="Times New Roman"/>
          <w:sz w:val="20"/>
          <w:szCs w:val="24"/>
          <w:vertAlign w:val="superscript"/>
        </w:rPr>
        <w:t>5</w:t>
      </w:r>
      <w:r w:rsidRPr="006E437B">
        <w:rPr>
          <w:rFonts w:ascii="Times New Roman" w:eastAsia="Calibri" w:hAnsi="Times New Roman" w:cs="Times New Roman"/>
          <w:sz w:val="20"/>
          <w:szCs w:val="24"/>
        </w:rPr>
        <w:t xml:space="preserve"> Plan de Desarrollo del Estado de México 2023-2029. Disponible en: </w:t>
      </w:r>
      <w:hyperlink r:id="rId30" w:history="1">
        <w:r w:rsidRPr="006E437B">
          <w:rPr>
            <w:rStyle w:val="Hipervnculo"/>
            <w:rFonts w:ascii="Times New Roman" w:eastAsia="Calibri" w:hAnsi="Times New Roman" w:cs="Times New Roman"/>
            <w:color w:val="auto"/>
            <w:sz w:val="20"/>
            <w:szCs w:val="24"/>
          </w:rPr>
          <w:t>https://transparenciafiscal.edomex.gob.mx/plan-desarrollo-2023-2029</w:t>
        </w:r>
      </w:hyperlink>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Aunque la entidad concentra el 1.05% del agua dulce renovable del país, equivalente a 4,786 hm³, su disponibilidad es de apenas 268 m³ por habitante al año, menos de la mitad del promedio nacional de 549 m³, lo que la ubica en el penúltimo lugar del país, únicamente por encima de la Ciudad de México. La problemática es más evidente en las zonas metropolitanas de Toluca y del Valle de México, donde municipios como Ecatepec, Nezahualcóyotl, Toluca, Naucalpan y Tlalnepantla enfrentan un abastecimiento cada vez más limitado.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reducción de las precipitaciones y el incremento de las sequías han agravado este panorama. En 2022, el 87% de los municipios presentó algún grado de sequía. Mientras que las principales presas del Sistema Cutzamala permanecen desde ese año por debajo del 50% de su capacidad. Esto redujo el caudal de abastecimiento de 14.8 a 8.2 m3 por segundo a inicios de 2024.</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 esta situación se suma la sobreexplotación de los acuíferos, de los cuales depende cerca del 40% del suministro estatal. Seis de los nueve acuíferos del Estado de México presentan niveles de extracción superiores a su capacidad de recarga natural, destacando los de Texcoco y Valle de Toluca, cuya explotación compromete la disponibilidad futura del recurso y pone en riesgo el abastecimiento de millones de mexiquenses.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este contexto, el marco normativo, tanto internacional como nacional, ha buscado establecer las directrices legales mínimas a fin de buscar subsanar estas problemáticas. Primeramente, la Observación General No. 15 del Comité de Derechos Económicos, Sociales y Culturales reconoce el agua como un derecho humano indispensable para una vida digna y establece que toda persona debe contar con agua suficiente, salubre, aceptable, físicamente accesible y asequible para satisfacer sus necesidades personales y domésticas. Asimismo, señala que los Estados tienen la obligación de garantizar este derecho sin discriminación, protegiendo los recursos hídricos y asegurando su disponibilidad para las generaciones presentes y futuras.</w:t>
      </w:r>
      <w:r w:rsidRPr="006E437B">
        <w:rPr>
          <w:rFonts w:ascii="Times New Roman" w:hAnsi="Times New Roman" w:cs="Times New Roman"/>
          <w:sz w:val="24"/>
          <w:szCs w:val="24"/>
          <w:vertAlign w:val="superscript"/>
        </w:rPr>
        <w:t>6</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igual manera, el derecho humano al agua se encuentra reconocido en el artículo 4o. de la Constitución Política de los Estados Unidos Mexicanos, el cual establece que toda persona tiene derecho al acceso, disposición y saneamiento de agua para consumo personal y doméstico en forma suficiente, salubre, aceptable y asequible. Asimismo, dispone que la ley definirá las bases y modalidades para garantizar el acceso y uso equitativo y sustentable de los recursos hídricos, con la participación de la Federación, las entidades federativas, los municipios y la ciudadanía.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la mano a esta prerrogativa, la Ley General de Aguas reglamenta el derecho humano al agua, estableciendo las competencias de los distintos órdenes de gobierno y fija las bases para su acceso y aprovechamiento sustentable. Además, en su artículo 9 prevé que los organismos operadores no podrán suspender totalmente el suministro de agua potable ni el servicio de saneamiento por falta de pago, debiendo garantizar, en todo caso, la cantidad mínima indispensable para el consumo humano básico.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Por su parte, la Constitución Política del Estado Libre y Soberano de México, en su artículo 18, reconoce que toda persona tiene derecho al acceso y disposición de agua suficiente, salubre y asequible para consumo personal y doméstico, y establece que la ley determinará las bases y modalidades para el ejercicio de este derecho, así como la obligación de la ciudadanía de procurar su cuidado y uso racional.</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Asimismo, la Ley del Agua para el Estado de México y Municipios es la legislación garante de este derecho fundamental en la entidad, la misma que tiene por objeto normar la explotación, uso, aprovechamiento, administración, control y suministro de las aguas de jurisdicción estatal y municipal y sus bienes inherentes, para la prestación de los servicios de agua potable, drenaje y alcantarillado, saneamiento, y tratamiento de aguas residuales, su reúso y disposición final.</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vertAlign w:val="superscript"/>
        </w:rPr>
        <w:t>6</w:t>
      </w:r>
      <w:r w:rsidRPr="006E437B">
        <w:rPr>
          <w:rFonts w:ascii="Times New Roman" w:hAnsi="Times New Roman" w:cs="Times New Roman"/>
          <w:sz w:val="20"/>
          <w:szCs w:val="24"/>
        </w:rPr>
        <w:t xml:space="preserve"> OBSERVACIÓN GENERAL N° 15: ELDERCHO ALAGUA (ARTÍCULOS 11 Y12 DEL PACTO INTERNACIONAL DE DERECHOS ECONÓMICOS, SOCIALES Y CULTURALES).</w:t>
      </w:r>
    </w:p>
    <w:p w:rsidR="000D1BE2" w:rsidRPr="006E437B" w:rsidRDefault="000D1BE2" w:rsidP="00141629">
      <w:pPr>
        <w:pStyle w:val="Sinespaciado"/>
        <w:jc w:val="both"/>
        <w:rPr>
          <w:rFonts w:ascii="Times New Roman" w:hAnsi="Times New Roman" w:cs="Times New Roman"/>
          <w:sz w:val="20"/>
          <w:szCs w:val="24"/>
        </w:rPr>
      </w:pPr>
      <w:r w:rsidRPr="006E437B">
        <w:rPr>
          <w:rFonts w:ascii="Times New Roman" w:hAnsi="Times New Roman" w:cs="Times New Roman"/>
          <w:sz w:val="20"/>
          <w:szCs w:val="24"/>
        </w:rPr>
        <w:t>Disponible en: https://aguaysaneamietno.cndh.org.mx/Content/doc/Normatividad/Observacion15_DESC.pdf</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 importante destacar que una de las características esenciales de los derechos humanos es su universalidad, lo que implica que corresponden a todas las personas, sin distinción alguna, y que su ejercicio no puede condicionarse arbitrariamente. En consecuencia, el derecho humano al agua debe garantizarse de manera efectiva, aun cuando existan circunstancias como el incumplimiento en el pago del servicio. Si bien el Estado y los organismos operadores pueden establecer mecanismos para recuperar los adeudos, estos no pueden traducirse en la privación absoluta del acceso al agua, pues ello comprometería la satisfacción de necesidades básicas y la protección de otros derechos fundamentales, como la vida, la salud y la dignidad humana.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este sentido, diversos estándares nacionales e internacionales reconocen que, aun en casos de morosidad, debe preservarse un suministro mínimo indispensable para garantizar el derecho humano al agua y al saneamiento. La Organización Mundial de la Salud (OMS), en el documento Cantidad de agua doméstica, nivel de servicio y salud, señala que el abastecimiento diario puede clasificarse en distintos niveles, considerando un mínimo de 20 litros por persona al día, cantidad que únicamente permite atender necesidades básicas y cuya insuficiencia puede comprometer el ejercicio de otros derechos humanos; un nivel intermedio de 50 litros por persona al día, suficiente para satisfacer las necesidades esenciales de consumo e higiene; y un nivel óptimo de 100 litros diarios por persona.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Este criterio ha sido retomado por la Suprema Corte de Justicia de la Nación. En la jurisprudencia de rubro "Servicio concesionado de agua potable, saneamiento, drenaje y/o alcantarillado para uso doméstico" La medida cautelar concedida contra su suspensión procede sin exigir requisito de efectividad alguno, para el efecto de que se otorgue el mínimo vital". Se determinó que, cuando el servicio sea suspendido totalmente, procede conceder la suspensión para que se restablezca un suministro suficiente que garantice la satisfacción de las necesidades vitales de las personas.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igual forma, la Segunda Sala de la Suprema Corte resolvió la jurisprudencia sobre el "Servicio de suministro de agua potable para uso doméstico". "La suspensión provisional o definitiva otorgada contra el corte de tal servicio, cuando se pretenda la restitución no restringida de este, debe condicionarse a que el quejoso garantice su pago", sostuvo que la falta de pago no justifica la interrupción absoluta del suministro. Por el contrario, consideró que una medida válida para incentivar el cumplimiento de las obligaciones de pago consiste en reducir el suministro únicamente hasta el nivel necesario para garantizar el mínimo vital, reservando la restitución plena del servicio a la garantía del pago correspondiente. La Suprema Corte reconoce que, incluso ante un adeudo, el acceso al agua indispensable para la subsistencia no puede ser suprimido. Solo puede ser restringido de manera compatible con la protección del derecho humano al agua.</w:t>
      </w:r>
    </w:p>
    <w:p w:rsidR="000D1BE2" w:rsidRPr="006E437B" w:rsidRDefault="000D1BE2" w:rsidP="00141629">
      <w:pPr>
        <w:pStyle w:val="Sinespaciado"/>
        <w:jc w:val="both"/>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 de suma importancia destacar que el Gobierno de México publicó el documento Elementos para la armonización normativa en las entidades federativas conforme a la Ley General de Aguas, en el cual retoma los criterios emitidos por la Organización Mundial de la Salud (OMS) y los criterios referidos. En este documento se recomienda garantizar el acceso al agua, como mínimo, en un nivel intermedio, equivalente a 50 litros por persona al día, cantidad suficiente para satisfacer las necesidades esenciales de consumo, higiene y saneamiento. Asimismo, identifica un nivel óptimo de 100 litros diarios por persona, el cual supone un suministro continuo e inmediato mediante múltiples puntos de acceso dentro de la vivienda.</w:t>
      </w:r>
    </w:p>
    <w:p w:rsidR="000D1BE2" w:rsidRPr="006E437B" w:rsidRDefault="000D1BE2" w:rsidP="00141629">
      <w:pPr>
        <w:pStyle w:val="Sinespaciado"/>
        <w:jc w:val="both"/>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este contexto, la presente iniciativa propone incorporar expresamente en la legislación estatal el parámetro mínimo de 100 litros diarios por persona. El propósito es garantizar el contenido esencial del derecho humano al agua, particularmente en aquellos casos en los que el suministro sea objeto de restricción por falta de pago.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 imperativo señalar que la Ley del Agua para el Estado de México y Municipios, en su artículo 159, ya prevé que, cuando existan dos o más periodos de adeudo debidamente notificados, el suministro de agua potable podrá restringirse hasta en un 75%. Sin embargo, dicha disposición no establece un volumen mínimo que deba garantizarse para preservar el derecho humano al agua. Por ello, resulta necesario fortalecer este precepto incorporando los parámetros técnicos e internacionales reconocidos por la Organización Mundial de la Salud. Esto es necesario a fin de asegurar que, aun en los supuestos de restricción del servicio, toda persona cuente con el mínimo indispensable de agua para satisfacer sus necesidades básicas. Esto debe hacerse en concordancia con los estándares internacionales y los criterios emitidos por la Suprema Corte de Justicia de la Nación.</w:t>
      </w:r>
    </w:p>
    <w:p w:rsidR="000D1BE2" w:rsidRPr="006E437B" w:rsidRDefault="000D1BE2" w:rsidP="00141629">
      <w:pPr>
        <w:pStyle w:val="Sinespaciado"/>
        <w:jc w:val="both"/>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Un antecedente en la materia se encuentra en la legislación de la Ciudad de México. El artículo 61 Bis de su ley en materia de agua faculta al Sistema de Aguas para determinar, caso por caso, la suspensión o restricción del servicio de agua potable por falta de pago; sin embargo, aun en estos supuestos, garantiza el suministro mínimo indispensable para satisfacer las necesidades básicas de la población, equivalente a 50 litros de agua por persona al día, mediante carros tanque, hidrantes provisionales o públicos, o vales para garrafones de agua potable. Este modelo reconoce que la recuperación de los adeudos no puede traducirse en la privación absoluta del derecho humano al agua.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Además, en el Estado de Querétaro, su Ley que Regula la Prestación de los Servicios de Agua Potable, Alcantarillado y Saneamiento constituye otro referente de derecho comparado en la materia. Dicho ordenamiento dispone que, cuando se limite el servicio de agua potable a usuarios domésticos por falta de pago, deberá garantizarse en todo momento el suministro continuo para cubrir las necesidades básicas de las personas, asegurando una dotación mínima de 50 litros de agua por persona al día, la misma que deberá ser proporcionada por el prestador del servicio. La constitucionalidad de esta disposición fue analizada por el Pleno de la Suprema Corte de Justicia de la Nación al resolver el 21 de abril de 2025 la Acción de Inconstitucionalidad 102/2024,</w:t>
      </w:r>
      <w:r w:rsidRPr="006E437B">
        <w:rPr>
          <w:rFonts w:ascii="Times New Roman" w:hAnsi="Times New Roman" w:cs="Times New Roman"/>
          <w:sz w:val="24"/>
          <w:szCs w:val="24"/>
          <w:vertAlign w:val="superscript"/>
        </w:rPr>
        <w:t>7</w:t>
      </w:r>
      <w:r w:rsidRPr="006E437B">
        <w:rPr>
          <w:rFonts w:ascii="Times New Roman" w:hAnsi="Times New Roman" w:cs="Times New Roman"/>
          <w:sz w:val="24"/>
          <w:szCs w:val="24"/>
        </w:rPr>
        <w:t xml:space="preserve"> en contra de los artículos 74 y 75 de dicho ordenamiento. En esa resolución, la Suprema Corte declaró infundada la acción y reconoció la validez de las disposiciones impugnadas, al concluir que la posibilidad de limitar el servicio por falta de pago, garantizando un suministro mínimo de 50 litros diarios por persona, no vulnera el derecho humano al agua. Por el contrario, estimó que esa medida satisface las garantías de disponibilidad y accesibilidad del derecho al agua, al asegurar el volumen indispensable para cubrir las necesidades básicas de las personas, sin impedir que los prestadores del servicio ejerzan las acciones correspondientes para el cobro de los adeudos.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7</w:t>
      </w:r>
      <w:r w:rsidRPr="006E437B">
        <w:rPr>
          <w:rFonts w:ascii="Times New Roman" w:eastAsiaTheme="minorEastAsia" w:hAnsi="Times New Roman" w:cs="Times New Roman"/>
          <w:sz w:val="20"/>
          <w:szCs w:val="24"/>
        </w:rPr>
        <w:t xml:space="preserve"> Disponible en: </w:t>
      </w:r>
      <w:hyperlink r:id="rId31" w:history="1">
        <w:r w:rsidRPr="006E437B">
          <w:rPr>
            <w:rStyle w:val="Hipervnculo"/>
            <w:rFonts w:ascii="Times New Roman" w:hAnsi="Times New Roman" w:cs="Times New Roman"/>
            <w:color w:val="auto"/>
            <w:sz w:val="20"/>
            <w:szCs w:val="24"/>
          </w:rPr>
          <w:t>https://www2.scjn.gob.mx/juridica/engroses/3/2024/19/3_334416_7137_firmado.pdf</w:t>
        </w:r>
      </w:hyperlink>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ese sentido, este precedente de la Corte confirma que es constitucionalmente válido establecer en la legislación local un volumen mínimo de suministro para proteger el contenido esencial del derecho humano al agua, aun en los casos de restricción del servicio por falta de pago. Por ello, la presente iniciativa retoma ese modelo normativo, armonizándolo con los estándares de la Organización Mundial de la Salud y con la interpretación constitucional realizada por el Máximo Tribunal del país.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Asimismo, resulta de suma importancia destacar que la misma Corte, el pasado 24 de agosto de 2026, resolvió los Amparos en Revisión 13/2026 y 14/2026, así como el Recurso de Inconformidad 1/2026. Estos asuntos derivaron de dos juicios de amparo promovidos en 2021 por cientos de personas habitantes de diversas colonias de la Quinta Zona de Ecatepec de Morelos. Ellos denunciaron la falta de suministro suficiente de agua a través de la red pública, la distribución inequitativa del servicio, la ausencia de acciones eficaces para reparar fugas y combatir las tomas clandestinas, así como diversas omisiones relacionadas con la infraestructura hidráulica.</w:t>
      </w:r>
      <w:r w:rsidRPr="006E437B">
        <w:rPr>
          <w:rFonts w:ascii="Times New Roman" w:hAnsi="Times New Roman" w:cs="Times New Roman"/>
          <w:sz w:val="24"/>
          <w:szCs w:val="24"/>
          <w:vertAlign w:val="superscript"/>
        </w:rPr>
        <w:t>8</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la sentencia, la Suprema Corte reconoció que las personas habitantes de diversas colonias de la Quinta Zona de Ecatepec de Morelos cuentan con interés legítimo para reclamar las omisiones de las autoridades federales, estatales y municipales relacionadas con la garantía de su derecho humano al agua. Asimismo, destacó que este municipio presenta condiciones de pobreza y rezago social, así como la existencia de asentamientos irregulares, y que se encuentra catalogado como Zona de Atención Prioritaria.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autoSpaceDE w:val="0"/>
        <w:autoSpaceDN w:val="0"/>
        <w:adjustRightInd w:val="0"/>
        <w:spacing w:after="0" w:line="240" w:lineRule="auto"/>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8</w:t>
      </w:r>
      <w:r w:rsidRPr="006E437B">
        <w:rPr>
          <w:rFonts w:ascii="Times New Roman" w:eastAsiaTheme="minorEastAsia" w:hAnsi="Times New Roman" w:cs="Times New Roman"/>
          <w:sz w:val="20"/>
          <w:szCs w:val="24"/>
        </w:rPr>
        <w:t xml:space="preserve"> SCJN, La Suprema Corte garantiza el derecho al agua en Ecatepec, Estado de México, y valida la reforma sobre la asignación de regidurías en Quintana Roo, 2026. Disponible en: https://www.internet2.scjn.gob.mx/red2/comunicados/comunicado.asp?id=8541</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Como parte de los efectos de la sentencia, la Corte ordenó a las autoridades responsables garantizar de inmediato el suministro suficiente de agua potable para uso personal y doméstico, preferentemente mediante la red hidráulica. Cuando ello no sea materialmente posible, el abastecimiento deberá realizarse mediante pipas u otros medios idóneos que aseguren el mínimo vital de 100 litros diarios por persona, con registros verificables de entrega y bajo supervisión sanitaria para garantizar la calidad del agua.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igual manera, la Suprema Corte ordenó al organismo operador del agua de Ecatepec implementar un programa de infraestructura hidráulica encaminado a corregir las deficiencias estructurales del sistema de agua potable. Para tal efecto, dispuso que las autoridades municipales, estatales y federales coordinen acciones de carácter técnico, administrativo y presupuestal destinadas a fortalecer la infraestructura hidráulica y garantizar, de manera progresiva y sostenible, el acceso al agua en la zona afectada.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Finalmente, la Suprema Corte estableció que el suministro de agua mediante pipas, por sí solo, no acredita el cumplimiento de una sentencia de amparo. Las autoridades deben demostrar objetivamente tanto la cantidad de agua efectivamente suministrada, como su calidad. En consecuencia, corresponde a los órganos jurisdiccionales verificar que las medidas ordenadas en las sentencias se materialicen de manera efectiva y que resulten idóneas para garantizar el derecho humano al agua, y no se limiten a la adopción de medidas meramente formales o paliativas.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consecuencia, la experiencia legislativa de estas entidades, así como los criterios de la SCJN del país, demuestran que es jurídica y operativamente viable armonizar la legislación con la protección efectiva del derecho humano al agua.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Es preciso referir que, aun cuando el marco jurídico nacional y estatal contempla diversas disposiciones encaminadas a garantizar el derecho humano al agua, la realidad demuestra que miles de personas enfrentan diariamente dificultades para acceder a un suministro suficiente, continuo y de calidad. Factores como la escasez hídrica, la infraestructura deficiente, la desigualdad en la prestación del servicio y las restricciones derivadas de la falta de pago evidencian la necesidad de fortalecer las medidas normativas que aseguren el contenido esencial de este derecho.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Por ello, la presente iniciativa retoma el modelo normativo referido para incorporar en la legislación del Estado de México un parámetro que garantice, aun en los casos de restricción del servicio por falta de pago, el suministro mínimo indispensable de 100 litros diarios por persona, conforme a los estándares reconocidos por la Organización Mundial de la Salud y la Suprema Corte de Justicia de la Nación. Para ello, se propone adicionar un último párrafo a los artículos 75 y 159 de la Ley del Agua para el Estado de México y Municipios, con el objeto de incorporar expresamente que el prestador de los servicios de agua deberá garantizar en todo momento el suministro continuo de, por lo menos, cien litros diarios por persona. Con estas adiciones se armoniza la legislación estatal con el contenido del derecho humano al agua reconocido en el artículo 4.º de la Constitución Política de los Estados Unidos Mexicanos, los estándares internacionales en la materia y los criterios emitidos por la Suprema Corte de Justicia de la Nación.</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Además, los artículos transitorios prevén un plazo para que el Poder Ejecutivo del Estado, los ayuntamientos y los organismos operadores realicen las adecuaciones reglamentarias y administrativas necesarias para su implementación, y disponen que las acciones derivadas de su cumplimiento se lleven a cabo con cargo a los recursos aprobados en sus respectivos presupuestos, sin generar ampliaciones presupuestarias para el ejercicio fiscal correspondiente. Asimismo, se dispone que, en tanto se emitan las adecuaciones reglamentarias y administrativas a que se refiere el presente Decreto, los prestadores de los servicios deberán garantizar el suministro mínimo de cien litros diarios por persona previsto en el Decreto.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En el Grupo Parlamentario del Partido Verde Ecologista de México consideramos que el acceso al agua constituye un derecho humano indispensable para la vida, la salud y la dignidad de las personas, cuyo contenido esencial debe garantizarse en todo momento. En ese sentido, considera que las medidas para incentivar el pago del servicio no pueden traducirse en la privación absoluta del acceso al agua para uso doméstico. Por lo tanto, resulta necesario incorporar en la legislación estatal este principio. Esto asegura un suministro continuo de al menos cien litros diarios por persona, en armonía con los estándares internacionales, los criterios de la Suprema Corte de Justicia de la Nación y la protección efectiva del derecho humano al agua.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Con la intención de contar con mayores elementos para facilitar la comprensión de las modificaciones planteadas en la presente iniciativa, se hace un estudio comparativo entre el texto de la norma vigente y el que la reforma propone modificar, como se muestra a continuación:</w:t>
      </w:r>
    </w:p>
    <w:p w:rsidR="000D1BE2" w:rsidRPr="006E437B" w:rsidRDefault="000D1BE2" w:rsidP="00141629">
      <w:pPr>
        <w:pStyle w:val="Sinespaciado"/>
        <w:rPr>
          <w:rFonts w:ascii="Times New Roman" w:hAnsi="Times New Roman" w:cs="Times New Roman"/>
          <w:sz w:val="24"/>
          <w:szCs w:val="24"/>
        </w:rPr>
      </w:pPr>
    </w:p>
    <w:tbl>
      <w:tblPr>
        <w:tblStyle w:val="TableGrid"/>
        <w:tblW w:w="9350" w:type="dxa"/>
        <w:jc w:val="center"/>
        <w:tblInd w:w="0" w:type="dxa"/>
        <w:tblCellMar>
          <w:left w:w="106" w:type="dxa"/>
          <w:right w:w="49" w:type="dxa"/>
        </w:tblCellMar>
        <w:tblLook w:val="04A0" w:firstRow="1" w:lastRow="0" w:firstColumn="1" w:lastColumn="0" w:noHBand="0" w:noVBand="1"/>
      </w:tblPr>
      <w:tblGrid>
        <w:gridCol w:w="4675"/>
        <w:gridCol w:w="4675"/>
      </w:tblGrid>
      <w:tr w:rsidR="000D1BE2" w:rsidRPr="006E437B" w:rsidTr="00590764">
        <w:trPr>
          <w:trHeight w:val="20"/>
          <w:jc w:val="center"/>
        </w:trPr>
        <w:tc>
          <w:tcPr>
            <w:tcW w:w="9350" w:type="dxa"/>
            <w:gridSpan w:val="2"/>
            <w:tcBorders>
              <w:top w:val="nil"/>
              <w:left w:val="nil"/>
              <w:bottom w:val="nil"/>
              <w:right w:val="nil"/>
            </w:tcBorders>
            <w:shd w:val="clear" w:color="auto" w:fill="BFBFBF"/>
          </w:tcPr>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LEY DEL AGUA PARA EL ESTADO DE MÉXICO Y MUNICIPIOS</w:t>
            </w:r>
          </w:p>
        </w:tc>
      </w:tr>
      <w:tr w:rsidR="000D1BE2" w:rsidRPr="006E437B" w:rsidTr="00590764">
        <w:trPr>
          <w:trHeight w:val="20"/>
          <w:jc w:val="center"/>
        </w:trPr>
        <w:tc>
          <w:tcPr>
            <w:tcW w:w="4675" w:type="dxa"/>
            <w:tcBorders>
              <w:top w:val="nil"/>
              <w:left w:val="single" w:sz="4" w:space="0" w:color="BFBFBF"/>
              <w:bottom w:val="single" w:sz="4" w:space="0" w:color="BFBFBF"/>
              <w:right w:val="single" w:sz="4" w:space="0" w:color="BFBFBF"/>
            </w:tcBorders>
            <w:shd w:val="clear" w:color="auto" w:fill="D9D9D9"/>
          </w:tcPr>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LEY VIGENTE</w:t>
            </w:r>
          </w:p>
        </w:tc>
        <w:tc>
          <w:tcPr>
            <w:tcW w:w="4675" w:type="dxa"/>
            <w:tcBorders>
              <w:top w:val="nil"/>
              <w:left w:val="single" w:sz="4" w:space="0" w:color="BFBFBF"/>
              <w:bottom w:val="single" w:sz="4" w:space="0" w:color="BFBFBF"/>
              <w:right w:val="single" w:sz="4" w:space="0" w:color="BFBFBF"/>
            </w:tcBorders>
            <w:shd w:val="clear" w:color="auto" w:fill="D9D9D9"/>
          </w:tcPr>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INICIATIVA</w:t>
            </w:r>
          </w:p>
        </w:tc>
      </w:tr>
      <w:tr w:rsidR="000D1BE2" w:rsidRPr="006E437B" w:rsidTr="00590764">
        <w:trPr>
          <w:trHeight w:val="20"/>
          <w:jc w:val="center"/>
        </w:trPr>
        <w:tc>
          <w:tcPr>
            <w:tcW w:w="4675" w:type="dxa"/>
            <w:tcBorders>
              <w:top w:val="single" w:sz="4" w:space="0" w:color="BFBFBF"/>
              <w:left w:val="single" w:sz="4" w:space="0" w:color="BFBFBF"/>
              <w:bottom w:val="nil"/>
              <w:right w:val="single" w:sz="4" w:space="0" w:color="BFBFBF"/>
            </w:tcBorders>
          </w:tcPr>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75.- </w:t>
            </w:r>
            <w:r w:rsidRPr="006E437B">
              <w:rPr>
                <w:rFonts w:ascii="Times New Roman" w:hAnsi="Times New Roman" w:cs="Times New Roman"/>
                <w:sz w:val="24"/>
                <w:szCs w:val="24"/>
              </w:rPr>
              <w:t>El prestador del servicio de agua potable organismo operador podrá restringir o suspender el servicio, sin responsabilidad a su cargo, cuando:</w:t>
            </w:r>
          </w:p>
        </w:tc>
        <w:tc>
          <w:tcPr>
            <w:tcW w:w="4675" w:type="dxa"/>
            <w:tcBorders>
              <w:top w:val="single" w:sz="4" w:space="0" w:color="BFBFBF"/>
              <w:left w:val="single" w:sz="4" w:space="0" w:color="BFBFBF"/>
              <w:bottom w:val="nil"/>
              <w:right w:val="single" w:sz="4" w:space="0" w:color="BFBFBF"/>
            </w:tcBorders>
          </w:tcPr>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 xml:space="preserve">Artículo 75.- </w:t>
            </w:r>
            <w:r w:rsidRPr="006E437B">
              <w:rPr>
                <w:rFonts w:ascii="Times New Roman" w:hAnsi="Times New Roman" w:cs="Times New Roman"/>
                <w:sz w:val="24"/>
                <w:szCs w:val="24"/>
              </w:rPr>
              <w:t>…</w:t>
            </w:r>
          </w:p>
        </w:tc>
      </w:tr>
      <w:tr w:rsidR="000D1BE2" w:rsidRPr="006E437B" w:rsidTr="00E17E9F">
        <w:trPr>
          <w:trHeight w:val="20"/>
          <w:jc w:val="center"/>
        </w:trPr>
        <w:tc>
          <w:tcPr>
            <w:tcW w:w="4675" w:type="dxa"/>
            <w:tcBorders>
              <w:top w:val="nil"/>
              <w:left w:val="single" w:sz="4" w:space="0" w:color="BFBFBF"/>
              <w:bottom w:val="nil"/>
              <w:right w:val="single" w:sz="4" w:space="0" w:color="BFBFBF"/>
            </w:tcBorders>
          </w:tcPr>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I. a III. …</w:t>
            </w:r>
          </w:p>
          <w:p w:rsidR="000D1BE2" w:rsidRPr="006E437B" w:rsidRDefault="000D1BE2" w:rsidP="00141629">
            <w:pPr>
              <w:pStyle w:val="Sinespaciado"/>
              <w:rPr>
                <w:rFonts w:ascii="Times New Roman" w:hAnsi="Times New Roman" w:cs="Times New Roman"/>
                <w:sz w:val="24"/>
                <w:szCs w:val="24"/>
              </w:rPr>
            </w:pPr>
          </w:p>
        </w:tc>
        <w:tc>
          <w:tcPr>
            <w:tcW w:w="4675" w:type="dxa"/>
            <w:tcBorders>
              <w:top w:val="nil"/>
              <w:left w:val="single" w:sz="4" w:space="0" w:color="BFBFBF"/>
              <w:bottom w:val="nil"/>
              <w:right w:val="single" w:sz="4" w:space="0" w:color="BFBFBF"/>
            </w:tcBorders>
            <w:vAlign w:val="center"/>
          </w:tcPr>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I. a III. …</w:t>
            </w:r>
          </w:p>
        </w:tc>
      </w:tr>
      <w:tr w:rsidR="000D1BE2" w:rsidRPr="006E437B" w:rsidTr="00590764">
        <w:trPr>
          <w:trHeight w:val="20"/>
          <w:jc w:val="center"/>
        </w:trPr>
        <w:tc>
          <w:tcPr>
            <w:tcW w:w="4675" w:type="dxa"/>
            <w:tcBorders>
              <w:top w:val="nil"/>
              <w:left w:val="single" w:sz="4" w:space="0" w:color="BFBFBF"/>
              <w:bottom w:val="single" w:sz="4" w:space="0" w:color="BFBFBF"/>
              <w:right w:val="single" w:sz="4" w:space="0" w:color="BFBFBF"/>
            </w:tcBorders>
          </w:tcPr>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Sin correlativo</w:t>
            </w:r>
          </w:p>
        </w:tc>
        <w:tc>
          <w:tcPr>
            <w:tcW w:w="4675" w:type="dxa"/>
            <w:tcBorders>
              <w:top w:val="nil"/>
              <w:left w:val="single" w:sz="4" w:space="0" w:color="BFBFBF"/>
              <w:bottom w:val="single" w:sz="4" w:space="0" w:color="BFBFBF"/>
              <w:right w:val="single" w:sz="4" w:space="0" w:color="BFBFBF"/>
            </w:tcBorders>
          </w:tcPr>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En el caso de restricción o suspensión del servicio de agua potable de uso doméstico, se garantizará el servicio de suministro continuo para necesidades básicas, considerando por lo menos cien litros al día por persona, cuya dotación será proporcionada por el prestador de los servicios.</w:t>
            </w:r>
          </w:p>
          <w:p w:rsidR="000D1BE2" w:rsidRPr="006E437B" w:rsidRDefault="000D1BE2" w:rsidP="00141629">
            <w:pPr>
              <w:pStyle w:val="Sinespaciado"/>
              <w:rPr>
                <w:rFonts w:ascii="Times New Roman" w:hAnsi="Times New Roman" w:cs="Times New Roman"/>
                <w:sz w:val="24"/>
                <w:szCs w:val="24"/>
              </w:rPr>
            </w:pPr>
          </w:p>
        </w:tc>
      </w:tr>
      <w:tr w:rsidR="000D1BE2" w:rsidRPr="006E437B" w:rsidTr="00590764">
        <w:trPr>
          <w:trHeight w:val="20"/>
          <w:jc w:val="center"/>
        </w:trPr>
        <w:tc>
          <w:tcPr>
            <w:tcW w:w="4675" w:type="dxa"/>
            <w:tcBorders>
              <w:top w:val="single" w:sz="4" w:space="0" w:color="BFBFBF"/>
              <w:left w:val="single" w:sz="4" w:space="0" w:color="BFBFBF"/>
              <w:bottom w:val="nil"/>
              <w:right w:val="single" w:sz="4" w:space="0" w:color="BFBFBF"/>
            </w:tcBorders>
          </w:tcPr>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159</w:t>
            </w:r>
            <w:r w:rsidRPr="006E437B">
              <w:rPr>
                <w:rFonts w:ascii="Times New Roman" w:hAnsi="Times New Roman" w:cs="Times New Roman"/>
                <w:sz w:val="24"/>
                <w:szCs w:val="24"/>
              </w:rPr>
              <w:t>.- Las infracciones que procedan en los términos de los artículos anteriores serán independientes de las relativas a la restricción del servicio o a las que procedan por la responsabilidad penal que resulte.</w:t>
            </w:r>
          </w:p>
        </w:tc>
        <w:tc>
          <w:tcPr>
            <w:tcW w:w="4675" w:type="dxa"/>
            <w:tcBorders>
              <w:top w:val="single" w:sz="4" w:space="0" w:color="BFBFBF"/>
              <w:left w:val="single" w:sz="4" w:space="0" w:color="BFBFBF"/>
              <w:bottom w:val="nil"/>
              <w:right w:val="single" w:sz="4" w:space="0" w:color="BFBFBF"/>
            </w:tcBorders>
          </w:tcPr>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Artículo 159</w:t>
            </w:r>
            <w:r w:rsidRPr="006E437B">
              <w:rPr>
                <w:rFonts w:ascii="Times New Roman" w:hAnsi="Times New Roman" w:cs="Times New Roman"/>
                <w:sz w:val="24"/>
                <w:szCs w:val="24"/>
              </w:rPr>
              <w:t>.- …</w:t>
            </w:r>
          </w:p>
        </w:tc>
      </w:tr>
      <w:tr w:rsidR="000D1BE2" w:rsidRPr="006E437B" w:rsidTr="00590764">
        <w:trPr>
          <w:trHeight w:val="20"/>
          <w:jc w:val="center"/>
        </w:trPr>
        <w:tc>
          <w:tcPr>
            <w:tcW w:w="4675" w:type="dxa"/>
            <w:tcBorders>
              <w:top w:val="nil"/>
              <w:left w:val="single" w:sz="4" w:space="0" w:color="BFBFBF"/>
              <w:bottom w:val="nil"/>
              <w:right w:val="single" w:sz="4" w:space="0" w:color="BFBFBF"/>
            </w:tcBorders>
          </w:tcPr>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restricción en el suministro de agua potable se hará hasta en un 75%, por la falta de pago de dos o más períodos debidamente notificados o por incurrir en alguno de los supuestos del artículo 155 de esta Ley, procediendo el restablecimiento del servicio una vez que hayan sido cubiertos los créditos fiscales a cargo del usuario, subsanadas las irregularidades y cubiertos los gastos originados por motivo de la restricción, con independencia de otra u otras responsabilidades en que pudiera incurrir el infractor.</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Sin correlativo</w:t>
            </w:r>
          </w:p>
        </w:tc>
        <w:tc>
          <w:tcPr>
            <w:tcW w:w="4675" w:type="dxa"/>
            <w:tcBorders>
              <w:top w:val="nil"/>
              <w:left w:val="single" w:sz="4" w:space="0" w:color="BFBFBF"/>
              <w:bottom w:val="nil"/>
              <w:right w:val="single" w:sz="4" w:space="0" w:color="BFBFBF"/>
            </w:tcBorders>
          </w:tcPr>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En ningún caso la restricción del servicio de agua potable destinado al uso doméstico podrá impedir el acceso al volumen indispensable para satisfacer las necesidades básicas de las personas. El prestador de los servicios garantizará el suministro continuo de, por lo menos, cien litros diarios por persona, mediante los mecanismos que resulten necesarios para asegurar su acceso efectivo.</w:t>
            </w:r>
          </w:p>
          <w:p w:rsidR="000D1BE2" w:rsidRPr="006E437B" w:rsidRDefault="000D1BE2" w:rsidP="00141629">
            <w:pPr>
              <w:pStyle w:val="Sinespaciado"/>
              <w:rPr>
                <w:rFonts w:ascii="Times New Roman" w:hAnsi="Times New Roman" w:cs="Times New Roman"/>
                <w:sz w:val="24"/>
                <w:szCs w:val="24"/>
              </w:rPr>
            </w:pPr>
          </w:p>
        </w:tc>
      </w:tr>
    </w:tbl>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6E437B">
        <w:rPr>
          <w:rFonts w:ascii="Times New Roman" w:hAnsi="Times New Roman" w:cs="Times New Roman"/>
          <w:b/>
          <w:sz w:val="24"/>
          <w:szCs w:val="24"/>
        </w:rPr>
        <w:t>INICIATIVA CON PROYECTO DE DECRETO POR LA QUE SE ADICIONA UN ÚLTIMO PÁRRAFO AL ARTÍCULO 75 Y UN TERCER PÁRRAFO AL ARTÍCULO 159 DE LA LEY DEL AGUA PARA EL ESTADO DE MÉXICO Y MUNICIPIOS, PARA GARANTIZAR EL SUMINISTRO DE, POR LO MENOS, 100 LITROS DE AGUA POR PERSONA AL DÍA.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b/>
          <w:sz w:val="24"/>
          <w:szCs w:val="24"/>
        </w:rPr>
        <w:t>A T E N T A M E N T E</w:t>
      </w:r>
    </w:p>
    <w:p w:rsidR="000D1BE2" w:rsidRPr="006E437B" w:rsidRDefault="000D1BE2" w:rsidP="00141629">
      <w:pPr>
        <w:pStyle w:val="Sinespaciado"/>
        <w:jc w:val="center"/>
        <w:rPr>
          <w:rFonts w:ascii="Times New Roman" w:hAnsi="Times New Roman" w:cs="Times New Roman"/>
          <w:sz w:val="24"/>
          <w:szCs w:val="24"/>
        </w:rPr>
      </w:pPr>
    </w:p>
    <w:p w:rsidR="000D1BE2" w:rsidRPr="006E437B" w:rsidRDefault="000D1BE2"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DIP. JOSÉ ALBERTO COUTTOLENC BUENTELLO</w:t>
      </w:r>
    </w:p>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COORDINADOR DEL GRUPO PARLAMENTARIO DEL</w:t>
      </w:r>
    </w:p>
    <w:p w:rsidR="000D1BE2" w:rsidRPr="006E437B" w:rsidRDefault="000D1BE2"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PARTIDO VERDE ECOLOGISTA DE MÉXICO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DECRETO NÚMERO ____</w:t>
      </w:r>
    </w:p>
    <w:p w:rsidR="000D1BE2" w:rsidRPr="006E437B" w:rsidRDefault="000D1BE2"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LA LXII LEGISLATURA DEL ESTADO DE MÉXICO</w:t>
      </w: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DECRETA: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ÚNICO.</w:t>
      </w:r>
      <w:r w:rsidRPr="006E437B">
        <w:rPr>
          <w:rFonts w:ascii="Times New Roman" w:hAnsi="Times New Roman" w:cs="Times New Roman"/>
          <w:sz w:val="24"/>
          <w:szCs w:val="24"/>
        </w:rPr>
        <w:t xml:space="preserve"> Se adiciona un último párrafo al artículo 75 y un tercer párrafo al artículo 159 de la Ley del Agua para el Estado de México y Municipios, para quedar como sigue:</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LEY DEL AGUA PARA EL ESTADO DE MÉXICO Y MUNICIPIOS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 xml:space="preserve">Artículo 75.- </w:t>
      </w:r>
      <w:r w:rsidRPr="006E437B">
        <w:rPr>
          <w:rFonts w:ascii="Times New Roman" w:hAnsi="Times New Roman" w:cs="Times New Roman"/>
          <w:sz w:val="24"/>
          <w:szCs w:val="24"/>
        </w:rPr>
        <w:t>…</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I. a III. …</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En el caso de restricción o suspensión del servicio de agua potable de uso doméstico, se garantizará el servicio de suministro continuo para necesidades básicas, considerando por lo menos cien litros al día por persona, cuya dotación será proporcionada por el prestador de los servicios.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b/>
          <w:sz w:val="24"/>
          <w:szCs w:val="24"/>
        </w:rPr>
        <w:t>Artículo 159.-</w:t>
      </w:r>
      <w:r w:rsidRPr="006E437B">
        <w:rPr>
          <w:rFonts w:ascii="Times New Roman" w:hAnsi="Times New Roman" w:cs="Times New Roman"/>
          <w:sz w:val="24"/>
          <w:szCs w:val="24"/>
        </w:rPr>
        <w:t xml:space="preserve"> …</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En ningún caso la restricción del servicio de agua potable destinado al uso doméstico podrá impedir el acceso al volumen indispensable para satisfacer las necesidades básicas de las personas. El prestador de los servicios garantizará el suministro continuo de, por lo menos, cien litros diarios por persona, mediante los mecanismos que resulten necesarios para asegurar su acceso efectivo.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center"/>
        <w:rPr>
          <w:rFonts w:ascii="Times New Roman" w:hAnsi="Times New Roman" w:cs="Times New Roman"/>
          <w:b/>
          <w:sz w:val="24"/>
          <w:szCs w:val="24"/>
        </w:rPr>
      </w:pPr>
      <w:r w:rsidRPr="006E437B">
        <w:rPr>
          <w:rFonts w:ascii="Times New Roman" w:hAnsi="Times New Roman" w:cs="Times New Roman"/>
          <w:b/>
          <w:sz w:val="24"/>
          <w:szCs w:val="24"/>
        </w:rPr>
        <w:t>T R A N S I T O R I O 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PRIMERO. </w:t>
      </w:r>
      <w:r w:rsidRPr="006E437B">
        <w:rPr>
          <w:rFonts w:ascii="Times New Roman" w:hAnsi="Times New Roman" w:cs="Times New Roman"/>
          <w:sz w:val="24"/>
          <w:szCs w:val="24"/>
        </w:rPr>
        <w:t>Publíquese el presente Decreto en el Periódico Oficial “Gaceta del Gobierno” del Estado de México.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SEGUNDO. </w:t>
      </w:r>
      <w:r w:rsidRPr="006E437B">
        <w:rPr>
          <w:rFonts w:ascii="Times New Roman" w:hAnsi="Times New Roman" w:cs="Times New Roman"/>
          <w:sz w:val="24"/>
          <w:szCs w:val="24"/>
        </w:rPr>
        <w:t>El presente Decreto entrará en vigor el día siguiente de su publicación en el Periódico Oficial “Gaceta del Gobierno” del Estado de México.</w:t>
      </w:r>
    </w:p>
    <w:p w:rsidR="000D1BE2" w:rsidRPr="006E437B" w:rsidRDefault="000D1BE2"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 xml:space="preserve"> </w:t>
      </w: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TERCERO. </w:t>
      </w:r>
      <w:r w:rsidRPr="006E437B">
        <w:rPr>
          <w:rFonts w:ascii="Times New Roman" w:hAnsi="Times New Roman" w:cs="Times New Roman"/>
          <w:sz w:val="24"/>
          <w:szCs w:val="24"/>
        </w:rPr>
        <w:t>La persona titular del Poder Ejecutivo del Estado, por conducto de las dependencias competentes, realizará las adecuaciones reglamentarias que resulten necesarias para el debido cumplimiento del presente Decreto, dentro de los ciento ochenta días naturales siguientes a su entrada en vigor.</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CUARTO. </w:t>
      </w:r>
      <w:r w:rsidRPr="006E437B">
        <w:rPr>
          <w:rFonts w:ascii="Times New Roman" w:hAnsi="Times New Roman" w:cs="Times New Roman"/>
          <w:sz w:val="24"/>
          <w:szCs w:val="24"/>
        </w:rPr>
        <w:t>Los ayuntamientos y los organismos operadores de los servicios de agua potable, alcantarillado y saneamiento, en el ámbito de sus respectivas competencias, emitirán o adecuarán las disposiciones administrativas, lineamientos, protocolos y demás instrumentos necesarios para garantizar el suministro mínimo previsto en el presente Decreto, dentro de los noventa días naturales siguientes a su entrada en vigor.</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QUINTO. </w:t>
      </w:r>
      <w:r w:rsidRPr="006E437B">
        <w:rPr>
          <w:rFonts w:ascii="Times New Roman" w:hAnsi="Times New Roman" w:cs="Times New Roman"/>
          <w:sz w:val="24"/>
          <w:szCs w:val="24"/>
        </w:rPr>
        <w:t>El Ejecutivo del Estado, los municipios y los organismos operadores llevarán a cabo las acciones administrativas, técnicas, operativas y presupuestales necesarias para el cumplimiento del presente Decreto.</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SEXTO. </w:t>
      </w:r>
      <w:r w:rsidRPr="006E437B">
        <w:rPr>
          <w:rFonts w:ascii="Times New Roman" w:hAnsi="Times New Roman" w:cs="Times New Roman"/>
          <w:sz w:val="24"/>
          <w:szCs w:val="24"/>
        </w:rPr>
        <w:t>En tanto se emitan las adecuaciones reglamentarias y administrativas a que se refiere el presente Decreto, los prestadores de los servicios deberán garantizar el suministro mínimo de cien litros diarios por persona previsto en los artículos 75 y 159 de la Ley del Agua para el Estado de México y Municipios.</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b/>
          <w:sz w:val="24"/>
          <w:szCs w:val="24"/>
        </w:rPr>
        <w:t>ARTÍCULO SÉPTIMO</w:t>
      </w:r>
      <w:r w:rsidRPr="006E437B">
        <w:rPr>
          <w:rFonts w:ascii="Times New Roman" w:hAnsi="Times New Roman" w:cs="Times New Roman"/>
          <w:sz w:val="24"/>
          <w:szCs w:val="24"/>
        </w:rPr>
        <w:t>. Las disposiciones jurídicas, reglamentarias y administrativas que se opongan al presente Decreto quedarán sin efecto en lo conducente.</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La persona titular del Poder Ejecutivo lo tendrá por entendido, haciendo que se publique y se cumpla.</w:t>
      </w:r>
    </w:p>
    <w:p w:rsidR="000D1BE2" w:rsidRPr="006E437B" w:rsidRDefault="000D1BE2" w:rsidP="00141629">
      <w:pPr>
        <w:pStyle w:val="Sinespaciado"/>
        <w:rPr>
          <w:rFonts w:ascii="Times New Roman" w:hAnsi="Times New Roman" w:cs="Times New Roman"/>
          <w:sz w:val="24"/>
          <w:szCs w:val="24"/>
        </w:rPr>
      </w:pPr>
    </w:p>
    <w:p w:rsidR="000D1BE2" w:rsidRPr="006E437B" w:rsidRDefault="000D1BE2"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Capital del Estado de México, a los días _</w:t>
      </w:r>
      <w:r w:rsidR="000B448D" w:rsidRPr="006E437B">
        <w:rPr>
          <w:rFonts w:ascii="Times New Roman" w:hAnsi="Times New Roman" w:cs="Times New Roman"/>
          <w:sz w:val="24"/>
          <w:szCs w:val="24"/>
        </w:rPr>
        <w:tab/>
      </w:r>
      <w:r w:rsidRPr="006E437B">
        <w:rPr>
          <w:rFonts w:ascii="Times New Roman" w:hAnsi="Times New Roman" w:cs="Times New Roman"/>
          <w:sz w:val="24"/>
          <w:szCs w:val="24"/>
        </w:rPr>
        <w:t xml:space="preserve"> del mes _</w:t>
      </w:r>
      <w:r w:rsidR="000B448D" w:rsidRPr="006E437B">
        <w:rPr>
          <w:rFonts w:ascii="Times New Roman" w:hAnsi="Times New Roman" w:cs="Times New Roman"/>
          <w:sz w:val="24"/>
          <w:szCs w:val="24"/>
        </w:rPr>
        <w:tab/>
      </w:r>
      <w:r w:rsidRPr="006E437B">
        <w:rPr>
          <w:rFonts w:ascii="Times New Roman" w:hAnsi="Times New Roman" w:cs="Times New Roman"/>
          <w:sz w:val="24"/>
          <w:szCs w:val="24"/>
        </w:rPr>
        <w:t xml:space="preserve"> de dos mil veintiséis.</w:t>
      </w:r>
    </w:p>
    <w:p w:rsidR="00665271" w:rsidRPr="006E437B" w:rsidRDefault="00665271" w:rsidP="00141629">
      <w:pPr>
        <w:pStyle w:val="Sinespaciado"/>
        <w:jc w:val="both"/>
        <w:rPr>
          <w:rFonts w:ascii="Times New Roman" w:hAnsi="Times New Roman" w:cs="Times New Roman"/>
          <w:sz w:val="24"/>
          <w:szCs w:val="24"/>
        </w:rPr>
      </w:pPr>
    </w:p>
    <w:p w:rsidR="00665271" w:rsidRPr="006E437B" w:rsidRDefault="00665271"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665271" w:rsidRPr="006E437B" w:rsidRDefault="00665271" w:rsidP="00141629">
      <w:pPr>
        <w:pStyle w:val="Sinespaciado"/>
        <w:jc w:val="both"/>
        <w:rPr>
          <w:rFonts w:ascii="Times New Roman" w:hAnsi="Times New Roman" w:cs="Times New Roman"/>
          <w:sz w:val="24"/>
          <w:szCs w:val="24"/>
          <w:lang w:bidi="en-US"/>
        </w:rPr>
      </w:pPr>
    </w:p>
    <w:p w:rsidR="00907F50" w:rsidRPr="006E437B" w:rsidRDefault="00907F50"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PRESIDENTE DIP. VLADIMIR HERNÁNDEZ VILLEGAS.</w:t>
      </w:r>
      <w:r w:rsidRPr="006E437B">
        <w:rPr>
          <w:rFonts w:ascii="Times New Roman" w:hAnsi="Times New Roman" w:cs="Times New Roman"/>
          <w:i/>
          <w:iCs/>
          <w:sz w:val="24"/>
          <w:szCs w:val="24"/>
          <w:lang w:bidi="en-US"/>
        </w:rPr>
        <w:t xml:space="preserve"> </w:t>
      </w:r>
      <w:r w:rsidRPr="006E437B">
        <w:rPr>
          <w:rFonts w:ascii="Times New Roman" w:hAnsi="Times New Roman" w:cs="Times New Roman"/>
          <w:sz w:val="24"/>
          <w:szCs w:val="24"/>
          <w:lang w:bidi="en-US"/>
        </w:rPr>
        <w:t>Muchas gracias diputada.</w:t>
      </w:r>
    </w:p>
    <w:p w:rsidR="00907F50" w:rsidRPr="006E437B" w:rsidRDefault="00907F50" w:rsidP="00141629">
      <w:pPr>
        <w:pStyle w:val="Sinespaciado"/>
        <w:ind w:firstLine="709"/>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¿Diputado Octavio Martínez</w:t>
      </w:r>
      <w:r w:rsidR="00E850BD" w:rsidRPr="006E437B">
        <w:rPr>
          <w:rFonts w:ascii="Times New Roman" w:hAnsi="Times New Roman" w:cs="Times New Roman"/>
          <w:sz w:val="24"/>
          <w:szCs w:val="24"/>
          <w:lang w:bidi="en-US"/>
        </w:rPr>
        <w:t xml:space="preserve">, </w:t>
      </w:r>
      <w:r w:rsidRPr="006E437B">
        <w:rPr>
          <w:rFonts w:ascii="Times New Roman" w:hAnsi="Times New Roman" w:cs="Times New Roman"/>
          <w:sz w:val="24"/>
          <w:szCs w:val="24"/>
          <w:lang w:bidi="en-US"/>
        </w:rPr>
        <w:t>con qué objeto?</w:t>
      </w:r>
    </w:p>
    <w:p w:rsidR="00907F50" w:rsidRPr="006E437B" w:rsidRDefault="00907F50"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DIP. OCTAVIO MARTÍNEZ VARGAS. Muchas gracias Presidente.</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Antes de que se retire la oradora, poder solicitarle que le consulte</w:t>
      </w:r>
      <w:r w:rsidR="00E850BD"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si acepta una pregunta.</w:t>
      </w:r>
    </w:p>
    <w:p w:rsidR="00907F50" w:rsidRPr="006E437B" w:rsidRDefault="00907F50"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PRESIDENTE DIP. VLADIMIR HERNÁNDEZ VILLEGAS.</w:t>
      </w:r>
      <w:r w:rsidRPr="006E437B">
        <w:rPr>
          <w:rFonts w:ascii="Times New Roman" w:hAnsi="Times New Roman" w:cs="Times New Roman"/>
          <w:i/>
          <w:iCs/>
          <w:sz w:val="24"/>
          <w:szCs w:val="24"/>
          <w:lang w:bidi="en-US"/>
        </w:rPr>
        <w:t xml:space="preserve"> </w:t>
      </w:r>
      <w:r w:rsidRPr="006E437B">
        <w:rPr>
          <w:rFonts w:ascii="Times New Roman" w:hAnsi="Times New Roman" w:cs="Times New Roman"/>
          <w:sz w:val="24"/>
          <w:szCs w:val="24"/>
          <w:lang w:bidi="en-US"/>
        </w:rPr>
        <w:t>Diputada ¿Acepta la pregunta del diputado Octavio? Adelante diputado.</w:t>
      </w:r>
    </w:p>
    <w:p w:rsidR="00907F50" w:rsidRPr="006E437B" w:rsidRDefault="00907F50"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DIP. OCTAVIO MARTÍNEZ VARGAS. Qué amable.</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Primero ¿En qué fecha inició los recursos judiciales que hoy señala? ¿En qué fecha inició los recursos judiciales que hoy señala?</w:t>
      </w:r>
      <w:r w:rsidR="007B32AC" w:rsidRPr="006E437B">
        <w:rPr>
          <w:rFonts w:ascii="Times New Roman" w:hAnsi="Times New Roman" w:cs="Times New Roman"/>
          <w:sz w:val="24"/>
          <w:szCs w:val="24"/>
          <w:lang w:bidi="en-US"/>
        </w:rPr>
        <w:t xml:space="preserve"> </w:t>
      </w:r>
      <w:r w:rsidRPr="006E437B">
        <w:rPr>
          <w:rFonts w:ascii="Times New Roman" w:hAnsi="Times New Roman" w:cs="Times New Roman"/>
          <w:sz w:val="24"/>
          <w:szCs w:val="24"/>
          <w:lang w:bidi="en-US"/>
        </w:rPr>
        <w:t>Y segundo, en su exposición hace tres imprecisiones, valdría la pena tener claro</w:t>
      </w:r>
      <w:r w:rsidR="007B32AC"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primero, señala que son 806 personas quienes promovieron, después subraya que resolvió la Suprema Corte garantizar el suministro a las familias de la quinta zona y después señala que resolvió garantizar el suministro a todos los habitantes de Ecatepec.</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Preguntar ¿Cuáles de las </w:t>
      </w:r>
      <w:r w:rsidR="007B32AC" w:rsidRPr="006E437B">
        <w:rPr>
          <w:rFonts w:ascii="Times New Roman" w:hAnsi="Times New Roman" w:cs="Times New Roman"/>
          <w:sz w:val="24"/>
          <w:szCs w:val="24"/>
          <w:lang w:bidi="en-US"/>
        </w:rPr>
        <w:t>3 es</w:t>
      </w:r>
      <w:r w:rsidRPr="006E437B">
        <w:rPr>
          <w:rFonts w:ascii="Times New Roman" w:hAnsi="Times New Roman" w:cs="Times New Roman"/>
          <w:sz w:val="24"/>
          <w:szCs w:val="24"/>
          <w:lang w:bidi="en-US"/>
        </w:rPr>
        <w:t xml:space="preserve"> lo correcto? Muchas gracias.</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Adelante </w:t>
      </w:r>
      <w:r w:rsidR="00A9592A" w:rsidRPr="006E437B">
        <w:rPr>
          <w:rFonts w:ascii="Times New Roman" w:hAnsi="Times New Roman" w:cs="Times New Roman"/>
          <w:sz w:val="24"/>
          <w:szCs w:val="24"/>
          <w:lang w:bidi="en-US"/>
        </w:rPr>
        <w:t>diputada</w:t>
      </w:r>
      <w:r w:rsidRPr="006E437B">
        <w:rPr>
          <w:rFonts w:ascii="Times New Roman" w:hAnsi="Times New Roman" w:cs="Times New Roman"/>
          <w:sz w:val="24"/>
          <w:szCs w:val="24"/>
          <w:lang w:bidi="en-US"/>
        </w:rPr>
        <w:t>.</w:t>
      </w:r>
    </w:p>
    <w:p w:rsidR="00907F50" w:rsidRPr="006E437B" w:rsidRDefault="00907F50"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DIP. MIRIAM SILVA MATA.</w:t>
      </w:r>
      <w:r w:rsidRPr="006E437B">
        <w:rPr>
          <w:rFonts w:ascii="Times New Roman" w:hAnsi="Times New Roman" w:cs="Times New Roman"/>
          <w:i/>
          <w:iCs/>
          <w:sz w:val="24"/>
          <w:szCs w:val="24"/>
          <w:lang w:bidi="en-US"/>
        </w:rPr>
        <w:t xml:space="preserve"> </w:t>
      </w:r>
      <w:r w:rsidRPr="006E437B">
        <w:rPr>
          <w:rFonts w:ascii="Times New Roman" w:hAnsi="Times New Roman" w:cs="Times New Roman"/>
          <w:sz w:val="24"/>
          <w:szCs w:val="24"/>
          <w:lang w:bidi="en-US"/>
        </w:rPr>
        <w:t>Para poder explicar un poco más de fondo el trámite jurídico.</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Primero, no son recursos, son juicios de amparo colectivos, iniciamos en el año 2020 en plena pandemia, cuando la gente no tenía agua y había un robo excesivo en nuestro municipio, la historia es triste y desgarradora en el municipio de Ecatepec</w:t>
      </w:r>
      <w:r w:rsidR="004E7F8E"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creo que está más que documentado en noticias internacionales, nacionales, internet, prensa, radio, lo que ha pasado en nuestro municipio</w:t>
      </w:r>
      <w:r w:rsidR="004E7F8E"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no es algo desconocido y no, no son imprecisiones.</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La sentencia que emitió el </w:t>
      </w:r>
      <w:r w:rsidR="004E7F8E" w:rsidRPr="006E437B">
        <w:rPr>
          <w:rFonts w:ascii="Times New Roman" w:hAnsi="Times New Roman" w:cs="Times New Roman"/>
          <w:sz w:val="24"/>
          <w:szCs w:val="24"/>
          <w:lang w:bidi="en-US"/>
        </w:rPr>
        <w:t>24</w:t>
      </w:r>
      <w:r w:rsidRPr="006E437B">
        <w:rPr>
          <w:rFonts w:ascii="Times New Roman" w:hAnsi="Times New Roman" w:cs="Times New Roman"/>
          <w:sz w:val="24"/>
          <w:szCs w:val="24"/>
          <w:lang w:bidi="en-US"/>
        </w:rPr>
        <w:t xml:space="preserve"> de agosto, son dos amparos en revisión en total son 806 personas y van para 38 colonias</w:t>
      </w:r>
      <w:r w:rsidR="004E7F8E"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actualmente son 185 colonias con más de 7 mil personas con estos efectos, porque todos sabemos, como congresistas, que una sentencia </w:t>
      </w:r>
      <w:r w:rsidR="004E7F8E" w:rsidRPr="006E437B">
        <w:rPr>
          <w:rFonts w:ascii="Times New Roman" w:hAnsi="Times New Roman" w:cs="Times New Roman"/>
          <w:sz w:val="24"/>
          <w:szCs w:val="24"/>
          <w:lang w:bidi="en-US"/>
        </w:rPr>
        <w:t>de</w:t>
      </w:r>
      <w:r w:rsidRPr="006E437B">
        <w:rPr>
          <w:rFonts w:ascii="Times New Roman" w:hAnsi="Times New Roman" w:cs="Times New Roman"/>
          <w:sz w:val="24"/>
          <w:szCs w:val="24"/>
          <w:lang w:bidi="en-US"/>
        </w:rPr>
        <w:t xml:space="preserve"> la Corte se vuelve jurisprudencia, jurisprudencia que todavía tomamos nosotros, la </w:t>
      </w:r>
      <w:r w:rsidR="00C90B86" w:rsidRPr="006E437B">
        <w:rPr>
          <w:rFonts w:ascii="Times New Roman" w:hAnsi="Times New Roman" w:cs="Times New Roman"/>
          <w:sz w:val="24"/>
          <w:szCs w:val="24"/>
          <w:lang w:bidi="en-US"/>
        </w:rPr>
        <w:t xml:space="preserve">Ley </w:t>
      </w:r>
      <w:r w:rsidRPr="006E437B">
        <w:rPr>
          <w:rFonts w:ascii="Times New Roman" w:hAnsi="Times New Roman" w:cs="Times New Roman"/>
          <w:sz w:val="24"/>
          <w:szCs w:val="24"/>
          <w:lang w:bidi="en-US"/>
        </w:rPr>
        <w:t>de Amparo antigua, que tiene efectos generales, no los restrictivos que hoy tiene la Ley de Amparo, por esto esta sentencia va a cubrir a todo Ecatepec, no nada más a las 38 colonias</w:t>
      </w:r>
      <w:r w:rsidR="00C90B86"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sino en realidad estamos hablando de 184 colonias, que abarca la mayor parte de la quinta zona. </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Pero además, déjenme explicarles que de forma cotidiana o continua o de forma diaria, sigo amparando gente de distintas colonias de todo Ecatepec para que la jurisprudencia de la Corte</w:t>
      </w:r>
      <w:r w:rsidR="00C90B86"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sea para todo Ecatepec; y entonces la sentencia va a ser que la Red Hidráulica de todo Ecatepec se cambie y esta sentencia</w:t>
      </w:r>
      <w:r w:rsidR="00C90B86"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trae presupuesto etiquetado, entonces esto hace que la red hidráulica de un municipio tan poblado</w:t>
      </w:r>
      <w:r w:rsidR="00C90B86"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s</w:t>
      </w:r>
      <w:r w:rsidR="005C7D59" w:rsidRPr="006E437B">
        <w:rPr>
          <w:rFonts w:ascii="Times New Roman" w:hAnsi="Times New Roman" w:cs="Times New Roman"/>
          <w:sz w:val="24"/>
          <w:szCs w:val="24"/>
          <w:lang w:bidi="en-US"/>
        </w:rPr>
        <w:t>í</w:t>
      </w:r>
      <w:r w:rsidRPr="006E437B">
        <w:rPr>
          <w:rFonts w:ascii="Times New Roman" w:hAnsi="Times New Roman" w:cs="Times New Roman"/>
          <w:sz w:val="24"/>
          <w:szCs w:val="24"/>
          <w:lang w:bidi="en-US"/>
        </w:rPr>
        <w:t xml:space="preserve"> se va a cambiar la red, trae un tema de programa de mantenimiento de fugas, no, lo que hoy tenemos, algo transparente donde las y los vecinos se van a poder enterar a través de los juicios de amparo. </w:t>
      </w:r>
    </w:p>
    <w:p w:rsidR="000D6722"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Las obras que se hagan a partir de esta resolución van a estar dictaminadas desde el Poder Judicial Federal, no sé si con eso contesto su pregunta</w:t>
      </w:r>
      <w:r w:rsidR="000D6722" w:rsidRPr="006E437B">
        <w:rPr>
          <w:rFonts w:ascii="Times New Roman" w:hAnsi="Times New Roman" w:cs="Times New Roman"/>
          <w:sz w:val="24"/>
          <w:szCs w:val="24"/>
          <w:lang w:bidi="en-US"/>
        </w:rPr>
        <w:t>.</w:t>
      </w:r>
    </w:p>
    <w:p w:rsidR="00907F50" w:rsidRPr="006E437B" w:rsidRDefault="000D6722"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 xml:space="preserve">Muchas </w:t>
      </w:r>
      <w:r w:rsidR="00907F50" w:rsidRPr="006E437B">
        <w:rPr>
          <w:rFonts w:ascii="Times New Roman" w:hAnsi="Times New Roman" w:cs="Times New Roman"/>
          <w:sz w:val="24"/>
          <w:szCs w:val="24"/>
          <w:lang w:bidi="en-US"/>
        </w:rPr>
        <w:t>gracias.</w:t>
      </w:r>
    </w:p>
    <w:p w:rsidR="005C7D59" w:rsidRPr="006E437B" w:rsidRDefault="00907F50" w:rsidP="00141629">
      <w:pPr>
        <w:pStyle w:val="Sinespaciado"/>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PRESIDENTE DIP. VLADIMIR HERNÁNDEZ VILLEGAS.</w:t>
      </w:r>
      <w:r w:rsidRPr="006E437B">
        <w:rPr>
          <w:rFonts w:ascii="Times New Roman" w:hAnsi="Times New Roman" w:cs="Times New Roman"/>
          <w:i/>
          <w:iCs/>
          <w:sz w:val="24"/>
          <w:szCs w:val="24"/>
          <w:lang w:bidi="en-US"/>
        </w:rPr>
        <w:t xml:space="preserve"> </w:t>
      </w:r>
      <w:r w:rsidRPr="006E437B">
        <w:rPr>
          <w:rFonts w:ascii="Times New Roman" w:hAnsi="Times New Roman" w:cs="Times New Roman"/>
          <w:sz w:val="24"/>
          <w:szCs w:val="24"/>
          <w:lang w:bidi="en-US"/>
        </w:rPr>
        <w:t>Gracias diputada.</w:t>
      </w:r>
    </w:p>
    <w:p w:rsidR="00907F50"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Se registra la iniciativa y se remite a la Comisión Legislativa de Recursos Hidráulicos</w:t>
      </w:r>
      <w:r w:rsidR="00B60A1E" w:rsidRPr="006E437B">
        <w:rPr>
          <w:rFonts w:ascii="Times New Roman" w:hAnsi="Times New Roman" w:cs="Times New Roman"/>
          <w:sz w:val="24"/>
          <w:szCs w:val="24"/>
          <w:lang w:bidi="en-US"/>
        </w:rPr>
        <w:t>,</w:t>
      </w:r>
      <w:r w:rsidRPr="006E437B">
        <w:rPr>
          <w:rFonts w:ascii="Times New Roman" w:hAnsi="Times New Roman" w:cs="Times New Roman"/>
          <w:sz w:val="24"/>
          <w:szCs w:val="24"/>
          <w:lang w:bidi="en-US"/>
        </w:rPr>
        <w:t xml:space="preserve"> para su estudio y dictamen.</w:t>
      </w:r>
    </w:p>
    <w:p w:rsidR="001A613B" w:rsidRPr="006E437B" w:rsidRDefault="00907F50" w:rsidP="00141629">
      <w:pPr>
        <w:pStyle w:val="Sinespaciado"/>
        <w:ind w:firstLine="708"/>
        <w:jc w:val="both"/>
        <w:rPr>
          <w:rFonts w:ascii="Times New Roman" w:hAnsi="Times New Roman" w:cs="Times New Roman"/>
          <w:sz w:val="24"/>
          <w:szCs w:val="24"/>
          <w:lang w:bidi="en-US"/>
        </w:rPr>
      </w:pPr>
      <w:r w:rsidRPr="006E437B">
        <w:rPr>
          <w:rFonts w:ascii="Times New Roman" w:hAnsi="Times New Roman" w:cs="Times New Roman"/>
          <w:sz w:val="24"/>
          <w:szCs w:val="24"/>
          <w:lang w:bidi="en-US"/>
        </w:rPr>
        <w:t>Con apego al punto 10, la diputada</w:t>
      </w:r>
      <w:r w:rsidR="00AA0A53" w:rsidRPr="006E437B">
        <w:rPr>
          <w:rFonts w:ascii="Times New Roman" w:hAnsi="Times New Roman" w:cs="Times New Roman"/>
          <w:sz w:val="24"/>
          <w:szCs w:val="24"/>
          <w:lang w:bidi="en-US"/>
        </w:rPr>
        <w:t xml:space="preserve"> Alejandra </w:t>
      </w:r>
      <w:r w:rsidR="001A613B" w:rsidRPr="006E437B">
        <w:rPr>
          <w:rFonts w:ascii="Times New Roman" w:hAnsi="Times New Roman" w:cs="Times New Roman"/>
          <w:sz w:val="24"/>
          <w:szCs w:val="24"/>
        </w:rPr>
        <w:t>Figueroa Adame presenta</w:t>
      </w:r>
      <w:r w:rsidR="00C139A2" w:rsidRPr="006E437B">
        <w:rPr>
          <w:rFonts w:ascii="Times New Roman" w:hAnsi="Times New Roman" w:cs="Times New Roman"/>
          <w:sz w:val="24"/>
          <w:szCs w:val="24"/>
        </w:rPr>
        <w:t>,</w:t>
      </w:r>
      <w:r w:rsidR="001A613B" w:rsidRPr="006E437B">
        <w:rPr>
          <w:rFonts w:ascii="Times New Roman" w:hAnsi="Times New Roman" w:cs="Times New Roman"/>
          <w:sz w:val="24"/>
          <w:szCs w:val="24"/>
        </w:rPr>
        <w:t xml:space="preserve"> en nombre del Grupo Parlamentario del Partido Verde Ecologista de México, Iniciativa de Decreto por el que se declara la Celebración Tradicional del Señor del Huerto del Municipio de Atlacomulco</w:t>
      </w:r>
      <w:r w:rsidR="005C7D59" w:rsidRPr="006E437B">
        <w:rPr>
          <w:rFonts w:ascii="Times New Roman" w:hAnsi="Times New Roman" w:cs="Times New Roman"/>
          <w:sz w:val="24"/>
          <w:szCs w:val="24"/>
        </w:rPr>
        <w:t>,</w:t>
      </w:r>
      <w:r w:rsidR="001A613B" w:rsidRPr="006E437B">
        <w:rPr>
          <w:rFonts w:ascii="Times New Roman" w:hAnsi="Times New Roman" w:cs="Times New Roman"/>
          <w:sz w:val="24"/>
          <w:szCs w:val="24"/>
        </w:rPr>
        <w:t xml:space="preserve"> Estado de México como Patrimonio Cultural inmaterial del Estado de México</w:t>
      </w:r>
      <w:r w:rsidR="005C7D59" w:rsidRPr="006E437B">
        <w:rPr>
          <w:rFonts w:ascii="Times New Roman" w:hAnsi="Times New Roman" w:cs="Times New Roman"/>
          <w:sz w:val="24"/>
          <w:szCs w:val="24"/>
        </w:rPr>
        <w:t>, a</w:t>
      </w:r>
      <w:r w:rsidR="001A613B" w:rsidRPr="006E437B">
        <w:rPr>
          <w:rFonts w:ascii="Times New Roman" w:hAnsi="Times New Roman" w:cs="Times New Roman"/>
          <w:sz w:val="24"/>
          <w:szCs w:val="24"/>
        </w:rPr>
        <w:t>delante diputada.</w:t>
      </w:r>
    </w:p>
    <w:p w:rsidR="001A613B" w:rsidRPr="006E437B" w:rsidRDefault="001A613B"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DIP</w:t>
      </w:r>
      <w:r w:rsidR="000D6722"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ALEJANDRA FIGUEROA ADAME. Con la venia </w:t>
      </w:r>
      <w:r w:rsidR="005C7D59" w:rsidRPr="006E437B">
        <w:rPr>
          <w:rFonts w:ascii="Times New Roman" w:hAnsi="Times New Roman" w:cs="Times New Roman"/>
          <w:kern w:val="2"/>
          <w:sz w:val="24"/>
          <w:szCs w:val="24"/>
        </w:rPr>
        <w:t>Presidente</w:t>
      </w:r>
      <w:r w:rsidR="0019704A"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saludo con mucho gusto a mis compañeras y compañeros integrantes de la mesa directiva. </w:t>
      </w:r>
    </w:p>
    <w:p w:rsidR="0019704A" w:rsidRPr="006E437B" w:rsidRDefault="001A613B" w:rsidP="00141629">
      <w:pPr>
        <w:pStyle w:val="Sinespaciado"/>
        <w:ind w:firstLine="708"/>
        <w:jc w:val="both"/>
        <w:rPr>
          <w:rFonts w:ascii="Times New Roman" w:hAnsi="Times New Roman" w:cs="Times New Roman"/>
          <w:kern w:val="2"/>
          <w:sz w:val="24"/>
          <w:szCs w:val="24"/>
        </w:rPr>
      </w:pPr>
      <w:r w:rsidRPr="006E437B">
        <w:rPr>
          <w:rFonts w:ascii="Times New Roman" w:hAnsi="Times New Roman" w:cs="Times New Roman"/>
          <w:kern w:val="2"/>
          <w:sz w:val="24"/>
          <w:szCs w:val="24"/>
        </w:rPr>
        <w:t>Muy buenas tardes diputadas, diputade, diputados, envió un respetuoso saludo a los medios de comunicación que nos acompañan</w:t>
      </w:r>
      <w:r w:rsidR="0019704A"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así como a las y los mexiquenses que nos siguen a través de las redes sociales y de manera virtual</w:t>
      </w:r>
      <w:r w:rsidR="0019704A" w:rsidRPr="006E437B">
        <w:rPr>
          <w:rFonts w:ascii="Times New Roman" w:hAnsi="Times New Roman" w:cs="Times New Roman"/>
          <w:kern w:val="2"/>
          <w:sz w:val="24"/>
          <w:szCs w:val="24"/>
        </w:rPr>
        <w:t>.</w:t>
      </w:r>
    </w:p>
    <w:p w:rsidR="001A613B" w:rsidRPr="006E437B" w:rsidRDefault="001A613B" w:rsidP="00141629">
      <w:pPr>
        <w:pStyle w:val="Sinespaciado"/>
        <w:ind w:firstLine="708"/>
        <w:jc w:val="both"/>
        <w:rPr>
          <w:rFonts w:ascii="Times New Roman" w:hAnsi="Times New Roman" w:cs="Times New Roman"/>
          <w:kern w:val="2"/>
          <w:sz w:val="24"/>
          <w:szCs w:val="24"/>
        </w:rPr>
      </w:pPr>
      <w:r w:rsidRPr="006E437B">
        <w:rPr>
          <w:rFonts w:ascii="Times New Roman" w:hAnsi="Times New Roman" w:cs="Times New Roman"/>
          <w:kern w:val="2"/>
          <w:sz w:val="24"/>
          <w:szCs w:val="24"/>
        </w:rPr>
        <w:t>Emil</w:t>
      </w:r>
      <w:r w:rsidR="00865AE0" w:rsidRPr="006E437B">
        <w:rPr>
          <w:rFonts w:ascii="Times New Roman" w:hAnsi="Times New Roman" w:cs="Times New Roman"/>
          <w:kern w:val="2"/>
          <w:sz w:val="24"/>
          <w:szCs w:val="24"/>
        </w:rPr>
        <w:t>e</w:t>
      </w:r>
      <w:r w:rsidRPr="006E437B">
        <w:rPr>
          <w:rFonts w:ascii="Times New Roman" w:hAnsi="Times New Roman" w:cs="Times New Roman"/>
          <w:kern w:val="2"/>
          <w:sz w:val="24"/>
          <w:szCs w:val="24"/>
        </w:rPr>
        <w:t xml:space="preserve"> Dur</w:t>
      </w:r>
      <w:r w:rsidR="0019704A" w:rsidRPr="006E437B">
        <w:rPr>
          <w:rFonts w:ascii="Times New Roman" w:hAnsi="Times New Roman" w:cs="Times New Roman"/>
          <w:kern w:val="2"/>
          <w:sz w:val="24"/>
          <w:szCs w:val="24"/>
        </w:rPr>
        <w:t>k</w:t>
      </w:r>
      <w:r w:rsidR="00865AE0" w:rsidRPr="006E437B">
        <w:rPr>
          <w:rFonts w:ascii="Times New Roman" w:hAnsi="Times New Roman" w:cs="Times New Roman"/>
          <w:kern w:val="2"/>
          <w:sz w:val="24"/>
          <w:szCs w:val="24"/>
        </w:rPr>
        <w:t>h</w:t>
      </w:r>
      <w:r w:rsidRPr="006E437B">
        <w:rPr>
          <w:rFonts w:ascii="Times New Roman" w:hAnsi="Times New Roman" w:cs="Times New Roman"/>
          <w:kern w:val="2"/>
          <w:sz w:val="24"/>
          <w:szCs w:val="24"/>
        </w:rPr>
        <w:t>ei</w:t>
      </w:r>
      <w:r w:rsidR="00865AE0" w:rsidRPr="006E437B">
        <w:rPr>
          <w:rFonts w:ascii="Times New Roman" w:hAnsi="Times New Roman" w:cs="Times New Roman"/>
          <w:kern w:val="2"/>
          <w:sz w:val="24"/>
          <w:szCs w:val="24"/>
        </w:rPr>
        <w:t>m</w:t>
      </w:r>
      <w:r w:rsidRPr="006E437B">
        <w:rPr>
          <w:rFonts w:ascii="Times New Roman" w:hAnsi="Times New Roman" w:cs="Times New Roman"/>
          <w:kern w:val="2"/>
          <w:sz w:val="24"/>
          <w:szCs w:val="24"/>
        </w:rPr>
        <w:t xml:space="preserve"> decía</w:t>
      </w:r>
      <w:r w:rsidR="00EB7097"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w:t>
      </w:r>
      <w:r w:rsidR="00EB7097" w:rsidRPr="006E437B">
        <w:rPr>
          <w:rFonts w:ascii="Times New Roman" w:hAnsi="Times New Roman" w:cs="Times New Roman"/>
          <w:kern w:val="2"/>
          <w:sz w:val="24"/>
          <w:szCs w:val="24"/>
        </w:rPr>
        <w:t xml:space="preserve">Que </w:t>
      </w:r>
      <w:r w:rsidRPr="006E437B">
        <w:rPr>
          <w:rFonts w:ascii="Times New Roman" w:hAnsi="Times New Roman" w:cs="Times New Roman"/>
          <w:kern w:val="2"/>
          <w:sz w:val="24"/>
          <w:szCs w:val="24"/>
        </w:rPr>
        <w:t>la sociedad no puede reafirmar el sentimiento que tiene de sí misma</w:t>
      </w:r>
      <w:r w:rsidR="00EB7097"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más que reuniéndose y pocas expresiones representan mejor esa idea que nuestras tradiciones</w:t>
      </w:r>
      <w:r w:rsidR="00865AE0"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porque una tradición no es solamente una celebración que ocurre cada año, es una comunidad que se encuentra una familia que enseña y somos una juventud que aprende y valora nuestras costumbres y tradiciones y seremos algún día</w:t>
      </w:r>
      <w:r w:rsidR="00865AE0"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una generación que tendrá la responsabilidad de mantener viva esta historia. </w:t>
      </w:r>
    </w:p>
    <w:p w:rsidR="001A613B" w:rsidRPr="006E437B" w:rsidRDefault="001A613B"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ab/>
        <w:t xml:space="preserve">Hoy ante esta </w:t>
      </w:r>
      <w:r w:rsidR="00865AE0" w:rsidRPr="006E437B">
        <w:rPr>
          <w:rFonts w:ascii="Times New Roman" w:hAnsi="Times New Roman" w:cs="Times New Roman"/>
          <w:kern w:val="2"/>
          <w:sz w:val="24"/>
          <w:szCs w:val="24"/>
        </w:rPr>
        <w:t xml:space="preserve">Honorable Asamblea, </w:t>
      </w:r>
      <w:r w:rsidRPr="006E437B">
        <w:rPr>
          <w:rFonts w:ascii="Times New Roman" w:hAnsi="Times New Roman" w:cs="Times New Roman"/>
          <w:kern w:val="2"/>
          <w:sz w:val="24"/>
          <w:szCs w:val="24"/>
        </w:rPr>
        <w:t>present</w:t>
      </w:r>
      <w:r w:rsidR="00865AE0" w:rsidRPr="006E437B">
        <w:rPr>
          <w:rFonts w:ascii="Times New Roman" w:hAnsi="Times New Roman" w:cs="Times New Roman"/>
          <w:kern w:val="2"/>
          <w:sz w:val="24"/>
          <w:szCs w:val="24"/>
        </w:rPr>
        <w:t>o</w:t>
      </w:r>
      <w:r w:rsidRPr="006E437B">
        <w:rPr>
          <w:rFonts w:ascii="Times New Roman" w:hAnsi="Times New Roman" w:cs="Times New Roman"/>
          <w:kern w:val="2"/>
          <w:sz w:val="24"/>
          <w:szCs w:val="24"/>
        </w:rPr>
        <w:t xml:space="preserve"> una iniciativa que nace del reconocimiento y el respeto a nuestra historia tradiciones identidad y cultura</w:t>
      </w:r>
      <w:r w:rsidR="005F5E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pero sobre todo esta propuesta nace de un profundo compromiso con las comunidades que mantienen vivas </w:t>
      </w:r>
      <w:r w:rsidR="005F5E9C" w:rsidRPr="006E437B">
        <w:rPr>
          <w:rFonts w:ascii="Times New Roman" w:hAnsi="Times New Roman" w:cs="Times New Roman"/>
          <w:kern w:val="2"/>
          <w:sz w:val="24"/>
          <w:szCs w:val="24"/>
        </w:rPr>
        <w:t>l</w:t>
      </w:r>
      <w:r w:rsidRPr="006E437B">
        <w:rPr>
          <w:rFonts w:ascii="Times New Roman" w:hAnsi="Times New Roman" w:cs="Times New Roman"/>
          <w:kern w:val="2"/>
          <w:sz w:val="24"/>
          <w:szCs w:val="24"/>
        </w:rPr>
        <w:t xml:space="preserve">as expresiones culturales que fortalecen el tejido social de nuestro Estado de México, hablar de la </w:t>
      </w:r>
      <w:r w:rsidR="005F5E9C" w:rsidRPr="006E437B">
        <w:rPr>
          <w:rFonts w:ascii="Times New Roman" w:hAnsi="Times New Roman" w:cs="Times New Roman"/>
          <w:kern w:val="2"/>
          <w:sz w:val="24"/>
          <w:szCs w:val="24"/>
        </w:rPr>
        <w:t xml:space="preserve">celebración </w:t>
      </w:r>
      <w:r w:rsidRPr="006E437B">
        <w:rPr>
          <w:rFonts w:ascii="Times New Roman" w:hAnsi="Times New Roman" w:cs="Times New Roman"/>
          <w:kern w:val="2"/>
          <w:sz w:val="24"/>
          <w:szCs w:val="24"/>
        </w:rPr>
        <w:t>del Señor del Huerto</w:t>
      </w:r>
      <w:r w:rsidR="005F5E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es hablar de todas las personas que la hacen posible, de las familias que la han transmitido de generación en generación, las narrativas la experiencia el compromiso y los conocimientos que hasta el día de hoy</w:t>
      </w:r>
      <w:r w:rsidR="005F5E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se mantienen vivos y permiten que nos encontremos como comunidad</w:t>
      </w:r>
      <w:r w:rsidR="005F5E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también es hablar de la Historia Cultural de Atlacomulco</w:t>
      </w:r>
      <w:r w:rsidR="005F5E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un </w:t>
      </w:r>
      <w:r w:rsidR="005F5E9C" w:rsidRPr="006E437B">
        <w:rPr>
          <w:rFonts w:ascii="Times New Roman" w:hAnsi="Times New Roman" w:cs="Times New Roman"/>
          <w:kern w:val="2"/>
          <w:sz w:val="24"/>
          <w:szCs w:val="24"/>
        </w:rPr>
        <w:t xml:space="preserve">municipio </w:t>
      </w:r>
      <w:r w:rsidRPr="006E437B">
        <w:rPr>
          <w:rFonts w:ascii="Times New Roman" w:hAnsi="Times New Roman" w:cs="Times New Roman"/>
          <w:kern w:val="2"/>
          <w:sz w:val="24"/>
          <w:szCs w:val="24"/>
        </w:rPr>
        <w:t>en donde la celebraciones religiosas y en especial la del Señor del Huerto</w:t>
      </w:r>
      <w:r w:rsidR="005F5E9C" w:rsidRPr="006E437B">
        <w:rPr>
          <w:rFonts w:ascii="Times New Roman" w:hAnsi="Times New Roman" w:cs="Times New Roman"/>
          <w:kern w:val="2"/>
          <w:sz w:val="24"/>
          <w:szCs w:val="24"/>
        </w:rPr>
        <w:t xml:space="preserve">, </w:t>
      </w:r>
      <w:r w:rsidRPr="006E437B">
        <w:rPr>
          <w:rFonts w:ascii="Times New Roman" w:hAnsi="Times New Roman" w:cs="Times New Roman"/>
          <w:kern w:val="2"/>
          <w:sz w:val="24"/>
          <w:szCs w:val="24"/>
        </w:rPr>
        <w:t xml:space="preserve">representan mucho más que una fecha en el calendario; hace unos días vivimos con especial entusiasmo esta </w:t>
      </w:r>
      <w:r w:rsidR="005F5E9C" w:rsidRPr="006E437B">
        <w:rPr>
          <w:rFonts w:ascii="Times New Roman" w:hAnsi="Times New Roman" w:cs="Times New Roman"/>
          <w:kern w:val="2"/>
          <w:sz w:val="24"/>
          <w:szCs w:val="24"/>
        </w:rPr>
        <w:t xml:space="preserve">celebración, </w:t>
      </w:r>
      <w:r w:rsidRPr="006E437B">
        <w:rPr>
          <w:rFonts w:ascii="Times New Roman" w:hAnsi="Times New Roman" w:cs="Times New Roman"/>
          <w:kern w:val="2"/>
          <w:sz w:val="24"/>
          <w:szCs w:val="24"/>
        </w:rPr>
        <w:t xml:space="preserve">porque la Festividad del Señor del Huerto se desarrolla durante la tercera semana de septiembre y tienen el tercer domingo uno de sus momentos </w:t>
      </w:r>
      <w:r w:rsidR="009C689C" w:rsidRPr="006E437B">
        <w:rPr>
          <w:rFonts w:ascii="Times New Roman" w:hAnsi="Times New Roman" w:cs="Times New Roman"/>
          <w:kern w:val="2"/>
          <w:sz w:val="24"/>
          <w:szCs w:val="24"/>
        </w:rPr>
        <w:t>más</w:t>
      </w:r>
      <w:r w:rsidRPr="006E437B">
        <w:rPr>
          <w:rFonts w:ascii="Times New Roman" w:hAnsi="Times New Roman" w:cs="Times New Roman"/>
          <w:kern w:val="2"/>
          <w:sz w:val="24"/>
          <w:szCs w:val="24"/>
        </w:rPr>
        <w:t xml:space="preserve"> significativos, ser parte de esta celebración nos obliga a reconocer el trajo que durante meses se lleva acabo, familias que se encargan del cambio de ropa del Señor del Huerto, artesanos que realizan los arreglos florales, que visten el templo y que nos deja en claro que una flor es </w:t>
      </w:r>
      <w:r w:rsidR="009C689C" w:rsidRPr="006E437B">
        <w:rPr>
          <w:rFonts w:ascii="Times New Roman" w:hAnsi="Times New Roman" w:cs="Times New Roman"/>
          <w:kern w:val="2"/>
          <w:sz w:val="24"/>
          <w:szCs w:val="24"/>
        </w:rPr>
        <w:t>más</w:t>
      </w:r>
      <w:r w:rsidRPr="006E437B">
        <w:rPr>
          <w:rFonts w:ascii="Times New Roman" w:hAnsi="Times New Roman" w:cs="Times New Roman"/>
          <w:kern w:val="2"/>
          <w:sz w:val="24"/>
          <w:szCs w:val="24"/>
        </w:rPr>
        <w:t xml:space="preserve"> que un ornamento, es un mensaje de </w:t>
      </w:r>
      <w:r w:rsidR="009C689C" w:rsidRPr="006E437B">
        <w:rPr>
          <w:rFonts w:ascii="Times New Roman" w:hAnsi="Times New Roman" w:cs="Times New Roman"/>
          <w:kern w:val="2"/>
          <w:sz w:val="24"/>
          <w:szCs w:val="24"/>
        </w:rPr>
        <w:t>fe</w:t>
      </w:r>
      <w:r w:rsidRPr="006E437B">
        <w:rPr>
          <w:rFonts w:ascii="Times New Roman" w:hAnsi="Times New Roman" w:cs="Times New Roman"/>
          <w:kern w:val="2"/>
          <w:sz w:val="24"/>
          <w:szCs w:val="24"/>
        </w:rPr>
        <w:t>, familias dedicadas a la preparación de alimentos tradicionales, recetas llenas de conocimientos y pasión por nuestro municipio, músicos, danzantes y peregrinos que dan vida a la celebración y combinan lo religioso con lo popular en un sincretismo que invito a todas las personas que nos escuchan a vivir al menos una vez en su vida.</w:t>
      </w:r>
    </w:p>
    <w:p w:rsidR="001A613B" w:rsidRPr="006E437B" w:rsidRDefault="001A613B"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ab/>
        <w:t>Hoy con esta iniciativa quiero hacer un reconocimiento a cada una de las personas que han mantenido viva esta tradición</w:t>
      </w:r>
      <w:r w:rsidR="009C68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porque ninguna forma de expresión cultural se reproduce por si misma</w:t>
      </w:r>
      <w:r w:rsidR="009C689C"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necesita de una comunidad que la alimente, la practique y la transmita y aquí quiero detenerme en algo que considero fundamental, las juventudes porque cuando hablamos de preservar una tradición</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no podemos pensar únicamente en quienes las han conservado durante décadas</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w:t>
      </w:r>
      <w:r w:rsidR="000400FB" w:rsidRPr="006E437B">
        <w:rPr>
          <w:rFonts w:ascii="Times New Roman" w:hAnsi="Times New Roman" w:cs="Times New Roman"/>
          <w:kern w:val="2"/>
          <w:sz w:val="24"/>
          <w:szCs w:val="24"/>
        </w:rPr>
        <w:t xml:space="preserve">Tenemos </w:t>
      </w:r>
      <w:r w:rsidRPr="006E437B">
        <w:rPr>
          <w:rFonts w:ascii="Times New Roman" w:hAnsi="Times New Roman" w:cs="Times New Roman"/>
          <w:kern w:val="2"/>
          <w:sz w:val="24"/>
          <w:szCs w:val="24"/>
        </w:rPr>
        <w:t>que pensar también en quienes tendremos que conservarlas durante los próximos años.</w:t>
      </w:r>
    </w:p>
    <w:p w:rsidR="000400FB" w:rsidRPr="006E437B" w:rsidRDefault="001A613B" w:rsidP="00141629">
      <w:pPr>
        <w:pStyle w:val="Sinespaciado"/>
        <w:ind w:firstLine="708"/>
        <w:jc w:val="both"/>
        <w:rPr>
          <w:rFonts w:ascii="Times New Roman" w:hAnsi="Times New Roman" w:cs="Times New Roman"/>
          <w:kern w:val="2"/>
          <w:sz w:val="24"/>
          <w:szCs w:val="24"/>
        </w:rPr>
      </w:pPr>
      <w:r w:rsidRPr="006E437B">
        <w:rPr>
          <w:rFonts w:ascii="Times New Roman" w:hAnsi="Times New Roman" w:cs="Times New Roman"/>
          <w:kern w:val="2"/>
          <w:sz w:val="24"/>
          <w:szCs w:val="24"/>
        </w:rPr>
        <w:t>Las y los jóvenes no debemos ser vistos únicamente como receptores de nuestras tradiciones</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también debemos ser protagonistas y responsables de su continuidad</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debemos asumir el compromiso de conocer nuestra historia</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aprender los saberes, participar en las celebraciones y encontrar las nuevas formas de transmitir aquello que recibimos de nuestras familias y nuestras comunidades, porque una tradición que no encuentra relevo generacional</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corre el riesgo de desaparecer</w:t>
      </w:r>
      <w:r w:rsidR="000400FB"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pero una tradición que logra dialogar con sus juventudes puede trascender por generaciones</w:t>
      </w:r>
      <w:r w:rsidR="000400FB" w:rsidRPr="006E437B">
        <w:rPr>
          <w:rFonts w:ascii="Times New Roman" w:hAnsi="Times New Roman" w:cs="Times New Roman"/>
          <w:kern w:val="2"/>
          <w:sz w:val="24"/>
          <w:szCs w:val="24"/>
        </w:rPr>
        <w:t>.</w:t>
      </w:r>
    </w:p>
    <w:p w:rsidR="007F2877" w:rsidRPr="006E437B" w:rsidRDefault="000400FB" w:rsidP="00141629">
      <w:pPr>
        <w:pStyle w:val="Sinespaciado"/>
        <w:ind w:firstLine="708"/>
        <w:jc w:val="both"/>
        <w:rPr>
          <w:rFonts w:ascii="Times New Roman" w:hAnsi="Times New Roman" w:cs="Times New Roman"/>
          <w:kern w:val="2"/>
          <w:sz w:val="24"/>
          <w:szCs w:val="24"/>
        </w:rPr>
      </w:pPr>
      <w:r w:rsidRPr="006E437B">
        <w:rPr>
          <w:rFonts w:ascii="Times New Roman" w:hAnsi="Times New Roman" w:cs="Times New Roman"/>
          <w:kern w:val="2"/>
          <w:sz w:val="24"/>
          <w:szCs w:val="24"/>
        </w:rPr>
        <w:t xml:space="preserve">Sin </w:t>
      </w:r>
      <w:r w:rsidR="00BE0058" w:rsidRPr="006E437B">
        <w:rPr>
          <w:rFonts w:ascii="Times New Roman" w:hAnsi="Times New Roman" w:cs="Times New Roman"/>
          <w:kern w:val="2"/>
          <w:sz w:val="24"/>
          <w:szCs w:val="24"/>
        </w:rPr>
        <w:t>embargo,</w:t>
      </w:r>
      <w:r w:rsidR="001A613B" w:rsidRPr="006E437B">
        <w:rPr>
          <w:rFonts w:ascii="Times New Roman" w:hAnsi="Times New Roman" w:cs="Times New Roman"/>
          <w:kern w:val="2"/>
          <w:sz w:val="24"/>
          <w:szCs w:val="24"/>
        </w:rPr>
        <w:t xml:space="preserve"> ninguna celebración por muy longeva que sea esta fuera de peligro en términos de su continuidad</w:t>
      </w:r>
      <w:r w:rsidRPr="006E437B">
        <w:rPr>
          <w:rFonts w:ascii="Times New Roman" w:hAnsi="Times New Roman" w:cs="Times New Roman"/>
          <w:kern w:val="2"/>
          <w:sz w:val="24"/>
          <w:szCs w:val="24"/>
        </w:rPr>
        <w:t>;</w:t>
      </w:r>
      <w:r w:rsidR="001A613B" w:rsidRPr="006E437B">
        <w:rPr>
          <w:rFonts w:ascii="Times New Roman" w:hAnsi="Times New Roman" w:cs="Times New Roman"/>
          <w:kern w:val="2"/>
          <w:sz w:val="24"/>
          <w:szCs w:val="24"/>
        </w:rPr>
        <w:t xml:space="preserve"> por ello</w:t>
      </w:r>
      <w:r w:rsidRPr="006E437B">
        <w:rPr>
          <w:rFonts w:ascii="Times New Roman" w:hAnsi="Times New Roman" w:cs="Times New Roman"/>
          <w:kern w:val="2"/>
          <w:sz w:val="24"/>
          <w:szCs w:val="24"/>
        </w:rPr>
        <w:t>,</w:t>
      </w:r>
      <w:r w:rsidR="001A613B" w:rsidRPr="006E437B">
        <w:rPr>
          <w:rFonts w:ascii="Times New Roman" w:hAnsi="Times New Roman" w:cs="Times New Roman"/>
          <w:kern w:val="2"/>
          <w:sz w:val="24"/>
          <w:szCs w:val="24"/>
        </w:rPr>
        <w:t xml:space="preserve"> es importante hablar del Reconocimiento de Patrimonio Cultural Inmaterial</w:t>
      </w:r>
      <w:r w:rsidR="00BE0058" w:rsidRPr="006E437B">
        <w:rPr>
          <w:rFonts w:ascii="Times New Roman" w:hAnsi="Times New Roman" w:cs="Times New Roman"/>
          <w:kern w:val="2"/>
          <w:sz w:val="24"/>
          <w:szCs w:val="24"/>
        </w:rPr>
        <w:t xml:space="preserve">. La </w:t>
      </w:r>
      <w:r w:rsidR="001A613B" w:rsidRPr="006E437B">
        <w:rPr>
          <w:rFonts w:ascii="Times New Roman" w:hAnsi="Times New Roman" w:cs="Times New Roman"/>
          <w:kern w:val="2"/>
          <w:sz w:val="24"/>
          <w:szCs w:val="24"/>
        </w:rPr>
        <w:t>convención para la salvaguarda del Patrimonio Cultural Inmaterial de la</w:t>
      </w:r>
      <w:r w:rsidR="00DA547A" w:rsidRPr="006E437B">
        <w:rPr>
          <w:rFonts w:ascii="Times New Roman" w:hAnsi="Times New Roman" w:cs="Times New Roman"/>
          <w:kern w:val="2"/>
          <w:sz w:val="24"/>
          <w:szCs w:val="24"/>
        </w:rPr>
        <w:t xml:space="preserve"> UNESCO</w:t>
      </w:r>
      <w:r w:rsidR="001A613B" w:rsidRPr="006E437B">
        <w:rPr>
          <w:rFonts w:ascii="Times New Roman" w:hAnsi="Times New Roman" w:cs="Times New Roman"/>
          <w:kern w:val="2"/>
          <w:sz w:val="24"/>
          <w:szCs w:val="24"/>
        </w:rPr>
        <w:t xml:space="preserve"> reconoce como parte de este patrimonio los usos, las representaciones, las expresiones, los conocimientos y las técnicas</w:t>
      </w:r>
      <w:r w:rsidR="00EE0F33" w:rsidRPr="006E437B">
        <w:rPr>
          <w:rFonts w:ascii="Times New Roman" w:hAnsi="Times New Roman" w:cs="Times New Roman"/>
          <w:kern w:val="2"/>
          <w:sz w:val="24"/>
          <w:szCs w:val="24"/>
        </w:rPr>
        <w:t xml:space="preserve"> que las comunidades</w:t>
      </w:r>
      <w:r w:rsidR="007F2877" w:rsidRPr="006E437B">
        <w:rPr>
          <w:rFonts w:ascii="Times New Roman" w:hAnsi="Times New Roman" w:cs="Times New Roman"/>
          <w:sz w:val="24"/>
          <w:szCs w:val="24"/>
        </w:rPr>
        <w:t xml:space="preserve"> identifican como propios y que transmiten y recrean a lo largo del tiempo. </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ese sentido, buscar que esta celebración sea declarada Patrimonio Cultural Inmaterial del Estado de México</w:t>
      </w:r>
      <w:r w:rsidR="00BE0058" w:rsidRPr="006E437B">
        <w:rPr>
          <w:rFonts w:ascii="Times New Roman" w:hAnsi="Times New Roman" w:cs="Times New Roman"/>
          <w:sz w:val="24"/>
          <w:szCs w:val="24"/>
        </w:rPr>
        <w:t>,</w:t>
      </w:r>
      <w:r w:rsidRPr="006E437B">
        <w:rPr>
          <w:rFonts w:ascii="Times New Roman" w:hAnsi="Times New Roman" w:cs="Times New Roman"/>
          <w:sz w:val="24"/>
          <w:szCs w:val="24"/>
        </w:rPr>
        <w:t xml:space="preserve"> debe entenderse como una herramienta de reconocimiento y de salvaguardia, no como una autorización para transformar una tradición sin considerar a quienes le dan vida.</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Lo que busca este reconocimiento es que instituciones y comunidad trabajen de la mano para preservar la tradición y ¿Qué significa esto? Significa que las instituciones tienen la responsabilidad de la documentación, investigación, protección, promoción, transmisión y revitalización del patrimonio cultural inmaterial del Señor del Huerto, reconociendo en todo momento el aporte y la participación de las comunidades. </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Esta propuesta tiene un contenido jurídico concreto declarar la celebración como Patrimonio Cultural Inmaterial y establecer medidas orientadas a su salvaguardia</w:t>
      </w:r>
      <w:r w:rsidR="006426CF"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también tiene un significado humano, porque detrás de la festividad del Señor del Huerto existen familias, generaciones y personas que han contribuido a mantenerla viva.</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Desde el Partido Verde, lo que hoy proponemos es reconocer ese valor y fortalecer las condiciones para que esta tradición continúe siendo una expresión viva de la comunidad de Atlacomulco. </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 cuanto Presidente</w:t>
      </w:r>
      <w:r w:rsidR="006426CF" w:rsidRPr="006E437B">
        <w:rPr>
          <w:rFonts w:ascii="Times New Roman" w:hAnsi="Times New Roman" w:cs="Times New Roman"/>
          <w:sz w:val="24"/>
          <w:szCs w:val="24"/>
        </w:rPr>
        <w:t>,</w:t>
      </w:r>
      <w:r w:rsidRPr="006E437B">
        <w:rPr>
          <w:rFonts w:ascii="Times New Roman" w:hAnsi="Times New Roman" w:cs="Times New Roman"/>
          <w:sz w:val="24"/>
          <w:szCs w:val="24"/>
        </w:rPr>
        <w:t xml:space="preserve"> muchas gracias.</w:t>
      </w:r>
    </w:p>
    <w:p w:rsidR="00C139A2" w:rsidRPr="006E437B" w:rsidRDefault="00C139A2" w:rsidP="00141629">
      <w:pPr>
        <w:pStyle w:val="Sinespaciado"/>
        <w:jc w:val="both"/>
        <w:rPr>
          <w:rFonts w:ascii="Times New Roman" w:hAnsi="Times New Roman" w:cs="Times New Roman"/>
          <w:sz w:val="24"/>
          <w:szCs w:val="24"/>
        </w:rPr>
      </w:pPr>
    </w:p>
    <w:p w:rsidR="00C139A2" w:rsidRPr="006E437B" w:rsidRDefault="00C139A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C139A2" w:rsidRPr="006E437B" w:rsidRDefault="00C139A2" w:rsidP="00141629">
      <w:pPr>
        <w:pStyle w:val="Sinespaciado"/>
        <w:jc w:val="both"/>
        <w:rPr>
          <w:rFonts w:ascii="Times New Roman" w:hAnsi="Times New Roman" w:cs="Times New Roman"/>
          <w:sz w:val="24"/>
          <w:szCs w:val="24"/>
        </w:rPr>
      </w:pPr>
    </w:p>
    <w:p w:rsidR="00772068" w:rsidRPr="006E437B" w:rsidRDefault="00772068" w:rsidP="00141629">
      <w:pPr>
        <w:spacing w:after="0" w:line="240" w:lineRule="auto"/>
        <w:ind w:right="49"/>
        <w:jc w:val="center"/>
        <w:rPr>
          <w:rFonts w:ascii="Times New Roman" w:eastAsia="Calibri" w:hAnsi="Times New Roman" w:cs="Times New Roman"/>
          <w:sz w:val="24"/>
          <w:szCs w:val="24"/>
        </w:rPr>
      </w:pPr>
      <w:r w:rsidRPr="006E437B">
        <w:rPr>
          <w:rFonts w:ascii="Times New Roman" w:hAnsi="Times New Roman" w:cs="Times New Roman"/>
          <w:sz w:val="24"/>
          <w:szCs w:val="24"/>
        </w:rPr>
        <w:t>GRUPO PARLAMENTARIO DEL PARTIDO VERDE ECOLOGISTA DE MEXICO</w:t>
      </w:r>
    </w:p>
    <w:p w:rsidR="00772068" w:rsidRPr="006E437B" w:rsidRDefault="00772068" w:rsidP="00141629">
      <w:pPr>
        <w:spacing w:after="0" w:line="240" w:lineRule="auto"/>
        <w:ind w:right="49"/>
        <w:jc w:val="center"/>
        <w:rPr>
          <w:rFonts w:ascii="Times New Roman" w:hAnsi="Times New Roman" w:cs="Times New Roman"/>
          <w:sz w:val="24"/>
          <w:szCs w:val="24"/>
        </w:rPr>
      </w:pPr>
      <w:r w:rsidRPr="006E437B">
        <w:rPr>
          <w:rFonts w:ascii="Times New Roman" w:hAnsi="Times New Roman" w:cs="Times New Roman"/>
          <w:sz w:val="24"/>
          <w:szCs w:val="24"/>
        </w:rPr>
        <w:t>“2026. Año del Humanismo Mexicano en el Estado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right="49"/>
        <w:jc w:val="right"/>
        <w:rPr>
          <w:rFonts w:ascii="Times New Roman" w:hAnsi="Times New Roman" w:cs="Times New Roman"/>
          <w:sz w:val="24"/>
          <w:szCs w:val="24"/>
        </w:rPr>
      </w:pPr>
      <w:r w:rsidRPr="006E437B">
        <w:rPr>
          <w:rFonts w:ascii="Times New Roman" w:hAnsi="Times New Roman" w:cs="Times New Roman"/>
          <w:sz w:val="24"/>
          <w:szCs w:val="24"/>
        </w:rPr>
        <w:t>Toluca de Lerdo, Estado de México, a __ de __de 2026.</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DIP. VLADIMIR HERNÁNDEZ VILLEGAS</w:t>
      </w: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PRESIDENTE DE LA MESA DIRECTIVA</w:t>
      </w: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LXII LEGISLATURA DEL H. PODER LEGISLATIVO</w:t>
      </w: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DEL ESTADO LIBRE Y SOBERANO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P R E S E N T E</w:t>
      </w:r>
      <w:r w:rsidRPr="006E437B">
        <w:rPr>
          <w:rFonts w:ascii="Times New Roman" w:hAnsi="Times New Roman" w:cs="Times New Roman"/>
          <w:sz w:val="24"/>
          <w:szCs w:val="24"/>
        </w:rPr>
        <w:t xml:space="preserve"> </w:t>
      </w: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 xml:space="preserve">Honorable Asamblea: </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 xml:space="preserve">Quienes suscriben, </w:t>
      </w:r>
      <w:r w:rsidRPr="006E437B">
        <w:rPr>
          <w:rFonts w:ascii="Times New Roman"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6E437B">
        <w:rPr>
          <w:rFonts w:ascii="Times New Roman" w:hAnsi="Times New Roman" w:cs="Times New Roman"/>
          <w:sz w:val="24"/>
          <w:szCs w:val="24"/>
        </w:rPr>
        <w:t>y</w:t>
      </w:r>
      <w:r w:rsidRPr="006E437B">
        <w:rPr>
          <w:rFonts w:ascii="Times New Roman" w:hAnsi="Times New Roman" w:cs="Times New Roman"/>
          <w:b/>
          <w:sz w:val="24"/>
          <w:szCs w:val="24"/>
        </w:rPr>
        <w:t xml:space="preserve"> MIRIAM SILVA MATA, </w:t>
      </w:r>
      <w:r w:rsidRPr="006E437B">
        <w:rPr>
          <w:rFonts w:ascii="Times New Roman" w:hAnsi="Times New Roman" w:cs="Times New Roman"/>
          <w:sz w:val="24"/>
          <w:szCs w:val="24"/>
        </w:rPr>
        <w:t xml:space="preserve">diputadas y diputados integrantes del </w:t>
      </w:r>
      <w:r w:rsidRPr="006E437B">
        <w:rPr>
          <w:rFonts w:ascii="Times New Roman" w:hAnsi="Times New Roman" w:cs="Times New Roman"/>
          <w:b/>
          <w:sz w:val="24"/>
          <w:szCs w:val="24"/>
        </w:rPr>
        <w:t>GRUPO PARLAMENTARIO DEL PARTIDO VERDE ECOLOGISTA DE MÉXICO</w:t>
      </w:r>
      <w:r w:rsidRPr="006E437B">
        <w:rPr>
          <w:rFonts w:ascii="Times New Roman" w:hAnsi="Times New Roman" w:cs="Times New Roman"/>
          <w:sz w:val="24"/>
          <w:szCs w:val="24"/>
        </w:rPr>
        <w:t xml:space="preserve"> en la LXII Legislatura del Estado de México, con fundamento en lo dispuesto por los artículos 51, fracción II, y 61, fracción I, de la Constitución Política del Estado Libre y Soberano de México; 38, fracción II, 28, fracción I, de la Ley Orgánica del Poder Legislativo del Estado Libre y Soberano de México, sometemos a la consideración de este Órgano legislativo la siguiente </w:t>
      </w:r>
      <w:r w:rsidRPr="006E437B">
        <w:rPr>
          <w:rFonts w:ascii="Times New Roman" w:hAnsi="Times New Roman" w:cs="Times New Roman"/>
          <w:b/>
          <w:sz w:val="24"/>
          <w:szCs w:val="24"/>
        </w:rPr>
        <w:t xml:space="preserve">INICIATIVA DE DECRETO POR LA QUE SE DECLARA LA CELEBRACIÓN TRADICIONAL DEL SEÑOR DEL HUERTO DEL MUNICIPIO DE ATLACOMULCO COMO PATRIMONIO CULTURAL INMATERIAL DEL ESTADO DE MÉXICO, </w:t>
      </w:r>
      <w:r w:rsidRPr="006E437B">
        <w:rPr>
          <w:rFonts w:ascii="Times New Roman" w:hAnsi="Times New Roman" w:cs="Times New Roman"/>
          <w:sz w:val="24"/>
          <w:szCs w:val="24"/>
        </w:rPr>
        <w:t>con sustento en la siguiente:</w:t>
      </w:r>
    </w:p>
    <w:p w:rsidR="00772068" w:rsidRPr="006E437B" w:rsidRDefault="00772068" w:rsidP="00141629">
      <w:pPr>
        <w:spacing w:after="0" w:line="240" w:lineRule="auto"/>
        <w:ind w:left="-5" w:right="49"/>
        <w:rPr>
          <w:rFonts w:ascii="Times New Roman" w:hAnsi="Times New Roman" w:cs="Times New Roman"/>
          <w:sz w:val="24"/>
          <w:szCs w:val="24"/>
        </w:rPr>
      </w:pPr>
    </w:p>
    <w:p w:rsidR="00772068" w:rsidRPr="006E437B" w:rsidRDefault="00772068" w:rsidP="00141629">
      <w:pPr>
        <w:pStyle w:val="Ttulo1"/>
        <w:keepNext w:val="0"/>
        <w:keepLines w:val="0"/>
        <w:spacing w:line="240" w:lineRule="auto"/>
        <w:ind w:right="49"/>
        <w:rPr>
          <w:rFonts w:ascii="Times New Roman" w:hAnsi="Times New Roman" w:cs="Times New Roman"/>
          <w:color w:val="auto"/>
          <w:szCs w:val="24"/>
        </w:rPr>
      </w:pPr>
      <w:r w:rsidRPr="006E437B">
        <w:rPr>
          <w:rFonts w:ascii="Times New Roman" w:hAnsi="Times New Roman" w:cs="Times New Roman"/>
          <w:color w:val="auto"/>
          <w:szCs w:val="24"/>
        </w:rPr>
        <w:t>EXPOSICIÓN DE MOTIVOS</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Las sociedades construyen su continuidad histórica no solamente mediante instituciones políticas o sistemas jurídicos, sino también a través de prácticas culturales que permiten a las personas reconocerse como parte de una comunidad. Las celebraciones religiosas, las festividades populares, los conocimientos transmitidos entre generaciones, las expresiones artísticas, las lenguas, las técnicas artesanales y los rituales constituyen formas de memoria colectiva que fortalecen el sentido de pertenencia, preservan la identidad cultural y favorecen la cohesión social. En ese contexto, las tradiciones representan uno de los principales mecanismos mediante los cuales las comunidades mantienen vivos sus referentes históricos, simbólicos y espirituales.</w:t>
      </w:r>
    </w:p>
    <w:p w:rsidR="00772068" w:rsidRPr="006E437B" w:rsidRDefault="00772068"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sz w:val="24"/>
          <w:szCs w:val="24"/>
        </w:rPr>
        <w:t xml:space="preserve"> </w:t>
      </w: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Desde la perspectiva de las ciencias sociales, las tradiciones no constituyen simples manifestaciones folclóricas o expresiones aisladas de religiosidad popular. Por el contrario, representan procesos sociales complejos mediante los cuales una comunidad produce, transmite y resignifica su patrimonio cultural: “La importancia de estas celebraciones radica también en su capacidad para fortalecer los lazos sociales y promover la cohesión comunitaria”</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La sociología clásica reconoció el papel integrador de las prácticas colectivas, un ejemplo notable es “Las formas elementales de la vida religiosa” de Émile Durkheim, quien sostiene que los rituales poseen una función eminentemente social al reforzar los vínculos entre quienes participan en ellos. El sociólogo francés señala que la experiencia ritual trasciende la dimensión individual y fortalece la conciencia colectiva:</w:t>
      </w:r>
    </w:p>
    <w:p w:rsidR="00772068" w:rsidRPr="006E437B" w:rsidRDefault="00772068"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sz w:val="24"/>
          <w:szCs w:val="24"/>
        </w:rPr>
        <w:t xml:space="preserve"> </w:t>
      </w:r>
    </w:p>
    <w:p w:rsidR="00772068" w:rsidRPr="006E437B" w:rsidRDefault="00772068" w:rsidP="00141629">
      <w:pPr>
        <w:spacing w:after="0" w:line="240" w:lineRule="auto"/>
        <w:ind w:left="846" w:right="49"/>
        <w:jc w:val="both"/>
        <w:rPr>
          <w:rFonts w:ascii="Times New Roman" w:hAnsi="Times New Roman" w:cs="Times New Roman"/>
          <w:sz w:val="24"/>
          <w:szCs w:val="24"/>
        </w:rPr>
      </w:pPr>
      <w:r w:rsidRPr="006E437B">
        <w:rPr>
          <w:rFonts w:ascii="Times New Roman" w:hAnsi="Times New Roman" w:cs="Times New Roman"/>
          <w:sz w:val="24"/>
          <w:szCs w:val="24"/>
        </w:rPr>
        <w:t>Es la sociedad la que lo eleva [el culto] por encima de sí mismo; es incluso ella la que lo configura. Porque lo que crea al hombre es ese conjunto de bienes intelectuales que constituye la civilización, y la civilización es obra de la sociedad. Y así se explica el papel preponderante del culto en todas las religiones, sean las que sean... Es mediante la acción común como cobra conciencia de sí misma y se asienta; antes que nada, es una cooperación activa.</w:t>
      </w:r>
      <w:r w:rsidRPr="006E437B">
        <w:rPr>
          <w:rFonts w:ascii="Times New Roman" w:hAnsi="Times New Roman" w:cs="Times New Roman"/>
          <w:sz w:val="24"/>
          <w:szCs w:val="24"/>
          <w:vertAlign w:val="superscript"/>
        </w:rPr>
        <w:t>2</w:t>
      </w:r>
      <w:r w:rsidRPr="006E437B">
        <w:rPr>
          <w:rFonts w:ascii="Times New Roman" w:hAnsi="Times New Roman" w:cs="Times New Roman"/>
          <w:sz w:val="24"/>
          <w:szCs w:val="24"/>
        </w:rPr>
        <w:t xml:space="preserve"> (p. 540)</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autoSpaceDE w:val="0"/>
        <w:autoSpaceDN w:val="0"/>
        <w:adjustRightInd w:val="0"/>
        <w:spacing w:after="0" w:line="240" w:lineRule="auto"/>
        <w:jc w:val="both"/>
        <w:rPr>
          <w:rFonts w:ascii="Times New Roman" w:eastAsiaTheme="minorEastAsia" w:hAnsi="Times New Roman" w:cs="Times New Roman"/>
          <w:sz w:val="20"/>
          <w:szCs w:val="24"/>
        </w:rPr>
      </w:pPr>
      <w:r w:rsidRPr="006E437B">
        <w:rPr>
          <w:rFonts w:ascii="Times New Roman" w:hAnsi="Times New Roman" w:cs="Times New Roman"/>
          <w:sz w:val="20"/>
          <w:szCs w:val="24"/>
          <w:vertAlign w:val="superscript"/>
        </w:rPr>
        <w:t>1</w:t>
      </w:r>
      <w:r w:rsidRPr="006E437B">
        <w:rPr>
          <w:rFonts w:ascii="Times New Roman" w:hAnsi="Times New Roman" w:cs="Times New Roman"/>
          <w:sz w:val="20"/>
          <w:szCs w:val="24"/>
        </w:rPr>
        <w:t xml:space="preserve"> Colcha Vallejo, E. (2025). Rituales y tradiciones: un análisis etnográfico de las festividades religiosas del barrio San Miguel de </w:t>
      </w:r>
      <w:r w:rsidRPr="006E437B">
        <w:rPr>
          <w:rFonts w:ascii="Times New Roman" w:eastAsiaTheme="minorEastAsia" w:hAnsi="Times New Roman" w:cs="Times New Roman"/>
          <w:i/>
          <w:iCs/>
          <w:sz w:val="20"/>
          <w:szCs w:val="24"/>
        </w:rPr>
        <w:t>Tapi-Riobamba</w:t>
      </w:r>
      <w:r w:rsidRPr="006E437B">
        <w:rPr>
          <w:rFonts w:ascii="Times New Roman" w:eastAsiaTheme="minorEastAsia" w:hAnsi="Times New Roman" w:cs="Times New Roman"/>
          <w:sz w:val="20"/>
          <w:szCs w:val="24"/>
        </w:rPr>
        <w:t>. (Tesis para obtener el título de licenciado en Historia y Ciencias Sociales. Universidad Nacional de Chimborazo, Ecuador). Disponible en:</w:t>
      </w:r>
    </w:p>
    <w:p w:rsidR="00772068" w:rsidRPr="006E437B" w:rsidRDefault="00772068" w:rsidP="00141629">
      <w:pPr>
        <w:autoSpaceDE w:val="0"/>
        <w:autoSpaceDN w:val="0"/>
        <w:adjustRightInd w:val="0"/>
        <w:spacing w:after="0" w:line="240" w:lineRule="auto"/>
        <w:jc w:val="both"/>
        <w:rPr>
          <w:rFonts w:ascii="Times New Roman" w:hAnsi="Times New Roman" w:cs="Times New Roman"/>
          <w:sz w:val="20"/>
          <w:szCs w:val="24"/>
        </w:rPr>
      </w:pPr>
      <w:r w:rsidRPr="006E437B">
        <w:rPr>
          <w:rFonts w:ascii="Times New Roman" w:eastAsiaTheme="minorEastAsia" w:hAnsi="Times New Roman" w:cs="Times New Roman"/>
          <w:sz w:val="20"/>
          <w:szCs w:val="24"/>
        </w:rPr>
        <w:t>http://dspace.unach.edu.ec/bitstream/51000/15398/1/Colcha%20V%20Evelyn%20D%20%282024%29%20Rituales%20y%20tradiciones%20un%20an%C3%A1lisis%20etnogr%C3%A1fico%20.pd</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otras palabras, son las celebraciones religiosas y de culto las que constituyen momentos de encuentro comunitario; en la actualidad, esas fiestas rituales convocan a toda la comunidad, de ahí que en ellas participen familias completas, asociaciones civiles, autoridades religiosas, instituciones públicas y diversos sectores sociales. Bajo esa lógica, la festividad deja de ser un acto exclusivamente litúrgico para convertirse en un espacio de interacción social donde se reproducen valores compartidos, formas de cooperación y mecanismos de solidaridad comunitaria.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Durkheim explica que los símbolos religiosos representan simultáneamente símbolos de la propia sociedad y símbolos que se encargan de preservar la memoria colectiva. En ese sentido, estos aportes teóricos son útiles para explicar las fiestas religiosas populares que se desarrollan en diferentes regiones del Estado de México, donde las imágenes religiosas constituyen referentes de identidad territorial, además de objetos de veneración espiritual y cohesión social.</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Pero la sociología no es la única ciencia que se ha preocupado por explicar la importancia de las tradiciones y los ritos en nuestra sociedad; la antropología, desde la visión de Clifford Geertz, sostiene que:</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846" w:right="49"/>
        <w:jc w:val="both"/>
        <w:rPr>
          <w:rFonts w:ascii="Times New Roman" w:hAnsi="Times New Roman" w:cs="Times New Roman"/>
          <w:sz w:val="24"/>
          <w:szCs w:val="24"/>
        </w:rPr>
      </w:pPr>
      <w:r w:rsidRPr="006E437B">
        <w:rPr>
          <w:rFonts w:ascii="Times New Roman" w:hAnsi="Times New Roman" w:cs="Times New Roman"/>
          <w:sz w:val="24"/>
          <w:szCs w:val="24"/>
        </w:rPr>
        <w:t xml:space="preserve">… Los símbolos sagrados tienen la función de sintetizar el </w:t>
      </w:r>
      <w:r w:rsidRPr="006E437B">
        <w:rPr>
          <w:rFonts w:ascii="Times New Roman" w:hAnsi="Times New Roman" w:cs="Times New Roman"/>
          <w:i/>
          <w:sz w:val="24"/>
          <w:szCs w:val="24"/>
        </w:rPr>
        <w:t>ethos</w:t>
      </w:r>
      <w:r w:rsidRPr="006E437B">
        <w:rPr>
          <w:rFonts w:ascii="Times New Roman" w:hAnsi="Times New Roman" w:cs="Times New Roman"/>
          <w:sz w:val="24"/>
          <w:szCs w:val="24"/>
        </w:rPr>
        <w:t xml:space="preserve"> de un pueblo —el tono, el carácter y la calidad de su vida, su estilo moral y estético— y su cosmovisión, el cuadro que ese pueblo se forja de cómo son las cosas en la realidad, sus ideas más abarcativas acerca del orden. En la creencia y en la práctica religiosas, el </w:t>
      </w:r>
      <w:r w:rsidRPr="006E437B">
        <w:rPr>
          <w:rFonts w:ascii="Times New Roman" w:hAnsi="Times New Roman" w:cs="Times New Roman"/>
          <w:i/>
          <w:sz w:val="24"/>
          <w:szCs w:val="24"/>
        </w:rPr>
        <w:t>ethos</w:t>
      </w:r>
      <w:r w:rsidRPr="006E437B">
        <w:rPr>
          <w:rFonts w:ascii="Times New Roman" w:hAnsi="Times New Roman" w:cs="Times New Roman"/>
          <w:sz w:val="24"/>
          <w:szCs w:val="24"/>
        </w:rPr>
        <w:t xml:space="preserve"> de un grupo se convierte en algo intelectualmente razonable al mostrárselo como representante de un estilo de vida idealmente adaptado al estado de cosas descrito por la cosmovisión, en tanto que ésta se hace emocionalmente convincente al presentársela como una imagen de un estado de cosas peculiarmente bien dispuesto para acomodarse a tal estilo de vida</w:t>
      </w:r>
      <w:r w:rsidRPr="006E437B">
        <w:rPr>
          <w:rFonts w:ascii="Times New Roman" w:hAnsi="Times New Roman" w:cs="Times New Roman"/>
          <w:sz w:val="24"/>
          <w:szCs w:val="24"/>
          <w:vertAlign w:val="superscript"/>
        </w:rPr>
        <w:t>3</w:t>
      </w:r>
      <w:r w:rsidRPr="006E437B">
        <w:rPr>
          <w:rFonts w:ascii="Times New Roman" w:hAnsi="Times New Roman" w:cs="Times New Roman"/>
          <w:sz w:val="24"/>
          <w:szCs w:val="24"/>
        </w:rPr>
        <w:t>. (p. 89)</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Esta idea permite comprender que las tradiciones no son únicamente acontecimientos periódicos, sino entramados simbólicos construidos históricamente y que dan forma a la identidad de los pueblos. En ese sentido, las procesiones, danzas, peregrinaciones, ceremonias religiosas y la expresión musical o celebración patronal contienen significados específicos que representan la forma en la que se organiza una comunidad.</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2</w:t>
      </w:r>
      <w:r w:rsidRPr="006E437B">
        <w:rPr>
          <w:rFonts w:ascii="Times New Roman" w:eastAsiaTheme="minorEastAsia" w:hAnsi="Times New Roman" w:cs="Times New Roman"/>
          <w:sz w:val="20"/>
          <w:szCs w:val="24"/>
        </w:rPr>
        <w:t xml:space="preserve"> Durkheim, E. (2013). Las formas elementales de la vida religiosa. FCE</w:t>
      </w:r>
    </w:p>
    <w:p w:rsidR="00772068" w:rsidRPr="006E437B" w:rsidRDefault="00772068" w:rsidP="00141629">
      <w:pPr>
        <w:spacing w:after="0" w:line="240" w:lineRule="auto"/>
        <w:ind w:right="49"/>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3</w:t>
      </w:r>
      <w:r w:rsidRPr="006E437B">
        <w:rPr>
          <w:rFonts w:ascii="Times New Roman" w:eastAsiaTheme="minorEastAsia" w:hAnsi="Times New Roman" w:cs="Times New Roman"/>
          <w:sz w:val="20"/>
          <w:szCs w:val="24"/>
        </w:rPr>
        <w:t xml:space="preserve"> Geertz, C. (2003). La interpretación de las culturas. Gedisa.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consecuencia, la preservación de una festividad tradicional implica conservar un complejo sistema de símbolos que expresa la historia, las creencias, las prácticas sociales y la memoria colectiva de una comunidad determinada. Cuando una tradición desaparece, no únicamente se extingue una celebración anual; también se debilita un conjunto de conocimientos, narrativas, formas de organización comunitaria y mecanismos de transmisión cultural, es decir, una forma de ser y estar en el mundo.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La riqueza de las tradiciones mexicanas en general y mexiquenses en particular reside en su capacidad de adaptarse a nuevas dinámicas sociales y a su capacidad para amalgamar elementos de los pueblos originarios, con europeos y mestizos, y es de esa forma como dichas celebraciones se mantienen vigentes, gracias al sincretismo que ha sido parte de la identidad mexicana.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Vale la pena destacar que las tradiciones poseen, además, una dimensión democrática. Constituyen espacios de participación comunitaria en los que convergen personas de distintas edades, ocupaciones y condiciones sociales. La organización de una festividad implica la colaboración de mayordomías, asociaciones religiosas, músicos, artesanos, comerciantes, cocineras tradicionales, cronistas, danzantes y miles de habitantes que participan voluntariamente en la preservación de una práctica compartida. De esta forma, la tradición fortalece el capital social de las comunidades al generar redes de confianza, cooperación y reciprocidad.</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sociedades caracterizadas por acelerados procesos de urbanización, movilidad poblacional y transformación tecnológica, las tradiciones adquieren una importancia adicional como mecanismos de continuidad histórica. Constituyen espacios donde las nuevas generaciones establecen vínculos con su memoria colectiva y reconocen la existencia de referentes culturales que fortalecen su sentido de pertenencia. Ello explica que las políticas culturales contemporáneas ya no conciban el patrimonio cultural únicamente como un conjunto de monumentos o edificios históricos, sino también como aquellas prácticas vivas que las comunidades consideran parte esencial de su identidad.</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Para el filósofo surcoreano Byung-Chul Han, la desaparición de los rituales provocada por las transformaciones tecnológicas y el modelo económico capitalista en su vertiente neoliberal pone en riesgo las relaciones sociales, para él, los rituales “son técnicas simbólicas de instalación en un hogar”</w:t>
      </w:r>
      <w:r w:rsidRPr="006E437B">
        <w:rPr>
          <w:rFonts w:ascii="Times New Roman" w:hAnsi="Times New Roman" w:cs="Times New Roman"/>
          <w:sz w:val="24"/>
          <w:szCs w:val="24"/>
          <w:vertAlign w:val="superscript"/>
        </w:rPr>
        <w:t>4</w:t>
      </w:r>
      <w:r w:rsidRPr="006E437B">
        <w:rPr>
          <w:rFonts w:ascii="Times New Roman" w:hAnsi="Times New Roman" w:cs="Times New Roman"/>
          <w:sz w:val="24"/>
          <w:szCs w:val="24"/>
        </w:rPr>
        <w:t>, es decir, es una forma en la que las comunidades se sienten en “casa”. Desde esa perspectiva, los rituales y las tradiciones que se manifiestan a través de fiestas patronales otorgan un universo simbólico a una comunidad y son esas metáforas las que dan estabilidad a la vida comunitaria.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Desde esta perspectiva sociológica, antropológica y filosófica, el reconocimiento legislativo de determinadas expresiones culturales como patrimonio cultural inmaterial no representa un acto meramente declarativo. Constituye el reconocimiento institucional de procesos sociales cuya conservación resulta indispensable para garantizar la continuidad de la memoria colectiva, proteger la diversidad cultural y fortalecer los derechos culturales de las comunidades que les dan vida. Por ello, la preservación de tradiciones profundamente arraigadas, como la festividad dedicada al Señor del Huerto en el municipio de Atlacomulco, encuentra sustento no solamente en el valor histórico de la celebración. También se debe considerar la función social que desempeña como elemento articulador de la identidad colectiva, la cohesión comunitaria y la continuidad cultural de una de las regiones con mayor riqueza histórica del Estado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right="49"/>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4</w:t>
      </w:r>
      <w:r w:rsidRPr="006E437B">
        <w:rPr>
          <w:rFonts w:ascii="Times New Roman" w:eastAsiaTheme="minorEastAsia" w:hAnsi="Times New Roman" w:cs="Times New Roman"/>
          <w:sz w:val="20"/>
          <w:szCs w:val="24"/>
        </w:rPr>
        <w:t xml:space="preserve"> Han, B. (2021). La desaparición de los rituales. Herder</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Por otro lado, el reconocimiento del patrimonio cultural encuentra sustento jurídico en diversos instrumentos, tanto internacionales como nacionales. En principio, se encuentra la Convención para la Salvaguardia del Patrimonio Cultural Inmaterial, aprobada por la Conferencia General de la UNESCO el 17 de octubre de 2003 y vigente desde 2006; en sus “Textos Fundamentales” es clara respecto al principio de lo que debe entenderse como patrimonio cultural, y señala: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846" w:right="49"/>
        <w:jc w:val="both"/>
        <w:rPr>
          <w:rFonts w:ascii="Times New Roman" w:hAnsi="Times New Roman" w:cs="Times New Roman"/>
          <w:sz w:val="24"/>
          <w:szCs w:val="24"/>
        </w:rPr>
      </w:pPr>
      <w:r w:rsidRPr="006E437B">
        <w:rPr>
          <w:rFonts w:ascii="Times New Roman" w:hAnsi="Times New Roman" w:cs="Times New Roman"/>
          <w:sz w:val="24"/>
          <w:szCs w:val="24"/>
        </w:rPr>
        <w:t>El concepto de patrimonio cultural no solo se refiere a edificios y monumentos del pasado, sino también a las ricas tradiciones que se han transmitido de generación en generación. Como vehículo de identidad y cohesión social, este patrimonio cultural inmaterial también debe ser protegido y promovido. Gracias a la Convención para la Salvaguardia del Patrimonio Cultural Inmaterial aprobada en 2003, actualmente existe un reconocimiento generalizado de la importancia de salvaguardar las prácticas vivas, expresiones y conocimientos teóricos y prácticos que las sociedades valoran y reconocen como patrimonio cultural, lo cual debe lograrse mediante la implicación plena y activa de las propias comunidades</w:t>
      </w:r>
      <w:r w:rsidRPr="006E437B">
        <w:rPr>
          <w:rFonts w:ascii="Times New Roman" w:hAnsi="Times New Roman" w:cs="Times New Roman"/>
          <w:sz w:val="24"/>
          <w:szCs w:val="24"/>
          <w:vertAlign w:val="superscript"/>
        </w:rPr>
        <w:t>5</w:t>
      </w:r>
      <w:r w:rsidRPr="006E437B">
        <w:rPr>
          <w:rFonts w:ascii="Times New Roman" w:hAnsi="Times New Roman" w:cs="Times New Roman"/>
          <w:sz w:val="24"/>
          <w:szCs w:val="24"/>
        </w:rPr>
        <w:t>. (p. V)</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Para efectos de la presente iniciativa, también vale la pena señalar que, en los “Textos Fundamentales” de la Convención para la Salvaguardia del Patrimonio Cultural Inmaterial, en su artículo segundo, se incorpora una definición que constituye un referente internacional en la materia. Esta definición permite entender la importancia del reconocimiento de “patrimonio cultural inmaterial”.</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846" w:right="49"/>
        <w:jc w:val="both"/>
        <w:rPr>
          <w:rFonts w:ascii="Times New Roman" w:hAnsi="Times New Roman" w:cs="Times New Roman"/>
          <w:sz w:val="24"/>
          <w:szCs w:val="24"/>
        </w:rPr>
      </w:pPr>
      <w:r w:rsidRPr="006E437B">
        <w:rPr>
          <w:rFonts w:ascii="Times New Roman" w:hAnsi="Times New Roman" w:cs="Times New Roman"/>
          <w:sz w:val="24"/>
          <w:szCs w:val="24"/>
        </w:rPr>
        <w:t>"Se entiende por 'patrimonio cultural inmaterial' los usos, representaciones, expresiones, conocimientos y técnicas —junto con los instrumentos, objetos, artefactos y espacios culturales que les son inherentes— que las comunidades, los grupos y, en algunos casos, los individuos reconozcan como parte integrante de su patrimonio cultural. Este patrimonio cultural inmaterial, que se transmite de generación en generación, es recreado constantemente por las comunidades y grupos en función de su entorno, su interacción con la naturaleza y su historia, infundiéndoles un sentimiento de identidad y continuidad y contribuyendo así a promover el respeto de la diversidad cultural y la creatividad humana". (p. 5)</w:t>
      </w:r>
      <w:r w:rsidRPr="006E437B">
        <w:rPr>
          <w:rFonts w:ascii="Times New Roman" w:hAnsi="Times New Roman" w:cs="Times New Roman"/>
          <w:sz w:val="24"/>
          <w:szCs w:val="24"/>
          <w:vertAlign w:val="superscript"/>
        </w:rPr>
        <w:t>6</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Otro acierto de la Convención es que identifica cinco ejes en los que puede manifestarse el patrimonio cultural inmaterial. Estos ejes son las tradiciones y expresiones orales; las artes del espectáculo; los usos sociales, rituales y actos festivos; los conocimientos y usos relacionados con la naturaleza y el universo; y las técnicas artesanales tradicionales. Entre estas categorías destacan especialmente los usos sociales, los rituales y las festividades comunitarias, debido a que constituyen espacios privilegiados para la transmisión de valores, prácticas culturales y formas de organización social.</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Consciente de esta realidad, la Convención establece obligaciones concretas para los Estados Parte. El artículo 11 señala que corresponde a cada Estado adoptar las medidas necesarias para garantizar la salvaguardia del patrimonio cultural inmaterial presente en su territorio. Además, debe identificar y definir los distintos elementos que lo integran con la participación de las comunidades, los grupos y las organizaciones no gubernamentales pertinentes.</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autoSpaceDE w:val="0"/>
        <w:autoSpaceDN w:val="0"/>
        <w:adjustRightInd w:val="0"/>
        <w:spacing w:after="0" w:line="240" w:lineRule="auto"/>
        <w:jc w:val="both"/>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5</w:t>
      </w:r>
      <w:r w:rsidRPr="006E437B">
        <w:rPr>
          <w:rFonts w:ascii="Times New Roman" w:eastAsiaTheme="minorEastAsia" w:hAnsi="Times New Roman" w:cs="Times New Roman"/>
          <w:sz w:val="20"/>
          <w:szCs w:val="24"/>
        </w:rPr>
        <w:t xml:space="preserve"> Unesco. (2018). Textos fundamentales de la Convención para la Salvaguardia del Patrimonio Cultural Inmaterial de 2003. Disponible en línea: https://ich.unesco.org/doc/src/2003_Convention_Basic_Texts-_2018_version-SP.pdf</w:t>
      </w:r>
    </w:p>
    <w:p w:rsidR="00772068" w:rsidRPr="006E437B" w:rsidRDefault="00772068" w:rsidP="00141629">
      <w:pPr>
        <w:autoSpaceDE w:val="0"/>
        <w:autoSpaceDN w:val="0"/>
        <w:adjustRightInd w:val="0"/>
        <w:spacing w:after="0" w:line="240" w:lineRule="auto"/>
        <w:jc w:val="both"/>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6</w:t>
      </w:r>
      <w:r w:rsidRPr="006E437B">
        <w:rPr>
          <w:rFonts w:ascii="Times New Roman" w:eastAsiaTheme="minorEastAsia" w:hAnsi="Times New Roman" w:cs="Times New Roman"/>
          <w:sz w:val="20"/>
          <w:szCs w:val="24"/>
        </w:rPr>
        <w:t xml:space="preserve"> Unesco. (2018). Textos fundamentales de la Convención para la Salvaguardia del Patrimonio Cultural Inmaterial de 2003. Disponible en línea: https://ich.unesco.org/doc/src/2003_Convention_Basic_Texts-_2018_version-SP.pdf</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Vale la pena destacar lo que la UNESCO reconoce como "salvaguardia". Conforme al propio artículo 2 de la Convención, la salvaguardia comprende la identificación, documentación, investigación, preservación, protección, promoción, valorización, transmisión —particularmente mediante la enseñanza formal y no formal— y revitalización del patrimonio cultural inmaterial. Como consecuencia, la protección jurídica de una manifestación cultural no se limita a emitir una declaratoria honorífica, sino que va más allá y obliga a los Estados miembros a diseñar mecanismos que preserven esas manifestaciones.</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el ámbito nacional, el derecho a la cultura se encuentra sustentado en el artículo 4.º de la Constitución Política de los Estados Unidos Mexicanos, el cual reconoce el derecho de toda persona al acceso a la cultura y al disfrute de los bienes y servicios que presta el Estado en la materia. El mismo precepto establece la obligación estatal de promover los medios para la difusión y el desarrollo de la cultura, atendiendo al respeto de la diversidad cultural y la libertad creativa.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ese tenor, se deduce que los derechos culturales reconocidos constitucionalmente no se agotan en el acceso a bienes culturales producidos por instituciones públicas. Comprenden también el derecho de las comunidades a conservar, desarrollar y transmitir aquellas expresiones culturales que forman parte de su identidad histórica. En este sentido, las festividades tradicionales constituyen una manifestación concreta del ejercicio de los derechos culturales tanto en su dimensión individual como colectiva.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De igual manera, la Ley General de Cultura y Derechos Culturales establece entre sus objetivos promover, respetar, proteger y asegurar el ejercicio de los derechos culturales de todas las personas, así como reconocer la diversidad de las expresiones culturales que conforman el patrimonio de la Nación</w:t>
      </w:r>
      <w:r w:rsidRPr="006E437B">
        <w:rPr>
          <w:rFonts w:ascii="Times New Roman" w:hAnsi="Times New Roman" w:cs="Times New Roman"/>
          <w:sz w:val="24"/>
          <w:szCs w:val="24"/>
          <w:vertAlign w:val="superscript"/>
        </w:rPr>
        <w:t>7</w:t>
      </w:r>
      <w:r w:rsidRPr="006E437B">
        <w:rPr>
          <w:rFonts w:ascii="Times New Roman" w:hAnsi="Times New Roman" w:cs="Times New Roman"/>
          <w:sz w:val="24"/>
          <w:szCs w:val="24"/>
        </w:rPr>
        <w:t>. La propia ley incorpora como principios rectores el respeto a la diversidad cultural, la igualdad entre las culturas y la participación social en la preservación del patrimonio cultural.</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 xml:space="preserve">En el ámbito local, la Constitución Política del Estado Libre y Soberano de México reconoce igualmente el derecho de las personas a participar en la vida cultural y a disfrutar de los bienes que integran el patrimonio de la entidad. Además, la Constitución local establece que el Estado deberá promover medios para el disfrute de la cultura, atendiendo la diversidad de la entidad, así como la diversidad de esas manifestaciones. Dicho reconocimiento impone a las autoridades estatales la responsabilidad de adoptar medidas orientadas a preservar las expresiones culturales que representan un elemento esencial de la identidad mexiquense. </w:t>
      </w:r>
    </w:p>
    <w:p w:rsidR="00772068" w:rsidRPr="006E437B" w:rsidRDefault="00772068"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sz w:val="24"/>
          <w:szCs w:val="24"/>
        </w:rPr>
        <w:t xml:space="preserve"> </w:t>
      </w: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Desde esta perspectiva, la intervención del Poder Legislativo adquiere una especial relevancia. Las declaratorias de patrimonio cultural inmaterial constituyen expresiones de reconocimiento público respecto de aquellas manifestaciones que, por su arraigo histórico, su permanencia intergeneracional, su capacidad de fortalecer la cohesión social y su relevancia para la identidad colectiva, merecen ser objeto de acciones específicas de protección y promoción.</w:t>
      </w:r>
    </w:p>
    <w:p w:rsidR="00772068" w:rsidRPr="006E437B" w:rsidRDefault="00772068"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sz w:val="24"/>
          <w:szCs w:val="24"/>
        </w:rPr>
        <w:t xml:space="preserve"> </w:t>
      </w: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consecuencia, el reconocimiento de la festividad del Señor del Huerto de Atlacomulco como patrimonio cultural inmaterial del Estado de México no debe entenderse como un acto de naturaleza exclusivamente simbólica. Representa el cumplimiento de los principios establecidos por la UNESCO y la materialización de los derechos culturales reconocidos por el orden jurídico mexicano. Además, incluye el fortalecimiento de las acciones de salvaguardia encaminadas a preservar una manifestación cultural que, desde hace generaciones, forma parte del patrimonio vivo de las comunidades del Estado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el municipio de Atlacomulco, la festividad del Señor del Huerto representa una de las expresiones culturales de mayor arraigo y continuidad histórica. Su relevancia no puede comprenderse de manera aislada, sino como parte del proceso de conformación histórica de una comunidad cuya identidad se encuentra estrechamente vinculada con sus tradiciones religiosas y con la preservación de un patrimonio cultural construido colectivamente.</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right="49"/>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7</w:t>
      </w:r>
      <w:r w:rsidRPr="006E437B">
        <w:rPr>
          <w:rFonts w:ascii="Times New Roman" w:eastAsiaTheme="minorEastAsia" w:hAnsi="Times New Roman" w:cs="Times New Roman"/>
          <w:sz w:val="20"/>
          <w:szCs w:val="24"/>
        </w:rPr>
        <w:t xml:space="preserve"> Ley general de Cultura y Derechos Culturales. (15-01-26). Disponible en: https://www.diputados.gob.mx/LeyesBiblio/pdf/LGCDC.pdf</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La Monografía Municipal de Atlacomulco, elaborada por Perama Colín Martínez, describe al municipio como una comunidad que combina un “pasado glorioso” y la convergencia de la cultura mazahua.</w:t>
      </w:r>
      <w:r w:rsidRPr="006E437B">
        <w:rPr>
          <w:rFonts w:ascii="Times New Roman" w:hAnsi="Times New Roman" w:cs="Times New Roman"/>
          <w:sz w:val="24"/>
          <w:szCs w:val="24"/>
          <w:vertAlign w:val="superscript"/>
        </w:rPr>
        <w:t>8</w:t>
      </w:r>
      <w:r w:rsidRPr="006E437B">
        <w:rPr>
          <w:rFonts w:ascii="Times New Roman" w:hAnsi="Times New Roman" w:cs="Times New Roman"/>
          <w:sz w:val="24"/>
          <w:szCs w:val="24"/>
        </w:rPr>
        <w:t xml:space="preserve"> Asimismo, identifica las festividades religiosas entre las manifestaciones culturales más representativas del municipio, al señalar que constituyen espacios de participación social e identidad colectiva que han permanecido vigentes a través del tiempo.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En el mismo documento se da cuenta de la festividad del Señor del Huerto y se señala que “esta es la festividad de mayor importancia en el municipio y es, en su esencia, una muestra viva de las costumbres, de las tradiciones y de la fe del pueblo”</w:t>
      </w:r>
      <w:r w:rsidRPr="006E437B">
        <w:rPr>
          <w:rFonts w:ascii="Times New Roman" w:hAnsi="Times New Roman" w:cs="Times New Roman"/>
          <w:sz w:val="24"/>
          <w:szCs w:val="24"/>
          <w:vertAlign w:val="superscript"/>
        </w:rPr>
        <w:t>9</w:t>
      </w:r>
      <w:r w:rsidRPr="006E437B">
        <w:rPr>
          <w:rFonts w:ascii="Times New Roman" w:hAnsi="Times New Roman" w:cs="Times New Roman"/>
          <w:sz w:val="24"/>
          <w:szCs w:val="24"/>
        </w:rPr>
        <w:t>. Algunos medios de comunicación señalan que la tradición tiene más de 250 años de existencia</w:t>
      </w:r>
      <w:r w:rsidRPr="006E437B">
        <w:rPr>
          <w:rFonts w:ascii="Times New Roman" w:hAnsi="Times New Roman" w:cs="Times New Roman"/>
          <w:sz w:val="24"/>
          <w:szCs w:val="24"/>
          <w:vertAlign w:val="superscript"/>
        </w:rPr>
        <w:t>10</w:t>
      </w:r>
      <w:r w:rsidRPr="006E437B">
        <w:rPr>
          <w:rFonts w:ascii="Times New Roman" w:hAnsi="Times New Roman" w:cs="Times New Roman"/>
          <w:sz w:val="24"/>
          <w:szCs w:val="24"/>
        </w:rPr>
        <w:t xml:space="preserve">, y que, con el paso de las generaciones, la festividad evolucionó hasta convertirse en una de las celebraciones de mayor convocatoria del norte del Estado de México. Se sabe que la fiesta principal tiene lugar durante la tercera semana del mes de septiembre. El tercer domingo es el momento culminante de una serie de actividades religiosas, culturales y comunitarias que congregan a miles de peregrinos provenientes de diversas regiones de la entidad y de estados vecinos. </w:t>
      </w:r>
    </w:p>
    <w:p w:rsidR="00772068" w:rsidRPr="006E437B" w:rsidRDefault="00772068"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sz w:val="24"/>
          <w:szCs w:val="24"/>
        </w:rPr>
        <w:t xml:space="preserve"> </w:t>
      </w: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 xml:space="preserve">En esta celebración convergen múltiples expresiones del patrimonio cultural inmaterial: la organización comunitaria, la elaboración de arreglos florales, la preparación de alimentos tradicionales, la música popular, las danzas, las peregrinaciones, las expresiones de religiosidad popular y los conocimientos organizativos que permiten la continuidad de la celebración. Cada una de estas manifestaciones constituye un mecanismo mediante el cual la comunidad transmite saberes, fortalece vínculos sociales y reafirma su identidad colectiva. </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8</w:t>
      </w:r>
      <w:r w:rsidRPr="006E437B">
        <w:rPr>
          <w:rFonts w:ascii="Times New Roman" w:eastAsiaTheme="minorEastAsia" w:hAnsi="Times New Roman" w:cs="Times New Roman"/>
          <w:sz w:val="20"/>
          <w:szCs w:val="24"/>
        </w:rPr>
        <w:t xml:space="preserve"> Colín, P. (2022). Monografía Municipal de Atlacomulco. Disponible en:</w:t>
      </w:r>
    </w:p>
    <w:p w:rsidR="00772068" w:rsidRPr="006E437B" w:rsidRDefault="00772068"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rPr>
        <w:t>https://atlacomulco.gob.mx/documentos/tramites/Cronista/MONOGRAFIA%20DE%20ATLACOMULCO%202022%20-%202024%20Fecha%2013%20Sep.pdf</w:t>
      </w:r>
    </w:p>
    <w:p w:rsidR="00772068" w:rsidRPr="006E437B" w:rsidRDefault="00772068" w:rsidP="00141629">
      <w:pPr>
        <w:autoSpaceDE w:val="0"/>
        <w:autoSpaceDN w:val="0"/>
        <w:adjustRightInd w:val="0"/>
        <w:spacing w:after="0" w:line="240" w:lineRule="auto"/>
        <w:rPr>
          <w:rFonts w:ascii="Times New Roman" w:eastAsiaTheme="minorEastAsia" w:hAnsi="Times New Roman" w:cs="Times New Roman"/>
          <w:sz w:val="20"/>
          <w:szCs w:val="24"/>
        </w:rPr>
      </w:pPr>
      <w:r w:rsidRPr="006E437B">
        <w:rPr>
          <w:rFonts w:ascii="Times New Roman" w:eastAsiaTheme="minorEastAsia" w:hAnsi="Times New Roman" w:cs="Times New Roman"/>
          <w:sz w:val="20"/>
          <w:szCs w:val="24"/>
          <w:vertAlign w:val="superscript"/>
        </w:rPr>
        <w:t>9</w:t>
      </w:r>
      <w:r w:rsidRPr="006E437B">
        <w:rPr>
          <w:rFonts w:ascii="Times New Roman" w:eastAsiaTheme="minorEastAsia" w:hAnsi="Times New Roman" w:cs="Times New Roman"/>
          <w:sz w:val="20"/>
          <w:szCs w:val="24"/>
        </w:rPr>
        <w:t xml:space="preserve"> Ibid.</w:t>
      </w:r>
    </w:p>
    <w:p w:rsidR="00772068" w:rsidRPr="006E437B" w:rsidRDefault="00772068" w:rsidP="00141629">
      <w:pPr>
        <w:autoSpaceDE w:val="0"/>
        <w:autoSpaceDN w:val="0"/>
        <w:adjustRightInd w:val="0"/>
        <w:spacing w:after="0" w:line="240" w:lineRule="auto"/>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10</w:t>
      </w:r>
      <w:r w:rsidRPr="006E437B">
        <w:rPr>
          <w:rFonts w:ascii="Times New Roman" w:eastAsiaTheme="minorEastAsia" w:hAnsi="Times New Roman" w:cs="Times New Roman"/>
          <w:sz w:val="20"/>
          <w:szCs w:val="24"/>
        </w:rPr>
        <w:t xml:space="preserve"> El Universal. (01-09-24). Celebración del Señor del Huerto, tradición viva en Atlacomulco desde 1853. Disponible en: https://www.eluniversal.com.mx/edomex/celebracion-del-senor-del-huerto-tradicion-viva-en-atlacomulco-desde-1853/</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Precisamente esta capacidad para articular memoria histórica, participación social e identidad territorial explica que la festividad del Señor del Huerto reúna los elementos que la Convención para la Salvaguardia del Patrimonio Cultural Inmaterial identifica como característicos del patrimonio cultural vivo.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Su permanencia no depende exclusivamente de la conservación de un inmueble religioso o de una imagen de culto, sino de la voluntad colectiva de una comunidad que, año con año, recrea y transmite una tradición que considera parte esencial de su patrimonio cultural. Ejemplo de ello es que la festividad inicia con el cambio de ropa de la imagen del “Señor del Huerto”, la cual es donada por una familia del municipio y vuelve a renovar en “Semana Santa”, esto da cuenta de un nivel de organización social que convierte esta tradición en un principio fundamental para la conservación del tejido social.</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Con base en ello, el reconocimiento de la festividad del Señor del Huerto como Patrimonio Cultural Inmaterial del Estado de México constituye una medida congruente con los principios establecidos por la UNESCO. Además, está congruente con la responsabilidad constitucional del Estado de proteger las manifestaciones culturales que fortalecen la identidad de los pueblos.</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 xml:space="preserve">Por lo anteriormente expuesto, se somete a la consideración de este H. Poder Legislativo del Estado de México, para su análisis, discusión y, en su caso, aprobación en sus términos, la presente: </w:t>
      </w:r>
      <w:r w:rsidRPr="006E437B">
        <w:rPr>
          <w:rFonts w:ascii="Times New Roman" w:hAnsi="Times New Roman" w:cs="Times New Roman"/>
          <w:b/>
          <w:sz w:val="24"/>
          <w:szCs w:val="24"/>
        </w:rPr>
        <w:t>INICIATIVA DE DECRETO POR LA QUE SE DECLARA LA CELEBRACIÓN TRADICIONAL DEL SEÑOR DEL HUERTO DEL MUNICIPIO DE ATLACOMULCO COMO PATRIMONIO CULTURAL INMATERIAL DEL ESTADO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pStyle w:val="Ttulo1"/>
        <w:keepNext w:val="0"/>
        <w:keepLines w:val="0"/>
        <w:spacing w:line="240" w:lineRule="auto"/>
        <w:ind w:right="49"/>
        <w:rPr>
          <w:rFonts w:ascii="Times New Roman" w:hAnsi="Times New Roman" w:cs="Times New Roman"/>
          <w:color w:val="auto"/>
          <w:szCs w:val="24"/>
        </w:rPr>
      </w:pPr>
      <w:r w:rsidRPr="006E437B">
        <w:rPr>
          <w:rFonts w:ascii="Times New Roman" w:hAnsi="Times New Roman" w:cs="Times New Roman"/>
          <w:color w:val="auto"/>
          <w:szCs w:val="24"/>
        </w:rPr>
        <w:t xml:space="preserve">A T E N T A M E N T E </w:t>
      </w:r>
    </w:p>
    <w:p w:rsidR="00772068" w:rsidRPr="006E437B" w:rsidRDefault="00772068" w:rsidP="00141629">
      <w:pPr>
        <w:spacing w:after="0" w:line="240" w:lineRule="auto"/>
        <w:ind w:left="66" w:right="49"/>
        <w:jc w:val="center"/>
        <w:rPr>
          <w:rFonts w:ascii="Times New Roman" w:hAnsi="Times New Roman" w:cs="Times New Roman"/>
          <w:sz w:val="24"/>
          <w:szCs w:val="24"/>
        </w:rPr>
      </w:pPr>
    </w:p>
    <w:p w:rsidR="00772068" w:rsidRPr="006E437B" w:rsidRDefault="00772068" w:rsidP="00141629">
      <w:pPr>
        <w:spacing w:after="0" w:line="240" w:lineRule="auto"/>
        <w:ind w:right="49"/>
        <w:jc w:val="center"/>
        <w:rPr>
          <w:rFonts w:ascii="Times New Roman" w:hAnsi="Times New Roman" w:cs="Times New Roman"/>
          <w:sz w:val="24"/>
          <w:szCs w:val="24"/>
        </w:rPr>
      </w:pPr>
      <w:r w:rsidRPr="006E437B">
        <w:rPr>
          <w:rFonts w:ascii="Times New Roman" w:hAnsi="Times New Roman" w:cs="Times New Roman"/>
          <w:b/>
          <w:sz w:val="24"/>
          <w:szCs w:val="24"/>
        </w:rPr>
        <w:t>DIP. JOSÉ ALBERTO COUTTOLENC BUENTELLO</w:t>
      </w:r>
    </w:p>
    <w:p w:rsidR="00772068" w:rsidRPr="006E437B" w:rsidRDefault="00772068" w:rsidP="00141629">
      <w:pPr>
        <w:spacing w:after="0" w:line="240" w:lineRule="auto"/>
        <w:ind w:right="49"/>
        <w:jc w:val="center"/>
        <w:rPr>
          <w:rFonts w:ascii="Times New Roman" w:hAnsi="Times New Roman" w:cs="Times New Roman"/>
          <w:sz w:val="24"/>
          <w:szCs w:val="24"/>
        </w:rPr>
      </w:pPr>
      <w:r w:rsidRPr="006E437B">
        <w:rPr>
          <w:rFonts w:ascii="Times New Roman" w:hAnsi="Times New Roman" w:cs="Times New Roman"/>
          <w:sz w:val="24"/>
          <w:szCs w:val="24"/>
        </w:rPr>
        <w:t>COORDINADOR DEL GRUPO PARLAMENTARIO DEL</w:t>
      </w:r>
    </w:p>
    <w:p w:rsidR="00772068" w:rsidRPr="006E437B" w:rsidRDefault="00772068" w:rsidP="00141629">
      <w:pPr>
        <w:spacing w:after="0" w:line="240" w:lineRule="auto"/>
        <w:ind w:left="2190" w:right="49"/>
        <w:rPr>
          <w:rFonts w:ascii="Times New Roman" w:hAnsi="Times New Roman" w:cs="Times New Roman"/>
          <w:sz w:val="24"/>
          <w:szCs w:val="24"/>
        </w:rPr>
      </w:pPr>
      <w:r w:rsidRPr="006E437B">
        <w:rPr>
          <w:rFonts w:ascii="Times New Roman" w:hAnsi="Times New Roman" w:cs="Times New Roman"/>
          <w:sz w:val="24"/>
          <w:szCs w:val="24"/>
        </w:rPr>
        <w:t>PARTIDO VERDE ECOLOGISTA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 xml:space="preserve">DECRETO NÚMERO ____ </w:t>
      </w:r>
    </w:p>
    <w:p w:rsidR="00772068" w:rsidRPr="006E437B" w:rsidRDefault="00772068" w:rsidP="00141629">
      <w:pPr>
        <w:spacing w:after="0" w:line="240" w:lineRule="auto"/>
        <w:ind w:left="-5" w:right="49"/>
        <w:rPr>
          <w:rFonts w:ascii="Times New Roman" w:hAnsi="Times New Roman" w:cs="Times New Roman"/>
          <w:b/>
          <w:sz w:val="24"/>
          <w:szCs w:val="24"/>
        </w:rPr>
      </w:pPr>
      <w:r w:rsidRPr="006E437B">
        <w:rPr>
          <w:rFonts w:ascii="Times New Roman" w:hAnsi="Times New Roman" w:cs="Times New Roman"/>
          <w:b/>
          <w:sz w:val="24"/>
          <w:szCs w:val="24"/>
        </w:rPr>
        <w:t>LA LXII LEGISLATURA DEL ESTADO DE MÉXICO</w:t>
      </w:r>
    </w:p>
    <w:p w:rsidR="00772068" w:rsidRPr="006E437B" w:rsidRDefault="00772068" w:rsidP="00141629">
      <w:pPr>
        <w:spacing w:after="0" w:line="240" w:lineRule="auto"/>
        <w:ind w:left="-5" w:right="49"/>
        <w:rPr>
          <w:rFonts w:ascii="Times New Roman" w:hAnsi="Times New Roman" w:cs="Times New Roman"/>
          <w:sz w:val="24"/>
          <w:szCs w:val="24"/>
        </w:rPr>
      </w:pPr>
      <w:r w:rsidRPr="006E437B">
        <w:rPr>
          <w:rFonts w:ascii="Times New Roman" w:hAnsi="Times New Roman" w:cs="Times New Roman"/>
          <w:b/>
          <w:sz w:val="24"/>
          <w:szCs w:val="24"/>
        </w:rPr>
        <w:t xml:space="preserve">DECRETA: </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PRIMERO.- </w:t>
      </w:r>
      <w:r w:rsidRPr="006E437B">
        <w:rPr>
          <w:rFonts w:ascii="Times New Roman" w:hAnsi="Times New Roman" w:cs="Times New Roman"/>
          <w:sz w:val="24"/>
          <w:szCs w:val="24"/>
        </w:rPr>
        <w:t>Se declara la Celebración Tradicional del Señor del Huerto del municipio de Atlacomulco como Patrimonio Cultural Inmaterial del Estado de México, por su valor histórico, cultural y comunitario.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b/>
          <w:sz w:val="24"/>
          <w:szCs w:val="24"/>
        </w:rPr>
        <w:t>ARTÍCULO SEGUNDO.</w:t>
      </w:r>
      <w:r w:rsidRPr="006E437B">
        <w:rPr>
          <w:rFonts w:ascii="Times New Roman" w:hAnsi="Times New Roman" w:cs="Times New Roman"/>
          <w:sz w:val="24"/>
          <w:szCs w:val="24"/>
        </w:rPr>
        <w:t>- Se declara de interés público y social la salvaguarda, preservación, transmisión, promoción y fortalecimiento de los saberes tradicionales, los procesos, y los valores culturales asociados a la Celebración Tradicional del Señor del Huerto del municipio de Atlacomulco.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pStyle w:val="Ttulo1"/>
        <w:keepNext w:val="0"/>
        <w:keepLines w:val="0"/>
        <w:spacing w:line="240" w:lineRule="auto"/>
        <w:ind w:right="49"/>
        <w:rPr>
          <w:rFonts w:ascii="Times New Roman" w:hAnsi="Times New Roman" w:cs="Times New Roman"/>
          <w:color w:val="auto"/>
          <w:szCs w:val="24"/>
        </w:rPr>
      </w:pPr>
      <w:r w:rsidRPr="006E437B">
        <w:rPr>
          <w:rFonts w:ascii="Times New Roman" w:hAnsi="Times New Roman" w:cs="Times New Roman"/>
          <w:color w:val="auto"/>
          <w:szCs w:val="24"/>
        </w:rPr>
        <w:t xml:space="preserve">T R A N S I T O R I O S </w:t>
      </w:r>
    </w:p>
    <w:p w:rsidR="00772068" w:rsidRPr="006E437B" w:rsidRDefault="00772068" w:rsidP="00141629">
      <w:pPr>
        <w:spacing w:after="0" w:line="240" w:lineRule="auto"/>
        <w:ind w:left="66" w:right="49"/>
        <w:jc w:val="center"/>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PRIMERO. </w:t>
      </w:r>
      <w:r w:rsidRPr="006E437B">
        <w:rPr>
          <w:rFonts w:ascii="Times New Roman" w:hAnsi="Times New Roman" w:cs="Times New Roman"/>
          <w:sz w:val="24"/>
          <w:szCs w:val="24"/>
        </w:rPr>
        <w:t>Publíquese el presente Decreto en el Periódico Oficial “Gaceta del Gobierno” del Estado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SEGUNDO. </w:t>
      </w:r>
      <w:r w:rsidRPr="006E437B">
        <w:rPr>
          <w:rFonts w:ascii="Times New Roman" w:hAnsi="Times New Roman" w:cs="Times New Roman"/>
          <w:sz w:val="24"/>
          <w:szCs w:val="24"/>
        </w:rPr>
        <w:t>El presente Decreto entrará en vigor el día siguiente de su publicación en el Periódico Oficial “Gaceta del Gobierno” del Estado de México.</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TERCERO. </w:t>
      </w:r>
      <w:r w:rsidRPr="006E437B">
        <w:rPr>
          <w:rFonts w:ascii="Times New Roman" w:hAnsi="Times New Roman" w:cs="Times New Roman"/>
          <w:sz w:val="24"/>
          <w:szCs w:val="24"/>
        </w:rPr>
        <w:t>El H. Ayuntamiento de Atlacomulco, en coordinación con la Secretaría de Cultura y Turismo del Estado de México, deberá adoptar las medidas necesarias para garantizar la viabilidad, protección, conservación, transmisión y promoción de la Celebración Tradicional del Señor del Huerto, así como la participación de las comunidades portadoras de esta tradición, conforme a la disponibilidad presupuestal correspondiente.</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La persona titular del Poder Ejecutivo lo tendrá por entendido, haciendo que se publique y se cumpla.</w:t>
      </w:r>
    </w:p>
    <w:p w:rsidR="00772068" w:rsidRPr="006E437B" w:rsidRDefault="00772068" w:rsidP="00141629">
      <w:pPr>
        <w:spacing w:after="0" w:line="240" w:lineRule="auto"/>
        <w:ind w:right="49"/>
        <w:rPr>
          <w:rFonts w:ascii="Times New Roman" w:hAnsi="Times New Roman" w:cs="Times New Roman"/>
          <w:sz w:val="24"/>
          <w:szCs w:val="24"/>
        </w:rPr>
      </w:pPr>
    </w:p>
    <w:p w:rsidR="00772068" w:rsidRPr="006E437B" w:rsidRDefault="00772068" w:rsidP="00141629">
      <w:pPr>
        <w:spacing w:after="0" w:line="240" w:lineRule="auto"/>
        <w:ind w:left="-5" w:right="49"/>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Capital del Estado de México, a los días _</w:t>
      </w:r>
      <w:r w:rsidRPr="006E437B">
        <w:rPr>
          <w:rFonts w:ascii="Times New Roman" w:hAnsi="Times New Roman" w:cs="Times New Roman"/>
          <w:sz w:val="24"/>
          <w:szCs w:val="24"/>
        </w:rPr>
        <w:tab/>
        <w:t xml:space="preserve"> del mes </w:t>
      </w:r>
      <w:r w:rsidRPr="006E437B">
        <w:rPr>
          <w:rFonts w:ascii="Times New Roman" w:hAnsi="Times New Roman" w:cs="Times New Roman"/>
          <w:sz w:val="24"/>
          <w:szCs w:val="24"/>
        </w:rPr>
        <w:tab/>
        <w:t>_ de dos mil veintiséis.</w:t>
      </w:r>
    </w:p>
    <w:p w:rsidR="00C139A2" w:rsidRPr="006E437B" w:rsidRDefault="00C139A2" w:rsidP="00141629">
      <w:pPr>
        <w:pStyle w:val="Sinespaciado"/>
        <w:jc w:val="both"/>
        <w:rPr>
          <w:rFonts w:ascii="Times New Roman" w:hAnsi="Times New Roman" w:cs="Times New Roman"/>
          <w:sz w:val="24"/>
          <w:szCs w:val="24"/>
        </w:rPr>
      </w:pPr>
    </w:p>
    <w:p w:rsidR="00C139A2" w:rsidRPr="006E437B" w:rsidRDefault="00C139A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C139A2" w:rsidRPr="006E437B" w:rsidRDefault="00C139A2" w:rsidP="00141629">
      <w:pPr>
        <w:pStyle w:val="Sinespaciado"/>
        <w:jc w:val="both"/>
        <w:rPr>
          <w:rFonts w:ascii="Times New Roman" w:hAnsi="Times New Roman" w:cs="Times New Roman"/>
          <w:sz w:val="24"/>
          <w:szCs w:val="24"/>
        </w:rPr>
      </w:pP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diputada.</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registra la iniciativa y se remite a la Comisión Legislativa de Gobernación y Puntos Constitucionales</w:t>
      </w:r>
      <w:r w:rsidR="002C67E5" w:rsidRPr="006E437B">
        <w:rPr>
          <w:rFonts w:ascii="Times New Roman" w:hAnsi="Times New Roman" w:cs="Times New Roman"/>
          <w:sz w:val="24"/>
          <w:szCs w:val="24"/>
        </w:rPr>
        <w:t>,</w:t>
      </w:r>
      <w:r w:rsidRPr="006E437B">
        <w:rPr>
          <w:rFonts w:ascii="Times New Roman" w:hAnsi="Times New Roman" w:cs="Times New Roman"/>
          <w:sz w:val="24"/>
          <w:szCs w:val="24"/>
        </w:rPr>
        <w:t xml:space="preserve"> para su estudio y dictamen.</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observancia del punto 11, la diputada Ana Yurixi Leyva Piñón</w:t>
      </w:r>
      <w:r w:rsidR="00BD119C" w:rsidRPr="006E437B">
        <w:rPr>
          <w:rFonts w:ascii="Times New Roman" w:hAnsi="Times New Roman" w:cs="Times New Roman"/>
          <w:sz w:val="24"/>
          <w:szCs w:val="24"/>
        </w:rPr>
        <w:t>,</w:t>
      </w:r>
      <w:r w:rsidRPr="006E437B">
        <w:rPr>
          <w:rFonts w:ascii="Times New Roman" w:hAnsi="Times New Roman" w:cs="Times New Roman"/>
          <w:sz w:val="24"/>
          <w:szCs w:val="24"/>
        </w:rPr>
        <w:t xml:space="preserve"> presenta en nombre del Grupo Parlamentario del Partido del Trabajo, Iniciativa con Proyecto de Decreto que adiciona un texto a las fracciones X y XXIII del artículo 48, se adiciona una fracción XIV Bis al artículo 96 </w:t>
      </w:r>
      <w:r w:rsidR="00FA15BB" w:rsidRPr="006E437B">
        <w:rPr>
          <w:rFonts w:ascii="Times New Roman" w:hAnsi="Times New Roman" w:cs="Times New Roman"/>
          <w:sz w:val="24"/>
          <w:szCs w:val="24"/>
        </w:rPr>
        <w:t xml:space="preserve">Quaterdecies </w:t>
      </w:r>
      <w:r w:rsidRPr="006E437B">
        <w:rPr>
          <w:rFonts w:ascii="Times New Roman" w:hAnsi="Times New Roman" w:cs="Times New Roman"/>
          <w:sz w:val="24"/>
          <w:szCs w:val="24"/>
        </w:rPr>
        <w:t>y se adiciona el artículo 121 Bis de la Ley Orgánica Municipal del Estado de México, con la finalidad de que se publique en la Gaceta Municipal de los 11 municipios, alertados por feminicidio y desaparición, los montos que fueron asignados para la atención de alertas de género</w:t>
      </w:r>
      <w:r w:rsidR="00FA15BB" w:rsidRPr="006E437B">
        <w:rPr>
          <w:rFonts w:ascii="Times New Roman" w:hAnsi="Times New Roman" w:cs="Times New Roman"/>
          <w:sz w:val="24"/>
          <w:szCs w:val="24"/>
        </w:rPr>
        <w:t>;</w:t>
      </w:r>
      <w:r w:rsidRPr="006E437B">
        <w:rPr>
          <w:rFonts w:ascii="Times New Roman" w:hAnsi="Times New Roman" w:cs="Times New Roman"/>
          <w:sz w:val="24"/>
          <w:szCs w:val="24"/>
        </w:rPr>
        <w:t xml:space="preserve"> así como los planes operativos correspondientes</w:t>
      </w:r>
      <w:r w:rsidR="002C67E5" w:rsidRPr="006E437B">
        <w:rPr>
          <w:rFonts w:ascii="Times New Roman" w:hAnsi="Times New Roman" w:cs="Times New Roman"/>
          <w:sz w:val="24"/>
          <w:szCs w:val="24"/>
        </w:rPr>
        <w:t>, a</w:t>
      </w:r>
      <w:r w:rsidRPr="006E437B">
        <w:rPr>
          <w:rFonts w:ascii="Times New Roman" w:hAnsi="Times New Roman" w:cs="Times New Roman"/>
          <w:sz w:val="24"/>
          <w:szCs w:val="24"/>
        </w:rPr>
        <w:t>delante diputada.</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ANA YURIXI LEYVA PIÑÓN. Muchas gracias señor Presidente.</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Con su permiso, el permiso de la Mesa Directiva</w:t>
      </w:r>
      <w:r w:rsidR="00AA11EA" w:rsidRPr="006E437B">
        <w:rPr>
          <w:rFonts w:ascii="Times New Roman" w:hAnsi="Times New Roman" w:cs="Times New Roman"/>
          <w:sz w:val="24"/>
          <w:szCs w:val="24"/>
        </w:rPr>
        <w:t>, c</w:t>
      </w:r>
      <w:r w:rsidRPr="006E437B">
        <w:rPr>
          <w:rFonts w:ascii="Times New Roman" w:hAnsi="Times New Roman" w:cs="Times New Roman"/>
          <w:sz w:val="24"/>
          <w:szCs w:val="24"/>
        </w:rPr>
        <w:t>ompañeras, compañeros legisladores, al pueblo del Estado de México, que nos sigue a través de las diferentes plataformas digitales.</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La que suscribe Ana Yurixi Leyva Piñón, diputada local de esta “LXII” Legislatura e integrante del Grupo Parlamentario del Partido del Trabajo, con fundamento en lo dispuesto en el artículo 51 fracción II de la Constitución Política del Estado Libre y Soberano de México y el artículo 28 fracción I de la Ley Orgánica del Poder Legislativo de nuestra </w:t>
      </w:r>
      <w:r w:rsidR="00AD0F1F" w:rsidRPr="006E437B">
        <w:rPr>
          <w:rFonts w:ascii="Times New Roman" w:hAnsi="Times New Roman" w:cs="Times New Roman"/>
          <w:sz w:val="24"/>
          <w:szCs w:val="24"/>
        </w:rPr>
        <w:t>Entidad,</w:t>
      </w:r>
      <w:r w:rsidRPr="006E437B">
        <w:rPr>
          <w:rFonts w:ascii="Times New Roman" w:hAnsi="Times New Roman" w:cs="Times New Roman"/>
          <w:sz w:val="24"/>
          <w:szCs w:val="24"/>
        </w:rPr>
        <w:t xml:space="preserve"> </w:t>
      </w:r>
      <w:r w:rsidR="00AD0F1F" w:rsidRPr="006E437B">
        <w:rPr>
          <w:rFonts w:ascii="Times New Roman" w:hAnsi="Times New Roman" w:cs="Times New Roman"/>
          <w:sz w:val="24"/>
          <w:szCs w:val="24"/>
        </w:rPr>
        <w:t xml:space="preserve">someto </w:t>
      </w:r>
      <w:r w:rsidRPr="006E437B">
        <w:rPr>
          <w:rFonts w:ascii="Times New Roman" w:hAnsi="Times New Roman" w:cs="Times New Roman"/>
          <w:sz w:val="24"/>
          <w:szCs w:val="24"/>
        </w:rPr>
        <w:t xml:space="preserve">a la consideración de esta Soberanía la presente Iniciativa con Proyecto de Decreto por el que se reforman y adicionan diversas disposiciones de la Ley Orgánica Municipal del Estado de México. </w:t>
      </w:r>
    </w:p>
    <w:p w:rsidR="00AD0F1F"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Nuestro Estado vive un momento histórico de transformación, donde la honestidad, el servicio y la rendición de cuentas han dejado de ser un discurso para convertirse en principios de actuación diaria.</w:t>
      </w:r>
    </w:p>
    <w:p w:rsidR="007F2877" w:rsidRPr="006E437B" w:rsidRDefault="007F2877"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Hoy, bajo el liderazgo firme de nuestra </w:t>
      </w:r>
      <w:r w:rsidR="00AD0F1F" w:rsidRPr="006E437B">
        <w:rPr>
          <w:rFonts w:ascii="Times New Roman" w:hAnsi="Times New Roman" w:cs="Times New Roman"/>
          <w:sz w:val="24"/>
          <w:szCs w:val="24"/>
        </w:rPr>
        <w:t>Gobernadora</w:t>
      </w:r>
      <w:r w:rsidRPr="006E437B">
        <w:rPr>
          <w:rFonts w:ascii="Times New Roman" w:hAnsi="Times New Roman" w:cs="Times New Roman"/>
          <w:sz w:val="24"/>
          <w:szCs w:val="24"/>
        </w:rPr>
        <w:t xml:space="preserve">, la Maestra Delfina Gómez Álvarez, se impulsa un modelo de gobierno profundamente transparente, cercano a la gente. </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Un gobierno donde nadie está por encima de la ley y donde los recursos públicos se ejercen con absoluta rectitud y de cara al pueblo. </w:t>
      </w:r>
    </w:p>
    <w:p w:rsidR="007F2877"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Esta visión queda claramente plasmada en el Eje 1 del Plan de Desarrollo del Estado de México 2023-2029, denominado </w:t>
      </w:r>
      <w:r w:rsidR="007C6242" w:rsidRPr="006E437B">
        <w:rPr>
          <w:rFonts w:ascii="Times New Roman" w:hAnsi="Times New Roman" w:cs="Times New Roman"/>
          <w:sz w:val="24"/>
          <w:szCs w:val="24"/>
        </w:rPr>
        <w:t>“</w:t>
      </w:r>
      <w:r w:rsidRPr="006E437B">
        <w:rPr>
          <w:rFonts w:ascii="Times New Roman" w:hAnsi="Times New Roman" w:cs="Times New Roman"/>
          <w:sz w:val="24"/>
          <w:szCs w:val="24"/>
        </w:rPr>
        <w:t>Cero Corrupción y Gobierno del Pueblo y para el Pueblo</w:t>
      </w:r>
      <w:r w:rsidR="007C6242" w:rsidRPr="006E437B">
        <w:rPr>
          <w:rFonts w:ascii="Times New Roman" w:hAnsi="Times New Roman" w:cs="Times New Roman"/>
          <w:sz w:val="24"/>
          <w:szCs w:val="24"/>
        </w:rPr>
        <w:t>”</w:t>
      </w:r>
      <w:r w:rsidRPr="006E437B">
        <w:rPr>
          <w:rFonts w:ascii="Times New Roman" w:hAnsi="Times New Roman" w:cs="Times New Roman"/>
          <w:sz w:val="24"/>
          <w:szCs w:val="24"/>
        </w:rPr>
        <w:t xml:space="preserve">, el cual establece que la transparencia es la vía más efectiva para combatir la corrupción, dignificar la función pública y devolverle la confianza a la ciudadanía. </w:t>
      </w:r>
    </w:p>
    <w:p w:rsidR="009E26CB" w:rsidRPr="006E437B" w:rsidRDefault="007F2877"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congruencia con esta visión de Estado, resulta prioritario asegurar que cada peso destinado a la protección</w:t>
      </w:r>
      <w:r w:rsidR="00035645" w:rsidRPr="006E437B">
        <w:rPr>
          <w:rFonts w:ascii="Times New Roman" w:hAnsi="Times New Roman" w:cs="Times New Roman"/>
          <w:sz w:val="24"/>
          <w:szCs w:val="24"/>
        </w:rPr>
        <w:t xml:space="preserve"> d</w:t>
      </w:r>
      <w:r w:rsidR="009E26CB" w:rsidRPr="006E437B">
        <w:rPr>
          <w:rFonts w:ascii="Times New Roman" w:hAnsi="Times New Roman" w:cs="Times New Roman"/>
          <w:sz w:val="24"/>
          <w:szCs w:val="24"/>
        </w:rPr>
        <w:t>e nuestras mujeres, niñas y adolescentes</w:t>
      </w:r>
      <w:r w:rsidR="00D5644C" w:rsidRPr="006E437B">
        <w:rPr>
          <w:rFonts w:ascii="Times New Roman" w:hAnsi="Times New Roman" w:cs="Times New Roman"/>
          <w:sz w:val="24"/>
          <w:szCs w:val="24"/>
        </w:rPr>
        <w:t>,</w:t>
      </w:r>
      <w:r w:rsidR="009E26CB" w:rsidRPr="006E437B">
        <w:rPr>
          <w:rFonts w:ascii="Times New Roman" w:hAnsi="Times New Roman" w:cs="Times New Roman"/>
          <w:sz w:val="24"/>
          <w:szCs w:val="24"/>
        </w:rPr>
        <w:t xml:space="preserve"> se ha manejado con la máxima publicidad y responsabilidad social.</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el presupuesto para este Ejercicio Fiscal 2026, esta Legislatura aprobó 260 millones de pesos, orientados específicamente a atender las Declaratorias de Alerta de Violencia de Género por Feminicidio y Desaparición en 11 municipios mexiquenses. Sin embargo, la efectividad de estos recursos no solo depende de su dispersión</w:t>
      </w:r>
      <w:r w:rsidR="00D5644C" w:rsidRPr="006E437B">
        <w:rPr>
          <w:rFonts w:ascii="Times New Roman" w:hAnsi="Times New Roman" w:cs="Times New Roman"/>
          <w:sz w:val="24"/>
          <w:szCs w:val="24"/>
        </w:rPr>
        <w:t>;</w:t>
      </w:r>
      <w:r w:rsidRPr="006E437B">
        <w:rPr>
          <w:rFonts w:ascii="Times New Roman" w:hAnsi="Times New Roman" w:cs="Times New Roman"/>
          <w:sz w:val="24"/>
          <w:szCs w:val="24"/>
        </w:rPr>
        <w:t xml:space="preserve"> sino de la claridad con la que se ejecutan sobre el territorio</w:t>
      </w:r>
      <w:r w:rsidR="00D5644C" w:rsidRPr="006E437B">
        <w:rPr>
          <w:rFonts w:ascii="Times New Roman" w:hAnsi="Times New Roman" w:cs="Times New Roman"/>
          <w:sz w:val="24"/>
          <w:szCs w:val="24"/>
        </w:rPr>
        <w:t>, l</w:t>
      </w:r>
      <w:r w:rsidRPr="006E437B">
        <w:rPr>
          <w:rFonts w:ascii="Times New Roman" w:hAnsi="Times New Roman" w:cs="Times New Roman"/>
          <w:sz w:val="24"/>
          <w:szCs w:val="24"/>
        </w:rPr>
        <w:t xml:space="preserve">a ciudadanía, los colectivos de mujeres, las madres buscadoras y las víctimas exigen y merecen saber con precisión qué acciones, qué obras y qué programas se realizan para salvaguardar la vida de las mujeres mexiquenses. </w:t>
      </w:r>
    </w:p>
    <w:p w:rsidR="001B259C"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Por esta razón, la Iniciativa que hoy pongo a su consideración </w:t>
      </w:r>
      <w:r w:rsidR="0064471B" w:rsidRPr="006E437B">
        <w:rPr>
          <w:rFonts w:ascii="Times New Roman" w:hAnsi="Times New Roman" w:cs="Times New Roman"/>
          <w:sz w:val="24"/>
          <w:szCs w:val="24"/>
        </w:rPr>
        <w:t xml:space="preserve">reforma </w:t>
      </w:r>
      <w:r w:rsidRPr="006E437B">
        <w:rPr>
          <w:rFonts w:ascii="Times New Roman" w:hAnsi="Times New Roman" w:cs="Times New Roman"/>
          <w:sz w:val="24"/>
          <w:szCs w:val="24"/>
        </w:rPr>
        <w:t xml:space="preserve">y </w:t>
      </w:r>
      <w:r w:rsidR="0064471B" w:rsidRPr="006E437B">
        <w:rPr>
          <w:rFonts w:ascii="Times New Roman" w:hAnsi="Times New Roman" w:cs="Times New Roman"/>
          <w:sz w:val="24"/>
          <w:szCs w:val="24"/>
        </w:rPr>
        <w:t xml:space="preserve">adiciona </w:t>
      </w:r>
      <w:r w:rsidRPr="006E437B">
        <w:rPr>
          <w:rFonts w:ascii="Times New Roman" w:hAnsi="Times New Roman" w:cs="Times New Roman"/>
          <w:sz w:val="24"/>
          <w:szCs w:val="24"/>
        </w:rPr>
        <w:t>la Ley Orgánica Municipal del Estado de México para establecer la obligación jurídica de que los once ayuntamientos alertados publiquen de manera periódica obligatoria e integra en sus gacetas municipales y medios electrónicos oficiales</w:t>
      </w:r>
      <w:r w:rsidR="0064471B" w:rsidRPr="006E437B">
        <w:rPr>
          <w:rFonts w:ascii="Times New Roman" w:hAnsi="Times New Roman" w:cs="Times New Roman"/>
          <w:sz w:val="24"/>
          <w:szCs w:val="24"/>
        </w:rPr>
        <w:t>,</w:t>
      </w:r>
      <w:r w:rsidRPr="006E437B">
        <w:rPr>
          <w:rFonts w:ascii="Times New Roman" w:hAnsi="Times New Roman" w:cs="Times New Roman"/>
          <w:sz w:val="24"/>
          <w:szCs w:val="24"/>
        </w:rPr>
        <w:t xml:space="preserve"> los montos económicos que reciben</w:t>
      </w:r>
      <w:r w:rsidR="0064471B" w:rsidRPr="006E437B">
        <w:rPr>
          <w:rFonts w:ascii="Times New Roman" w:hAnsi="Times New Roman" w:cs="Times New Roman"/>
          <w:sz w:val="24"/>
          <w:szCs w:val="24"/>
        </w:rPr>
        <w:t>;</w:t>
      </w:r>
      <w:r w:rsidRPr="006E437B">
        <w:rPr>
          <w:rFonts w:ascii="Times New Roman" w:hAnsi="Times New Roman" w:cs="Times New Roman"/>
          <w:sz w:val="24"/>
          <w:szCs w:val="24"/>
        </w:rPr>
        <w:t xml:space="preserve"> así como los proyectos operativos y anexos técnicos que sustentan la aplicación de cada peso gastado, transparentar los recursos destinados a las Alertas de Violencia de Género a nivel municipal es un acto de congruencia con el mandato de nuestra gobernadora y una respuesta justa a las familias mexiquenses.</w:t>
      </w:r>
    </w:p>
    <w:p w:rsidR="009E26CB" w:rsidRPr="006E437B" w:rsidRDefault="009E26C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Garantizar que la información sea pública, veraz y de fácil acceso</w:t>
      </w:r>
      <w:r w:rsidR="001B259C" w:rsidRPr="006E437B">
        <w:rPr>
          <w:rFonts w:ascii="Times New Roman" w:hAnsi="Times New Roman" w:cs="Times New Roman"/>
          <w:sz w:val="24"/>
          <w:szCs w:val="24"/>
        </w:rPr>
        <w:t>,</w:t>
      </w:r>
      <w:r w:rsidRPr="006E437B">
        <w:rPr>
          <w:rFonts w:ascii="Times New Roman" w:hAnsi="Times New Roman" w:cs="Times New Roman"/>
          <w:sz w:val="24"/>
          <w:szCs w:val="24"/>
        </w:rPr>
        <w:t xml:space="preserve"> nos permitirá evaluar los resultados reales en las calles y asegurar que el presupuesto destinado a la seguridad de nuestras mujeres, niñas y adolescentes</w:t>
      </w:r>
      <w:r w:rsidR="001B259C" w:rsidRPr="006E437B">
        <w:rPr>
          <w:rFonts w:ascii="Times New Roman" w:hAnsi="Times New Roman" w:cs="Times New Roman"/>
          <w:sz w:val="24"/>
          <w:szCs w:val="24"/>
        </w:rPr>
        <w:t>,</w:t>
      </w:r>
      <w:r w:rsidRPr="006E437B">
        <w:rPr>
          <w:rFonts w:ascii="Times New Roman" w:hAnsi="Times New Roman" w:cs="Times New Roman"/>
          <w:sz w:val="24"/>
          <w:szCs w:val="24"/>
        </w:rPr>
        <w:t xml:space="preserve"> verdaderamente cumpla con su objetivo de prevenir, sancionar y erradicar la violencia de género contra las mujeres. </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Por la transparencia, por la justicia y por la tranquilidad de nuestras mujeres. Les invito, compañeras y compañeros legisladores, a respaldar esta iniciativa. </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 cuanto señor Presidente</w:t>
      </w:r>
      <w:r w:rsidR="00931582" w:rsidRPr="006E437B">
        <w:rPr>
          <w:rFonts w:ascii="Times New Roman" w:hAnsi="Times New Roman" w:cs="Times New Roman"/>
          <w:sz w:val="24"/>
          <w:szCs w:val="24"/>
        </w:rPr>
        <w:t>, m</w:t>
      </w:r>
      <w:r w:rsidRPr="006E437B">
        <w:rPr>
          <w:rFonts w:ascii="Times New Roman" w:hAnsi="Times New Roman" w:cs="Times New Roman"/>
          <w:sz w:val="24"/>
          <w:szCs w:val="24"/>
        </w:rPr>
        <w:t>uchas gracias.</w:t>
      </w:r>
    </w:p>
    <w:p w:rsidR="00931582" w:rsidRPr="006E437B" w:rsidRDefault="00931582" w:rsidP="00141629">
      <w:pPr>
        <w:pStyle w:val="Sinespaciado"/>
        <w:jc w:val="both"/>
        <w:rPr>
          <w:rFonts w:ascii="Times New Roman" w:hAnsi="Times New Roman" w:cs="Times New Roman"/>
          <w:sz w:val="24"/>
          <w:szCs w:val="24"/>
        </w:rPr>
      </w:pPr>
    </w:p>
    <w:p w:rsidR="00931582" w:rsidRPr="006E437B" w:rsidRDefault="0093158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931582" w:rsidRPr="006E437B" w:rsidRDefault="00931582" w:rsidP="00141629">
      <w:pPr>
        <w:pStyle w:val="Sinespaciado"/>
        <w:jc w:val="both"/>
        <w:rPr>
          <w:rFonts w:ascii="Times New Roman" w:hAnsi="Times New Roman" w:cs="Times New Roman"/>
          <w:sz w:val="24"/>
          <w:szCs w:val="24"/>
        </w:rPr>
      </w:pPr>
    </w:p>
    <w:p w:rsidR="00532918" w:rsidRPr="006E437B" w:rsidRDefault="00532918" w:rsidP="00141629">
      <w:pPr>
        <w:spacing w:after="0" w:line="240" w:lineRule="auto"/>
        <w:jc w:val="right"/>
        <w:rPr>
          <w:rFonts w:ascii="Times New Roman" w:hAnsi="Times New Roman" w:cs="Times New Roman"/>
          <w:sz w:val="24"/>
          <w:szCs w:val="24"/>
        </w:rPr>
      </w:pPr>
      <w:bookmarkStart w:id="5" w:name="_Hlk242174892"/>
      <w:r w:rsidRPr="006E437B">
        <w:rPr>
          <w:rFonts w:ascii="Times New Roman" w:hAnsi="Times New Roman" w:cs="Times New Roman"/>
          <w:sz w:val="24"/>
          <w:szCs w:val="24"/>
        </w:rPr>
        <w:t>Toluca de Lerdo, México a</w:t>
      </w:r>
      <w:r w:rsidRPr="006E437B">
        <w:rPr>
          <w:rFonts w:ascii="Times New Roman" w:hAnsi="Times New Roman" w:cs="Times New Roman"/>
          <w:sz w:val="24"/>
          <w:szCs w:val="24"/>
        </w:rPr>
        <w:tab/>
        <w:t>de</w:t>
      </w:r>
      <w:r w:rsidRPr="006E437B">
        <w:rPr>
          <w:rFonts w:ascii="Times New Roman" w:hAnsi="Times New Roman" w:cs="Times New Roman"/>
          <w:noProof/>
          <w:sz w:val="24"/>
          <w:szCs w:val="24"/>
        </w:rPr>
        <w:drawing>
          <wp:inline distT="0" distB="0" distL="0" distR="0" wp14:anchorId="5A0BA8B3" wp14:editId="0C53D311">
            <wp:extent cx="483494" cy="13685"/>
            <wp:effectExtent l="0" t="0" r="0" b="0"/>
            <wp:docPr id="20640" name="Picture 20640"/>
            <wp:cNvGraphicFramePr/>
            <a:graphic xmlns:a="http://schemas.openxmlformats.org/drawingml/2006/main">
              <a:graphicData uri="http://schemas.openxmlformats.org/drawingml/2006/picture">
                <pic:pic xmlns:pic="http://schemas.openxmlformats.org/drawingml/2006/picture">
                  <pic:nvPicPr>
                    <pic:cNvPr id="20640" name="Picture 20640"/>
                    <pic:cNvPicPr/>
                  </pic:nvPicPr>
                  <pic:blipFill>
                    <a:blip r:embed="rId32"/>
                    <a:stretch>
                      <a:fillRect/>
                    </a:stretch>
                  </pic:blipFill>
                  <pic:spPr>
                    <a:xfrm>
                      <a:off x="0" y="0"/>
                      <a:ext cx="483494" cy="13685"/>
                    </a:xfrm>
                    <a:prstGeom prst="rect">
                      <a:avLst/>
                    </a:prstGeom>
                  </pic:spPr>
                </pic:pic>
              </a:graphicData>
            </a:graphic>
          </wp:inline>
        </w:drawing>
      </w:r>
      <w:r w:rsidRPr="006E437B">
        <w:rPr>
          <w:rFonts w:ascii="Times New Roman" w:eastAsia="Calibri" w:hAnsi="Times New Roman" w:cs="Times New Roman"/>
          <w:sz w:val="24"/>
          <w:szCs w:val="24"/>
        </w:rPr>
        <w:t>de 2026</w:t>
      </w:r>
    </w:p>
    <w:p w:rsidR="00532918" w:rsidRPr="006E437B" w:rsidRDefault="00532918" w:rsidP="00141629">
      <w:pPr>
        <w:spacing w:after="0" w:line="240" w:lineRule="auto"/>
        <w:rPr>
          <w:rFonts w:ascii="Times New Roman" w:hAnsi="Times New Roman" w:cs="Times New Roman"/>
          <w:sz w:val="24"/>
          <w:szCs w:val="24"/>
        </w:rPr>
      </w:pPr>
    </w:p>
    <w:p w:rsidR="00532918" w:rsidRPr="006E437B" w:rsidRDefault="00532918"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DIP.</w:t>
      </w: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PRESIDENTE DE LA MESA DIRECTIVA DE LA</w:t>
      </w: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LXII LEGISLATURA DEL ESTADO DE MÉXICO</w:t>
      </w:r>
    </w:p>
    <w:p w:rsidR="00532918" w:rsidRPr="006E437B" w:rsidRDefault="00532918" w:rsidP="00141629">
      <w:pPr>
        <w:pStyle w:val="Ttulo1"/>
        <w:keepNext w:val="0"/>
        <w:keepLines w:val="0"/>
        <w:spacing w:line="240" w:lineRule="auto"/>
        <w:ind w:left="0" w:right="0" w:firstLine="0"/>
        <w:jc w:val="left"/>
        <w:rPr>
          <w:rFonts w:ascii="Times New Roman" w:hAnsi="Times New Roman" w:cs="Times New Roman"/>
          <w:b/>
          <w:color w:val="auto"/>
          <w:szCs w:val="24"/>
        </w:rPr>
      </w:pPr>
      <w:r w:rsidRPr="006E437B">
        <w:rPr>
          <w:rFonts w:ascii="Times New Roman" w:hAnsi="Times New Roman" w:cs="Times New Roman"/>
          <w:b/>
          <w:color w:val="auto"/>
          <w:szCs w:val="24"/>
        </w:rPr>
        <w:t>P RE S E N T E</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La que suscribe Diputada Ana Yurixi Leyva Piñón, Integrante de la LXII Legislatura Local y del Grupo Parlamentario del PT, con fundamento en lo dispuesto en los artículos 51 fracción II de la Constitución Política del Estado Libre y Soberano de México y 28 fracción I, de la Ley Orgánica del Poder Legislativo del Estado Libre y Soberano de México, someto a la consideración de esta Asamblea, la siguiente </w:t>
      </w:r>
      <w:r w:rsidRPr="006E437B">
        <w:rPr>
          <w:rFonts w:ascii="Times New Roman" w:hAnsi="Times New Roman" w:cs="Times New Roman"/>
          <w:b/>
          <w:sz w:val="24"/>
          <w:szCs w:val="24"/>
        </w:rPr>
        <w:t>Iniciativa con Proyecto de Decreto que adiciona un texto a las fracciones X y del artículo 48, se adiciona una fracción XIV bis al artículo 96 quaterdecies, y se adiciona el artículo 121 bis de la Ley Orgánica Municipal del Estado Libre y Soberano de México, con la finalidad de que se publique en la Gaceta Municipal de los once Municipios Alertados por Feminicidio y Desaparición, los montos que les fueron asignados para la atención de las Alertas de Género, así como los Planes Operativos correspondientes al tenor de la siguiente:</w:t>
      </w:r>
    </w:p>
    <w:p w:rsidR="00532918" w:rsidRPr="006E437B" w:rsidRDefault="00532918" w:rsidP="00141629">
      <w:pPr>
        <w:spacing w:after="0" w:line="240" w:lineRule="auto"/>
        <w:jc w:val="both"/>
        <w:rPr>
          <w:rFonts w:ascii="Times New Roman" w:hAnsi="Times New Roman" w:cs="Times New Roman"/>
          <w:b/>
          <w:sz w:val="24"/>
          <w:szCs w:val="24"/>
        </w:rPr>
      </w:pPr>
    </w:p>
    <w:p w:rsidR="00532918" w:rsidRPr="006E437B" w:rsidRDefault="00532918" w:rsidP="00141629">
      <w:pPr>
        <w:pStyle w:val="Ttulo2"/>
        <w:keepNext w:val="0"/>
        <w:tabs>
          <w:tab w:val="clear" w:pos="1440"/>
        </w:tabs>
        <w:spacing w:before="0" w:after="0"/>
        <w:ind w:left="0" w:firstLine="0"/>
        <w:jc w:val="center"/>
        <w:rPr>
          <w:rFonts w:ascii="Times New Roman" w:hAnsi="Times New Roman" w:cs="Times New Roman"/>
          <w:b w:val="0"/>
          <w:sz w:val="24"/>
          <w:szCs w:val="24"/>
        </w:rPr>
      </w:pPr>
      <w:r w:rsidRPr="006E437B">
        <w:rPr>
          <w:rFonts w:ascii="Times New Roman" w:hAnsi="Times New Roman" w:cs="Times New Roman"/>
          <w:sz w:val="24"/>
          <w:szCs w:val="24"/>
        </w:rPr>
        <w:t>EXPOSICIÓN DE MOTIVOS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El Plan de Desarrollo del Estado de México 2023-2029, en su Eje 1 "Cero Corrupción y Gobierno del Pueblo y para el Pueblo. Estado de Derecho y Austeridad", </w:t>
      </w:r>
      <w:r w:rsidRPr="006E437B">
        <w:rPr>
          <w:rFonts w:ascii="Times New Roman" w:hAnsi="Times New Roman" w:cs="Times New Roman"/>
          <w:b/>
          <w:sz w:val="24"/>
          <w:szCs w:val="24"/>
        </w:rPr>
        <w:t>reconoce que un gobierno transparente reduce significativamente las probabilidades de que ocurran hechos de corrupción dentro de la administración pública y fortalece la confianza de la población en sus autoridades.</w:t>
      </w:r>
      <w:r w:rsidRPr="006E437B">
        <w:rPr>
          <w:rFonts w:ascii="Times New Roman" w:hAnsi="Times New Roman" w:cs="Times New Roman"/>
          <w:sz w:val="24"/>
          <w:szCs w:val="24"/>
        </w:rPr>
        <w:t xml:space="preserve"> Asimismo, establece como objetivo promover un gobierno honesto, transparente, responsable y austero, que rinda cuentas claras mediante el uso eficaz y eficiente de los recursos públicos.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La transparencia y la rendición de cuentas constituyen pilares fundamentales de todo Estado democrático, pues permiten a la ciudadanía conocer, evaluar y vigilar el ejercicio de los recursos públicos</w:t>
      </w:r>
      <w:r w:rsidRPr="006E437B">
        <w:rPr>
          <w:rFonts w:ascii="Times New Roman" w:hAnsi="Times New Roman" w:cs="Times New Roman"/>
          <w:sz w:val="24"/>
          <w:szCs w:val="24"/>
        </w:rPr>
        <w:t>, fortaleciendo la confianza en las instituciones gubernamentales y contribuyendo a la prevención de actos de corrupción.</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En congruencia con dicho instrumento de planeación, la Constitución Política del Estado Libre y Soberano de México en su artículo 5, párrafos 44,45 y 46 garantiza el </w:t>
      </w:r>
      <w:r w:rsidRPr="006E437B">
        <w:rPr>
          <w:rFonts w:ascii="Times New Roman" w:hAnsi="Times New Roman" w:cs="Times New Roman"/>
          <w:b/>
          <w:sz w:val="24"/>
          <w:szCs w:val="24"/>
        </w:rPr>
        <w:t>derecho humano de acceso a la información pública y dispone que los poderes públicos, municipios y organismos autónomos transparenten sus acciones mediante información oportuna, clara, veraz y de fácil acceso</w:t>
      </w:r>
      <w:r w:rsidRPr="006E437B">
        <w:rPr>
          <w:rFonts w:ascii="Times New Roman" w:hAnsi="Times New Roman" w:cs="Times New Roman"/>
          <w:sz w:val="24"/>
          <w:szCs w:val="24"/>
        </w:rPr>
        <w:t>. De igual manera, establece el principio de máxima publicidad respecto de toda información en posesión de las autoridades, así como la obligación de documentar y difundir los actos derivados del ejercicio de sus atribuciones.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Para el ejercicio fiscal 2026, el Presupuesto de Egresos del Estado de México contempla </w:t>
      </w:r>
      <w:r w:rsidRPr="006E437B">
        <w:rPr>
          <w:rFonts w:ascii="Times New Roman" w:hAnsi="Times New Roman" w:cs="Times New Roman"/>
          <w:b/>
          <w:sz w:val="24"/>
          <w:szCs w:val="24"/>
        </w:rPr>
        <w:t xml:space="preserve">$260,000,000 (doscientos sesenta millones de pesos) para atender las Declaratorias de Alerta de Violencia de Género por Feminicidio y Desaparición en los Municipios del Estado de México, con el propósito de fortalecer las acciones institucionales encaminadas a prevenir, atender, sancionar y erradicar las violencias contra las mujeres en los municipios de la </w:t>
      </w:r>
      <w:r w:rsidRPr="006E437B">
        <w:rPr>
          <w:rFonts w:ascii="Times New Roman" w:eastAsia="Calibri" w:hAnsi="Times New Roman" w:cs="Times New Roman"/>
          <w:b/>
          <w:sz w:val="24"/>
          <w:szCs w:val="24"/>
        </w:rPr>
        <w:t>entidad.</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Dichos recursos representan una herramienta fundamental para garantizar el derecho de las mujeres a una vida libre de violencia y para cumplir con las obligaciones constitucionales y convencionales del Estado mexicano en materia de derechos humanos.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No obstante, si bien los Mecanismos de Operación para la Ejecución de estos </w:t>
      </w:r>
      <w:r w:rsidRPr="006E437B">
        <w:rPr>
          <w:rFonts w:ascii="Times New Roman" w:hAnsi="Times New Roman" w:cs="Times New Roman"/>
          <w:b/>
          <w:sz w:val="24"/>
          <w:szCs w:val="24"/>
        </w:rPr>
        <w:t>recursos establecen la obligación de los Municipios de elaborar Proyectos Operativos y Anexos Técnicos que contengan la planeación, programación y aplicación de las acciones financiadas, actualmente no existe una disposición expresa que obligue a su publicación en las Gacetas Municipales.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 anterior, limita la posibilidad para el ciudadano de conocer las metas, acciones, montos y resultados comprometidos por las autoridades municipales, y que están obligados a transparentar la ejecución de dichos recursos; por lo tanto, la presente Iniciativa de Ley tiene por objeto, que dichos Planes Operativos y Anexos Técnicos, así como el monto de los recursos que les han sido asignados, se publiquen en la Gaceta Municipal de cada Municipio independientemente de que lo hagan por la vía electrónica en la página oficial correspondiente.</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ausencia de mecanismos de difusión accesibles dificulta la supervisión social del ejercicio de los recursos públicos destinados a la mitigación de las Alertas de Violencia de Género contra las Mujeres, restringiendo la posibilidad de que la Ciudadanía, Organizaciones de la Sociedad Civil, Colectivos de Mujeres, Madres Buscadoras, Víctimas Directas e Indirectas de Feminicidio, Instituciones Académicas y Órganos de Control puedan dar seguimiento oportuno a las acciones implementadas por los Ayuntamientos.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Actualmente la Ley Orgánica Municipal del Estado de México en su Artículo 48 establece lo siguiente:</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48.-</w:t>
      </w:r>
      <w:r w:rsidRPr="006E437B">
        <w:rPr>
          <w:rFonts w:ascii="Times New Roman" w:hAnsi="Times New Roman" w:cs="Times New Roman"/>
          <w:sz w:val="24"/>
          <w:szCs w:val="24"/>
        </w:rPr>
        <w:t xml:space="preserve"> La persona titular de la presidencia municipal tiene las siguientes atribuciones: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X.</w:t>
      </w:r>
      <w:r w:rsidRPr="006E437B">
        <w:rPr>
          <w:rFonts w:ascii="Times New Roman" w:hAnsi="Times New Roman" w:cs="Times New Roman"/>
          <w:sz w:val="24"/>
          <w:szCs w:val="24"/>
        </w:rPr>
        <w:t xml:space="preserve"> “Vigilar la correcta inversión de los fondos públicos;”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XIII</w:t>
      </w:r>
      <w:r w:rsidRPr="006E437B">
        <w:rPr>
          <w:rFonts w:ascii="Times New Roman" w:hAnsi="Times New Roman" w:cs="Times New Roman"/>
          <w:sz w:val="24"/>
          <w:szCs w:val="24"/>
        </w:rPr>
        <w:t xml:space="preserve">. “Vigilar que se integren y funcionen en forma legal las dependencias, </w:t>
      </w:r>
      <w:r w:rsidRPr="006E437B">
        <w:rPr>
          <w:rFonts w:ascii="Times New Roman" w:hAnsi="Times New Roman" w:cs="Times New Roman"/>
          <w:b/>
          <w:sz w:val="24"/>
          <w:szCs w:val="24"/>
        </w:rPr>
        <w:t>unidades administrativas</w:t>
      </w:r>
      <w:r w:rsidRPr="006E437B">
        <w:rPr>
          <w:rFonts w:ascii="Times New Roman" w:hAnsi="Times New Roman" w:cs="Times New Roman"/>
          <w:sz w:val="24"/>
          <w:szCs w:val="24"/>
        </w:rPr>
        <w:t xml:space="preserve"> y organismos desconcentrados o descentralizados y fideicomisos que formen parte de la estructura administrativa;”</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Respecto a las Dependencias Administrativas en los Ayuntamientos el ordenamiento jurídico de referencia señala lo siguiente:</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87.-</w:t>
      </w:r>
      <w:r w:rsidRPr="006E437B">
        <w:rPr>
          <w:rFonts w:ascii="Times New Roman" w:hAnsi="Times New Roman" w:cs="Times New Roman"/>
          <w:sz w:val="24"/>
          <w:szCs w:val="24"/>
        </w:rPr>
        <w:t xml:space="preserve"> Para el despacho, estudio y planeación de los diversos asuntos de la administración municipal, el ayuntamiento contará por lo menos con las siguientes Dependencias: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Fracción IX. “La Dirección de las Mujeres o equivalente”.</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Así mismo, el </w:t>
      </w:r>
      <w:r w:rsidRPr="006E437B">
        <w:rPr>
          <w:rFonts w:ascii="Times New Roman" w:hAnsi="Times New Roman" w:cs="Times New Roman"/>
          <w:b/>
          <w:sz w:val="24"/>
          <w:szCs w:val="24"/>
        </w:rPr>
        <w:t>Artículo 96 Quaterdecies</w:t>
      </w:r>
      <w:r w:rsidRPr="006E437B">
        <w:rPr>
          <w:rFonts w:ascii="Times New Roman" w:hAnsi="Times New Roman" w:cs="Times New Roman"/>
          <w:sz w:val="24"/>
          <w:szCs w:val="24"/>
        </w:rPr>
        <w:t xml:space="preserve"> de la misma Ley, faculta la creación de la Dirección de las Mujeres o su equivalente para cada Ayuntamiento, señalando como atribución en la fracción XIII qué a través de su titular, deberá fungir como coordinadora para el seguimiento, cumplimiento y evaluación de las acciones para mitigar las Declaratorias de Alerta de Violencia de Género contra las Mujeres.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otra parte, la fracción XVI del mismo numeral señala que tendrá como atribución coordinar la transversalización de la perspectiva de Género en la Administración Pública Municipal.</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Considerando que en el Presupuesto de Egresos para el Ejercicio Fiscal 2026 se destinaron 260 millones de pesos para fortalecer las acciones encaminadas a mitigar las Alertas de Género por Feminicidio y Desaparición en los once Municipios de la entidad, y toda vez que ya se dio inicio a la dispersión de dichos recursos, es importante que se transparenten los gastos en su ejecución, publicando en la Gaceta Municipal de cada Municipio los montos que les han sido asignados, así como los Planes Operativos correspondientes, con la finalidad de que se pueda realizar un seguimiento de los logros alcanzados así como para dar certeza y certidumbre jurídica de su aplicación, tal como lo señala el Acuerdo de la Secretaría de las Mujeres por el que se establecen los Mecanismos de Operación para la Ejecución de los Recursos asignados para atender las Declaratorias de Alerta de Violencia de Género por Feminicidio y Desaparición en Municipios del estado de México, para el Ejercicio Fiscal 2026 publicado en la Gaceta del Gobierno el 26 de febrero de 2026.</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Por lo antes expuesto, someto a la consideración de este Órgano Legislativo, la presente </w:t>
      </w:r>
      <w:r w:rsidRPr="006E437B">
        <w:rPr>
          <w:rFonts w:ascii="Times New Roman" w:hAnsi="Times New Roman" w:cs="Times New Roman"/>
          <w:b/>
          <w:sz w:val="24"/>
          <w:szCs w:val="24"/>
        </w:rPr>
        <w:t>Iniciativa con Proyecto de Decreto que adiciona un texto a las fracciones X y del artículo 48, se adiciona una fracción XIV bis al artículo 96 quaterdecies, y se adiciona el artículo 121 bis de la Ley Orgánica Municipal del Estado Libre y Soberano de México, con la finalidad de que se publique en la Gaceta Municipal de los once Municipios Alertados por Feminicidio y Desaparición, los montos que les fueron asignados para la atención de las Alertas de Género, así como los Planes Operativos correspondientes.</w:t>
      </w:r>
    </w:p>
    <w:p w:rsidR="00532918" w:rsidRPr="006E437B" w:rsidRDefault="00532918" w:rsidP="00141629">
      <w:pPr>
        <w:spacing w:after="0" w:line="240" w:lineRule="auto"/>
        <w:jc w:val="both"/>
        <w:rPr>
          <w:rFonts w:ascii="Times New Roman" w:hAnsi="Times New Roman" w:cs="Times New Roman"/>
          <w:b/>
          <w:sz w:val="24"/>
          <w:szCs w:val="24"/>
        </w:rPr>
      </w:pPr>
    </w:p>
    <w:p w:rsidR="00532918" w:rsidRPr="006E437B" w:rsidRDefault="00532918" w:rsidP="00141629">
      <w:pPr>
        <w:pStyle w:val="Ttulo2"/>
        <w:keepNext w:val="0"/>
        <w:tabs>
          <w:tab w:val="clear" w:pos="1440"/>
        </w:tabs>
        <w:spacing w:before="0" w:after="0"/>
        <w:ind w:left="0" w:firstLine="0"/>
        <w:jc w:val="center"/>
        <w:rPr>
          <w:rFonts w:ascii="Times New Roman" w:hAnsi="Times New Roman" w:cs="Times New Roman"/>
          <w:b w:val="0"/>
          <w:sz w:val="24"/>
          <w:szCs w:val="24"/>
        </w:rPr>
      </w:pPr>
      <w:r w:rsidRPr="006E437B">
        <w:rPr>
          <w:rFonts w:ascii="Times New Roman" w:hAnsi="Times New Roman" w:cs="Times New Roman"/>
          <w:sz w:val="24"/>
          <w:szCs w:val="24"/>
        </w:rPr>
        <w:t>A T E N T A M E N T E</w:t>
      </w:r>
    </w:p>
    <w:p w:rsidR="00532918" w:rsidRPr="006E437B" w:rsidRDefault="00532918" w:rsidP="00141629">
      <w:pPr>
        <w:spacing w:after="0" w:line="240" w:lineRule="auto"/>
        <w:jc w:val="both"/>
        <w:rPr>
          <w:rFonts w:ascii="Times New Roman" w:hAnsi="Times New Roman" w:cs="Times New Roman"/>
          <w:b/>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PROYECTO DE DECRETO</w:t>
      </w:r>
      <w:r w:rsidRPr="006E437B">
        <w:rPr>
          <w:rFonts w:ascii="Times New Roman" w:hAnsi="Times New Roman" w:cs="Times New Roman"/>
          <w:b/>
          <w:noProof/>
          <w:sz w:val="24"/>
          <w:szCs w:val="24"/>
        </w:rPr>
        <w:drawing>
          <wp:inline distT="0" distB="0" distL="0" distR="0" wp14:anchorId="06D4E635" wp14:editId="3090271E">
            <wp:extent cx="36490" cy="72986"/>
            <wp:effectExtent l="0" t="0" r="0" b="0"/>
            <wp:docPr id="20643" name="Picture 20643"/>
            <wp:cNvGraphicFramePr/>
            <a:graphic xmlns:a="http://schemas.openxmlformats.org/drawingml/2006/main">
              <a:graphicData uri="http://schemas.openxmlformats.org/drawingml/2006/picture">
                <pic:pic xmlns:pic="http://schemas.openxmlformats.org/drawingml/2006/picture">
                  <pic:nvPicPr>
                    <pic:cNvPr id="20643" name="Picture 20643"/>
                    <pic:cNvPicPr/>
                  </pic:nvPicPr>
                  <pic:blipFill>
                    <a:blip r:embed="rId33"/>
                    <a:stretch>
                      <a:fillRect/>
                    </a:stretch>
                  </pic:blipFill>
                  <pic:spPr>
                    <a:xfrm>
                      <a:off x="0" y="0"/>
                      <a:ext cx="36490" cy="72986"/>
                    </a:xfrm>
                    <a:prstGeom prst="rect">
                      <a:avLst/>
                    </a:prstGeom>
                  </pic:spPr>
                </pic:pic>
              </a:graphicData>
            </a:graphic>
          </wp:inline>
        </w:drawing>
      </w: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DECRETO MUMERO</w:t>
      </w: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LA H. "LXII" LEGISLATURA DEL ESTADO DE MEXICO</w:t>
      </w: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DECRETA:</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ÚNICO. — Se adiciona un texto a las fracciones X y XXIII del artículo 48, se adiciona una fracción XIV bis al artículo 96 quaterdecies, y se adiciona el artículo 121 bis de la Ley Orgánica Municipal del Estado Libre y Soberano de México, para quedar como sigue:</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Artículo 48.- La persona Titular de la Presidencia Municipal, tiene las siguientes atribuciones:</w:t>
      </w:r>
    </w:p>
    <w:p w:rsidR="00532918" w:rsidRPr="006E437B" w:rsidRDefault="00532918" w:rsidP="00141629">
      <w:pPr>
        <w:spacing w:after="0" w:line="240" w:lineRule="auto"/>
        <w:rPr>
          <w:rFonts w:ascii="Times New Roman" w:hAnsi="Times New Roman" w:cs="Times New Roman"/>
          <w:noProof/>
          <w:sz w:val="24"/>
          <w:szCs w:val="24"/>
        </w:rPr>
      </w:pPr>
    </w:p>
    <w:p w:rsidR="00532918" w:rsidRPr="006E437B" w:rsidRDefault="00532918"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I a la IX. …</w:t>
      </w:r>
    </w:p>
    <w:p w:rsidR="00532918" w:rsidRPr="006E437B" w:rsidRDefault="00532918" w:rsidP="00141629">
      <w:pPr>
        <w:spacing w:after="0" w:line="240" w:lineRule="auto"/>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X</w:t>
      </w:r>
      <w:r w:rsidRPr="006E437B">
        <w:rPr>
          <w:rFonts w:ascii="Times New Roman" w:hAnsi="Times New Roman" w:cs="Times New Roman"/>
          <w:sz w:val="24"/>
          <w:szCs w:val="24"/>
        </w:rPr>
        <w:t xml:space="preserve">. Vigilar la correcta inversión de los fondos públicos; </w:t>
      </w:r>
      <w:r w:rsidRPr="006E437B">
        <w:rPr>
          <w:rFonts w:ascii="Times New Roman" w:hAnsi="Times New Roman" w:cs="Times New Roman"/>
          <w:b/>
          <w:sz w:val="24"/>
          <w:szCs w:val="24"/>
        </w:rPr>
        <w:t>para el caso de que el Municipio cuente con Alerta de Violencia de Género por Feminicidio y/o Desaparición o ambas, deberá publicar en la Gaceta Municipal los montos que les fueron asignados para la atención de las Alertas de Género, así como los Planes Operativos correspondientes.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XI a la XXII ...</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XXIII</w:t>
      </w:r>
      <w:r w:rsidRPr="006E437B">
        <w:rPr>
          <w:rFonts w:ascii="Times New Roman" w:hAnsi="Times New Roman" w:cs="Times New Roman"/>
          <w:sz w:val="24"/>
          <w:szCs w:val="24"/>
        </w:rPr>
        <w:t xml:space="preserve">. Rendir un informe anual sobre el cumplimiento de su Programa Municipal para la Igualdad de Trato y Oportunidades entre Mujeres y Hombres y para Prevenir, Atender, Sancionar y Erradicar la Violencia contra las Mujeres; </w:t>
      </w:r>
      <w:r w:rsidRPr="006E437B">
        <w:rPr>
          <w:rFonts w:ascii="Times New Roman" w:hAnsi="Times New Roman" w:cs="Times New Roman"/>
          <w:b/>
          <w:sz w:val="24"/>
          <w:szCs w:val="24"/>
        </w:rPr>
        <w:t>para el caso de que el Municipio cuente con Alerta de Violencia de Género por Feminicidio y/o Desaparición o ambas, deberá publicar en la Gaceta Municipal los montos que les fueron asignados para la atención de las Alertas de Género, así como los Planes Operativos correspondientes.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XXIV a XXVI ..</w:t>
      </w:r>
      <w:r w:rsidRPr="006E437B">
        <w:rPr>
          <w:rFonts w:ascii="Times New Roman" w:hAnsi="Times New Roman" w:cs="Times New Roman"/>
          <w:noProof/>
          <w:sz w:val="24"/>
          <w:szCs w:val="24"/>
        </w:rPr>
        <w:drawing>
          <wp:inline distT="0" distB="0" distL="0" distR="0" wp14:anchorId="253975A7" wp14:editId="286353A6">
            <wp:extent cx="22806" cy="22808"/>
            <wp:effectExtent l="0" t="0" r="0" b="0"/>
            <wp:docPr id="10170" name="Picture 10170"/>
            <wp:cNvGraphicFramePr/>
            <a:graphic xmlns:a="http://schemas.openxmlformats.org/drawingml/2006/main">
              <a:graphicData uri="http://schemas.openxmlformats.org/drawingml/2006/picture">
                <pic:pic xmlns:pic="http://schemas.openxmlformats.org/drawingml/2006/picture">
                  <pic:nvPicPr>
                    <pic:cNvPr id="10170" name="Picture 10170"/>
                    <pic:cNvPicPr/>
                  </pic:nvPicPr>
                  <pic:blipFill>
                    <a:blip r:embed="rId34"/>
                    <a:stretch>
                      <a:fillRect/>
                    </a:stretch>
                  </pic:blipFill>
                  <pic:spPr>
                    <a:xfrm>
                      <a:off x="0" y="0"/>
                      <a:ext cx="22806" cy="22808"/>
                    </a:xfrm>
                    <a:prstGeom prst="rect">
                      <a:avLst/>
                    </a:prstGeom>
                  </pic:spPr>
                </pic:pic>
              </a:graphicData>
            </a:graphic>
          </wp:inline>
        </w:drawing>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96 quaterdecies</w:t>
      </w:r>
      <w:r w:rsidRPr="006E437B">
        <w:rPr>
          <w:rFonts w:ascii="Times New Roman" w:hAnsi="Times New Roman" w:cs="Times New Roman"/>
          <w:sz w:val="24"/>
          <w:szCs w:val="24"/>
        </w:rPr>
        <w:t>. La Dirección de las Mujeres, tiene las siguientes atribuciones: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I a la XIV...</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XIV bis.- </w:t>
      </w:r>
      <w:r w:rsidRPr="006E437B">
        <w:rPr>
          <w:rFonts w:ascii="Times New Roman" w:hAnsi="Times New Roman" w:cs="Times New Roman"/>
          <w:b/>
          <w:sz w:val="24"/>
          <w:szCs w:val="24"/>
        </w:rPr>
        <w:t>Para el caso de que el Municipio cuente con Alerta de Violencia de Género por Feminicidio y/o Desaparición o ambas, deberá realizar las gestiones necesarias para publicar en la Gaceta Municipal los montos que les fueron asignados para la atención de las Alertas de Género, así como los Planes Operativos correspondientes.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XV a la XVIII. .</w:t>
      </w:r>
      <w:r w:rsidRPr="006E437B">
        <w:rPr>
          <w:rFonts w:ascii="Times New Roman" w:hAnsi="Times New Roman" w:cs="Times New Roman"/>
          <w:noProof/>
          <w:sz w:val="24"/>
          <w:szCs w:val="24"/>
        </w:rPr>
        <w:drawing>
          <wp:inline distT="0" distB="0" distL="0" distR="0" wp14:anchorId="058CC1D4" wp14:editId="03F4902D">
            <wp:extent cx="68419" cy="22808"/>
            <wp:effectExtent l="0" t="0" r="0" b="0"/>
            <wp:docPr id="20646" name="Picture 20646"/>
            <wp:cNvGraphicFramePr/>
            <a:graphic xmlns:a="http://schemas.openxmlformats.org/drawingml/2006/main">
              <a:graphicData uri="http://schemas.openxmlformats.org/drawingml/2006/picture">
                <pic:pic xmlns:pic="http://schemas.openxmlformats.org/drawingml/2006/picture">
                  <pic:nvPicPr>
                    <pic:cNvPr id="20646" name="Picture 20646"/>
                    <pic:cNvPicPr/>
                  </pic:nvPicPr>
                  <pic:blipFill>
                    <a:blip r:embed="rId35"/>
                    <a:stretch>
                      <a:fillRect/>
                    </a:stretch>
                  </pic:blipFill>
                  <pic:spPr>
                    <a:xfrm>
                      <a:off x="0" y="0"/>
                      <a:ext cx="68419" cy="22808"/>
                    </a:xfrm>
                    <a:prstGeom prst="rect">
                      <a:avLst/>
                    </a:prstGeom>
                  </pic:spPr>
                </pic:pic>
              </a:graphicData>
            </a:graphic>
          </wp:inline>
        </w:drawing>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Artículo 121 bis. Los Ayuntamientos de los Municipios que cuenten con Declaratoria de Alerta de Violencia de Género contra las Mujeres por Feminicidio y/o Desaparición o ambas, estarán obligados a:</w:t>
      </w:r>
    </w:p>
    <w:p w:rsidR="00532918" w:rsidRPr="006E437B" w:rsidRDefault="00532918" w:rsidP="00141629">
      <w:pPr>
        <w:spacing w:after="0" w:line="240" w:lineRule="auto"/>
        <w:jc w:val="both"/>
        <w:rPr>
          <w:rFonts w:ascii="Times New Roman" w:hAnsi="Times New Roman" w:cs="Times New Roman"/>
          <w:b/>
          <w:sz w:val="24"/>
          <w:szCs w:val="24"/>
        </w:rPr>
      </w:pPr>
    </w:p>
    <w:p w:rsidR="00532918" w:rsidRPr="006E437B" w:rsidRDefault="00532918" w:rsidP="00DA64DA">
      <w:pPr>
        <w:pStyle w:val="Prrafodelista"/>
        <w:numPr>
          <w:ilvl w:val="0"/>
          <w:numId w:val="17"/>
        </w:numPr>
        <w:spacing w:after="0" w:line="240" w:lineRule="auto"/>
        <w:ind w:left="0" w:firstLine="0"/>
        <w:jc w:val="both"/>
        <w:rPr>
          <w:rFonts w:ascii="Times New Roman" w:hAnsi="Times New Roman" w:cs="Times New Roman"/>
          <w:b/>
          <w:color w:val="auto"/>
          <w:sz w:val="24"/>
          <w:szCs w:val="24"/>
        </w:rPr>
      </w:pPr>
      <w:r w:rsidRPr="006E437B">
        <w:rPr>
          <w:rFonts w:ascii="Times New Roman" w:hAnsi="Times New Roman" w:cs="Times New Roman"/>
          <w:b/>
          <w:color w:val="auto"/>
          <w:sz w:val="24"/>
          <w:szCs w:val="24"/>
        </w:rPr>
        <w:t>Publicar en la Gaceta Municipal y en sus medios electrónicos oficiales los Proyectos Operativos y Anexos Técnicos elaborados para la atención de dichas alertas;</w:t>
      </w:r>
    </w:p>
    <w:p w:rsidR="00532918" w:rsidRPr="006E437B" w:rsidRDefault="00532918" w:rsidP="00DA64DA">
      <w:pPr>
        <w:pStyle w:val="Prrafodelista"/>
        <w:numPr>
          <w:ilvl w:val="0"/>
          <w:numId w:val="17"/>
        </w:numPr>
        <w:spacing w:after="0" w:line="240" w:lineRule="auto"/>
        <w:ind w:left="0" w:firstLine="0"/>
        <w:jc w:val="both"/>
        <w:rPr>
          <w:rFonts w:ascii="Times New Roman" w:hAnsi="Times New Roman" w:cs="Times New Roman"/>
          <w:b/>
          <w:color w:val="auto"/>
          <w:sz w:val="24"/>
          <w:szCs w:val="24"/>
        </w:rPr>
      </w:pPr>
      <w:r w:rsidRPr="006E437B">
        <w:rPr>
          <w:rFonts w:ascii="Times New Roman" w:hAnsi="Times New Roman" w:cs="Times New Roman"/>
          <w:b/>
          <w:color w:val="auto"/>
          <w:sz w:val="24"/>
          <w:szCs w:val="24"/>
        </w:rPr>
        <w:t>Difundir información relativa al ejercicio de los recursos públicos asignados, incluyendo montos, acciones ejecutadas, beneficiarios y resultados;</w:t>
      </w:r>
    </w:p>
    <w:p w:rsidR="00532918" w:rsidRPr="006E437B" w:rsidRDefault="00532918" w:rsidP="00DA64DA">
      <w:pPr>
        <w:pStyle w:val="Prrafodelista"/>
        <w:numPr>
          <w:ilvl w:val="0"/>
          <w:numId w:val="17"/>
        </w:numPr>
        <w:spacing w:after="0" w:line="240" w:lineRule="auto"/>
        <w:ind w:left="0" w:firstLine="0"/>
        <w:jc w:val="both"/>
        <w:rPr>
          <w:rFonts w:ascii="Times New Roman" w:hAnsi="Times New Roman" w:cs="Times New Roman"/>
          <w:b/>
          <w:color w:val="auto"/>
          <w:sz w:val="24"/>
          <w:szCs w:val="24"/>
        </w:rPr>
      </w:pPr>
      <w:r w:rsidRPr="006E437B">
        <w:rPr>
          <w:rFonts w:ascii="Times New Roman" w:hAnsi="Times New Roman" w:cs="Times New Roman"/>
          <w:b/>
          <w:color w:val="auto"/>
          <w:sz w:val="24"/>
          <w:szCs w:val="24"/>
        </w:rPr>
        <w:t>Garantizar que la información publicada sea clara, veraz, oportuna y de fácil acceso para la ciudadanía;</w:t>
      </w:r>
    </w:p>
    <w:p w:rsidR="00532918" w:rsidRPr="006E437B" w:rsidRDefault="00532918" w:rsidP="00DA64DA">
      <w:pPr>
        <w:pStyle w:val="Prrafodelista"/>
        <w:numPr>
          <w:ilvl w:val="0"/>
          <w:numId w:val="17"/>
        </w:numPr>
        <w:spacing w:after="0" w:line="240" w:lineRule="auto"/>
        <w:ind w:left="0" w:firstLine="0"/>
        <w:jc w:val="both"/>
        <w:rPr>
          <w:rFonts w:ascii="Times New Roman" w:hAnsi="Times New Roman" w:cs="Times New Roman"/>
          <w:b/>
          <w:color w:val="auto"/>
          <w:sz w:val="24"/>
          <w:szCs w:val="24"/>
        </w:rPr>
      </w:pPr>
      <w:r w:rsidRPr="006E437B">
        <w:rPr>
          <w:rFonts w:ascii="Times New Roman" w:hAnsi="Times New Roman" w:cs="Times New Roman"/>
          <w:b/>
          <w:color w:val="auto"/>
          <w:sz w:val="24"/>
          <w:szCs w:val="24"/>
        </w:rPr>
        <w:t xml:space="preserve">Actualizar de manera periódica la información sobre los avances, seguimiento y evaluación para la mitigación de las Alertas de Género; y </w:t>
      </w:r>
      <w:r w:rsidRPr="006E437B">
        <w:rPr>
          <w:rFonts w:ascii="Times New Roman" w:hAnsi="Times New Roman" w:cs="Times New Roman"/>
          <w:b/>
          <w:noProof/>
          <w:color w:val="auto"/>
          <w:sz w:val="24"/>
          <w:szCs w:val="24"/>
        </w:rPr>
        <w:drawing>
          <wp:inline distT="0" distB="0" distL="0" distR="0" wp14:anchorId="584BBDA0" wp14:editId="6CB69490">
            <wp:extent cx="4561" cy="9123"/>
            <wp:effectExtent l="0" t="0" r="0" b="0"/>
            <wp:docPr id="11393" name="Picture 11393"/>
            <wp:cNvGraphicFramePr/>
            <a:graphic xmlns:a="http://schemas.openxmlformats.org/drawingml/2006/main">
              <a:graphicData uri="http://schemas.openxmlformats.org/drawingml/2006/picture">
                <pic:pic xmlns:pic="http://schemas.openxmlformats.org/drawingml/2006/picture">
                  <pic:nvPicPr>
                    <pic:cNvPr id="11393" name="Picture 11393"/>
                    <pic:cNvPicPr/>
                  </pic:nvPicPr>
                  <pic:blipFill>
                    <a:blip r:embed="rId36"/>
                    <a:stretch>
                      <a:fillRect/>
                    </a:stretch>
                  </pic:blipFill>
                  <pic:spPr>
                    <a:xfrm>
                      <a:off x="0" y="0"/>
                      <a:ext cx="4561" cy="9123"/>
                    </a:xfrm>
                    <a:prstGeom prst="rect">
                      <a:avLst/>
                    </a:prstGeom>
                  </pic:spPr>
                </pic:pic>
              </a:graphicData>
            </a:graphic>
          </wp:inline>
        </w:drawing>
      </w:r>
    </w:p>
    <w:p w:rsidR="00532918" w:rsidRPr="006E437B" w:rsidRDefault="00532918" w:rsidP="00DA64DA">
      <w:pPr>
        <w:pStyle w:val="Prrafodelista"/>
        <w:numPr>
          <w:ilvl w:val="0"/>
          <w:numId w:val="17"/>
        </w:numPr>
        <w:spacing w:after="0" w:line="240" w:lineRule="auto"/>
        <w:ind w:left="0" w:firstLine="0"/>
        <w:jc w:val="both"/>
        <w:rPr>
          <w:rFonts w:ascii="Times New Roman" w:hAnsi="Times New Roman" w:cs="Times New Roman"/>
          <w:b/>
          <w:color w:val="auto"/>
          <w:sz w:val="24"/>
          <w:szCs w:val="24"/>
        </w:rPr>
      </w:pPr>
      <w:r w:rsidRPr="006E437B">
        <w:rPr>
          <w:rFonts w:ascii="Times New Roman" w:hAnsi="Times New Roman" w:cs="Times New Roman"/>
          <w:b/>
          <w:color w:val="auto"/>
          <w:sz w:val="24"/>
          <w:szCs w:val="24"/>
        </w:rPr>
        <w:t>Coordinarse con las autoridades estatales para asegurar el cumplimiento de objetivos en materia de transparencia.</w:t>
      </w:r>
    </w:p>
    <w:p w:rsidR="00532918" w:rsidRPr="006E437B" w:rsidRDefault="00532918" w:rsidP="00141629">
      <w:pPr>
        <w:pStyle w:val="Ttulo3"/>
        <w:keepNext w:val="0"/>
        <w:tabs>
          <w:tab w:val="clear" w:pos="2160"/>
        </w:tabs>
        <w:spacing w:before="0" w:after="0"/>
        <w:ind w:left="0" w:firstLine="0"/>
        <w:rPr>
          <w:rFonts w:ascii="Times New Roman" w:hAnsi="Times New Roman" w:cs="Times New Roman"/>
          <w:b w:val="0"/>
          <w:sz w:val="24"/>
          <w:szCs w:val="24"/>
        </w:rPr>
      </w:pPr>
    </w:p>
    <w:p w:rsidR="00532918" w:rsidRPr="006E437B" w:rsidRDefault="00532918" w:rsidP="00141629">
      <w:pPr>
        <w:pStyle w:val="Ttulo3"/>
        <w:keepNext w:val="0"/>
        <w:tabs>
          <w:tab w:val="clear" w:pos="2160"/>
        </w:tabs>
        <w:spacing w:before="0" w:after="0"/>
        <w:ind w:left="0" w:firstLine="0"/>
        <w:jc w:val="center"/>
        <w:rPr>
          <w:rFonts w:ascii="Times New Roman" w:hAnsi="Times New Roman" w:cs="Times New Roman"/>
          <w:b w:val="0"/>
          <w:sz w:val="24"/>
          <w:szCs w:val="24"/>
        </w:rPr>
      </w:pPr>
      <w:r w:rsidRPr="006E437B">
        <w:rPr>
          <w:rFonts w:ascii="Times New Roman" w:hAnsi="Times New Roman" w:cs="Times New Roman"/>
          <w:sz w:val="24"/>
          <w:szCs w:val="24"/>
        </w:rPr>
        <w:t>TRANSITORIOS</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PRIMERO</w:t>
      </w:r>
      <w:r w:rsidRPr="006E437B">
        <w:rPr>
          <w:rFonts w:ascii="Times New Roman" w:hAnsi="Times New Roman" w:cs="Times New Roman"/>
          <w:sz w:val="24"/>
          <w:szCs w:val="24"/>
        </w:rPr>
        <w:t>. Publíquese el presente Decreto en el Periódico Oficial "Gaceta del Gobierno" del Estado de México.</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SEGUNDO</w:t>
      </w:r>
      <w:r w:rsidRPr="006E437B">
        <w:rPr>
          <w:rFonts w:ascii="Times New Roman" w:hAnsi="Times New Roman" w:cs="Times New Roman"/>
          <w:sz w:val="24"/>
          <w:szCs w:val="24"/>
        </w:rPr>
        <w:t>. El presente Decreto entrará en vigor al día siguiente de su publicación en la "Gaceta del Gobierno" del Estado de México.</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TERCERO</w:t>
      </w:r>
      <w:r w:rsidRPr="006E437B">
        <w:rPr>
          <w:rFonts w:ascii="Times New Roman" w:hAnsi="Times New Roman" w:cs="Times New Roman"/>
          <w:sz w:val="24"/>
          <w:szCs w:val="24"/>
        </w:rPr>
        <w:t>. Los Ayuntamientos de los Municipios que cuenten con Declaratoria de Alerta de Violencia de Género contra las Mujeres por Feminicidio y/o Desaparición o ambas, contarán con un plazo de 30 días naturales a partir de la entrada en vigor del presente Decreto, para publicar en su Gaceta Municipal para dar cumplimiento a lo dispuesto en el presente Decreto.</w:t>
      </w:r>
    </w:p>
    <w:p w:rsidR="00532918" w:rsidRPr="006E437B" w:rsidRDefault="00532918" w:rsidP="00141629">
      <w:pPr>
        <w:spacing w:after="0" w:line="240" w:lineRule="auto"/>
        <w:jc w:val="both"/>
        <w:rPr>
          <w:rFonts w:ascii="Times New Roman" w:hAnsi="Times New Roman" w:cs="Times New Roman"/>
          <w:sz w:val="24"/>
          <w:szCs w:val="24"/>
        </w:rPr>
      </w:pPr>
    </w:p>
    <w:p w:rsidR="00532918" w:rsidRPr="006E437B" w:rsidRDefault="00532918"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Dado en el Palacio del Poder Legislativo en la Ciudad de Toluca de Lerdo Capital del Estado de México a los días del mes de </w:t>
      </w:r>
      <w:r w:rsidRPr="006E437B">
        <w:rPr>
          <w:rFonts w:ascii="Times New Roman" w:hAnsi="Times New Roman" w:cs="Times New Roman"/>
          <w:noProof/>
          <w:sz w:val="24"/>
          <w:szCs w:val="24"/>
        </w:rPr>
        <w:drawing>
          <wp:inline distT="0" distB="0" distL="0" distR="0" wp14:anchorId="336E58AA" wp14:editId="2B4C5171">
            <wp:extent cx="1217858" cy="18246"/>
            <wp:effectExtent l="0" t="0" r="0" b="0"/>
            <wp:docPr id="11420" name="Picture 11420"/>
            <wp:cNvGraphicFramePr/>
            <a:graphic xmlns:a="http://schemas.openxmlformats.org/drawingml/2006/main">
              <a:graphicData uri="http://schemas.openxmlformats.org/drawingml/2006/picture">
                <pic:pic xmlns:pic="http://schemas.openxmlformats.org/drawingml/2006/picture">
                  <pic:nvPicPr>
                    <pic:cNvPr id="11420" name="Picture 11420"/>
                    <pic:cNvPicPr/>
                  </pic:nvPicPr>
                  <pic:blipFill>
                    <a:blip r:embed="rId37"/>
                    <a:stretch>
                      <a:fillRect/>
                    </a:stretch>
                  </pic:blipFill>
                  <pic:spPr>
                    <a:xfrm>
                      <a:off x="0" y="0"/>
                      <a:ext cx="1217858" cy="18246"/>
                    </a:xfrm>
                    <a:prstGeom prst="rect">
                      <a:avLst/>
                    </a:prstGeom>
                  </pic:spPr>
                </pic:pic>
              </a:graphicData>
            </a:graphic>
          </wp:inline>
        </w:drawing>
      </w:r>
      <w:r w:rsidRPr="006E437B">
        <w:rPr>
          <w:rFonts w:ascii="Times New Roman" w:hAnsi="Times New Roman" w:cs="Times New Roman"/>
          <w:sz w:val="24"/>
          <w:szCs w:val="24"/>
        </w:rPr>
        <w:t>del año 2026.</w:t>
      </w:r>
      <w:bookmarkEnd w:id="5"/>
    </w:p>
    <w:p w:rsidR="00931582" w:rsidRPr="006E437B" w:rsidRDefault="00931582" w:rsidP="00141629">
      <w:pPr>
        <w:pStyle w:val="Sinespaciado"/>
        <w:jc w:val="both"/>
        <w:rPr>
          <w:rFonts w:ascii="Times New Roman" w:hAnsi="Times New Roman" w:cs="Times New Roman"/>
          <w:sz w:val="24"/>
          <w:szCs w:val="24"/>
        </w:rPr>
      </w:pPr>
    </w:p>
    <w:p w:rsidR="00931582" w:rsidRPr="006E437B" w:rsidRDefault="0093158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931582" w:rsidRPr="006E437B" w:rsidRDefault="00931582" w:rsidP="00141629">
      <w:pPr>
        <w:pStyle w:val="Sinespaciado"/>
        <w:jc w:val="both"/>
        <w:rPr>
          <w:rFonts w:ascii="Times New Roman" w:hAnsi="Times New Roman" w:cs="Times New Roman"/>
          <w:sz w:val="24"/>
          <w:szCs w:val="24"/>
        </w:rPr>
      </w:pP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kern w:val="2"/>
          <w:sz w:val="24"/>
          <w:szCs w:val="24"/>
          <w:lang w:eastAsia="es-MX"/>
        </w:rPr>
        <w:t xml:space="preserve">PRESIDENTE DIP. VLADIMIR HERNÁNDEZ VILLEGAS. </w:t>
      </w:r>
      <w:r w:rsidRPr="006E437B">
        <w:rPr>
          <w:rFonts w:ascii="Times New Roman" w:hAnsi="Times New Roman" w:cs="Times New Roman"/>
          <w:sz w:val="24"/>
          <w:szCs w:val="24"/>
        </w:rPr>
        <w:t>Muchas gracias diputada.</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registra la iniciativa y se remite a las Comisiones Legislativas de Legislación y Administración Municipal y Para las Declaratorias de Alerta de Violencia de Género Contra las Mujeres por Feminicidio y Desaparición, para su estudio y dictamen.</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Con sujeción al punto 12, </w:t>
      </w:r>
      <w:r w:rsidR="00016878" w:rsidRPr="006E437B">
        <w:rPr>
          <w:rFonts w:ascii="Times New Roman" w:hAnsi="Times New Roman" w:cs="Times New Roman"/>
          <w:sz w:val="24"/>
          <w:szCs w:val="24"/>
        </w:rPr>
        <w:t xml:space="preserve">el </w:t>
      </w:r>
      <w:r w:rsidRPr="006E437B">
        <w:rPr>
          <w:rFonts w:ascii="Times New Roman" w:hAnsi="Times New Roman" w:cs="Times New Roman"/>
          <w:sz w:val="24"/>
          <w:szCs w:val="24"/>
        </w:rPr>
        <w:t>diputado Isaac Josué Hernández Méndez, presenta en nombre del Grupo Parlamentario del Partido del Trabajo, Iniciativa con Proyecto de Decreto por el que se reforman y adicionan diversas disposiciones de la Ley de Salud del Estado de México y se reforma el artículo 5 de la Ley para Prevenir, Combatir y Eliminar Actos de Discriminación en el Estado de México, en materia de prevención, diagnóstico, atención y seguimiento de LUPUS y otras enfermedades autoinmunes, presentada por el diputado Isaac Josué Hernández Méndez, en nombre del Grupo Parlamentario del Partido del Trabajo.</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Adelante diputado.</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ISAAC JOSUÉ HERNÁNDEZ MÉNDEZ. Gracias Presidente.</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Antes de iniciar con mi intervención, me gustaría que les pudieran presentar un video que hemos traído de unos segundos.</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kern w:val="2"/>
          <w:sz w:val="24"/>
          <w:szCs w:val="24"/>
          <w:lang w:eastAsia="es-MX"/>
        </w:rPr>
        <w:t>PRESIDENTE DIP. VLADIMIR HERNÁNDEZ VILLEGAS.</w:t>
      </w:r>
      <w:r w:rsidRPr="006E437B">
        <w:rPr>
          <w:rFonts w:ascii="Times New Roman" w:hAnsi="Times New Roman" w:cs="Times New Roman"/>
          <w:sz w:val="24"/>
          <w:szCs w:val="24"/>
        </w:rPr>
        <w:t xml:space="preserve"> Si nos apoyan con la proyección del video, por favor</w:t>
      </w:r>
      <w:r w:rsidR="00156676" w:rsidRPr="006E437B">
        <w:rPr>
          <w:rFonts w:ascii="Times New Roman" w:hAnsi="Times New Roman" w:cs="Times New Roman"/>
          <w:sz w:val="24"/>
          <w:szCs w:val="24"/>
        </w:rPr>
        <w:t>.</w:t>
      </w:r>
    </w:p>
    <w:p w:rsidR="009E26CB" w:rsidRPr="006E437B" w:rsidRDefault="009E26CB"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w:t>
      </w:r>
      <w:r w:rsidR="001529D3" w:rsidRPr="006E437B">
        <w:rPr>
          <w:rFonts w:ascii="Times New Roman" w:hAnsi="Times New Roman" w:cs="Times New Roman"/>
          <w:i/>
          <w:sz w:val="24"/>
          <w:szCs w:val="24"/>
        </w:rPr>
        <w:t xml:space="preserve">Se reproduce </w:t>
      </w:r>
      <w:r w:rsidR="00CB0A7A" w:rsidRPr="006E437B">
        <w:rPr>
          <w:rFonts w:ascii="Times New Roman" w:hAnsi="Times New Roman" w:cs="Times New Roman"/>
          <w:i/>
          <w:sz w:val="24"/>
          <w:szCs w:val="24"/>
        </w:rPr>
        <w:t>video</w:t>
      </w:r>
      <w:r w:rsidRPr="006E437B">
        <w:rPr>
          <w:rFonts w:ascii="Times New Roman" w:hAnsi="Times New Roman" w:cs="Times New Roman"/>
          <w:i/>
          <w:sz w:val="24"/>
          <w:szCs w:val="24"/>
        </w:rPr>
        <w:t>)</w:t>
      </w:r>
    </w:p>
    <w:p w:rsidR="00377653" w:rsidRPr="006E437B" w:rsidRDefault="00156676"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DIP. ISAAC JOSUÉ HERNÁNDEZ MÉNDEZ. </w:t>
      </w:r>
      <w:r w:rsidR="00590795" w:rsidRPr="006E437B">
        <w:rPr>
          <w:rFonts w:ascii="Times New Roman" w:hAnsi="Times New Roman" w:cs="Times New Roman"/>
          <w:sz w:val="24"/>
          <w:szCs w:val="24"/>
        </w:rPr>
        <w:t>Muchas gracias compañeras y compañeros con el permiso de la Mesa Directiva</w:t>
      </w:r>
      <w:r w:rsidR="00377653"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compañeras diputadas, diputado, diputade</w:t>
      </w:r>
      <w:r w:rsidR="00377653"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a los medios de comunicación y quienes nos siguen en las redes sociales</w:t>
      </w:r>
      <w:r w:rsidR="00377653" w:rsidRPr="006E437B">
        <w:rPr>
          <w:rFonts w:ascii="Times New Roman" w:hAnsi="Times New Roman" w:cs="Times New Roman"/>
          <w:sz w:val="24"/>
          <w:szCs w:val="24"/>
        </w:rPr>
        <w:t>.</w:t>
      </w:r>
    </w:p>
    <w:p w:rsidR="00726579" w:rsidRPr="006E437B" w:rsidRDefault="00377653"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00590795" w:rsidRPr="006E437B">
        <w:rPr>
          <w:rFonts w:ascii="Times New Roman" w:hAnsi="Times New Roman" w:cs="Times New Roman"/>
          <w:sz w:val="24"/>
          <w:szCs w:val="24"/>
        </w:rPr>
        <w:t>día de hoy subo a esta tribuna porque vengo hablar de un tema sumamente importante</w:t>
      </w:r>
      <w:r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hoy les pido que escuchen y puedan sumarse a esta noble lucha, a esta noble causa</w:t>
      </w:r>
      <w:r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hay enfermedades que podemos ver, hay enfermedades cuyos síntomas son evidentes y que precisamente</w:t>
      </w:r>
      <w:r w:rsidR="00726579"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por ello</w:t>
      </w:r>
      <w:r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nos resultan a la mejor fáciles de comprender</w:t>
      </w:r>
      <w:r w:rsidRPr="006E437B">
        <w:rPr>
          <w:rFonts w:ascii="Times New Roman" w:hAnsi="Times New Roman" w:cs="Times New Roman"/>
          <w:sz w:val="24"/>
          <w:szCs w:val="24"/>
        </w:rPr>
        <w:t>;</w:t>
      </w:r>
      <w:r w:rsidR="00590795" w:rsidRPr="006E437B">
        <w:rPr>
          <w:rFonts w:ascii="Times New Roman" w:hAnsi="Times New Roman" w:cs="Times New Roman"/>
          <w:sz w:val="24"/>
          <w:szCs w:val="24"/>
        </w:rPr>
        <w:t xml:space="preserve"> pero también existen enfermedades que no siempre se pueden ver y cuando una enfermedad es invisible para los ojos, muchas veces también termina siendo invisible para la sociedad, para las instituciones e incluso para los propios sistemas de salud.</w:t>
      </w:r>
    </w:p>
    <w:p w:rsidR="00590795" w:rsidRPr="006E437B" w:rsidRDefault="00590795"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El lupus es una de ellas</w:t>
      </w:r>
      <w:r w:rsidR="009D1AB6" w:rsidRPr="006E437B">
        <w:rPr>
          <w:rFonts w:ascii="Times New Roman" w:hAnsi="Times New Roman" w:cs="Times New Roman"/>
          <w:sz w:val="24"/>
          <w:szCs w:val="24"/>
        </w:rPr>
        <w:t>,</w:t>
      </w:r>
      <w:r w:rsidRPr="006E437B">
        <w:rPr>
          <w:rFonts w:ascii="Times New Roman" w:hAnsi="Times New Roman" w:cs="Times New Roman"/>
          <w:sz w:val="24"/>
          <w:szCs w:val="24"/>
        </w:rPr>
        <w:t xml:space="preserve"> es una enfermedad autoinmune, compleja, crónica, </w:t>
      </w:r>
      <w:r w:rsidR="00726579" w:rsidRPr="006E437B">
        <w:rPr>
          <w:rFonts w:ascii="Times New Roman" w:hAnsi="Times New Roman" w:cs="Times New Roman"/>
          <w:sz w:val="24"/>
          <w:szCs w:val="24"/>
        </w:rPr>
        <w:t xml:space="preserve">crónica </w:t>
      </w:r>
      <w:r w:rsidRPr="006E437B">
        <w:rPr>
          <w:rFonts w:ascii="Times New Roman" w:hAnsi="Times New Roman" w:cs="Times New Roman"/>
          <w:sz w:val="24"/>
          <w:szCs w:val="24"/>
        </w:rPr>
        <w:t>degenerativa e incurable, multisistémica que ataca de manera indistinta a quien la padece</w:t>
      </w:r>
      <w:r w:rsidR="00FA2D9D" w:rsidRPr="006E437B">
        <w:rPr>
          <w:rFonts w:ascii="Times New Roman" w:hAnsi="Times New Roman" w:cs="Times New Roman"/>
          <w:sz w:val="24"/>
          <w:szCs w:val="24"/>
        </w:rPr>
        <w:t>,</w:t>
      </w:r>
      <w:r w:rsidRPr="006E437B">
        <w:rPr>
          <w:rFonts w:ascii="Times New Roman" w:hAnsi="Times New Roman" w:cs="Times New Roman"/>
          <w:sz w:val="24"/>
          <w:szCs w:val="24"/>
        </w:rPr>
        <w:t xml:space="preserve"> es potencialmente mortal</w:t>
      </w:r>
      <w:r w:rsidR="00FA2D9D" w:rsidRPr="006E437B">
        <w:rPr>
          <w:rFonts w:ascii="Times New Roman" w:hAnsi="Times New Roman" w:cs="Times New Roman"/>
          <w:sz w:val="24"/>
          <w:szCs w:val="24"/>
        </w:rPr>
        <w:t>,</w:t>
      </w:r>
      <w:r w:rsidRPr="006E437B">
        <w:rPr>
          <w:rFonts w:ascii="Times New Roman" w:hAnsi="Times New Roman" w:cs="Times New Roman"/>
          <w:sz w:val="24"/>
          <w:szCs w:val="24"/>
        </w:rPr>
        <w:t xml:space="preserve"> si</w:t>
      </w:r>
      <w:r w:rsidR="00FA2D9D" w:rsidRPr="006E437B">
        <w:rPr>
          <w:rFonts w:ascii="Times New Roman" w:hAnsi="Times New Roman" w:cs="Times New Roman"/>
          <w:sz w:val="24"/>
          <w:szCs w:val="24"/>
        </w:rPr>
        <w:t xml:space="preserve"> </w:t>
      </w:r>
      <w:r w:rsidRPr="006E437B">
        <w:rPr>
          <w:rFonts w:ascii="Times New Roman" w:hAnsi="Times New Roman" w:cs="Times New Roman"/>
          <w:sz w:val="24"/>
          <w:szCs w:val="24"/>
        </w:rPr>
        <w:t>no se cuenta con acceso a tratamientos y servicios médicos adecuados de forma oportuna. El lupus ataca principalmente la piel de la gente, las articulaciones, los riñones, el corazón, los pulmones; puede causar falla orgánica sever</w:t>
      </w:r>
      <w:r w:rsidR="00FA2D9D" w:rsidRPr="006E437B">
        <w:rPr>
          <w:rFonts w:ascii="Times New Roman" w:hAnsi="Times New Roman" w:cs="Times New Roman"/>
          <w:sz w:val="24"/>
          <w:szCs w:val="24"/>
        </w:rPr>
        <w:t>a,</w:t>
      </w:r>
      <w:r w:rsidRPr="006E437B">
        <w:rPr>
          <w:rFonts w:ascii="Times New Roman" w:hAnsi="Times New Roman" w:cs="Times New Roman"/>
          <w:sz w:val="24"/>
          <w:szCs w:val="24"/>
        </w:rPr>
        <w:t xml:space="preserve"> hasta la muerte, es una enfermedad autoinmune que quiere decir esto que es un trastorno en el que el sistema inmunitario ataca y destruye por error los tejidos sanos del propio cuerpo, es decir; las células buenas del cuerpo no reconoce a otras células buenas y se empiezan atacar entre sí hasta dañar los órganos de las personas que padecen esta enfermedad.</w:t>
      </w:r>
    </w:p>
    <w:p w:rsidR="00590795" w:rsidRPr="006E437B" w:rsidRDefault="00590795"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Hoy</w:t>
      </w:r>
      <w:r w:rsidR="00AE4665" w:rsidRPr="006E437B">
        <w:rPr>
          <w:rFonts w:ascii="Times New Roman" w:hAnsi="Times New Roman" w:cs="Times New Roman"/>
          <w:sz w:val="24"/>
          <w:szCs w:val="24"/>
        </w:rPr>
        <w:t>,</w:t>
      </w:r>
      <w:r w:rsidRPr="006E437B">
        <w:rPr>
          <w:rFonts w:ascii="Times New Roman" w:hAnsi="Times New Roman" w:cs="Times New Roman"/>
          <w:sz w:val="24"/>
          <w:szCs w:val="24"/>
        </w:rPr>
        <w:t xml:space="preserve"> desde esta tribuna quiero hablar de esta enfermedad que puede cambiar por completo la vida de una persona, de una enfermedad que puede afectar distintos órganos y sistemas del cuerpo que puede ser difícil de diagnosticar y que para muchas personas significa años de incertidumbre, de dolor y de búsqueda de respuestas</w:t>
      </w:r>
      <w:r w:rsidR="00AE4665"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sobre todo</w:t>
      </w:r>
      <w:r w:rsidR="00AE4665" w:rsidRPr="006E437B">
        <w:rPr>
          <w:rFonts w:ascii="Times New Roman" w:hAnsi="Times New Roman" w:cs="Times New Roman"/>
          <w:sz w:val="24"/>
          <w:szCs w:val="24"/>
        </w:rPr>
        <w:t>,</w:t>
      </w:r>
      <w:r w:rsidRPr="006E437B">
        <w:rPr>
          <w:rFonts w:ascii="Times New Roman" w:hAnsi="Times New Roman" w:cs="Times New Roman"/>
          <w:sz w:val="24"/>
          <w:szCs w:val="24"/>
        </w:rPr>
        <w:t xml:space="preserve"> quiero hablar de las personas que viven con lupus y con otras enfermedades auto inmunes porque detrás de cada diagnóstico hay una historia, hay una niña, un niño, una mujer, un hombre, una madre, un padre, una hija o un hijo; hay personas que quieren estudiar, trabajar, formar una familia, desarrollar sus proyectos u vivir con dignidad y precisamente por ellas estamos aquí.</w:t>
      </w:r>
    </w:p>
    <w:p w:rsidR="00974291" w:rsidRPr="006E437B" w:rsidRDefault="00590795"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Quiero comenzar reconociendo de manera muy especial el trabajo del </w:t>
      </w:r>
      <w:r w:rsidR="00475911" w:rsidRPr="006E437B">
        <w:rPr>
          <w:rFonts w:ascii="Times New Roman" w:hAnsi="Times New Roman" w:cs="Times New Roman"/>
          <w:sz w:val="24"/>
          <w:szCs w:val="24"/>
        </w:rPr>
        <w:t xml:space="preserve">Centro </w:t>
      </w:r>
      <w:r w:rsidRPr="006E437B">
        <w:rPr>
          <w:rFonts w:ascii="Times New Roman" w:hAnsi="Times New Roman" w:cs="Times New Roman"/>
          <w:sz w:val="24"/>
          <w:szCs w:val="24"/>
        </w:rPr>
        <w:t xml:space="preserve">de </w:t>
      </w:r>
      <w:r w:rsidR="00475911" w:rsidRPr="006E437B">
        <w:rPr>
          <w:rFonts w:ascii="Times New Roman" w:hAnsi="Times New Roman" w:cs="Times New Roman"/>
          <w:sz w:val="24"/>
          <w:szCs w:val="24"/>
        </w:rPr>
        <w:t>Estudios Transdisciplinarios Athié-Calle</w:t>
      </w:r>
      <w:r w:rsidR="001B2D39" w:rsidRPr="006E437B">
        <w:rPr>
          <w:rFonts w:ascii="Times New Roman" w:hAnsi="Times New Roman" w:cs="Times New Roman"/>
          <w:sz w:val="24"/>
          <w:szCs w:val="24"/>
        </w:rPr>
        <w:t>ja</w:t>
      </w:r>
      <w:r w:rsidRPr="006E437B">
        <w:rPr>
          <w:rFonts w:ascii="Times New Roman" w:hAnsi="Times New Roman" w:cs="Times New Roman"/>
          <w:sz w:val="24"/>
          <w:szCs w:val="24"/>
        </w:rPr>
        <w:t xml:space="preserve"> por los </w:t>
      </w:r>
      <w:r w:rsidR="001B2D39" w:rsidRPr="006E437B">
        <w:rPr>
          <w:rFonts w:ascii="Times New Roman" w:hAnsi="Times New Roman" w:cs="Times New Roman"/>
          <w:sz w:val="24"/>
          <w:szCs w:val="24"/>
        </w:rPr>
        <w:t xml:space="preserve">Derechos </w:t>
      </w:r>
      <w:r w:rsidRPr="006E437B">
        <w:rPr>
          <w:rFonts w:ascii="Times New Roman" w:hAnsi="Times New Roman" w:cs="Times New Roman"/>
          <w:sz w:val="24"/>
          <w:szCs w:val="24"/>
        </w:rPr>
        <w:t xml:space="preserve">de las </w:t>
      </w:r>
      <w:r w:rsidR="001B2D39" w:rsidRPr="006E437B">
        <w:rPr>
          <w:rFonts w:ascii="Times New Roman" w:hAnsi="Times New Roman" w:cs="Times New Roman"/>
          <w:sz w:val="24"/>
          <w:szCs w:val="24"/>
        </w:rPr>
        <w:t xml:space="preserve">Personas </w:t>
      </w:r>
      <w:r w:rsidRPr="006E437B">
        <w:rPr>
          <w:rFonts w:ascii="Times New Roman" w:hAnsi="Times New Roman" w:cs="Times New Roman"/>
          <w:sz w:val="24"/>
          <w:szCs w:val="24"/>
        </w:rPr>
        <w:t xml:space="preserve">con </w:t>
      </w:r>
      <w:r w:rsidR="001B2D39" w:rsidRPr="006E437B">
        <w:rPr>
          <w:rFonts w:ascii="Times New Roman" w:hAnsi="Times New Roman" w:cs="Times New Roman"/>
          <w:sz w:val="24"/>
          <w:szCs w:val="24"/>
        </w:rPr>
        <w:t xml:space="preserve">Lupus </w:t>
      </w:r>
      <w:r w:rsidRPr="006E437B">
        <w:rPr>
          <w:rFonts w:ascii="Times New Roman" w:hAnsi="Times New Roman" w:cs="Times New Roman"/>
          <w:sz w:val="24"/>
          <w:szCs w:val="24"/>
        </w:rPr>
        <w:t>(</w:t>
      </w:r>
      <w:r w:rsidR="00D462F5" w:rsidRPr="006E437B">
        <w:rPr>
          <w:rFonts w:ascii="Times New Roman" w:hAnsi="Times New Roman" w:cs="Times New Roman"/>
          <w:sz w:val="24"/>
          <w:szCs w:val="24"/>
        </w:rPr>
        <w:t>CETLU</w:t>
      </w:r>
      <w:r w:rsidRPr="006E437B">
        <w:rPr>
          <w:rFonts w:ascii="Times New Roman" w:hAnsi="Times New Roman" w:cs="Times New Roman"/>
          <w:sz w:val="24"/>
          <w:szCs w:val="24"/>
        </w:rPr>
        <w:t>) también denominado, su trabajo ha sido fundamental para comprender que hablar de lupus no significa hablar únicamente de una enfermedad, significa hablar también de diagnóstico tardío, de barreras para acceder a los servicios de salud, de discriminación, de violencia institucional y de las dificultades que enfrentan muchas personas para continuar con su vida laboral y social. Esta organización CETLU ha investigado</w:t>
      </w:r>
      <w:r w:rsidR="00974291" w:rsidRPr="006E437B">
        <w:rPr>
          <w:rFonts w:ascii="Times New Roman" w:hAnsi="Times New Roman" w:cs="Times New Roman"/>
          <w:sz w:val="24"/>
          <w:szCs w:val="24"/>
        </w:rPr>
        <w:t>,</w:t>
      </w:r>
      <w:r w:rsidRPr="006E437B">
        <w:rPr>
          <w:rFonts w:ascii="Times New Roman" w:hAnsi="Times New Roman" w:cs="Times New Roman"/>
          <w:sz w:val="24"/>
          <w:szCs w:val="24"/>
        </w:rPr>
        <w:t xml:space="preserve"> documentado y acompañado esta realidad durante años y quiero decirlo con toda claridad</w:t>
      </w:r>
      <w:r w:rsidR="00974291" w:rsidRPr="006E437B">
        <w:rPr>
          <w:rFonts w:ascii="Times New Roman" w:hAnsi="Times New Roman" w:cs="Times New Roman"/>
          <w:sz w:val="24"/>
          <w:szCs w:val="24"/>
        </w:rPr>
        <w:t>,</w:t>
      </w:r>
      <w:r w:rsidRPr="006E437B">
        <w:rPr>
          <w:rFonts w:ascii="Times New Roman" w:hAnsi="Times New Roman" w:cs="Times New Roman"/>
          <w:sz w:val="24"/>
          <w:szCs w:val="24"/>
        </w:rPr>
        <w:t xml:space="preserve"> desde esta tribuna, esta </w:t>
      </w:r>
      <w:r w:rsidR="00974291" w:rsidRPr="006E437B">
        <w:rPr>
          <w:rFonts w:ascii="Times New Roman" w:hAnsi="Times New Roman" w:cs="Times New Roman"/>
          <w:sz w:val="24"/>
          <w:szCs w:val="24"/>
        </w:rPr>
        <w:t xml:space="preserve">Iniciativa, </w:t>
      </w:r>
      <w:r w:rsidRPr="006E437B">
        <w:rPr>
          <w:rFonts w:ascii="Times New Roman" w:hAnsi="Times New Roman" w:cs="Times New Roman"/>
          <w:sz w:val="24"/>
          <w:szCs w:val="24"/>
        </w:rPr>
        <w:t>también es resultado de escuchar a la sociedad civil; por ello</w:t>
      </w:r>
      <w:r w:rsidR="00974291" w:rsidRPr="006E437B">
        <w:rPr>
          <w:rFonts w:ascii="Times New Roman" w:hAnsi="Times New Roman" w:cs="Times New Roman"/>
          <w:sz w:val="24"/>
          <w:szCs w:val="24"/>
        </w:rPr>
        <w:t>,</w:t>
      </w:r>
      <w:r w:rsidRPr="006E437B">
        <w:rPr>
          <w:rFonts w:ascii="Times New Roman" w:hAnsi="Times New Roman" w:cs="Times New Roman"/>
          <w:sz w:val="24"/>
          <w:szCs w:val="24"/>
        </w:rPr>
        <w:t xml:space="preserve"> mi reconocimiento y mi gratitud a quienes han decidido transformar sus propias experiencias y las de muchas otras personas en investigación, en organización y en este momento</w:t>
      </w:r>
      <w:r w:rsidR="00974291" w:rsidRPr="006E437B">
        <w:rPr>
          <w:rFonts w:ascii="Times New Roman" w:hAnsi="Times New Roman" w:cs="Times New Roman"/>
          <w:sz w:val="24"/>
          <w:szCs w:val="24"/>
        </w:rPr>
        <w:t>,</w:t>
      </w:r>
      <w:r w:rsidRPr="006E437B">
        <w:rPr>
          <w:rFonts w:ascii="Times New Roman" w:hAnsi="Times New Roman" w:cs="Times New Roman"/>
          <w:sz w:val="24"/>
          <w:szCs w:val="24"/>
        </w:rPr>
        <w:t xml:space="preserve"> en una agenda legislativa; porque las leyes también pueden comenzar de una manera muy sencilla escuchando a quienes viven el problema, escuchando a quienes lo han estudiado y escuchando a quienes durante años han pedido que una realidad que parece invisible sea finalmente reconocida</w:t>
      </w:r>
      <w:r w:rsidR="00974291" w:rsidRPr="006E437B">
        <w:rPr>
          <w:rFonts w:ascii="Times New Roman" w:hAnsi="Times New Roman" w:cs="Times New Roman"/>
          <w:sz w:val="24"/>
          <w:szCs w:val="24"/>
        </w:rPr>
        <w:t>.</w:t>
      </w:r>
    </w:p>
    <w:p w:rsidR="00D95BA9" w:rsidRPr="006E437B" w:rsidRDefault="0097429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00D95BA9" w:rsidRPr="006E437B">
        <w:rPr>
          <w:rFonts w:ascii="Times New Roman" w:hAnsi="Times New Roman" w:cs="Times New Roman"/>
          <w:sz w:val="24"/>
          <w:szCs w:val="24"/>
        </w:rPr>
        <w:t xml:space="preserve">Estado de México no puede permanecer alejado a este esfuerzo, pero tampoco podemos quedarnos únicamente en el reconocimiento tenemos que actuar y eso es precisamente lo que proponemos el día de hoy. Esta iniciativa busca establecer un marco jurídico que permita fortalecer la atención integral de las personas con lupus y otras enfermedades autoinmunes en nuestra </w:t>
      </w:r>
      <w:r w:rsidR="00B86D9A" w:rsidRPr="006E437B">
        <w:rPr>
          <w:rFonts w:ascii="Times New Roman" w:hAnsi="Times New Roman" w:cs="Times New Roman"/>
          <w:sz w:val="24"/>
          <w:szCs w:val="24"/>
        </w:rPr>
        <w:t>Entidad</w:t>
      </w:r>
      <w:r w:rsidR="00D95BA9" w:rsidRPr="006E437B">
        <w:rPr>
          <w:rFonts w:ascii="Times New Roman" w:hAnsi="Times New Roman" w:cs="Times New Roman"/>
          <w:sz w:val="24"/>
          <w:szCs w:val="24"/>
        </w:rPr>
        <w:t xml:space="preserve">, proponemos impulsar un registro estatal de personas con </w:t>
      </w:r>
      <w:r w:rsidR="00B86D9A" w:rsidRPr="006E437B">
        <w:rPr>
          <w:rFonts w:ascii="Times New Roman" w:hAnsi="Times New Roman" w:cs="Times New Roman"/>
          <w:sz w:val="24"/>
          <w:szCs w:val="24"/>
        </w:rPr>
        <w:t xml:space="preserve">Lupus </w:t>
      </w:r>
      <w:r w:rsidR="00D95BA9" w:rsidRPr="006E437B">
        <w:rPr>
          <w:rFonts w:ascii="Times New Roman" w:hAnsi="Times New Roman" w:cs="Times New Roman"/>
          <w:sz w:val="24"/>
          <w:szCs w:val="24"/>
        </w:rPr>
        <w:t>y otras enfermedades autoinmunes, porque aquello que no conocemos difícilmente podemos atenderlo de manera adecuada.</w:t>
      </w:r>
    </w:p>
    <w:p w:rsidR="00D95BA9"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También fortalecer la detección oportuna y el diagnóstico, particularmente desde el primer nivel de atención proponemos capacitación continua para el personal de salud y mejorar los mecanismos de referencia y contra referencia, garantizar un acceso más equitativo a los tratamientos y atención </w:t>
      </w:r>
      <w:r w:rsidR="00B86D9A" w:rsidRPr="006E437B">
        <w:rPr>
          <w:rFonts w:ascii="Times New Roman" w:hAnsi="Times New Roman" w:cs="Times New Roman"/>
          <w:sz w:val="24"/>
          <w:szCs w:val="24"/>
        </w:rPr>
        <w:t xml:space="preserve">especializada; </w:t>
      </w:r>
      <w:r w:rsidRPr="006E437B">
        <w:rPr>
          <w:rFonts w:ascii="Times New Roman" w:hAnsi="Times New Roman" w:cs="Times New Roman"/>
          <w:sz w:val="24"/>
          <w:szCs w:val="24"/>
        </w:rPr>
        <w:t>as</w:t>
      </w:r>
      <w:r w:rsidR="00B86D9A" w:rsidRPr="006E437B">
        <w:rPr>
          <w:rFonts w:ascii="Times New Roman" w:hAnsi="Times New Roman" w:cs="Times New Roman"/>
          <w:sz w:val="24"/>
          <w:szCs w:val="24"/>
        </w:rPr>
        <w:t>i</w:t>
      </w:r>
      <w:r w:rsidRPr="006E437B">
        <w:rPr>
          <w:rFonts w:ascii="Times New Roman" w:hAnsi="Times New Roman" w:cs="Times New Roman"/>
          <w:sz w:val="24"/>
          <w:szCs w:val="24"/>
        </w:rPr>
        <w:t>mismo</w:t>
      </w:r>
      <w:r w:rsidR="00B86D9A" w:rsidRPr="006E437B">
        <w:rPr>
          <w:rFonts w:ascii="Times New Roman" w:hAnsi="Times New Roman" w:cs="Times New Roman"/>
          <w:sz w:val="24"/>
          <w:szCs w:val="24"/>
        </w:rPr>
        <w:t>,</w:t>
      </w:r>
      <w:r w:rsidRPr="006E437B">
        <w:rPr>
          <w:rFonts w:ascii="Times New Roman" w:hAnsi="Times New Roman" w:cs="Times New Roman"/>
          <w:sz w:val="24"/>
          <w:szCs w:val="24"/>
        </w:rPr>
        <w:t xml:space="preserve"> algo que puede parecer sencillo pero que tiene una enorme importancia que hablemos de lupus, que informemos, que sensibilicen, que eduquemos y que dejemos de pensar en una persona que parece estar bien no necesariamente está bien, porque una enfermedad invisible</w:t>
      </w:r>
      <w:r w:rsidR="00107A6B" w:rsidRPr="006E437B">
        <w:rPr>
          <w:rFonts w:ascii="Times New Roman" w:hAnsi="Times New Roman" w:cs="Times New Roman"/>
          <w:sz w:val="24"/>
          <w:szCs w:val="24"/>
        </w:rPr>
        <w:t>,</w:t>
      </w:r>
      <w:r w:rsidRPr="006E437B">
        <w:rPr>
          <w:rFonts w:ascii="Times New Roman" w:hAnsi="Times New Roman" w:cs="Times New Roman"/>
          <w:sz w:val="24"/>
          <w:szCs w:val="24"/>
        </w:rPr>
        <w:t xml:space="preserve"> no significa una enfermedad inexistente.</w:t>
      </w:r>
    </w:p>
    <w:p w:rsidR="00D95BA9"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ello, también proponemos declarar la segunda semana de mayo de cada año como </w:t>
      </w:r>
      <w:r w:rsidR="00107A6B" w:rsidRPr="006E437B">
        <w:rPr>
          <w:rFonts w:ascii="Times New Roman" w:hAnsi="Times New Roman" w:cs="Times New Roman"/>
          <w:sz w:val="24"/>
          <w:szCs w:val="24"/>
        </w:rPr>
        <w:t xml:space="preserve">“La </w:t>
      </w:r>
      <w:r w:rsidRPr="006E437B">
        <w:rPr>
          <w:rFonts w:ascii="Times New Roman" w:hAnsi="Times New Roman" w:cs="Times New Roman"/>
          <w:sz w:val="24"/>
          <w:szCs w:val="24"/>
        </w:rPr>
        <w:t>Semana Estatal de Concientización sobre Lupus y otras Enfermedades Autoinmunes</w:t>
      </w:r>
      <w:r w:rsidR="00107A6B" w:rsidRPr="006E437B">
        <w:rPr>
          <w:rFonts w:ascii="Times New Roman" w:hAnsi="Times New Roman" w:cs="Times New Roman"/>
          <w:sz w:val="24"/>
          <w:szCs w:val="24"/>
        </w:rPr>
        <w:t>”</w:t>
      </w:r>
      <w:r w:rsidRPr="006E437B">
        <w:rPr>
          <w:rFonts w:ascii="Times New Roman" w:hAnsi="Times New Roman" w:cs="Times New Roman"/>
          <w:sz w:val="24"/>
          <w:szCs w:val="24"/>
        </w:rPr>
        <w:t xml:space="preserve"> para promover información, sensibilización, educación para la salud, prevención, detección oportuna y reconocimiento de las necesidades de quienes viven con estos padecimientos de igual manera, mencionar que desde este congreso apoyaremos e impulsaremos foros informativos, así como acciones encaminadas al fortalecimiento de políticas públicas para personas con lupus y otras enfermedades autoinmunes</w:t>
      </w:r>
      <w:r w:rsidR="00107A6B"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esta propuesta no se limita al ámbito de la salud, también queremos combatir la discriminación.</w:t>
      </w:r>
    </w:p>
    <w:p w:rsidR="00D95BA9"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Por eso planteamos reconocer expresamente las enfermedades autoinmunes dentro del marco de protección contra actos discriminatorios en nuestro Estado, porque nadie debería perder una oportunidad educativa, un empleo o un proyecto de vida, o recibir un trato digno simplemente por vivir con una enfermedad.</w:t>
      </w:r>
    </w:p>
    <w:p w:rsidR="00D95BA9"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La prevalencia aproximada en la región latinoamericana es de 70 personas por cada 100 mil habitantes, en donde 9 de cada 10 personas que la padecen son mujeres, el lupus afecta de manera desproporcionada a las mujeres, particularmente a mujeres jóvenes y en edad reproductiva, esto nos obliga también a mirar esta problemática desde una perspectiva de género y a comprender que sus consecuencias pueden alcanzar la vida familiar, laboral, económica, emocional y social de quienes viven con ella.</w:t>
      </w:r>
    </w:p>
    <w:p w:rsidR="00D95BA9"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Hoy, desde este Congreso tenemos la oportunidad de dar un paso importante, un paso para que ninguna persona tenga que esperar años para encontrar una respuesta, un paso para que ninguna familia tenga que enfrentar sola los costos y las consecuencias de una enfermedad crónica y un paso para que una enfermedad invisible no produzca también derechos invisibles</w:t>
      </w:r>
      <w:r w:rsidR="00594B71"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594B71" w:rsidRPr="006E437B">
        <w:rPr>
          <w:rFonts w:ascii="Times New Roman" w:hAnsi="Times New Roman" w:cs="Times New Roman"/>
          <w:sz w:val="24"/>
          <w:szCs w:val="24"/>
        </w:rPr>
        <w:t xml:space="preserve">Hoy </w:t>
      </w:r>
      <w:r w:rsidRPr="006E437B">
        <w:rPr>
          <w:rFonts w:ascii="Times New Roman" w:hAnsi="Times New Roman" w:cs="Times New Roman"/>
          <w:sz w:val="24"/>
          <w:szCs w:val="24"/>
        </w:rPr>
        <w:t xml:space="preserve">estamos aquí para mirar a quienes durante mucho tiempo han sido invisibles, para decirles que los escuchamos, que reconocemos su lucha, el trabajo de quienes han dedicado años a acompañarlos y que desde este Congreso queremos convertir esta lucha en derechos, en políticas públicas y en acciones concretas y a </w:t>
      </w:r>
      <w:r w:rsidR="001338AA" w:rsidRPr="006E437B">
        <w:rPr>
          <w:rFonts w:ascii="Times New Roman" w:hAnsi="Times New Roman" w:cs="Times New Roman"/>
          <w:sz w:val="24"/>
          <w:szCs w:val="24"/>
        </w:rPr>
        <w:t>quienes,</w:t>
      </w:r>
      <w:r w:rsidRPr="006E437B">
        <w:rPr>
          <w:rFonts w:ascii="Times New Roman" w:hAnsi="Times New Roman" w:cs="Times New Roman"/>
          <w:sz w:val="24"/>
          <w:szCs w:val="24"/>
        </w:rPr>
        <w:t xml:space="preserve"> desde la sociedad civil, desde la medicina, desde la investigación y desde la defensa de los derechos han hecho posible que hoy estemos hablando en esta tribuna.</w:t>
      </w:r>
    </w:p>
    <w:p w:rsidR="00D95BA9"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Gracias por no dejar de insistir y resistir, porque cuando una causa es justa, escucharla no basta, hay que convertirla en acción, para terminar compañeras y compañeros, esta propuesta que estamos entregando el día de hoy y que estoy proponiendo a nombre del Grupo Parlamentario del Partido del Trabajo, se modifica, la Ley de Salud, se agrega un título con todo su capítulo es la Ley Lupus, en la última parte de la Ley de Salud y por supuesto, se modifica el artículo 5 para la no discriminación para quienes padecen de enfermedades autoinmunes y específicamente lupus.</w:t>
      </w:r>
    </w:p>
    <w:p w:rsidR="00931582" w:rsidRPr="006E437B" w:rsidRDefault="00D95BA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Que tengan una excelente tarde, muchísimas gracias a quienes nos escuchan y yo espero que pronto le podamos dar </w:t>
      </w:r>
      <w:r w:rsidR="00601128" w:rsidRPr="006E437B">
        <w:rPr>
          <w:rFonts w:ascii="Times New Roman" w:hAnsi="Times New Roman" w:cs="Times New Roman"/>
          <w:sz w:val="24"/>
          <w:szCs w:val="24"/>
        </w:rPr>
        <w:t>respuesta positiva y que quedé ya como una ley, esta iniciativa a quienes hoy, precisamente nos acompañan, personas que se encuentran acá atrás con nosotros, que padecen de esta enfermedad y que nos da gusto recibirlas en este Congreso</w:t>
      </w:r>
      <w:r w:rsidR="00931582" w:rsidRPr="006E437B">
        <w:rPr>
          <w:rFonts w:ascii="Times New Roman" w:hAnsi="Times New Roman" w:cs="Times New Roman"/>
          <w:sz w:val="24"/>
          <w:szCs w:val="24"/>
        </w:rPr>
        <w:t>.</w:t>
      </w:r>
    </w:p>
    <w:p w:rsidR="00601128" w:rsidRPr="006E437B" w:rsidRDefault="00931582" w:rsidP="00141629">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 xml:space="preserve">Muchísimas </w:t>
      </w:r>
      <w:r w:rsidR="00601128" w:rsidRPr="006E437B">
        <w:rPr>
          <w:rFonts w:ascii="Times New Roman" w:hAnsi="Times New Roman" w:cs="Times New Roman"/>
          <w:sz w:val="24"/>
          <w:szCs w:val="24"/>
        </w:rPr>
        <w:t>gracias compañeras y compañeros.</w:t>
      </w:r>
    </w:p>
    <w:p w:rsidR="00931582" w:rsidRPr="006E437B" w:rsidRDefault="00931582" w:rsidP="00141629">
      <w:pPr>
        <w:pStyle w:val="Sinespaciado"/>
        <w:jc w:val="both"/>
        <w:rPr>
          <w:rFonts w:ascii="Times New Roman" w:hAnsi="Times New Roman" w:cs="Times New Roman"/>
          <w:sz w:val="24"/>
          <w:szCs w:val="24"/>
        </w:rPr>
      </w:pPr>
    </w:p>
    <w:p w:rsidR="00931582" w:rsidRPr="006E437B" w:rsidRDefault="0093158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931582" w:rsidRPr="006E437B" w:rsidRDefault="00931582" w:rsidP="00141629">
      <w:pPr>
        <w:pStyle w:val="Sinespaciado"/>
        <w:jc w:val="both"/>
        <w:rPr>
          <w:rFonts w:ascii="Times New Roman" w:hAnsi="Times New Roman" w:cs="Times New Roman"/>
          <w:sz w:val="24"/>
          <w:szCs w:val="24"/>
        </w:rPr>
      </w:pPr>
    </w:p>
    <w:p w:rsidR="001850B4" w:rsidRPr="006E437B" w:rsidRDefault="001850B4" w:rsidP="00141629">
      <w:pPr>
        <w:spacing w:after="0" w:line="240" w:lineRule="auto"/>
        <w:ind w:left="2"/>
        <w:jc w:val="center"/>
        <w:rPr>
          <w:rFonts w:ascii="Times New Roman" w:eastAsia="Calibri" w:hAnsi="Times New Roman" w:cs="Times New Roman"/>
          <w:sz w:val="24"/>
          <w:szCs w:val="24"/>
        </w:rPr>
      </w:pPr>
      <w:bookmarkStart w:id="6" w:name="_Hlk242186391"/>
      <w:r w:rsidRPr="006E437B">
        <w:rPr>
          <w:rFonts w:ascii="Times New Roman" w:eastAsia="Calibri" w:hAnsi="Times New Roman" w:cs="Times New Roman"/>
          <w:b/>
          <w:sz w:val="24"/>
          <w:szCs w:val="24"/>
        </w:rPr>
        <w:t>“2025. Bicentenario de la vida municipal en el Estado de México”.</w:t>
      </w:r>
    </w:p>
    <w:p w:rsidR="001850B4" w:rsidRPr="006E437B" w:rsidRDefault="001850B4" w:rsidP="00141629">
      <w:pPr>
        <w:spacing w:after="0" w:line="240" w:lineRule="auto"/>
        <w:ind w:left="2"/>
        <w:rPr>
          <w:rFonts w:ascii="Times New Roman" w:hAnsi="Times New Roman" w:cs="Times New Roman"/>
          <w:sz w:val="24"/>
          <w:szCs w:val="24"/>
        </w:rPr>
      </w:pP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eastAsia="Calibri" w:hAnsi="Times New Roman" w:cs="Times New Roman"/>
          <w:b/>
          <w:sz w:val="24"/>
          <w:szCs w:val="24"/>
        </w:rPr>
        <w:t>Dip. Isaac Josué Hernández Méndez</w:t>
      </w:r>
    </w:p>
    <w:p w:rsidR="001850B4" w:rsidRPr="006E437B" w:rsidRDefault="001850B4" w:rsidP="00141629">
      <w:pPr>
        <w:spacing w:after="0" w:line="240" w:lineRule="auto"/>
        <w:jc w:val="center"/>
        <w:rPr>
          <w:rFonts w:ascii="Times New Roman" w:hAnsi="Times New Roman" w:cs="Times New Roman"/>
          <w:szCs w:val="24"/>
        </w:rPr>
      </w:pPr>
      <w:r w:rsidRPr="006E437B">
        <w:rPr>
          <w:rFonts w:ascii="Times New Roman" w:eastAsia="Calibri" w:hAnsi="Times New Roman" w:cs="Times New Roman"/>
          <w:szCs w:val="24"/>
        </w:rPr>
        <w:t>DTTO. XV IXTLAHUACA DE RAYÓN</w:t>
      </w:r>
    </w:p>
    <w:p w:rsidR="001850B4" w:rsidRPr="006E437B" w:rsidRDefault="001850B4" w:rsidP="00141629">
      <w:pPr>
        <w:spacing w:after="0" w:line="240" w:lineRule="auto"/>
        <w:ind w:left="2"/>
        <w:rPr>
          <w:rFonts w:ascii="Times New Roman" w:hAnsi="Times New Roman" w:cs="Times New Roman"/>
          <w:sz w:val="24"/>
          <w:szCs w:val="24"/>
        </w:rPr>
      </w:pPr>
    </w:p>
    <w:p w:rsidR="001850B4" w:rsidRPr="006E437B" w:rsidRDefault="001850B4" w:rsidP="00141629">
      <w:pPr>
        <w:spacing w:after="0" w:line="240" w:lineRule="auto"/>
        <w:jc w:val="right"/>
        <w:rPr>
          <w:rFonts w:ascii="Times New Roman" w:hAnsi="Times New Roman" w:cs="Times New Roman"/>
          <w:sz w:val="24"/>
          <w:szCs w:val="24"/>
        </w:rPr>
      </w:pPr>
      <w:r w:rsidRPr="006E437B">
        <w:rPr>
          <w:rFonts w:ascii="Times New Roman" w:hAnsi="Times New Roman" w:cs="Times New Roman"/>
          <w:b/>
          <w:sz w:val="24"/>
          <w:szCs w:val="24"/>
        </w:rPr>
        <w:t>Toluca de Lerdo, México; a 02 de Septiembre 2026.</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DIPUTADA MARTHA AZUCENA</w:t>
      </w:r>
    </w:p>
    <w:p w:rsidR="001850B4" w:rsidRPr="006E437B" w:rsidRDefault="001850B4"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CAMACHO REYNOSO PRESIDENTA DE</w:t>
      </w:r>
    </w:p>
    <w:p w:rsidR="001850B4" w:rsidRPr="006E437B" w:rsidRDefault="001850B4"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LA LXII LEGISLATURA DEL H. PODER</w:t>
      </w:r>
    </w:p>
    <w:p w:rsidR="001850B4" w:rsidRPr="006E437B" w:rsidRDefault="001850B4"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LEGISLATIVO DEL ESTADO LIBRE Y</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 xml:space="preserve">SOBERANO DE MÉXICO.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 xml:space="preserve">P R E S E N T E </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Quien suscribe </w:t>
      </w:r>
      <w:r w:rsidRPr="006E437B">
        <w:rPr>
          <w:rFonts w:ascii="Times New Roman" w:hAnsi="Times New Roman" w:cs="Times New Roman"/>
          <w:b/>
          <w:sz w:val="24"/>
          <w:szCs w:val="24"/>
        </w:rPr>
        <w:t>LIC. ISAAC JOSÚE HERNÁNDEZ MÉNDEZ</w:t>
      </w:r>
      <w:r w:rsidRPr="006E437B">
        <w:rPr>
          <w:rFonts w:ascii="Times New Roman" w:hAnsi="Times New Roman" w:cs="Times New Roman"/>
          <w:sz w:val="24"/>
          <w:szCs w:val="24"/>
        </w:rPr>
        <w:t xml:space="preserve"> diputado integrante del </w:t>
      </w:r>
      <w:r w:rsidRPr="006E437B">
        <w:rPr>
          <w:rFonts w:ascii="Times New Roman" w:hAnsi="Times New Roman" w:cs="Times New Roman"/>
          <w:b/>
          <w:sz w:val="24"/>
          <w:szCs w:val="24"/>
        </w:rPr>
        <w:t xml:space="preserve">GRUPO PARLAMENTARIO DEL PARTIDO DEL TRABAJO </w:t>
      </w:r>
      <w:r w:rsidRPr="006E437B">
        <w:rPr>
          <w:rFonts w:ascii="Times New Roman" w:hAnsi="Times New Roman" w:cs="Times New Roman"/>
          <w:sz w:val="24"/>
          <w:szCs w:val="24"/>
        </w:rPr>
        <w:t>en la LXII Legislatura del Estado de México; con fundamento en lo dispuesto por los Artículos 51 fracción II de la Constitución Política del Estado Libre y Soberano de México, así como los artículos 28, fracción I de la Ley Orgánica del poder Legislativo del Estado Libre y Soberano del Estado de México; y los artículos 68 y 69 del Reglamento del Poder Legislativo del Estado Libre y Soberano de México; sometemos a la consideración de esta Honorable Asamblea la presente Iniciativa con</w:t>
      </w:r>
      <w:r w:rsidRPr="006E437B">
        <w:rPr>
          <w:rFonts w:ascii="Times New Roman" w:hAnsi="Times New Roman" w:cs="Times New Roman"/>
          <w:b/>
          <w:sz w:val="24"/>
          <w:szCs w:val="24"/>
        </w:rPr>
        <w:t xml:space="preserve"> PROYECTO DE DECRETO POR EL QUE REFORMAN Y ADICIONAN DIVERSAS DISPOSICIONES DE LA LEY DE SALUD DEL ESTADO DE MÉXICO Y SE REFORMA EL ARTÍCULO 5 DE LA LEY PARA PREVENIR, COMBATIR Y ELIMINAR ACTOS DE DISCRIMINACIÓN EN EL ESTADO DE MÉXICO.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pStyle w:val="Ttulo1"/>
        <w:keepNext w:val="0"/>
        <w:keepLines w:val="0"/>
        <w:spacing w:line="240" w:lineRule="auto"/>
        <w:ind w:left="11" w:right="0" w:hanging="11"/>
        <w:rPr>
          <w:rFonts w:ascii="Times New Roman" w:hAnsi="Times New Roman" w:cs="Times New Roman"/>
          <w:color w:val="auto"/>
          <w:szCs w:val="24"/>
        </w:rPr>
      </w:pPr>
      <w:r w:rsidRPr="006E437B">
        <w:rPr>
          <w:rFonts w:ascii="Times New Roman" w:hAnsi="Times New Roman" w:cs="Times New Roman"/>
          <w:color w:val="auto"/>
          <w:szCs w:val="24"/>
        </w:rPr>
        <w:t>EXPOSICIÓN DE MOTIVOS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presente iniciativa tiene por objeto reformar y adicionar diversas disposiciones de la Ley de Salud del Estado de México, que garanticen el pleno ejercicio del derecho a la protección de la salud de las personas que viven con lupus eritematoso sistémico y otras enfermedades autoinmunes, mediante la definición de acciones de prevención, atención integral, control y seguimiento como parte de las políticas públicas de salud en el Estado de México.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Asimismo, propone establecer medidas orientadas a garantizar su detección oportuna, tratamiento integral y acceso equitativo a los servicios de salud, así como promover acciones de concientización social. Se reconoce que estas enfermedades afectan de manera desproporcionada a las mujeres, han sido históricamente invisibilizadas y generan impactos significativos en la calidad de vida de quienes las padecen, sin distinción de edad, condición social o región.</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De igual forma, se incorporan principios de igualdad y no discriminación como ejes transversales de la ley, con el fin de fortalecer la inclusión y la igualdad de trato hacia las personas que viven con enfermedades autoinmunes, reconociéndolas como condiciones de salud crónicas que requieren atención prioritaria.</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ello, se considera crucial concientizar a la ciudadanía sobre sus implicaciones, promover la no discriminación hacia quienes las padecen y fortalecer el sistema de salud estatal mediante acciones como la detección temprana, la mejora de los servicios y la formación especializada del personal médico, con el objetivo de garantizar una atención digna, oportuna y con enfoque de derechos humanos.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El lupus es una enfermedad autoinmune compleja, crónico degenerativa e incurable, multisistémica y ataca de manera indistinta a quien la padece. Es potencialmente mortal si no se cuenta con acceso a tratamientos, servicios médicos adecuados de forma oportuna. La prevalencia aproximada en la Región Latinoamericana es de 20/70 personas por cada 100 mil habitantes,</w:t>
      </w:r>
      <w:r w:rsidRPr="006E437B">
        <w:rPr>
          <w:rFonts w:ascii="Times New Roman" w:hAnsi="Times New Roman" w:cs="Times New Roman"/>
          <w:sz w:val="24"/>
          <w:szCs w:val="24"/>
          <w:vertAlign w:val="superscript"/>
        </w:rPr>
        <w:t>i</w:t>
      </w:r>
      <w:r w:rsidRPr="006E437B">
        <w:rPr>
          <w:rFonts w:ascii="Times New Roman" w:hAnsi="Times New Roman" w:cs="Times New Roman"/>
          <w:sz w:val="24"/>
          <w:szCs w:val="24"/>
        </w:rPr>
        <w:t xml:space="preserve"> en dónde 9 de cada 10 personas que la padecen son mujeres, suele presentarse en la edad reproductiva, de los 15 a los 45 años de edad</w:t>
      </w:r>
      <w:r w:rsidRPr="006E437B">
        <w:rPr>
          <w:rFonts w:ascii="Times New Roman" w:hAnsi="Times New Roman" w:cs="Times New Roman"/>
          <w:sz w:val="24"/>
          <w:szCs w:val="24"/>
          <w:vertAlign w:val="superscript"/>
        </w:rPr>
        <w:t xml:space="preserve">ii </w:t>
      </w:r>
      <w:r w:rsidRPr="006E437B">
        <w:rPr>
          <w:rFonts w:ascii="Times New Roman" w:hAnsi="Times New Roman" w:cs="Times New Roman"/>
          <w:sz w:val="24"/>
          <w:szCs w:val="24"/>
        </w:rPr>
        <w:t>y uno de los mayores retos en nuestro país es el diagnóstico tardío que puede llegar a ser de hasta seis años,</w:t>
      </w:r>
      <w:r w:rsidRPr="006E437B">
        <w:rPr>
          <w:rFonts w:ascii="Times New Roman" w:hAnsi="Times New Roman" w:cs="Times New Roman"/>
          <w:sz w:val="24"/>
          <w:szCs w:val="24"/>
          <w:vertAlign w:val="superscript"/>
        </w:rPr>
        <w:t>iii</w:t>
      </w:r>
      <w:r w:rsidRPr="006E437B">
        <w:rPr>
          <w:rFonts w:ascii="Times New Roman" w:hAnsi="Times New Roman" w:cs="Times New Roman"/>
          <w:sz w:val="24"/>
          <w:szCs w:val="24"/>
        </w:rPr>
        <w:t xml:space="preserve"> razón por la cual es un padecimiento considerado raro y difícil de diagnosticar, pues tiene más de 100 manifestaciones clínicas diferentes y más de 100 distintas manifestaciones serológicas en el laboratorio,</w:t>
      </w:r>
      <w:r w:rsidRPr="006E437B">
        <w:rPr>
          <w:rFonts w:ascii="Times New Roman" w:hAnsi="Times New Roman" w:cs="Times New Roman"/>
          <w:sz w:val="24"/>
          <w:szCs w:val="24"/>
          <w:vertAlign w:val="superscript"/>
        </w:rPr>
        <w:t xml:space="preserve"> </w:t>
      </w:r>
      <w:r w:rsidRPr="006E437B">
        <w:rPr>
          <w:rFonts w:ascii="Times New Roman" w:hAnsi="Times New Roman" w:cs="Times New Roman"/>
          <w:sz w:val="24"/>
          <w:szCs w:val="24"/>
        </w:rPr>
        <w:t>lo que la convierte en la enfermedad la más heterogénea y más compleja dentro de las autoinmunes sistémicas.</w:t>
      </w:r>
      <w:r w:rsidRPr="006E437B">
        <w:rPr>
          <w:rFonts w:ascii="Times New Roman" w:hAnsi="Times New Roman" w:cs="Times New Roman"/>
          <w:sz w:val="24"/>
          <w:szCs w:val="24"/>
          <w:vertAlign w:val="superscript"/>
        </w:rPr>
        <w:t>iv</w:t>
      </w:r>
      <w:r w:rsidRPr="006E437B">
        <w:rPr>
          <w:rFonts w:ascii="Times New Roman" w:hAnsi="Times New Roman" w:cs="Times New Roman"/>
          <w:sz w:val="24"/>
          <w:szCs w:val="24"/>
        </w:rPr>
        <w:t xml:space="preserve"> En el lupus el sistema inmunitario del cuerpo ataca sus propios tejidos y órganos de manera impredecible, causando inflamación y daños diversos. Puede afectar a distintos sistemas y órganos del cuerpo, incluso las articulaciones, la piel, los riñones, las células sanguíneas, el cerebro, el corazón y los pulmones. Más de la mitad de las personas que la padecen desarrollan daño permanente en diferentes órganos y sistemas.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Las investigaciones mundiales más recientes indican que puede resultar de la interacción de factores genéticos, hormonales y ambientales, pero aún no se sabe con certeza cuál es su origen. Aunque esta enfermedad no tiene cura, existen tratamientos que ayudan a controlarla y mejoran la calidad de vida de quien la padece.</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Fundación Americana de Lupus (LFA, por sus siglas en inglés) señala cuatro tipos de lupus:</w:t>
      </w:r>
      <w:r w:rsidRPr="006E437B">
        <w:rPr>
          <w:rFonts w:ascii="Times New Roman" w:hAnsi="Times New Roman" w:cs="Times New Roman"/>
          <w:sz w:val="24"/>
          <w:szCs w:val="24"/>
          <w:vertAlign w:val="superscript"/>
        </w:rPr>
        <w:t>v</w:t>
      </w:r>
      <w:r w:rsidRPr="006E437B">
        <w:rPr>
          <w:rFonts w:ascii="Times New Roman" w:hAnsi="Times New Roman" w:cs="Times New Roman"/>
          <w:sz w:val="24"/>
          <w:szCs w:val="24"/>
        </w:rPr>
        <w:t xml:space="preserve"> </w:t>
      </w:r>
    </w:p>
    <w:p w:rsidR="001850B4" w:rsidRPr="006E437B" w:rsidRDefault="001850B4" w:rsidP="00DA64DA">
      <w:pPr>
        <w:numPr>
          <w:ilvl w:val="0"/>
          <w:numId w:val="18"/>
        </w:numPr>
        <w:spacing w:after="0" w:line="240" w:lineRule="auto"/>
        <w:ind w:hanging="35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Pr="006E437B">
        <w:rPr>
          <w:rFonts w:ascii="Times New Roman" w:hAnsi="Times New Roman" w:cs="Times New Roman"/>
          <w:b/>
          <w:sz w:val="24"/>
          <w:szCs w:val="24"/>
        </w:rPr>
        <w:t>lupus sistémico eritematoso (LES)</w:t>
      </w:r>
      <w:r w:rsidRPr="006E437B">
        <w:rPr>
          <w:rFonts w:ascii="Times New Roman" w:hAnsi="Times New Roman" w:cs="Times New Roman"/>
          <w:sz w:val="24"/>
          <w:szCs w:val="24"/>
        </w:rPr>
        <w:t xml:space="preserve"> representa el 70% de todos los casos de lupus. En aproximadamente la mitad de estos casos, un órgano o tejido importante en el cuerpo, como el</w:t>
      </w:r>
      <w:hyperlink r:id="rId38">
        <w:r w:rsidRPr="006E437B">
          <w:rPr>
            <w:rFonts w:ascii="Times New Roman" w:hAnsi="Times New Roman" w:cs="Times New Roman"/>
            <w:sz w:val="24"/>
            <w:szCs w:val="24"/>
          </w:rPr>
          <w:t xml:space="preserve"> </w:t>
        </w:r>
      </w:hyperlink>
      <w:hyperlink r:id="rId39">
        <w:r w:rsidRPr="006E437B">
          <w:rPr>
            <w:rFonts w:ascii="Times New Roman" w:hAnsi="Times New Roman" w:cs="Times New Roman"/>
            <w:sz w:val="24"/>
            <w:szCs w:val="24"/>
            <w:u w:val="single" w:color="000000"/>
          </w:rPr>
          <w:t>corazón</w:t>
        </w:r>
      </w:hyperlink>
      <w:hyperlink r:id="rId40">
        <w:r w:rsidRPr="006E437B">
          <w:rPr>
            <w:rFonts w:ascii="Times New Roman" w:hAnsi="Times New Roman" w:cs="Times New Roman"/>
            <w:sz w:val="24"/>
            <w:szCs w:val="24"/>
          </w:rPr>
          <w:t>,</w:t>
        </w:r>
      </w:hyperlink>
      <w:hyperlink r:id="rId41">
        <w:r w:rsidRPr="006E437B">
          <w:rPr>
            <w:rFonts w:ascii="Times New Roman" w:hAnsi="Times New Roman" w:cs="Times New Roman"/>
            <w:sz w:val="24"/>
            <w:szCs w:val="24"/>
          </w:rPr>
          <w:t xml:space="preserve"> </w:t>
        </w:r>
      </w:hyperlink>
      <w:hyperlink r:id="rId42">
        <w:r w:rsidRPr="006E437B">
          <w:rPr>
            <w:rFonts w:ascii="Times New Roman" w:hAnsi="Times New Roman" w:cs="Times New Roman"/>
            <w:sz w:val="24"/>
            <w:szCs w:val="24"/>
            <w:u w:val="single" w:color="000000"/>
          </w:rPr>
          <w:t>pulmones</w:t>
        </w:r>
      </w:hyperlink>
      <w:hyperlink r:id="rId43">
        <w:r w:rsidRPr="006E437B">
          <w:rPr>
            <w:rFonts w:ascii="Times New Roman" w:hAnsi="Times New Roman" w:cs="Times New Roman"/>
            <w:sz w:val="24"/>
            <w:szCs w:val="24"/>
          </w:rPr>
          <w:t>,</w:t>
        </w:r>
      </w:hyperlink>
      <w:hyperlink r:id="rId44">
        <w:r w:rsidRPr="006E437B">
          <w:rPr>
            <w:rFonts w:ascii="Times New Roman" w:hAnsi="Times New Roman" w:cs="Times New Roman"/>
            <w:sz w:val="24"/>
            <w:szCs w:val="24"/>
          </w:rPr>
          <w:t xml:space="preserve"> </w:t>
        </w:r>
      </w:hyperlink>
      <w:hyperlink r:id="rId45">
        <w:r w:rsidRPr="006E437B">
          <w:rPr>
            <w:rFonts w:ascii="Times New Roman" w:hAnsi="Times New Roman" w:cs="Times New Roman"/>
            <w:sz w:val="24"/>
            <w:szCs w:val="24"/>
            <w:u w:val="single" w:color="000000"/>
          </w:rPr>
          <w:t>riñones</w:t>
        </w:r>
      </w:hyperlink>
      <w:hyperlink r:id="rId46">
        <w:r w:rsidRPr="006E437B">
          <w:rPr>
            <w:rFonts w:ascii="Times New Roman" w:hAnsi="Times New Roman" w:cs="Times New Roman"/>
            <w:sz w:val="24"/>
            <w:szCs w:val="24"/>
          </w:rPr>
          <w:t xml:space="preserve"> </w:t>
        </w:r>
      </w:hyperlink>
      <w:r w:rsidRPr="006E437B">
        <w:rPr>
          <w:rFonts w:ascii="Times New Roman" w:hAnsi="Times New Roman" w:cs="Times New Roman"/>
          <w:sz w:val="24"/>
          <w:szCs w:val="24"/>
        </w:rPr>
        <w:t>o el</w:t>
      </w:r>
      <w:hyperlink r:id="rId47">
        <w:r w:rsidRPr="006E437B">
          <w:rPr>
            <w:rFonts w:ascii="Times New Roman" w:hAnsi="Times New Roman" w:cs="Times New Roman"/>
            <w:sz w:val="24"/>
            <w:szCs w:val="24"/>
          </w:rPr>
          <w:t xml:space="preserve"> </w:t>
        </w:r>
      </w:hyperlink>
      <w:hyperlink r:id="rId48">
        <w:r w:rsidRPr="006E437B">
          <w:rPr>
            <w:rFonts w:ascii="Times New Roman" w:hAnsi="Times New Roman" w:cs="Times New Roman"/>
            <w:sz w:val="24"/>
            <w:szCs w:val="24"/>
            <w:u w:val="single" w:color="000000"/>
          </w:rPr>
          <w:t>cerebro</w:t>
        </w:r>
      </w:hyperlink>
      <w:hyperlink r:id="rId49">
        <w:r w:rsidRPr="006E437B">
          <w:rPr>
            <w:rFonts w:ascii="Times New Roman" w:hAnsi="Times New Roman" w:cs="Times New Roman"/>
            <w:sz w:val="24"/>
            <w:szCs w:val="24"/>
          </w:rPr>
          <w:t>,</w:t>
        </w:r>
      </w:hyperlink>
      <w:r w:rsidRPr="006E437B">
        <w:rPr>
          <w:rFonts w:ascii="Times New Roman" w:hAnsi="Times New Roman" w:cs="Times New Roman"/>
          <w:sz w:val="24"/>
          <w:szCs w:val="24"/>
        </w:rPr>
        <w:t xml:space="preserve"> se verá afectado;</w:t>
      </w:r>
    </w:p>
    <w:p w:rsidR="001850B4" w:rsidRPr="006E437B" w:rsidRDefault="001850B4" w:rsidP="00DA64DA">
      <w:pPr>
        <w:numPr>
          <w:ilvl w:val="0"/>
          <w:numId w:val="18"/>
        </w:numPr>
        <w:spacing w:after="0" w:line="240" w:lineRule="auto"/>
        <w:ind w:hanging="35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Pr="006E437B">
        <w:rPr>
          <w:rFonts w:ascii="Times New Roman" w:hAnsi="Times New Roman" w:cs="Times New Roman"/>
          <w:b/>
          <w:sz w:val="24"/>
          <w:szCs w:val="24"/>
        </w:rPr>
        <w:t>lupus cutáneo</w:t>
      </w:r>
      <w:r w:rsidRPr="006E437B">
        <w:rPr>
          <w:rFonts w:ascii="Times New Roman" w:hAnsi="Times New Roman" w:cs="Times New Roman"/>
          <w:sz w:val="24"/>
          <w:szCs w:val="24"/>
        </w:rPr>
        <w:t xml:space="preserve"> (que afecta solo a la piel) representa aproximadamente el 10% de todos los casos de lupus;</w:t>
      </w:r>
    </w:p>
    <w:p w:rsidR="001850B4" w:rsidRPr="006E437B" w:rsidRDefault="001850B4" w:rsidP="00DA64DA">
      <w:pPr>
        <w:numPr>
          <w:ilvl w:val="0"/>
          <w:numId w:val="18"/>
        </w:numPr>
        <w:spacing w:after="0" w:line="240" w:lineRule="auto"/>
        <w:ind w:hanging="35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Pr="006E437B">
        <w:rPr>
          <w:rFonts w:ascii="Times New Roman" w:hAnsi="Times New Roman" w:cs="Times New Roman"/>
          <w:b/>
          <w:sz w:val="24"/>
          <w:szCs w:val="24"/>
        </w:rPr>
        <w:t>lupus inducido por medicamentos</w:t>
      </w:r>
      <w:r w:rsidRPr="006E437B">
        <w:rPr>
          <w:rFonts w:ascii="Times New Roman" w:hAnsi="Times New Roman" w:cs="Times New Roman"/>
          <w:sz w:val="24"/>
          <w:szCs w:val="24"/>
        </w:rPr>
        <w:t xml:space="preserve"> representa alrededor del 10% de todos los casos de lupus y es causado por altas dosis de ciertos medicamentos. Los síntomas del lupus inducido por fármacos son similares a los del LES; generalmente desaparecen cuando se suspenden los medicamentos; y</w:t>
      </w:r>
    </w:p>
    <w:p w:rsidR="001850B4" w:rsidRPr="006E437B" w:rsidRDefault="001850B4" w:rsidP="00DA64DA">
      <w:pPr>
        <w:numPr>
          <w:ilvl w:val="0"/>
          <w:numId w:val="18"/>
        </w:numPr>
        <w:spacing w:after="0" w:line="240" w:lineRule="auto"/>
        <w:ind w:hanging="358"/>
        <w:jc w:val="both"/>
        <w:rPr>
          <w:rFonts w:ascii="Times New Roman" w:hAnsi="Times New Roman" w:cs="Times New Roman"/>
          <w:sz w:val="24"/>
          <w:szCs w:val="24"/>
        </w:rPr>
      </w:pPr>
      <w:r w:rsidRPr="006E437B">
        <w:rPr>
          <w:rFonts w:ascii="Times New Roman" w:hAnsi="Times New Roman" w:cs="Times New Roman"/>
          <w:sz w:val="24"/>
          <w:szCs w:val="24"/>
        </w:rPr>
        <w:t xml:space="preserve">El </w:t>
      </w:r>
      <w:r w:rsidRPr="006E437B">
        <w:rPr>
          <w:rFonts w:ascii="Times New Roman" w:hAnsi="Times New Roman" w:cs="Times New Roman"/>
          <w:b/>
          <w:sz w:val="24"/>
          <w:szCs w:val="24"/>
        </w:rPr>
        <w:t>lupus neonatal</w:t>
      </w:r>
      <w:r w:rsidRPr="006E437B">
        <w:rPr>
          <w:rFonts w:ascii="Times New Roman" w:hAnsi="Times New Roman" w:cs="Times New Roman"/>
          <w:sz w:val="24"/>
          <w:szCs w:val="24"/>
        </w:rPr>
        <w:t xml:space="preserve"> es una afección rara en la que los anticuerpos de la madre afectan al feto. Al nacer, el bebé puede tener una erupción cutánea, problemas hepáticos o recuentos sanguíneos bajos, los síntomas generalmente desaparecen por completo después de seis meses, sin efectos duraderos.</w:t>
      </w:r>
    </w:p>
    <w:p w:rsidR="001850B4" w:rsidRPr="006E437B" w:rsidRDefault="001850B4" w:rsidP="00141629">
      <w:pPr>
        <w:spacing w:after="0" w:line="240" w:lineRule="auto"/>
        <w:ind w:left="91"/>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De estas categorías, el LES, el más grave, presenta síntomas como la debilidad, la anorexia y fiebre, dolor articular, agotamiento constante que no se debe a ningún proceso infeccioso. Sin embargo, no todos los pacientes con lupus tienen los mismos síntomas, además de que no existe ninguna prueba de laboratorio que permita, por si sola, hacer el diagnóstico. Según el órgano atacado, el lupus puede ser leve, moderado o severo.</w:t>
      </w:r>
      <w:r w:rsidRPr="006E437B">
        <w:rPr>
          <w:rFonts w:ascii="Times New Roman" w:hAnsi="Times New Roman" w:cs="Times New Roman"/>
          <w:sz w:val="24"/>
          <w:szCs w:val="24"/>
          <w:vertAlign w:val="superscript"/>
        </w:rPr>
        <w:t>vi</w:t>
      </w:r>
      <w:r w:rsidRPr="006E437B">
        <w:rPr>
          <w:rFonts w:ascii="Times New Roman" w:hAnsi="Times New Roman" w:cs="Times New Roman"/>
          <w:sz w:val="24"/>
          <w:szCs w:val="24"/>
        </w:rPr>
        <w:t xml:space="preserve"> Esto puede presentarse tanto al inicio como en el desarrollo de la enfermedad.</w:t>
      </w:r>
      <w:r w:rsidRPr="006E437B">
        <w:rPr>
          <w:rFonts w:ascii="Times New Roman" w:hAnsi="Times New Roman" w:cs="Times New Roman"/>
          <w:sz w:val="24"/>
          <w:szCs w:val="24"/>
          <w:vertAlign w:val="superscript"/>
        </w:rPr>
        <w:t>vii</w:t>
      </w:r>
      <w:r w:rsidRPr="006E437B">
        <w:rPr>
          <w:rFonts w:ascii="Times New Roman" w:hAnsi="Times New Roman" w:cs="Times New Roman"/>
          <w:b/>
          <w:sz w:val="24"/>
          <w:szCs w:val="24"/>
        </w:rPr>
        <w:t xml:space="preserve"> </w:t>
      </w:r>
      <w:r w:rsidRPr="006E437B">
        <w:rPr>
          <w:rFonts w:ascii="Times New Roman" w:hAnsi="Times New Roman" w:cs="Times New Roman"/>
          <w:sz w:val="24"/>
          <w:szCs w:val="24"/>
        </w:rPr>
        <w:t>Aproximadamente el 90 por ciento de los pacientes tienen dolor e inflamación de las articulaciones (artritis), siendo los más afectados los dedos de las manos, muñecas, codos y rodillas, acompañados de rigidez articular por las mañanas. Además, aparecen lesiones internas y externas a la piel en cualquier parte del cuerpo.</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El LES puede causar daño renal y neurológico grave, siendo la insuficiencia renal una de las principales causas de muerte en personas que padecen lupus. Esta lesión aumenta la urea en sangre, y aparecen proteínas o sangre en la orina, siendo asintomática y manifestándose en algunas ocasiones como cansancio o subida de la tensión arterial.</w:t>
      </w:r>
      <w:r w:rsidRPr="006E437B">
        <w:rPr>
          <w:rFonts w:ascii="Times New Roman" w:hAnsi="Times New Roman" w:cs="Times New Roman"/>
          <w:sz w:val="24"/>
          <w:szCs w:val="24"/>
          <w:vertAlign w:val="superscript"/>
        </w:rPr>
        <w:t>viii</w:t>
      </w:r>
      <w:r w:rsidRPr="006E437B">
        <w:rPr>
          <w:rFonts w:ascii="Times New Roman" w:hAnsi="Times New Roman" w:cs="Times New Roman"/>
          <w:b/>
          <w:sz w:val="24"/>
          <w:szCs w:val="24"/>
        </w:rPr>
        <w:t xml:space="preserve"> </w:t>
      </w:r>
      <w:r w:rsidRPr="006E437B">
        <w:rPr>
          <w:rFonts w:ascii="Times New Roman" w:hAnsi="Times New Roman" w:cs="Times New Roman"/>
          <w:sz w:val="24"/>
          <w:szCs w:val="24"/>
        </w:rPr>
        <w:t>Cuando el lupus afecta el cerebro, pueden presentarse dolores de cabeza, mareos, cambios en el comportamiento, problemas de la vista, accidentes cerebrovasculares o convulsiones; problemas de memoria y dificultad para expresar pensamientos.</w:t>
      </w:r>
      <w:r w:rsidRPr="006E437B">
        <w:rPr>
          <w:rFonts w:ascii="Times New Roman" w:hAnsi="Times New Roman" w:cs="Times New Roman"/>
          <w:sz w:val="24"/>
          <w:szCs w:val="24"/>
          <w:vertAlign w:val="superscript"/>
        </w:rPr>
        <w:t>ix</w:t>
      </w:r>
      <w:r w:rsidRPr="006E437B">
        <w:rPr>
          <w:rFonts w:ascii="Times New Roman" w:hAnsi="Times New Roman" w:cs="Times New Roman"/>
          <w:sz w:val="24"/>
          <w:szCs w:val="24"/>
        </w:rPr>
        <w:t xml:space="preserve">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otro lado, las personas con lupus eritematoso sistémico presentan una alta sensibilidad a la radiación ultravioleta, lo que puede desencadenar brotes de la enfermedad.</w:t>
      </w:r>
      <w:r w:rsidRPr="006E437B">
        <w:rPr>
          <w:rFonts w:ascii="Times New Roman" w:hAnsi="Times New Roman" w:cs="Times New Roman"/>
          <w:sz w:val="24"/>
          <w:szCs w:val="24"/>
          <w:vertAlign w:val="superscript"/>
        </w:rPr>
        <w:t>x</w:t>
      </w:r>
      <w:r w:rsidRPr="006E437B">
        <w:rPr>
          <w:rFonts w:ascii="Times New Roman" w:hAnsi="Times New Roman" w:cs="Times New Roman"/>
          <w:sz w:val="24"/>
          <w:szCs w:val="24"/>
        </w:rPr>
        <w:t xml:space="preserve"> Por ello, se recomienda el uso diario de protectores solares de amplio espectro con un factor de protección solar (FPS) de 50 o superior. Sin embargo, el costo elevado de estos productos representa una carga económica significativa para los pacientes, ya que no están cubiertos por la seguridad social.</w:t>
      </w:r>
      <w:r w:rsidRPr="006E437B">
        <w:rPr>
          <w:rFonts w:ascii="Times New Roman" w:hAnsi="Times New Roman" w:cs="Times New Roman"/>
          <w:sz w:val="24"/>
          <w:szCs w:val="24"/>
          <w:vertAlign w:val="superscript"/>
        </w:rPr>
        <w:t>xi</w:t>
      </w:r>
      <w:r w:rsidRPr="006E437B">
        <w:rPr>
          <w:rFonts w:ascii="Times New Roman" w:hAnsi="Times New Roman" w:cs="Times New Roman"/>
          <w:sz w:val="24"/>
          <w:szCs w:val="24"/>
        </w:rPr>
        <w:t xml:space="preserve">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Es fundamental destacar que el lupus no es exclusivo de adultos; aproximadamente entre el 20% y el 30% de los pacientes presentan la enfermedad desde la infancia y suelen tener familiares afectados, con edades comprendidas entre los 7 y los 18 años.</w:t>
      </w:r>
      <w:r w:rsidRPr="006E437B">
        <w:rPr>
          <w:rFonts w:ascii="Times New Roman" w:hAnsi="Times New Roman" w:cs="Times New Roman"/>
          <w:sz w:val="24"/>
          <w:szCs w:val="24"/>
          <w:vertAlign w:val="superscript"/>
        </w:rPr>
        <w:t>xii</w:t>
      </w:r>
      <w:r w:rsidRPr="006E437B">
        <w:rPr>
          <w:rFonts w:ascii="Times New Roman" w:hAnsi="Times New Roman" w:cs="Times New Roman"/>
          <w:sz w:val="24"/>
          <w:szCs w:val="24"/>
        </w:rPr>
        <w:t xml:space="preserve"> </w:t>
      </w:r>
      <w:r w:rsidRPr="006E437B">
        <w:rPr>
          <w:rFonts w:ascii="Times New Roman" w:hAnsi="Times New Roman" w:cs="Times New Roman"/>
          <w:sz w:val="24"/>
          <w:szCs w:val="24"/>
          <w:vertAlign w:val="superscript"/>
        </w:rPr>
        <w:t>xiii</w:t>
      </w:r>
      <w:r w:rsidRPr="006E437B">
        <w:rPr>
          <w:rFonts w:ascii="Times New Roman" w:hAnsi="Times New Roman" w:cs="Times New Roman"/>
          <w:sz w:val="24"/>
          <w:szCs w:val="24"/>
        </w:rPr>
        <w:t xml:space="preserve"> Si bien frecuentemente es englobado dentro de la categoría de LES, la sociedad, Aunque a menudo se clasifica como LES, tanto la Sociedad Americana de Reumatología como la Liga Europea contra el Reumatismo diferencian el LES juvenil o de inicio en la infancia (cLES) del LES en adultos. Esto se debe a los retos diagnósticos y terapéuticos particulares derivados de las necesidades infantiles, así como a factores geográficos, terapéuticos y sistemas de salud específico.</w:t>
      </w:r>
      <w:r w:rsidRPr="006E437B">
        <w:rPr>
          <w:rFonts w:ascii="Times New Roman" w:hAnsi="Times New Roman" w:cs="Times New Roman"/>
          <w:sz w:val="24"/>
          <w:szCs w:val="24"/>
          <w:vertAlign w:val="superscript"/>
        </w:rPr>
        <w:t>xiv</w:t>
      </w:r>
      <w:r w:rsidRPr="006E437B">
        <w:rPr>
          <w:rFonts w:ascii="Times New Roman" w:hAnsi="Times New Roman" w:cs="Times New Roman"/>
          <w:sz w:val="24"/>
          <w:szCs w:val="24"/>
        </w:rPr>
        <w:t xml:space="preserve">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Latinoamérica, los niños con LES experimentan una incidencia entre 2.5 y 6 veces mayor en poblaciones indígenas e hispanas en comparación con grupos caucásicos. Además, este aumento está acompañado de manifestaciones más graves, con mayor afectación renal y del sistema nervioso central que en adultos.</w:t>
      </w:r>
      <w:r w:rsidRPr="006E437B">
        <w:rPr>
          <w:rFonts w:ascii="Times New Roman" w:hAnsi="Times New Roman" w:cs="Times New Roman"/>
          <w:sz w:val="24"/>
          <w:szCs w:val="24"/>
          <w:vertAlign w:val="superscript"/>
        </w:rPr>
        <w:t>xv</w:t>
      </w:r>
      <w:r w:rsidRPr="006E437B">
        <w:rPr>
          <w:rFonts w:ascii="Times New Roman" w:hAnsi="Times New Roman" w:cs="Times New Roman"/>
          <w:sz w:val="24"/>
          <w:szCs w:val="24"/>
        </w:rPr>
        <w:t xml:space="preserve"> </w:t>
      </w:r>
      <w:r w:rsidRPr="006E437B">
        <w:rPr>
          <w:rFonts w:ascii="Times New Roman" w:hAnsi="Times New Roman" w:cs="Times New Roman"/>
          <w:sz w:val="24"/>
          <w:szCs w:val="24"/>
          <w:vertAlign w:val="superscript"/>
        </w:rPr>
        <w:t>xvi</w:t>
      </w:r>
      <w:r w:rsidRPr="006E437B">
        <w:rPr>
          <w:rFonts w:ascii="Times New Roman" w:hAnsi="Times New Roman" w:cs="Times New Roman"/>
          <w:sz w:val="24"/>
          <w:szCs w:val="24"/>
        </w:rPr>
        <w:t>A esto se suma la escasez de reumatólogos pediátricos: en México, de los 1002 reumatólogos certificados en 2020, solo 94 eran pediátricos, y de ellos, 41 estaban localizados en la Ciudad de México. Esta disparidad limita el acceso de los pacientes infantiles a especialistas adecuados,</w:t>
      </w:r>
      <w:r w:rsidRPr="006E437B">
        <w:rPr>
          <w:rFonts w:ascii="Times New Roman" w:hAnsi="Times New Roman" w:cs="Times New Roman"/>
          <w:sz w:val="24"/>
          <w:szCs w:val="24"/>
          <w:vertAlign w:val="superscript"/>
        </w:rPr>
        <w:t>xvii</w:t>
      </w:r>
      <w:r w:rsidRPr="006E437B">
        <w:rPr>
          <w:rFonts w:ascii="Times New Roman" w:hAnsi="Times New Roman" w:cs="Times New Roman"/>
          <w:sz w:val="24"/>
          <w:szCs w:val="24"/>
        </w:rPr>
        <w:t xml:space="preserve"> lo que retrasa el diagnóstico y manejo, incrementando comorbilidades, mortalidad y dificultando su transición hacia la vida adulta. Contar con especialistas capacitados disponibilidad de recursos permite un diagnóstico oportuno, un manejo adecuado y la reducción de complicaciones, mejorando así la calidad de vida y el pronóstico de los niños afectados por LES. Por ello, es fundamental fortalecer la detección temprana, la formación en reumatología pediátrica, garantizar el acceso equitativo a estos profesionales en todo México en especial en el sector público.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 Organización Mundial de la Salud (OMS), define el lupus eritematoso sistémico como "una enfermedad crónica, progresiva y multisistémica" en su publicación "Enfermedades Reumáticas".</w:t>
      </w:r>
      <w:r w:rsidRPr="006E437B">
        <w:rPr>
          <w:rFonts w:ascii="Times New Roman" w:hAnsi="Times New Roman" w:cs="Times New Roman"/>
          <w:sz w:val="24"/>
          <w:szCs w:val="24"/>
          <w:vertAlign w:val="superscript"/>
        </w:rPr>
        <w:t>xviii</w:t>
      </w:r>
      <w:r w:rsidRPr="006E437B">
        <w:rPr>
          <w:rFonts w:ascii="Times New Roman" w:hAnsi="Times New Roman" w:cs="Times New Roman"/>
          <w:sz w:val="24"/>
          <w:szCs w:val="24"/>
        </w:rPr>
        <w:t xml:space="preserve"> Por otra parte, y en concordancia con la gravedad de la situación de las personas que viven con Lupus, la Federación Mundial del Lupus (WLF, por sus siglas en inglés) promueve desde el 2005, el Día Mundial del Lupus cada 10 de mayo para concienciar sobre esta enfermedad, establecido en el VII Congreso Internacional de Lupus Eritematoso Sistémico y otras Enfermedades Relacionadas, en la ciudad de Nueva York.</w:t>
      </w:r>
      <w:r w:rsidRPr="006E437B">
        <w:rPr>
          <w:rFonts w:ascii="Times New Roman" w:hAnsi="Times New Roman" w:cs="Times New Roman"/>
          <w:sz w:val="24"/>
          <w:szCs w:val="24"/>
          <w:vertAlign w:val="superscript"/>
        </w:rPr>
        <w:t>xix</w:t>
      </w:r>
      <w:r w:rsidRPr="006E437B">
        <w:rPr>
          <w:rFonts w:ascii="Times New Roman" w:hAnsi="Times New Roman" w:cs="Times New Roman"/>
          <w:sz w:val="24"/>
          <w:szCs w:val="24"/>
        </w:rPr>
        <w:t xml:space="preserve"> En ese marco, en México y en diversas entidades del país, desde el 2015 se celebran caminatas, marchas y actividades de visibilizarían sobre las necesidades de quienes viven con lupus y otras enfermedades autoinmunes.</w:t>
      </w:r>
      <w:r w:rsidRPr="006E437B">
        <w:rPr>
          <w:rFonts w:ascii="Times New Roman" w:hAnsi="Times New Roman" w:cs="Times New Roman"/>
          <w:sz w:val="24"/>
          <w:szCs w:val="24"/>
          <w:vertAlign w:val="superscript"/>
        </w:rPr>
        <w:t>xx</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Uno de los problemas más serios en México y en las entidades en torno al lupus y a otras enfermedades autoinmunes, es la ausencia de un censo nacional y de censos estatales. Aun cuando en el 2019 nació el Registro Mexicano de Lupus (LupusRGMX),</w:t>
      </w:r>
      <w:r w:rsidRPr="006E437B">
        <w:rPr>
          <w:rFonts w:ascii="Times New Roman" w:hAnsi="Times New Roman" w:cs="Times New Roman"/>
          <w:sz w:val="24"/>
          <w:szCs w:val="24"/>
          <w:vertAlign w:val="superscript"/>
        </w:rPr>
        <w:t>xxi</w:t>
      </w:r>
      <w:r w:rsidRPr="006E437B">
        <w:rPr>
          <w:rFonts w:ascii="Times New Roman" w:hAnsi="Times New Roman" w:cs="Times New Roman"/>
          <w:sz w:val="24"/>
          <w:szCs w:val="24"/>
        </w:rPr>
        <w:t xml:space="preserve"> en el </w:t>
      </w:r>
      <w:r w:rsidRPr="006E437B">
        <w:rPr>
          <w:rFonts w:ascii="Times New Roman" w:hAnsi="Times New Roman" w:cs="Times New Roman"/>
          <w:b/>
          <w:sz w:val="24"/>
          <w:szCs w:val="24"/>
        </w:rPr>
        <w:t>Laboratorio Internacional de Investigación sobre el Genoma Humano (LIIGH-UNAM)</w:t>
      </w:r>
      <w:r w:rsidRPr="006E437B">
        <w:rPr>
          <w:rFonts w:ascii="Times New Roman" w:hAnsi="Times New Roman" w:cs="Times New Roman"/>
          <w:sz w:val="24"/>
          <w:szCs w:val="24"/>
        </w:rPr>
        <w:t>, con el objetivo de recabar información clínica, genómica y sociodemográfica de personas con la enfermedad, es vital recalcar que este proyecto busca las cualidades genómicas de la población mexicana con lupus, sin embargo, no es un programa nacional de registro censal. A la ausencia de un conteo de la población nacional con lupus desde el Estado Mexicano, se suma la inexistencia de un marco jurídico relativo al lupus y otras enfermedades autoinmunes, como en otros países europeos o latinoamericanos. Esto genera un severo subregistro de personas diagnosticadas.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En México se han dado avances significativos en materia de reconocimiento de derechos de las personas que viven con lupus. Un ejemplo de ello es el Estado de Puebla, donde el </w:t>
      </w:r>
      <w:r w:rsidRPr="006E437B">
        <w:rPr>
          <w:rFonts w:ascii="Times New Roman" w:hAnsi="Times New Roman" w:cs="Times New Roman"/>
          <w:b/>
          <w:sz w:val="24"/>
          <w:szCs w:val="24"/>
        </w:rPr>
        <w:t>15 de septiembre de 2025 se aprobó una iniciativa local en favor de las personas con lupus y otras enfermedades autoinmunes</w:t>
      </w:r>
      <w:r w:rsidRPr="006E437B">
        <w:rPr>
          <w:rFonts w:ascii="Times New Roman" w:hAnsi="Times New Roman" w:cs="Times New Roman"/>
          <w:sz w:val="24"/>
          <w:szCs w:val="24"/>
        </w:rPr>
        <w:t>,</w:t>
      </w:r>
      <w:r w:rsidRPr="006E437B">
        <w:rPr>
          <w:rFonts w:ascii="Times New Roman" w:hAnsi="Times New Roman" w:cs="Times New Roman"/>
          <w:sz w:val="24"/>
          <w:szCs w:val="24"/>
          <w:vertAlign w:val="superscript"/>
        </w:rPr>
        <w:t>xxii</w:t>
      </w:r>
      <w:r w:rsidRPr="006E437B">
        <w:rPr>
          <w:rFonts w:ascii="Times New Roman" w:hAnsi="Times New Roman" w:cs="Times New Roman"/>
          <w:sz w:val="24"/>
          <w:szCs w:val="24"/>
        </w:rPr>
        <w:t xml:space="preserve"> lo cual sienta un precedente nacional para que otras entidades federativas asuman compromisos similares. En el ámbito internacional, encontramos también referentes importantes: </w:t>
      </w:r>
      <w:r w:rsidRPr="006E437B">
        <w:rPr>
          <w:rFonts w:ascii="Times New Roman" w:hAnsi="Times New Roman" w:cs="Times New Roman"/>
          <w:b/>
          <w:sz w:val="24"/>
          <w:szCs w:val="24"/>
        </w:rPr>
        <w:t xml:space="preserve">Argentina </w:t>
      </w:r>
      <w:r w:rsidRPr="006E437B">
        <w:rPr>
          <w:rFonts w:ascii="Times New Roman" w:hAnsi="Times New Roman" w:cs="Times New Roman"/>
          <w:sz w:val="24"/>
          <w:szCs w:val="24"/>
        </w:rPr>
        <w:t xml:space="preserve">cuenta con las Leyes </w:t>
      </w:r>
      <w:r w:rsidRPr="006E437B">
        <w:rPr>
          <w:rFonts w:ascii="Times New Roman" w:hAnsi="Times New Roman" w:cs="Times New Roman"/>
          <w:b/>
          <w:sz w:val="24"/>
          <w:szCs w:val="24"/>
        </w:rPr>
        <w:t>No. 24.901 y No. 23.661,</w:t>
      </w:r>
      <w:r w:rsidRPr="006E437B">
        <w:rPr>
          <w:rFonts w:ascii="Times New Roman" w:hAnsi="Times New Roman" w:cs="Times New Roman"/>
          <w:sz w:val="24"/>
          <w:szCs w:val="24"/>
        </w:rPr>
        <w:t xml:space="preserve"> que reglamentan la normativa para la certificación de discapacidad en pacientes con lupus eritematoso sistémico (LES); </w:t>
      </w:r>
      <w:r w:rsidRPr="006E437B">
        <w:rPr>
          <w:rFonts w:ascii="Times New Roman" w:hAnsi="Times New Roman" w:cs="Times New Roman"/>
          <w:b/>
          <w:sz w:val="24"/>
          <w:szCs w:val="24"/>
        </w:rPr>
        <w:t xml:space="preserve">Chile </w:t>
      </w:r>
      <w:r w:rsidRPr="006E437B">
        <w:rPr>
          <w:rFonts w:ascii="Times New Roman" w:hAnsi="Times New Roman" w:cs="Times New Roman"/>
          <w:sz w:val="24"/>
          <w:szCs w:val="24"/>
        </w:rPr>
        <w:t xml:space="preserve">reconoce a las personas con lupus en los regímenes especiales de </w:t>
      </w:r>
      <w:r w:rsidRPr="006E437B">
        <w:rPr>
          <w:rFonts w:ascii="Times New Roman" w:hAnsi="Times New Roman" w:cs="Times New Roman"/>
          <w:b/>
          <w:sz w:val="24"/>
          <w:szCs w:val="24"/>
        </w:rPr>
        <w:t xml:space="preserve">Garantías Explícitas en Salud (GES) </w:t>
      </w:r>
      <w:r w:rsidRPr="006E437B">
        <w:rPr>
          <w:rFonts w:ascii="Times New Roman" w:hAnsi="Times New Roman" w:cs="Times New Roman"/>
          <w:sz w:val="24"/>
          <w:szCs w:val="24"/>
        </w:rPr>
        <w:t xml:space="preserve">y en la </w:t>
      </w:r>
      <w:r w:rsidRPr="006E437B">
        <w:rPr>
          <w:rFonts w:ascii="Times New Roman" w:hAnsi="Times New Roman" w:cs="Times New Roman"/>
          <w:b/>
          <w:sz w:val="24"/>
          <w:szCs w:val="24"/>
        </w:rPr>
        <w:t>Ley Ricarte Soto</w:t>
      </w:r>
      <w:r w:rsidRPr="006E437B">
        <w:rPr>
          <w:rFonts w:ascii="Times New Roman" w:hAnsi="Times New Roman" w:cs="Times New Roman"/>
          <w:sz w:val="24"/>
          <w:szCs w:val="24"/>
        </w:rPr>
        <w:t xml:space="preserve">; mientras que en </w:t>
      </w:r>
      <w:r w:rsidRPr="006E437B">
        <w:rPr>
          <w:rFonts w:ascii="Times New Roman" w:hAnsi="Times New Roman" w:cs="Times New Roman"/>
          <w:b/>
          <w:sz w:val="24"/>
          <w:szCs w:val="24"/>
        </w:rPr>
        <w:t>España,</w:t>
      </w:r>
      <w:r w:rsidRPr="006E437B">
        <w:rPr>
          <w:rFonts w:ascii="Times New Roman" w:hAnsi="Times New Roman" w:cs="Times New Roman"/>
          <w:sz w:val="24"/>
          <w:szCs w:val="24"/>
        </w:rPr>
        <w:t xml:space="preserve"> la Ley General de la Seguridad Social contempla la incapacidad laboral por lupus.</w:t>
      </w:r>
      <w:r w:rsidRPr="006E437B">
        <w:rPr>
          <w:rFonts w:ascii="Times New Roman" w:hAnsi="Times New Roman" w:cs="Times New Roman"/>
          <w:sz w:val="24"/>
          <w:szCs w:val="24"/>
          <w:vertAlign w:val="superscript"/>
        </w:rPr>
        <w:t>xxiii</w:t>
      </w:r>
      <w:r w:rsidRPr="006E437B">
        <w:rPr>
          <w:rFonts w:ascii="Times New Roman" w:hAnsi="Times New Roman" w:cs="Times New Roman"/>
          <w:sz w:val="24"/>
          <w:szCs w:val="24"/>
        </w:rPr>
        <w:t xml:space="preserve"> Todos estos marcos normativos han permitido a dichos países establecer </w:t>
      </w:r>
      <w:r w:rsidRPr="006E437B">
        <w:rPr>
          <w:rFonts w:ascii="Times New Roman" w:hAnsi="Times New Roman" w:cs="Times New Roman"/>
          <w:b/>
          <w:sz w:val="24"/>
          <w:szCs w:val="24"/>
        </w:rPr>
        <w:t xml:space="preserve">garantías concretas que van desde pensiones y cobertura de tratamientos de alto costo, hasta descuentos en transporte y apoyos familiares, </w:t>
      </w:r>
      <w:r w:rsidRPr="006E437B">
        <w:rPr>
          <w:rFonts w:ascii="Times New Roman" w:hAnsi="Times New Roman" w:cs="Times New Roman"/>
          <w:sz w:val="24"/>
          <w:szCs w:val="24"/>
        </w:rPr>
        <w:t>con lo cual se asegura una mejor calidad de vida y el pleno ejercicio de los derechos humanos.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marco, el movimiento iniciado desde que en el Senado de la República, la senadora Amalia García Medina y el Centro de Estudios Transdisciplinarios AthiéCalleja por los Derechos de las Personas con Lupus A.C. (Cetlu) Cetlu, impulsaron la iniciativa conocida como #LeyLupus, bajo el nombre: Iniciativa con Proyecto de Decreto por el que se reforman y adicionan diversas disposiciones de la Ley General de Salud y de la Ley Federal para Prevenir y Eliminar la Discriminación, en materia de lupus y otras enfermedades autoinmunes, publicada en la Gaceta del Senado el 20 de noviembre de 2024</w:t>
      </w:r>
      <w:r w:rsidRPr="006E437B">
        <w:rPr>
          <w:rFonts w:ascii="Times New Roman" w:hAnsi="Times New Roman" w:cs="Times New Roman"/>
          <w:sz w:val="24"/>
          <w:szCs w:val="24"/>
          <w:vertAlign w:val="superscript"/>
        </w:rPr>
        <w:t>xxiv</w:t>
      </w:r>
      <w:r w:rsidRPr="006E437B">
        <w:rPr>
          <w:rFonts w:ascii="Times New Roman" w:hAnsi="Times New Roman" w:cs="Times New Roman"/>
          <w:sz w:val="24"/>
          <w:szCs w:val="24"/>
        </w:rPr>
        <w:t>.</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Desde noviembre de 2024 hasta mayo de 2025, la </w:t>
      </w:r>
      <w:r w:rsidRPr="006E437B">
        <w:rPr>
          <w:rFonts w:ascii="Times New Roman" w:hAnsi="Times New Roman" w:cs="Times New Roman"/>
          <w:b/>
          <w:sz w:val="24"/>
          <w:szCs w:val="24"/>
        </w:rPr>
        <w:t xml:space="preserve">Liga Mexicana por los Derechos de las Personas con Lupus (Limdeplu), </w:t>
      </w:r>
      <w:r w:rsidRPr="006E437B">
        <w:rPr>
          <w:rFonts w:ascii="Times New Roman" w:hAnsi="Times New Roman" w:cs="Times New Roman"/>
          <w:sz w:val="24"/>
          <w:szCs w:val="24"/>
        </w:rPr>
        <w:t>creada y coordinada por Cetlu, ha presentado iniciativas estatales y exhortos en 10 entidades: Puebla y Morelos (aprobadas por unanimidad), Tlaxcala, Sinaloa, Michoacán, Hidalgo, Baja California, Baja California Sur, Tabasco y Quintana Roo. En Baja California, además, se presentó una iniciativa y un exhorto para destinar recursos en el presupuesto estatal hacia la atención integral de personas con lupus y otras enfermedades autoinmunes, mientras que en Coahuila, se presentó un exhorto y se está impulsando el proyecto de iniciativa. Estos ejemplos reflejan el crecimiento de un movimiento legislativo plural en torno a esta causa.</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Este movimiento, es derivado de la iniciativa federal, la cual tiene la finalidad de establecer un marco legal para la atención de las personas con lupus, a fin de mejorar su calidad de vida. Dicha iniciativa propone incorporar a la Ley General de Salud un nuevo capítulo denominado “Enfermedades Autoinmunes y Lupus”, a fin de establecer que el Estado en los órdenes de gobierno Federal y Estatales, realicen actividades de prevención y control de las enfermedades autoinmunes, así como para crear el Censo Nacional del Lupus.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Panorama nacional e internacional</w:t>
      </w: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El lupus eritematoso sistémico (LES) es el prototipo de enfermedad autoinmune crónica, multisistémica y de difícil diagnóstico. A nivel mundial, afecta a más de </w:t>
      </w:r>
      <w:r w:rsidRPr="006E437B">
        <w:rPr>
          <w:rFonts w:ascii="Times New Roman" w:hAnsi="Times New Roman" w:cs="Times New Roman"/>
          <w:b/>
          <w:sz w:val="24"/>
          <w:szCs w:val="24"/>
        </w:rPr>
        <w:t>5 millones de personas</w:t>
      </w:r>
      <w:r w:rsidRPr="006E437B">
        <w:rPr>
          <w:rFonts w:ascii="Times New Roman" w:hAnsi="Times New Roman" w:cs="Times New Roman"/>
          <w:sz w:val="24"/>
          <w:szCs w:val="24"/>
        </w:rPr>
        <w:t>, siendo una de las afecciones autoinmunes más complejas, invisibles y desatendidas dentro de los sistemas de salud.</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Según la Organización Mundial de la Salud (OMS, 2025), existen entre </w:t>
      </w:r>
      <w:r w:rsidRPr="006E437B">
        <w:rPr>
          <w:rFonts w:ascii="Times New Roman" w:hAnsi="Times New Roman" w:cs="Times New Roman"/>
          <w:b/>
          <w:sz w:val="24"/>
          <w:szCs w:val="24"/>
        </w:rPr>
        <w:t>80 y 100 enfermedades autoinmunes</w:t>
      </w:r>
      <w:r w:rsidRPr="006E437B">
        <w:rPr>
          <w:rFonts w:ascii="Times New Roman" w:hAnsi="Times New Roman" w:cs="Times New Roman"/>
          <w:sz w:val="24"/>
          <w:szCs w:val="24"/>
        </w:rPr>
        <w:t xml:space="preserve"> reconocidas, muchas de las cuales coexisten con el lupus, como la fibromialgia, el síndrome de Sjögren, la artritis reumatoide o la esclerosis múltiple, entre muchas otras. Esta condición, conocida como </w:t>
      </w:r>
      <w:r w:rsidRPr="006E437B">
        <w:rPr>
          <w:rFonts w:ascii="Times New Roman" w:hAnsi="Times New Roman" w:cs="Times New Roman"/>
          <w:b/>
          <w:sz w:val="24"/>
          <w:szCs w:val="24"/>
        </w:rPr>
        <w:t>síndrome de superposición</w:t>
      </w:r>
      <w:r w:rsidRPr="006E437B">
        <w:rPr>
          <w:rFonts w:ascii="Times New Roman" w:hAnsi="Times New Roman" w:cs="Times New Roman"/>
          <w:sz w:val="24"/>
          <w:szCs w:val="24"/>
        </w:rPr>
        <w:t>, agrava el diagnóstico y el tratamiento.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b/>
          <w:sz w:val="24"/>
          <w:szCs w:val="24"/>
        </w:rPr>
        <w:t>9 de cada 10 personas con lupus son mujeres</w:t>
      </w:r>
      <w:r w:rsidRPr="006E437B">
        <w:rPr>
          <w:rFonts w:ascii="Times New Roman" w:hAnsi="Times New Roman" w:cs="Times New Roman"/>
          <w:sz w:val="24"/>
          <w:szCs w:val="24"/>
        </w:rPr>
        <w:t>, especialmente en edad reproductiva.</w:t>
      </w: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Presenta un </w:t>
      </w:r>
      <w:r w:rsidRPr="006E437B">
        <w:rPr>
          <w:rFonts w:ascii="Times New Roman" w:hAnsi="Times New Roman" w:cs="Times New Roman"/>
          <w:b/>
          <w:sz w:val="24"/>
          <w:szCs w:val="24"/>
        </w:rPr>
        <w:t>amplio espectro clínico multivariado</w:t>
      </w:r>
      <w:r w:rsidRPr="006E437B">
        <w:rPr>
          <w:rFonts w:ascii="Times New Roman" w:hAnsi="Times New Roman" w:cs="Times New Roman"/>
          <w:sz w:val="24"/>
          <w:szCs w:val="24"/>
        </w:rPr>
        <w:t xml:space="preserve"> y puede atacar simultáneamente diversos órganos como riñones, pulmones, corazón, sistema nervioso central, piel y articulaciones.</w:t>
      </w: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Existen </w:t>
      </w:r>
      <w:r w:rsidRPr="006E437B">
        <w:rPr>
          <w:rFonts w:ascii="Times New Roman" w:hAnsi="Times New Roman" w:cs="Times New Roman"/>
          <w:b/>
          <w:sz w:val="24"/>
          <w:szCs w:val="24"/>
        </w:rPr>
        <w:t>más de 100 manifestaciones clínicas y serológicas documentadas</w:t>
      </w:r>
      <w:r w:rsidRPr="006E437B">
        <w:rPr>
          <w:rFonts w:ascii="Times New Roman" w:hAnsi="Times New Roman" w:cs="Times New Roman"/>
          <w:sz w:val="24"/>
          <w:szCs w:val="24"/>
        </w:rPr>
        <w:t xml:space="preserve"> (Pons-Estel, 2023), lo que impide establecer un perfil único de la enfermedad.</w:t>
      </w: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Su naturaleza fluctuante y variable la convierte en una enfermedad </w:t>
      </w:r>
      <w:r w:rsidRPr="006E437B">
        <w:rPr>
          <w:rFonts w:ascii="Times New Roman" w:hAnsi="Times New Roman" w:cs="Times New Roman"/>
          <w:b/>
          <w:sz w:val="24"/>
          <w:szCs w:val="24"/>
        </w:rPr>
        <w:t>invisible e invisibilizada</w:t>
      </w:r>
      <w:r w:rsidRPr="006E437B">
        <w:rPr>
          <w:rFonts w:ascii="Times New Roman" w:hAnsi="Times New Roman" w:cs="Times New Roman"/>
          <w:sz w:val="24"/>
          <w:szCs w:val="24"/>
        </w:rPr>
        <w:t>, tanto para médicos como para instituciones.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América Latina, la prevalencia del lupus eritematoso sistémico se estima entre 20 y 70 casos por cada 100 000 habitantes, siendo las mujeres el 90 % de los casos, especialmente en edad reproductiva.</w:t>
      </w:r>
      <w:r w:rsidRPr="006E437B">
        <w:rPr>
          <w:rFonts w:ascii="Times New Roman" w:hAnsi="Times New Roman" w:cs="Times New Roman"/>
          <w:sz w:val="24"/>
          <w:szCs w:val="24"/>
          <w:vertAlign w:val="superscript"/>
        </w:rPr>
        <w:t>xxv</w:t>
      </w:r>
      <w:r w:rsidRPr="006E437B">
        <w:rPr>
          <w:rFonts w:ascii="Times New Roman" w:hAnsi="Times New Roman" w:cs="Times New Roman"/>
          <w:sz w:val="24"/>
          <w:szCs w:val="24"/>
        </w:rPr>
        <w:t xml:space="preserve"> La complejidad diagnóstica y la escasez de especialistas agravan la desigualdad en la atención: en México se registran alrededor de 1 100 reumatólogos activos, de los cuales apenas 100 se especializan en reumatología pediátrica, cifra inferior a la recomendación de la OMS de al menos un especialista por cada 100 000 habitantes.</w:t>
      </w:r>
      <w:r w:rsidRPr="006E437B">
        <w:rPr>
          <w:rFonts w:ascii="Times New Roman" w:hAnsi="Times New Roman" w:cs="Times New Roman"/>
          <w:sz w:val="24"/>
          <w:szCs w:val="24"/>
          <w:vertAlign w:val="superscript"/>
        </w:rPr>
        <w:t>xxvi</w:t>
      </w:r>
      <w:r w:rsidRPr="006E437B">
        <w:rPr>
          <w:rFonts w:ascii="Times New Roman" w:hAnsi="Times New Roman" w:cs="Times New Roman"/>
          <w:sz w:val="24"/>
          <w:szCs w:val="24"/>
        </w:rPr>
        <w:t xml:space="preserve"> En ese marco, en México existe además una </w:t>
      </w:r>
      <w:r w:rsidRPr="006E437B">
        <w:rPr>
          <w:rFonts w:ascii="Times New Roman" w:hAnsi="Times New Roman" w:cs="Times New Roman"/>
          <w:b/>
          <w:sz w:val="24"/>
          <w:szCs w:val="24"/>
        </w:rPr>
        <w:t>distribución desigual y deficitaria de médicos reumatólogos,</w:t>
      </w:r>
      <w:r w:rsidRPr="006E437B">
        <w:rPr>
          <w:rFonts w:ascii="Times New Roman" w:hAnsi="Times New Roman" w:cs="Times New Roman"/>
          <w:sz w:val="24"/>
          <w:szCs w:val="24"/>
        </w:rPr>
        <w:t xml:space="preserve"> concentrada principalmente en las entidades federativas de </w:t>
      </w:r>
      <w:r w:rsidRPr="006E437B">
        <w:rPr>
          <w:rFonts w:ascii="Times New Roman" w:hAnsi="Times New Roman" w:cs="Times New Roman"/>
          <w:b/>
          <w:sz w:val="24"/>
          <w:szCs w:val="24"/>
        </w:rPr>
        <w:t>Ciudad de México, Nuevo León y Jalisco,</w:t>
      </w:r>
      <w:r w:rsidRPr="006E437B">
        <w:rPr>
          <w:rFonts w:ascii="Times New Roman" w:hAnsi="Times New Roman" w:cs="Times New Roman"/>
          <w:sz w:val="24"/>
          <w:szCs w:val="24"/>
        </w:rPr>
        <w:t xml:space="preserve"> lo que genera una marcada </w:t>
      </w:r>
      <w:r w:rsidRPr="006E437B">
        <w:rPr>
          <w:rFonts w:ascii="Times New Roman" w:hAnsi="Times New Roman" w:cs="Times New Roman"/>
          <w:b/>
          <w:sz w:val="24"/>
          <w:szCs w:val="24"/>
        </w:rPr>
        <w:t>inequidad regional</w:t>
      </w:r>
      <w:r w:rsidRPr="006E437B">
        <w:rPr>
          <w:rFonts w:ascii="Times New Roman" w:hAnsi="Times New Roman" w:cs="Times New Roman"/>
          <w:sz w:val="24"/>
          <w:szCs w:val="24"/>
        </w:rPr>
        <w:t xml:space="preserve"> en la atención de enfermedades reumatológicas.</w:t>
      </w:r>
      <w:r w:rsidRPr="006E437B">
        <w:rPr>
          <w:rFonts w:ascii="Times New Roman" w:hAnsi="Times New Roman" w:cs="Times New Roman"/>
          <w:sz w:val="24"/>
          <w:szCs w:val="24"/>
          <w:vertAlign w:val="superscript"/>
        </w:rPr>
        <w:t>xxvii</w:t>
      </w:r>
      <w:r w:rsidRPr="006E437B">
        <w:rPr>
          <w:rFonts w:ascii="Times New Roman" w:hAnsi="Times New Roman" w:cs="Times New Roman"/>
          <w:sz w:val="24"/>
          <w:szCs w:val="24"/>
        </w:rPr>
        <w:t xml:space="preserve"> Asimismo, la </w:t>
      </w:r>
      <w:r w:rsidRPr="006E437B">
        <w:rPr>
          <w:rFonts w:ascii="Times New Roman" w:hAnsi="Times New Roman" w:cs="Times New Roman"/>
          <w:b/>
          <w:sz w:val="24"/>
          <w:szCs w:val="24"/>
        </w:rPr>
        <w:t xml:space="preserve">formación y recertificación de especialistas </w:t>
      </w:r>
      <w:r w:rsidRPr="006E437B">
        <w:rPr>
          <w:rFonts w:ascii="Times New Roman" w:hAnsi="Times New Roman" w:cs="Times New Roman"/>
          <w:sz w:val="24"/>
          <w:szCs w:val="24"/>
        </w:rPr>
        <w:t xml:space="preserve">continúa siendo limitada y que persisten </w:t>
      </w:r>
      <w:r w:rsidRPr="006E437B">
        <w:rPr>
          <w:rFonts w:ascii="Times New Roman" w:hAnsi="Times New Roman" w:cs="Times New Roman"/>
          <w:b/>
          <w:sz w:val="24"/>
          <w:szCs w:val="24"/>
        </w:rPr>
        <w:t>grandes brechas en cobertura,</w:t>
      </w:r>
      <w:r w:rsidRPr="006E437B">
        <w:rPr>
          <w:rFonts w:ascii="Times New Roman" w:hAnsi="Times New Roman" w:cs="Times New Roman"/>
          <w:sz w:val="24"/>
          <w:szCs w:val="24"/>
        </w:rPr>
        <w:t xml:space="preserve"> afectando particularmente a los estados del sur y del centro del país, donde la falta de acceso a atención especializada </w:t>
      </w:r>
      <w:r w:rsidRPr="006E437B">
        <w:rPr>
          <w:rFonts w:ascii="Times New Roman" w:hAnsi="Times New Roman" w:cs="Times New Roman"/>
          <w:b/>
          <w:sz w:val="24"/>
          <w:szCs w:val="24"/>
        </w:rPr>
        <w:t>dificulta el diagnóstico temprano y el tratamiento oportuno</w:t>
      </w:r>
      <w:r w:rsidRPr="006E437B">
        <w:rPr>
          <w:rFonts w:ascii="Times New Roman" w:hAnsi="Times New Roman" w:cs="Times New Roman"/>
          <w:sz w:val="24"/>
          <w:szCs w:val="24"/>
        </w:rPr>
        <w:t xml:space="preserve"> de enfermedades autoinmunes como el </w:t>
      </w:r>
      <w:r w:rsidRPr="006E437B">
        <w:rPr>
          <w:rFonts w:ascii="Times New Roman" w:hAnsi="Times New Roman" w:cs="Times New Roman"/>
          <w:b/>
          <w:sz w:val="24"/>
          <w:szCs w:val="24"/>
        </w:rPr>
        <w:t xml:space="preserve">lupus eritematoso es limitada. </w:t>
      </w:r>
      <w:r w:rsidRPr="006E437B">
        <w:rPr>
          <w:rFonts w:ascii="Times New Roman" w:hAnsi="Times New Roman" w:cs="Times New Roman"/>
          <w:sz w:val="24"/>
          <w:szCs w:val="24"/>
        </w:rPr>
        <w:t>El mayor reto es el diagnóstico oportuno, subregistro y escasez de especialistas.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A pesar de su impacto, el lupus </w:t>
      </w:r>
      <w:r w:rsidRPr="006E437B">
        <w:rPr>
          <w:rFonts w:ascii="Times New Roman" w:hAnsi="Times New Roman" w:cs="Times New Roman"/>
          <w:b/>
          <w:sz w:val="24"/>
          <w:szCs w:val="24"/>
        </w:rPr>
        <w:t>no cuenta con un censo nacional ni estatal.</w:t>
      </w: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Las estimaciones varían entre </w:t>
      </w:r>
      <w:r w:rsidRPr="006E437B">
        <w:rPr>
          <w:rFonts w:ascii="Times New Roman" w:hAnsi="Times New Roman" w:cs="Times New Roman"/>
          <w:b/>
          <w:sz w:val="24"/>
          <w:szCs w:val="24"/>
        </w:rPr>
        <w:t xml:space="preserve">4 y 250 casos por cada 100 mil habitantes </w:t>
      </w:r>
      <w:r w:rsidRPr="006E437B">
        <w:rPr>
          <w:rFonts w:ascii="Times New Roman" w:hAnsi="Times New Roman" w:cs="Times New Roman"/>
          <w:sz w:val="24"/>
          <w:szCs w:val="24"/>
        </w:rPr>
        <w:t>(Amigo, 2024), o</w:t>
      </w:r>
      <w:r w:rsidRPr="006E437B">
        <w:rPr>
          <w:rFonts w:ascii="Times New Roman" w:hAnsi="Times New Roman" w:cs="Times New Roman"/>
          <w:b/>
          <w:sz w:val="24"/>
          <w:szCs w:val="24"/>
        </w:rPr>
        <w:t xml:space="preserve"> 20 por cada 100 mil habitantes (LupusRgMX, 2023).</w:t>
      </w: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México cuenta con poco más de </w:t>
      </w:r>
      <w:r w:rsidRPr="006E437B">
        <w:rPr>
          <w:rFonts w:ascii="Times New Roman" w:hAnsi="Times New Roman" w:cs="Times New Roman"/>
          <w:b/>
          <w:sz w:val="24"/>
          <w:szCs w:val="24"/>
        </w:rPr>
        <w:t>1,100 reumatólogos certificados para todo el país,</w:t>
      </w:r>
      <w:r w:rsidRPr="006E437B">
        <w:rPr>
          <w:rFonts w:ascii="Times New Roman" w:hAnsi="Times New Roman" w:cs="Times New Roman"/>
          <w:sz w:val="24"/>
          <w:szCs w:val="24"/>
        </w:rPr>
        <w:t xml:space="preserve"> muy debajo de la recomendación de la OMS (1/100 mil habs.) (ColMexReuma, 2024).</w:t>
      </w:r>
    </w:p>
    <w:p w:rsidR="001850B4" w:rsidRPr="006E437B" w:rsidRDefault="001850B4" w:rsidP="00DA64DA">
      <w:pPr>
        <w:numPr>
          <w:ilvl w:val="0"/>
          <w:numId w:val="19"/>
        </w:numPr>
        <w:spacing w:after="0" w:line="240" w:lineRule="auto"/>
        <w:ind w:hanging="355"/>
        <w:jc w:val="both"/>
        <w:rPr>
          <w:rFonts w:ascii="Times New Roman" w:hAnsi="Times New Roman" w:cs="Times New Roman"/>
          <w:sz w:val="24"/>
          <w:szCs w:val="24"/>
        </w:rPr>
      </w:pPr>
      <w:r w:rsidRPr="006E437B">
        <w:rPr>
          <w:rFonts w:ascii="Times New Roman" w:hAnsi="Times New Roman" w:cs="Times New Roman"/>
          <w:sz w:val="24"/>
          <w:szCs w:val="24"/>
        </w:rPr>
        <w:t xml:space="preserve">El acceso a diagnóstico oportuno es limitado: </w:t>
      </w:r>
      <w:r w:rsidRPr="006E437B">
        <w:rPr>
          <w:rFonts w:ascii="Times New Roman" w:hAnsi="Times New Roman" w:cs="Times New Roman"/>
          <w:b/>
          <w:sz w:val="24"/>
          <w:szCs w:val="24"/>
        </w:rPr>
        <w:t>el tiempo promedio para recibir un diagnóstico en México puede superar los 6 años</w:t>
      </w:r>
      <w:r w:rsidRPr="006E437B">
        <w:rPr>
          <w:rFonts w:ascii="Times New Roman" w:hAnsi="Times New Roman" w:cs="Times New Roman"/>
          <w:sz w:val="24"/>
          <w:szCs w:val="24"/>
        </w:rPr>
        <w:t xml:space="preserve"> (Cardiel, 2023).</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Urgencia sanitaria</w:t>
      </w: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El análisis de las más de treinta y un mil firmas recabadas en apoyo a la presente iniciativa permite identificar patrones consistentes de discriminación y exclusión que enfrentan las personas con lupus y otras enfermedades autoinmunes. De acuerdo con los resultados, de los diagnósticos participativos realizados por el Cetlu en octubre de 2025, a través de una encuesta en línea con preguntas abiertas, se permite observar un panorama de </w:t>
      </w:r>
      <w:r w:rsidRPr="006E437B">
        <w:rPr>
          <w:rFonts w:ascii="Times New Roman" w:hAnsi="Times New Roman" w:cs="Times New Roman"/>
          <w:b/>
          <w:sz w:val="24"/>
          <w:szCs w:val="24"/>
        </w:rPr>
        <w:t xml:space="preserve">vulnerabilidad y subatención </w:t>
      </w:r>
      <w:r w:rsidRPr="006E437B">
        <w:rPr>
          <w:rFonts w:ascii="Times New Roman" w:hAnsi="Times New Roman" w:cs="Times New Roman"/>
          <w:sz w:val="24"/>
          <w:szCs w:val="24"/>
        </w:rPr>
        <w:t>(Ver Gráfico 1).</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850B4" w:rsidRPr="006E437B" w:rsidRDefault="001850B4"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Gráfico 1. Tipos de discriminación señalada por las personas con lupus encuestadas</w:t>
      </w:r>
    </w:p>
    <w:p w:rsidR="001850B4" w:rsidRPr="006E437B" w:rsidRDefault="001850B4" w:rsidP="00141629">
      <w:pPr>
        <w:spacing w:after="0" w:line="240" w:lineRule="auto"/>
        <w:ind w:left="-5"/>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1850B4" w:rsidRPr="006E437B" w:rsidTr="00FD44F9">
        <w:trPr>
          <w:jc w:val="center"/>
        </w:trPr>
        <w:tc>
          <w:tcPr>
            <w:tcW w:w="9395" w:type="dxa"/>
          </w:tcPr>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jc w:val="center"/>
              <w:rPr>
                <w:rFonts w:ascii="Times New Roman" w:hAnsi="Times New Roman" w:cs="Times New Roman"/>
                <w:sz w:val="24"/>
                <w:szCs w:val="24"/>
              </w:rPr>
            </w:pPr>
            <w:r w:rsidRPr="006E437B">
              <w:rPr>
                <w:rFonts w:ascii="Times New Roman" w:hAnsi="Times New Roman" w:cs="Times New Roman"/>
                <w:noProof/>
                <w:sz w:val="24"/>
                <w:szCs w:val="24"/>
              </w:rPr>
              <w:drawing>
                <wp:inline distT="0" distB="0" distL="0" distR="0" wp14:anchorId="5979FD26" wp14:editId="37F18488">
                  <wp:extent cx="5514660" cy="2457400"/>
                  <wp:effectExtent l="0" t="0" r="0" b="635"/>
                  <wp:docPr id="1489" name="Picture 1489"/>
                  <wp:cNvGraphicFramePr/>
                  <a:graphic xmlns:a="http://schemas.openxmlformats.org/drawingml/2006/main">
                    <a:graphicData uri="http://schemas.openxmlformats.org/drawingml/2006/picture">
                      <pic:pic xmlns:pic="http://schemas.openxmlformats.org/drawingml/2006/picture">
                        <pic:nvPicPr>
                          <pic:cNvPr id="1489" name="Picture 1489"/>
                          <pic:cNvPicPr/>
                        </pic:nvPicPr>
                        <pic:blipFill>
                          <a:blip r:embed="rId50"/>
                          <a:stretch>
                            <a:fillRect/>
                          </a:stretch>
                        </pic:blipFill>
                        <pic:spPr>
                          <a:xfrm>
                            <a:off x="0" y="0"/>
                            <a:ext cx="5579368" cy="2486235"/>
                          </a:xfrm>
                          <a:prstGeom prst="rect">
                            <a:avLst/>
                          </a:prstGeom>
                        </pic:spPr>
                      </pic:pic>
                    </a:graphicData>
                  </a:graphic>
                </wp:inline>
              </w:drawing>
            </w:r>
          </w:p>
          <w:p w:rsidR="001850B4" w:rsidRPr="006E437B" w:rsidRDefault="001850B4" w:rsidP="00141629">
            <w:pPr>
              <w:spacing w:line="240" w:lineRule="auto"/>
              <w:rPr>
                <w:rFonts w:ascii="Times New Roman" w:hAnsi="Times New Roman" w:cs="Times New Roman"/>
                <w:sz w:val="24"/>
                <w:szCs w:val="24"/>
              </w:rPr>
            </w:pPr>
          </w:p>
        </w:tc>
      </w:tr>
    </w:tbl>
    <w:p w:rsidR="001850B4" w:rsidRPr="006E437B" w:rsidRDefault="001850B4" w:rsidP="00141629">
      <w:pPr>
        <w:spacing w:after="0" w:line="240" w:lineRule="auto"/>
        <w:ind w:left="-568"/>
        <w:jc w:val="center"/>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Fuente:</w:t>
      </w:r>
      <w:r w:rsidRPr="006E437B">
        <w:rPr>
          <w:rFonts w:ascii="Times New Roman" w:hAnsi="Times New Roman" w:cs="Times New Roman"/>
          <w:sz w:val="24"/>
          <w:szCs w:val="24"/>
        </w:rPr>
        <w:t xml:space="preserve"> Elaboración propia con base en el análisis de más de treinta y un mil firmas recabadas en apoyo a la iniciativa Ley Lupus, y en los diagnósticos participativos realizados por el Centro de Estudios Transdisciplinarios Athié-Calleja por los Derechos de las Personas con Lupus A. C. (CETLU), mediante encuesta en línea, octubre de 2025.</w:t>
      </w:r>
    </w:p>
    <w:p w:rsidR="001850B4" w:rsidRPr="006E437B" w:rsidRDefault="001850B4" w:rsidP="00141629">
      <w:pPr>
        <w:spacing w:after="0" w:line="240" w:lineRule="auto"/>
        <w:jc w:val="both"/>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El 25 % de las personas señaló estigmas asociados a las enfermedades crónicas como la principal forma de discriminación, seguido de la falta de comprensión social (20 %) y la exclusión en espacios laborales (15 %). Asimismo, el 15 % reportó desigualdad en el acceso a tratamientos médicos adecuados, mientras que el 10 % manifestó haber enfrentado prejuicios de género vinculados al diagnóstico y otro 10 % barreras para acceder a apoyos gubernamentales. Finalmente, el 5 % identificó experiencias de marginación educativa derivadas de las limitaciones físicas ocasionadas por la enfermedad. Estos datos evidencian que la discriminación no se limita al ámbito sanitario, sino que atraviesa de manera estructural los espacios laborales, educativos, sociales e institucionales, afectando el ejercicio pleno de derechos y reforzando la necesidad de un marco normativo que garantice atención integral, igualdad de trato y mecanismos efectivos de protección. De ahí, además, se desprenden problemáticas percibidas por las mujeres que viven con enfermedades autoinmunes que respondieron (Ver Tabla 1).</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Tabla 1. Principales problemáticas percibidas por mujeres con enfermedades autoinmunes</w:t>
      </w:r>
    </w:p>
    <w:p w:rsidR="001850B4" w:rsidRPr="006E437B" w:rsidRDefault="001850B4" w:rsidP="00141629">
      <w:pPr>
        <w:spacing w:after="0" w:line="240" w:lineRule="auto"/>
        <w:rPr>
          <w:rFonts w:ascii="Times New Roman" w:hAnsi="Times New Roman" w:cs="Times New Roman"/>
          <w:sz w:val="24"/>
          <w:szCs w:val="24"/>
        </w:rPr>
      </w:pPr>
    </w:p>
    <w:tbl>
      <w:tblPr>
        <w:tblStyle w:val="TableGrid"/>
        <w:tblW w:w="8794" w:type="dxa"/>
        <w:jc w:val="center"/>
        <w:tblInd w:w="0" w:type="dxa"/>
        <w:tblCellMar>
          <w:top w:w="48" w:type="dxa"/>
          <w:left w:w="37" w:type="dxa"/>
        </w:tblCellMar>
        <w:tblLook w:val="04A0" w:firstRow="1" w:lastRow="0" w:firstColumn="1" w:lastColumn="0" w:noHBand="0" w:noVBand="1"/>
      </w:tblPr>
      <w:tblGrid>
        <w:gridCol w:w="1929"/>
        <w:gridCol w:w="6865"/>
      </w:tblGrid>
      <w:tr w:rsidR="001850B4" w:rsidRPr="006E437B" w:rsidTr="00FD44F9">
        <w:trPr>
          <w:trHeight w:val="489"/>
          <w:jc w:val="center"/>
        </w:trPr>
        <w:tc>
          <w:tcPr>
            <w:tcW w:w="1929"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 xml:space="preserve">Categoría </w:t>
            </w:r>
          </w:p>
        </w:tc>
        <w:tc>
          <w:tcPr>
            <w:tcW w:w="6865"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Testimonios y observaciones principales</w:t>
            </w:r>
          </w:p>
        </w:tc>
      </w:tr>
      <w:tr w:rsidR="001850B4" w:rsidRPr="006E437B" w:rsidTr="00FD44F9">
        <w:trPr>
          <w:trHeight w:val="1338"/>
          <w:jc w:val="center"/>
        </w:trPr>
        <w:tc>
          <w:tcPr>
            <w:tcW w:w="1929"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rPr>
                <w:rFonts w:ascii="Times New Roman" w:hAnsi="Times New Roman" w:cs="Times New Roman"/>
                <w:b/>
                <w:bCs/>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Invisibilidad y desconocimiento </w:t>
            </w:r>
          </w:p>
          <w:p w:rsidR="001850B4" w:rsidRPr="006E437B" w:rsidRDefault="001850B4" w:rsidP="00141629">
            <w:pPr>
              <w:spacing w:line="240" w:lineRule="auto"/>
              <w:rPr>
                <w:rFonts w:ascii="Times New Roman" w:hAnsi="Times New Roman" w:cs="Times New Roman"/>
                <w:sz w:val="24"/>
                <w:szCs w:val="24"/>
              </w:rPr>
            </w:pPr>
          </w:p>
        </w:tc>
        <w:tc>
          <w:tcPr>
            <w:tcW w:w="6865"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“No hay instancias en donde den a conocer más sobre esta enfermedad.” “Existen personas desinformadas.” Varias respuestas señalan la escasez de espacios institucionales para informar, la invisibilización social y desconocimiento generalizado del lupus.</w:t>
            </w:r>
          </w:p>
          <w:p w:rsidR="001850B4" w:rsidRPr="006E437B" w:rsidRDefault="001850B4" w:rsidP="00141629">
            <w:pPr>
              <w:spacing w:line="240" w:lineRule="auto"/>
              <w:ind w:left="2"/>
              <w:rPr>
                <w:rFonts w:ascii="Times New Roman" w:hAnsi="Times New Roman" w:cs="Times New Roman"/>
                <w:sz w:val="24"/>
                <w:szCs w:val="24"/>
              </w:rPr>
            </w:pPr>
          </w:p>
        </w:tc>
      </w:tr>
      <w:tr w:rsidR="001850B4" w:rsidRPr="006E437B" w:rsidTr="00FD44F9">
        <w:trPr>
          <w:trHeight w:val="1196"/>
          <w:jc w:val="center"/>
        </w:trPr>
        <w:tc>
          <w:tcPr>
            <w:tcW w:w="1929"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rPr>
                <w:rFonts w:ascii="Times New Roman" w:hAnsi="Times New Roman" w:cs="Times New Roman"/>
                <w:b/>
                <w:bCs/>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Discriminación en el sistema de salud </w:t>
            </w:r>
          </w:p>
          <w:p w:rsidR="001850B4" w:rsidRPr="006E437B" w:rsidRDefault="001850B4" w:rsidP="00141629">
            <w:pPr>
              <w:spacing w:line="240" w:lineRule="auto"/>
              <w:rPr>
                <w:rFonts w:ascii="Times New Roman" w:hAnsi="Times New Roman" w:cs="Times New Roman"/>
                <w:sz w:val="24"/>
                <w:szCs w:val="24"/>
              </w:rPr>
            </w:pPr>
          </w:p>
        </w:tc>
        <w:tc>
          <w:tcPr>
            <w:tcW w:w="6865"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Se perciben actitudes de desdén y estigmatización por parte de personal médico, quienes tienden a minimizar los síntomas o atribuirlos a exageración, negando acceso a tratamientos o incapacidades.</w:t>
            </w:r>
          </w:p>
          <w:p w:rsidR="001850B4" w:rsidRPr="006E437B" w:rsidRDefault="001850B4" w:rsidP="00141629">
            <w:pPr>
              <w:spacing w:line="240" w:lineRule="auto"/>
              <w:ind w:left="2"/>
              <w:rPr>
                <w:rFonts w:ascii="Times New Roman" w:hAnsi="Times New Roman" w:cs="Times New Roman"/>
                <w:sz w:val="24"/>
                <w:szCs w:val="24"/>
              </w:rPr>
            </w:pPr>
          </w:p>
        </w:tc>
      </w:tr>
      <w:tr w:rsidR="001850B4" w:rsidRPr="006E437B" w:rsidTr="00FD44F9">
        <w:trPr>
          <w:trHeight w:val="1342"/>
          <w:jc w:val="center"/>
        </w:trPr>
        <w:tc>
          <w:tcPr>
            <w:tcW w:w="1929"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jc w:val="both"/>
              <w:rPr>
                <w:rFonts w:ascii="Times New Roman" w:hAnsi="Times New Roman" w:cs="Times New Roman"/>
                <w:b/>
                <w:bCs/>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Escasez de especialistas y medicamentos </w:t>
            </w:r>
          </w:p>
          <w:p w:rsidR="001850B4" w:rsidRPr="006E437B" w:rsidRDefault="001850B4" w:rsidP="00141629">
            <w:pPr>
              <w:spacing w:line="240" w:lineRule="auto"/>
              <w:rPr>
                <w:rFonts w:ascii="Times New Roman" w:hAnsi="Times New Roman" w:cs="Times New Roman"/>
                <w:sz w:val="24"/>
                <w:szCs w:val="24"/>
              </w:rPr>
            </w:pPr>
          </w:p>
        </w:tc>
        <w:tc>
          <w:tcPr>
            <w:tcW w:w="6865"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“Se necesita más apoyo médico inmediato y atención.” En la capital del estado se identifica falta de reumatólogos especializados, además de frecuentes desabastos de medicamentos y trabas administrativas. Problema central: Atención tardía, limitada o inaccesible. </w:t>
            </w:r>
          </w:p>
          <w:p w:rsidR="001850B4" w:rsidRPr="006E437B" w:rsidRDefault="001850B4" w:rsidP="00141629">
            <w:pPr>
              <w:spacing w:line="240" w:lineRule="auto"/>
              <w:ind w:left="2"/>
              <w:rPr>
                <w:rFonts w:ascii="Times New Roman" w:hAnsi="Times New Roman" w:cs="Times New Roman"/>
                <w:sz w:val="24"/>
                <w:szCs w:val="24"/>
              </w:rPr>
            </w:pPr>
          </w:p>
        </w:tc>
      </w:tr>
      <w:tr w:rsidR="001850B4" w:rsidRPr="006E437B" w:rsidTr="00FD44F9">
        <w:trPr>
          <w:trHeight w:val="1305"/>
          <w:jc w:val="center"/>
        </w:trPr>
        <w:tc>
          <w:tcPr>
            <w:tcW w:w="1929"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jc w:val="both"/>
              <w:rPr>
                <w:rFonts w:ascii="Times New Roman" w:hAnsi="Times New Roman" w:cs="Times New Roman"/>
                <w:b/>
                <w:bCs/>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Impacto familiar del diagnóstico </w:t>
            </w:r>
          </w:p>
          <w:p w:rsidR="001850B4" w:rsidRPr="006E437B" w:rsidRDefault="001850B4" w:rsidP="00141629">
            <w:pPr>
              <w:spacing w:line="240" w:lineRule="auto"/>
              <w:rPr>
                <w:rFonts w:ascii="Times New Roman" w:hAnsi="Times New Roman" w:cs="Times New Roman"/>
                <w:sz w:val="24"/>
                <w:szCs w:val="24"/>
              </w:rPr>
            </w:pPr>
          </w:p>
        </w:tc>
        <w:tc>
          <w:tcPr>
            <w:tcW w:w="6865"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El lupus afecta directamente a núcleos familiares: “Tengo familia con el diagnóstico.” “Mi hija acaba de ser diagnosticada.” “Debemos viajar a Ciudad de México para ser atendidas”. Problema central: Carga emocional, económica y de cuidados en el entorno familiar. </w:t>
            </w:r>
          </w:p>
          <w:p w:rsidR="001850B4" w:rsidRPr="006E437B" w:rsidRDefault="001850B4" w:rsidP="00141629">
            <w:pPr>
              <w:spacing w:line="240" w:lineRule="auto"/>
              <w:ind w:left="2"/>
              <w:rPr>
                <w:rFonts w:ascii="Times New Roman" w:hAnsi="Times New Roman" w:cs="Times New Roman"/>
                <w:sz w:val="24"/>
                <w:szCs w:val="24"/>
              </w:rPr>
            </w:pPr>
          </w:p>
        </w:tc>
      </w:tr>
    </w:tbl>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Fuente:</w:t>
      </w:r>
      <w:r w:rsidRPr="006E437B">
        <w:rPr>
          <w:rFonts w:ascii="Times New Roman" w:hAnsi="Times New Roman" w:cs="Times New Roman"/>
          <w:sz w:val="24"/>
          <w:szCs w:val="24"/>
        </w:rPr>
        <w:t xml:space="preserve"> Elaboración propia con base en el diagnóstico participativo realizado por el Centro de Estudios Transdisciplinarios Athié-Calleja por los Derechos de las Personas con Lupus A.C. (Cetlu) en octubre de 2025. La información proviene de testimonios de dos mujeres residentes en Baja California Sur y fue sistematizada en categorías temáticas de análisis cualitativo. </w:t>
      </w:r>
      <w:r w:rsidRPr="006E437B">
        <w:rPr>
          <w:rFonts w:ascii="Times New Roman" w:hAnsi="Times New Roman" w:cs="Times New Roman"/>
          <w:b/>
          <w:sz w:val="24"/>
          <w:szCs w:val="24"/>
        </w:rPr>
        <w:t>Metodología:</w:t>
      </w:r>
      <w:r w:rsidRPr="006E437B">
        <w:rPr>
          <w:rFonts w:ascii="Times New Roman" w:hAnsi="Times New Roman" w:cs="Times New Roman"/>
          <w:sz w:val="24"/>
          <w:szCs w:val="24"/>
        </w:rPr>
        <w:t xml:space="preserve"> Instrumento: Formulario digital de apoyo ciudadano. </w:t>
      </w:r>
      <w:r w:rsidRPr="006E437B">
        <w:rPr>
          <w:rFonts w:ascii="Times New Roman" w:hAnsi="Times New Roman" w:cs="Times New Roman"/>
          <w:b/>
          <w:sz w:val="24"/>
          <w:szCs w:val="24"/>
        </w:rPr>
        <w:t>Periodo de levantamiento:</w:t>
      </w:r>
      <w:r w:rsidRPr="006E437B">
        <w:rPr>
          <w:rFonts w:ascii="Times New Roman" w:hAnsi="Times New Roman" w:cs="Times New Roman"/>
          <w:sz w:val="24"/>
          <w:szCs w:val="24"/>
        </w:rPr>
        <w:t xml:space="preserve"> 2024–2026. </w:t>
      </w:r>
      <w:r w:rsidRPr="006E437B">
        <w:rPr>
          <w:rFonts w:ascii="Times New Roman" w:hAnsi="Times New Roman" w:cs="Times New Roman"/>
          <w:b/>
          <w:sz w:val="24"/>
          <w:szCs w:val="24"/>
        </w:rPr>
        <w:t>Población analizada:</w:t>
      </w:r>
      <w:r w:rsidRPr="006E437B">
        <w:rPr>
          <w:rFonts w:ascii="Times New Roman" w:hAnsi="Times New Roman" w:cs="Times New Roman"/>
          <w:sz w:val="24"/>
          <w:szCs w:val="24"/>
        </w:rPr>
        <w:t xml:space="preserve"> Personas residentes en Estado de México. </w:t>
      </w:r>
      <w:r w:rsidRPr="006E437B">
        <w:rPr>
          <w:rFonts w:ascii="Times New Roman" w:hAnsi="Times New Roman" w:cs="Times New Roman"/>
          <w:b/>
          <w:sz w:val="24"/>
          <w:szCs w:val="24"/>
        </w:rPr>
        <w:t>Tipo de información:</w:t>
      </w:r>
      <w:r w:rsidRPr="006E437B">
        <w:rPr>
          <w:rFonts w:ascii="Times New Roman" w:hAnsi="Times New Roman" w:cs="Times New Roman"/>
          <w:sz w:val="24"/>
          <w:szCs w:val="24"/>
        </w:rPr>
        <w:t xml:space="preserve"> Datos sociodemográficos básicos, condición de salud y motivaciones para el apoyo. El análisis se centra exclusivamente en los registros correspondientes al Estado de México.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Como se observa, las participantes enfatizan tres dimensiones críticas: la </w:t>
      </w:r>
      <w:r w:rsidRPr="006E437B">
        <w:rPr>
          <w:rFonts w:ascii="Times New Roman" w:hAnsi="Times New Roman" w:cs="Times New Roman"/>
          <w:b/>
          <w:sz w:val="24"/>
          <w:szCs w:val="24"/>
        </w:rPr>
        <w:t xml:space="preserve">invisibilidad social y médica de las enfermedades autoinmunes, el trato discriminatorio dentro del sistema de salud, y la escasez de especialistas y medicamentos, además del impacto emocional y económico que implica la enfermedad en las familias. </w:t>
      </w:r>
      <w:r w:rsidRPr="006E437B">
        <w:rPr>
          <w:rFonts w:ascii="Times New Roman" w:hAnsi="Times New Roman" w:cs="Times New Roman"/>
          <w:sz w:val="24"/>
          <w:szCs w:val="24"/>
        </w:rPr>
        <w:t>A pesar del contexto adverso, ambas refieren la existencia de redes de acompañamiento que surgen como un espacio de contención emocional y de fortalecimiento comunitario. Estos hallazgos cualitativos reflejan no sólo carencias estructurales en la atención reumatológica, sino también la urgencia de incorporar perspectivas de género, empatía clínica y políticas públicas que garanticen acceso equitativo y trato digno.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Aunado a ello, otro de los problemas graves a nivel nacional y en las entidades, es el subdiagnóstico y el diagnóstico tardío.</w:t>
      </w:r>
    </w:p>
    <w:p w:rsidR="001850B4" w:rsidRPr="006E437B" w:rsidRDefault="001850B4" w:rsidP="00141629">
      <w:pPr>
        <w:spacing w:after="0" w:line="240" w:lineRule="auto"/>
        <w:ind w:left="-5"/>
        <w:rPr>
          <w:rFonts w:ascii="Times New Roman" w:hAnsi="Times New Roman" w:cs="Times New Roman"/>
          <w:b/>
          <w:sz w:val="24"/>
          <w:szCs w:val="24"/>
        </w:rPr>
      </w:pPr>
    </w:p>
    <w:p w:rsidR="001850B4" w:rsidRPr="006E437B" w:rsidRDefault="001850B4"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El panorama en Estado de México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Para la construcción del panorama en Estado de México, se implementaron dos encuestas en línea que permitieron hacer una consulta digital de los principales elementos que constituyen la problemática local. Dichas encuestas, lanzadas con apoyo de organizaciones locales, permitieron recuperar las siguientes preocupaciones de las personas que viven con lupus y otras enfermedades autoinmunes en esa entidad:</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Tabla 3. Principales preocupaciones de las personas con lupus y otras enfermedades autoinmunes en Estado de México</w:t>
      </w:r>
    </w:p>
    <w:tbl>
      <w:tblPr>
        <w:tblStyle w:val="TableGrid"/>
        <w:tblW w:w="8794" w:type="dxa"/>
        <w:jc w:val="center"/>
        <w:tblInd w:w="0" w:type="dxa"/>
        <w:tblCellMar>
          <w:top w:w="48" w:type="dxa"/>
          <w:left w:w="37" w:type="dxa"/>
        </w:tblCellMar>
        <w:tblLook w:val="04A0" w:firstRow="1" w:lastRow="0" w:firstColumn="1" w:lastColumn="0" w:noHBand="0" w:noVBand="1"/>
      </w:tblPr>
      <w:tblGrid>
        <w:gridCol w:w="1918"/>
        <w:gridCol w:w="6876"/>
      </w:tblGrid>
      <w:tr w:rsidR="001850B4" w:rsidRPr="006E437B" w:rsidTr="00FD44F9">
        <w:trPr>
          <w:trHeight w:val="771"/>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 xml:space="preserve">Principales preocupaciones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rPr>
                <w:rFonts w:ascii="Times New Roman" w:hAnsi="Times New Roman" w:cs="Times New Roman"/>
                <w:b/>
                <w:sz w:val="24"/>
                <w:szCs w:val="24"/>
              </w:rPr>
            </w:pP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 xml:space="preserve">Descripción – Eje </w:t>
            </w:r>
          </w:p>
        </w:tc>
      </w:tr>
      <w:tr w:rsidR="001850B4" w:rsidRPr="006E437B" w:rsidTr="00FD44F9">
        <w:trPr>
          <w:trHeight w:val="1053"/>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Falta de diagnóstico oportuno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reiteran experiencias de diagnósticos tardíos, años de incertidumbre y errores médicos. Las personas describen trayectorias largas antes de nombrar la enfermedad, lo que agrava su condición. </w:t>
            </w:r>
          </w:p>
        </w:tc>
      </w:tr>
      <w:tr w:rsidR="001850B4" w:rsidRPr="006E437B" w:rsidTr="00FD44F9">
        <w:trPr>
          <w:trHeight w:val="1338"/>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Desabasto y alto costo de medicamentos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Aparece de forma constante la preocupación por la falta de medicamentos en instituciones públicas y el alto costo de tratamientos, especialmente biológicos, que genera endeudamiento o abandono terapéutico. </w:t>
            </w:r>
          </w:p>
        </w:tc>
      </w:tr>
      <w:tr w:rsidR="001850B4" w:rsidRPr="006E437B" w:rsidTr="00FD44F9">
        <w:trPr>
          <w:trHeight w:val="1059"/>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Falta de atención médica especializada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señala escasez de reumatólogos y atención fragmentada. El sistema de salud es percibido como insuficiente para atender una enfermedad compleja y crónica. </w:t>
            </w:r>
          </w:p>
        </w:tc>
      </w:tr>
      <w:tr w:rsidR="001850B4" w:rsidRPr="006E437B" w:rsidTr="00FD44F9">
        <w:trPr>
          <w:trHeight w:val="1061"/>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Desconocimiento social y médico del lupus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Se menciona falta de información en personal de salud, familias y sociedad. Esto se traduce en minimización de síntomas y falta de comprensión del padecimiento.</w:t>
            </w:r>
          </w:p>
        </w:tc>
      </w:tr>
      <w:tr w:rsidR="001850B4" w:rsidRPr="006E437B" w:rsidTr="00FD44F9">
        <w:trPr>
          <w:trHeight w:val="1050"/>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Invisibilidad de la enfermedad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Al no ser siempre visible, las personas reportan necesidad constante de justificar su dolor, fatiga o limitaciones, lo que genera desgaste emocional. </w:t>
            </w:r>
          </w:p>
        </w:tc>
      </w:tr>
    </w:tbl>
    <w:p w:rsidR="001850B4" w:rsidRPr="006E437B" w:rsidRDefault="001850B4" w:rsidP="00141629">
      <w:pPr>
        <w:spacing w:after="0" w:line="240" w:lineRule="auto"/>
        <w:rPr>
          <w:rFonts w:ascii="Times New Roman" w:hAnsi="Times New Roman" w:cs="Times New Roman"/>
          <w:sz w:val="24"/>
          <w:szCs w:val="24"/>
        </w:rPr>
      </w:pPr>
    </w:p>
    <w:tbl>
      <w:tblPr>
        <w:tblStyle w:val="TableGrid"/>
        <w:tblW w:w="8794" w:type="dxa"/>
        <w:jc w:val="center"/>
        <w:tblInd w:w="0" w:type="dxa"/>
        <w:tblCellMar>
          <w:top w:w="47" w:type="dxa"/>
          <w:left w:w="37" w:type="dxa"/>
        </w:tblCellMar>
        <w:tblLook w:val="04A0" w:firstRow="1" w:lastRow="0" w:firstColumn="1" w:lastColumn="0" w:noHBand="0" w:noVBand="1"/>
      </w:tblPr>
      <w:tblGrid>
        <w:gridCol w:w="1918"/>
        <w:gridCol w:w="6876"/>
      </w:tblGrid>
      <w:tr w:rsidR="001850B4" w:rsidRPr="006E437B" w:rsidTr="00FD44F9">
        <w:trPr>
          <w:trHeight w:val="759"/>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 xml:space="preserve">Principales preocupaciones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rPr>
                <w:rFonts w:ascii="Times New Roman" w:hAnsi="Times New Roman" w:cs="Times New Roman"/>
                <w:b/>
                <w:sz w:val="24"/>
                <w:szCs w:val="24"/>
              </w:rPr>
            </w:pP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 xml:space="preserve">Descripción – Eje </w:t>
            </w:r>
          </w:p>
        </w:tc>
      </w:tr>
      <w:tr w:rsidR="001850B4" w:rsidRPr="006E437B" w:rsidTr="00FD44F9">
        <w:trPr>
          <w:trHeight w:val="1055"/>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Discriminación laboral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reportan despidos, dificultades para mantener empleo y falta de comprensión de incapacidades. El lupus impacta directamente en la estabilidad laboral. </w:t>
            </w:r>
          </w:p>
        </w:tc>
      </w:tr>
      <w:tr w:rsidR="001850B4" w:rsidRPr="006E437B" w:rsidTr="00FD44F9">
        <w:trPr>
          <w:trHeight w:val="1057"/>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Impacto económico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El padecimiento se asocia con empobrecimiento progresivo por gastos médicos, transporte y pérdida de ingresos. Se vive como carga económica familiar. </w:t>
            </w:r>
          </w:p>
        </w:tc>
      </w:tr>
      <w:tr w:rsidR="001850B4" w:rsidRPr="006E437B" w:rsidTr="00FD44F9">
        <w:trPr>
          <w:trHeight w:val="1059"/>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Falta de reconocimiento legal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demanda el reconocimiento del lupus como enfermedad incapacitante y acceso a derechos: pensiones, incapacidades, cobertura integral y políticas públicas específicas. </w:t>
            </w:r>
          </w:p>
        </w:tc>
      </w:tr>
      <w:tr w:rsidR="001850B4" w:rsidRPr="006E437B" w:rsidTr="00FD44F9">
        <w:trPr>
          <w:trHeight w:val="914"/>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Trato </w:t>
            </w:r>
            <w:r w:rsidRPr="006E437B">
              <w:rPr>
                <w:rFonts w:ascii="Times New Roman" w:hAnsi="Times New Roman" w:cs="Times New Roman"/>
                <w:sz w:val="24"/>
                <w:szCs w:val="24"/>
              </w:rPr>
              <w:tab/>
              <w:t xml:space="preserve">médico deshumanizado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Algunos testimonios refieren desinterés, poca escucha o maltrato en consultas, generando desconfianza hacia el sistema de salud. </w:t>
            </w:r>
          </w:p>
        </w:tc>
      </w:tr>
      <w:tr w:rsidR="001850B4" w:rsidRPr="006E437B" w:rsidTr="00FD44F9">
        <w:trPr>
          <w:trHeight w:val="1056"/>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Afectaciones emocionales y sociales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mencionan depresión, ansiedad, miedo al futuro y sensación de soledad. La enfermedad impacta la vida social y afectiva. </w:t>
            </w:r>
          </w:p>
        </w:tc>
      </w:tr>
      <w:tr w:rsidR="001850B4" w:rsidRPr="006E437B" w:rsidTr="00FD44F9">
        <w:trPr>
          <w:trHeight w:val="1058"/>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Necesidad de información y sensibilización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demanda mayor difusión para reducir estigmas, favorecer diagnósticos tempranos y generar comprensión en espacios laborales, educativos y familiares. </w:t>
            </w:r>
          </w:p>
        </w:tc>
      </w:tr>
      <w:tr w:rsidR="001850B4" w:rsidRPr="006E437B" w:rsidTr="00FD44F9">
        <w:trPr>
          <w:trHeight w:val="1059"/>
          <w:jc w:val="center"/>
        </w:trPr>
        <w:tc>
          <w:tcPr>
            <w:tcW w:w="1918"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Sentido de colectividad y acción </w:t>
            </w:r>
          </w:p>
        </w:tc>
        <w:tc>
          <w:tcPr>
            <w:tcW w:w="687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Muchas respuestas expresan apoyo a la iniciativa como acto de solidaridad, esperanza y construcción colectiva para lograr cambios estructurales y reconocimiento de derechos. </w:t>
            </w:r>
          </w:p>
        </w:tc>
      </w:tr>
    </w:tbl>
    <w:p w:rsidR="001850B4" w:rsidRPr="006E437B" w:rsidRDefault="001850B4" w:rsidP="00141629">
      <w:pPr>
        <w:spacing w:after="0" w:line="240" w:lineRule="auto"/>
        <w:ind w:left="-5"/>
        <w:rPr>
          <w:rFonts w:ascii="Times New Roman" w:hAnsi="Times New Roman" w:cs="Times New Roman"/>
          <w:b/>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Fuente:</w:t>
      </w:r>
      <w:r w:rsidRPr="006E437B">
        <w:rPr>
          <w:rFonts w:ascii="Times New Roman" w:hAnsi="Times New Roman" w:cs="Times New Roman"/>
          <w:sz w:val="24"/>
          <w:szCs w:val="24"/>
        </w:rPr>
        <w:t xml:space="preserve"> Centro de Estudios Transdisciplinarios Athié-Calleja por los Derechos de las Personas con Lupus A.C. (2024–2025). Encuesta - (Noviembre 2024 a febrero 2026) [Formulario de encuesta]. Cetlu.</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Como se observa en la Tabla 3. Principales preocupaciones de las personas con lupus y otras enfermedades autoinmunes en Estado de México, los resultados de la encuesta aplicada entre noviembre de 2024 y febrero de 2026 evidencian una serie de problemáticas estructurales y persistentes en la vida de quienes viven con estas condiciones. Destacan la falta de atención médica especializada, el desabasto y alto costo de medicamentos, así como diagnósticos tardíos asociados al desconocimiento médico en el primer nivel de atención. A ello se suman experiencias de discriminación laboral, invisibilización de la enfermedad y trato médico deshumanizado, que profundizan el impacto económico, emocional y social del padecimiento. Asimismo, las personas participantes señalan la urgencia de reconocimiento legal, acceso a apoyos y mayor información y sensibilización social, elementos considerados indispensables para mejorar la calidad de vida y el ejercicio pleno de derechos en el estado.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mismo periodo, el ejercicio de consulta y movilización comunitaria muestra también un proceso activo de organización e incidencia: 723 personas firmaron su apoyo a la iniciativa Ley Lupus y Autoinmunes Estado de México, de las cuales 149 viven con lupus (130 mujeres y 19 hombres), lo que refleja tanto la presencia significativa de personas directamente afectadas como la solidaridad de redes familiares y sociales (Ver gráfico 4). Este panorama permite observar no sólo la magnitud de las dificultades cotidianas asociadas a la enfermedad, sino también la emergencia de una ciudadanía organizada que demanda reconocimiento, atención integral y políticas públicas específicas para las personas con lupus y otras enfermedades autoinmunes en el estado.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Gráfico 4. Personas con lupus que firmaron su apoyo en Estado de México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tblGrid>
      <w:tr w:rsidR="001850B4" w:rsidRPr="006E437B" w:rsidTr="00FD44F9">
        <w:trPr>
          <w:jc w:val="center"/>
        </w:trPr>
        <w:tc>
          <w:tcPr>
            <w:tcW w:w="7230" w:type="dxa"/>
          </w:tcPr>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noProof/>
                <w:sz w:val="24"/>
                <w:szCs w:val="24"/>
              </w:rPr>
              <w:drawing>
                <wp:inline distT="0" distB="0" distL="0" distR="0" wp14:anchorId="47761432" wp14:editId="17F1A43F">
                  <wp:extent cx="3476372" cy="2095368"/>
                  <wp:effectExtent l="0" t="0" r="0" b="635"/>
                  <wp:docPr id="2653" name="Picture 2653"/>
                  <wp:cNvGraphicFramePr/>
                  <a:graphic xmlns:a="http://schemas.openxmlformats.org/drawingml/2006/main">
                    <a:graphicData uri="http://schemas.openxmlformats.org/drawingml/2006/picture">
                      <pic:pic xmlns:pic="http://schemas.openxmlformats.org/drawingml/2006/picture">
                        <pic:nvPicPr>
                          <pic:cNvPr id="2653" name="Picture 2653"/>
                          <pic:cNvPicPr/>
                        </pic:nvPicPr>
                        <pic:blipFill>
                          <a:blip r:embed="rId51"/>
                          <a:stretch>
                            <a:fillRect/>
                          </a:stretch>
                        </pic:blipFill>
                        <pic:spPr>
                          <a:xfrm>
                            <a:off x="0" y="0"/>
                            <a:ext cx="3515049" cy="2118681"/>
                          </a:xfrm>
                          <a:prstGeom prst="rect">
                            <a:avLst/>
                          </a:prstGeom>
                        </pic:spPr>
                      </pic:pic>
                    </a:graphicData>
                  </a:graphic>
                </wp:inline>
              </w:drawing>
            </w:r>
          </w:p>
          <w:p w:rsidR="001850B4" w:rsidRPr="006E437B" w:rsidRDefault="001850B4" w:rsidP="00141629">
            <w:pPr>
              <w:spacing w:line="240" w:lineRule="auto"/>
              <w:rPr>
                <w:rFonts w:ascii="Times New Roman" w:hAnsi="Times New Roman" w:cs="Times New Roman"/>
                <w:sz w:val="24"/>
                <w:szCs w:val="24"/>
              </w:rPr>
            </w:pPr>
          </w:p>
        </w:tc>
      </w:tr>
    </w:tbl>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Fuente: Centro de Estudios Transdisciplinarios Athié-Calleja por los Derechos de las Personas con Lupus A.C. (2024–2025). Encuesta - (Noviembre 2024 a febrero 2026) [Formulario de encuesta]. Cetlu.</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este marco, las personas que respondieron esta encuesta y las subsecuentes, muestran el patrón común: las enfermedades autoinmunes vienen una tras otra. Así, con el lupus, la enfermedad autoinmune por excelencia, vienen otras como la artritis, hipotiroidismo, artrosis y otras más que atacan de manera indistinta al organismo cuando se carece de tratamiento y acompañamiento médico adecuado. Las enfermedades autoinmunes constituyen un conjunto amplio y complejo de padecimientos crónicos que incluyen no sólo el lupus eritematoso sistémico, sino también artritis reumatoide, esclerosis múltiple, síndrome de Sjögren, tiroiditis autoinmune, diabetes tipo 1 y otras más de carácter multisistémico, neurológico, endocrino, gastrointestinal y hematológico, reconocidas por la Organización Mundial de la Salud y diversas instituciones médicas internacionales. En este sentido, la iniciativa de Ley por los derechos de las personas con lupus y otras enfermedades autoinmunes en Estado de México se sustenta en una visión integral de salud pública que reconoce la coexistencia de múltiples diagnósticos autoinmunes y la necesidad de políticas específicas de atención, detección oportuna, investigación y no discriminación.</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Los datos aquí presentados derivan del </w:t>
      </w:r>
      <w:r w:rsidRPr="006E437B">
        <w:rPr>
          <w:rFonts w:ascii="Times New Roman" w:hAnsi="Times New Roman" w:cs="Times New Roman"/>
          <w:b/>
          <w:sz w:val="24"/>
          <w:szCs w:val="24"/>
        </w:rPr>
        <w:t>Diagnóstico social nacional Lupus y otras enfermedades autoinmunes en México Cetlu 2025-2026</w:t>
      </w:r>
      <w:r w:rsidRPr="006E437B">
        <w:rPr>
          <w:rFonts w:ascii="Times New Roman" w:hAnsi="Times New Roman" w:cs="Times New Roman"/>
          <w:sz w:val="24"/>
          <w:szCs w:val="24"/>
        </w:rPr>
        <w:t xml:space="preserve">, instrumento respondido por </w:t>
      </w:r>
      <w:r w:rsidRPr="006E437B">
        <w:rPr>
          <w:rFonts w:ascii="Times New Roman" w:hAnsi="Times New Roman" w:cs="Times New Roman"/>
          <w:b/>
          <w:sz w:val="24"/>
          <w:szCs w:val="24"/>
        </w:rPr>
        <w:t>569 personas a nivel nacional</w:t>
      </w:r>
      <w:r w:rsidRPr="006E437B">
        <w:rPr>
          <w:rFonts w:ascii="Times New Roman" w:hAnsi="Times New Roman" w:cs="Times New Roman"/>
          <w:sz w:val="24"/>
          <w:szCs w:val="24"/>
        </w:rPr>
        <w:t xml:space="preserve">, de las cuales </w:t>
      </w:r>
      <w:r w:rsidRPr="006E437B">
        <w:rPr>
          <w:rFonts w:ascii="Times New Roman" w:hAnsi="Times New Roman" w:cs="Times New Roman"/>
          <w:b/>
          <w:sz w:val="24"/>
          <w:szCs w:val="24"/>
        </w:rPr>
        <w:t>65 corresponden al estado de Estado de México</w:t>
      </w:r>
      <w:r w:rsidRPr="006E437B">
        <w:rPr>
          <w:rFonts w:ascii="Times New Roman" w:hAnsi="Times New Roman" w:cs="Times New Roman"/>
          <w:sz w:val="24"/>
          <w:szCs w:val="24"/>
        </w:rPr>
        <w:t>, lo que permite delinear un primer panorama territorial de las condiciones de vida, atención médica y reconocimiento social de quienes viven con estas enfermedades. Dentro de las respuestas provenientes de Estado de México, se identifican casos en los que el lupus se presenta junto con otras enfermedades autoinmunes, 19 personas señalan tener artritis reumatoide, y además, quienes firman reportan tener otras enfermedades autoinmunes como hipotiroidismo, síndrome de Sjögren, miopatías inflamatorias, fibromialgia y espondilitis anquilosante, lo que confirma la coexistencia diagnóstica y la necesidad de una legislación que contemple de explícitamente este conjunto de padecimientos y sus interrelaciones clínicas, sociales y económicas.</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Tabla 4. Impactos laborales de las personas con artritis y lupus en Estado de México</w:t>
      </w:r>
    </w:p>
    <w:tbl>
      <w:tblPr>
        <w:tblStyle w:val="TableGrid"/>
        <w:tblW w:w="8794" w:type="dxa"/>
        <w:jc w:val="center"/>
        <w:tblInd w:w="0" w:type="dxa"/>
        <w:tblCellMar>
          <w:top w:w="47" w:type="dxa"/>
          <w:left w:w="37" w:type="dxa"/>
        </w:tblCellMar>
        <w:tblLook w:val="04A0" w:firstRow="1" w:lastRow="0" w:firstColumn="1" w:lastColumn="0" w:noHBand="0" w:noVBand="1"/>
      </w:tblPr>
      <w:tblGrid>
        <w:gridCol w:w="2871"/>
        <w:gridCol w:w="5923"/>
      </w:tblGrid>
      <w:tr w:rsidR="001850B4" w:rsidRPr="006E437B" w:rsidTr="00FD44F9">
        <w:trPr>
          <w:trHeight w:val="772"/>
          <w:jc w:val="center"/>
        </w:trPr>
        <w:tc>
          <w:tcPr>
            <w:tcW w:w="2871"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Impacto laboral y económico </w:t>
            </w:r>
          </w:p>
        </w:tc>
        <w:tc>
          <w:tcPr>
            <w:tcW w:w="5923"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 xml:space="preserve"> </w:t>
            </w:r>
          </w:p>
        </w:tc>
      </w:tr>
      <w:tr w:rsidR="001850B4" w:rsidRPr="006E437B" w:rsidTr="00FD44F9">
        <w:trPr>
          <w:trHeight w:val="772"/>
          <w:jc w:val="center"/>
        </w:trPr>
        <w:tc>
          <w:tcPr>
            <w:tcW w:w="2871"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p>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Dificultad para trabajar </w:t>
            </w:r>
          </w:p>
        </w:tc>
        <w:tc>
          <w:tcPr>
            <w:tcW w:w="5923"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Las personas reportan limitaciones físicas y agotamiento que afectan la continuidad laboral y la estabilidad económica. </w:t>
            </w:r>
          </w:p>
        </w:tc>
      </w:tr>
      <w:tr w:rsidR="001850B4" w:rsidRPr="006E437B" w:rsidTr="00FD44F9">
        <w:trPr>
          <w:trHeight w:val="771"/>
          <w:jc w:val="center"/>
        </w:trPr>
        <w:tc>
          <w:tcPr>
            <w:tcW w:w="2871"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Necesidad de seguro o ayuda familiar </w:t>
            </w:r>
          </w:p>
        </w:tc>
        <w:tc>
          <w:tcPr>
            <w:tcW w:w="5923"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depende de redes familiares o seguros médicos para sostener tratamientos y gastos cotidianos. </w:t>
            </w:r>
          </w:p>
        </w:tc>
      </w:tr>
      <w:tr w:rsidR="001850B4" w:rsidRPr="006E437B" w:rsidTr="00FD44F9">
        <w:trPr>
          <w:trHeight w:val="781"/>
          <w:jc w:val="center"/>
        </w:trPr>
        <w:tc>
          <w:tcPr>
            <w:tcW w:w="2871"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Compra de medicamentos por cuenta propia </w:t>
            </w:r>
          </w:p>
        </w:tc>
        <w:tc>
          <w:tcPr>
            <w:tcW w:w="5923"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Ante el desabasto o cobertura parcial, se adquieren medicamentos con recursos propios. </w:t>
            </w:r>
          </w:p>
        </w:tc>
      </w:tr>
      <w:tr w:rsidR="001850B4" w:rsidRPr="006E437B" w:rsidTr="00FD44F9">
        <w:trPr>
          <w:trHeight w:val="764"/>
          <w:jc w:val="center"/>
        </w:trPr>
        <w:tc>
          <w:tcPr>
            <w:tcW w:w="2871" w:type="dxa"/>
            <w:tcBorders>
              <w:top w:val="double" w:sz="4" w:space="0" w:color="000000"/>
              <w:left w:val="double" w:sz="4" w:space="0" w:color="000000"/>
              <w:bottom w:val="double" w:sz="4" w:space="0" w:color="000000"/>
              <w:right w:val="double" w:sz="4" w:space="0" w:color="000000"/>
            </w:tcBorders>
          </w:tcPr>
          <w:p w:rsidR="001850B4" w:rsidRPr="006E437B" w:rsidRDefault="001850B4" w:rsidP="00D716B4">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Dependencia parcial de IMSS o donaciones </w:t>
            </w:r>
          </w:p>
        </w:tc>
        <w:tc>
          <w:tcPr>
            <w:tcW w:w="5923"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Se combinan servicios públicos de salud con donaciones o apoyos externos para continuar el tratamiento. </w:t>
            </w:r>
          </w:p>
        </w:tc>
      </w:tr>
      <w:tr w:rsidR="006E437B" w:rsidRPr="006E437B" w:rsidTr="00FD44F9">
        <w:trPr>
          <w:trHeight w:val="775"/>
          <w:jc w:val="center"/>
        </w:trPr>
        <w:tc>
          <w:tcPr>
            <w:tcW w:w="2871"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b/>
                <w:sz w:val="24"/>
                <w:szCs w:val="24"/>
              </w:rPr>
              <w:t>Impacto estructural</w:t>
            </w:r>
            <w:r w:rsidRPr="006E437B">
              <w:rPr>
                <w:rFonts w:ascii="Times New Roman" w:hAnsi="Times New Roman" w:cs="Times New Roman"/>
                <w:sz w:val="24"/>
                <w:szCs w:val="24"/>
              </w:rPr>
              <w:t xml:space="preserve"> </w:t>
            </w:r>
          </w:p>
        </w:tc>
        <w:tc>
          <w:tcPr>
            <w:tcW w:w="5923"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2"/>
              <w:jc w:val="both"/>
              <w:rPr>
                <w:rFonts w:ascii="Times New Roman" w:hAnsi="Times New Roman" w:cs="Times New Roman"/>
                <w:sz w:val="24"/>
                <w:szCs w:val="24"/>
              </w:rPr>
            </w:pPr>
            <w:r w:rsidRPr="006E437B">
              <w:rPr>
                <w:rFonts w:ascii="Times New Roman" w:hAnsi="Times New Roman" w:cs="Times New Roman"/>
                <w:sz w:val="24"/>
                <w:szCs w:val="24"/>
              </w:rPr>
              <w:t xml:space="preserve">La artritis asociada al lupus incrementa la carga económica y la vulnerabilidad laboral de las personas afectadas. </w:t>
            </w:r>
          </w:p>
        </w:tc>
      </w:tr>
    </w:tbl>
    <w:p w:rsidR="001850B4" w:rsidRPr="006E437B" w:rsidRDefault="001850B4" w:rsidP="00141629">
      <w:pPr>
        <w:spacing w:after="0" w:line="240" w:lineRule="auto"/>
        <w:ind w:left="-5"/>
        <w:rPr>
          <w:rFonts w:ascii="Times New Roman" w:hAnsi="Times New Roman" w:cs="Times New Roman"/>
          <w:b/>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Fuente:</w:t>
      </w:r>
      <w:r w:rsidRPr="006E437B">
        <w:rPr>
          <w:rFonts w:ascii="Times New Roman" w:hAnsi="Times New Roman" w:cs="Times New Roman"/>
          <w:sz w:val="24"/>
          <w:szCs w:val="24"/>
        </w:rPr>
        <w:t xml:space="preserve"> Centro de Estudios Transdisciplinarios Athié-Calleja por los Derechos de las Personas con Lupus A.C. (Cetlu). </w:t>
      </w:r>
      <w:r w:rsidRPr="006E437B">
        <w:rPr>
          <w:rFonts w:ascii="Times New Roman" w:hAnsi="Times New Roman" w:cs="Times New Roman"/>
          <w:i/>
          <w:sz w:val="24"/>
          <w:szCs w:val="24"/>
        </w:rPr>
        <w:t>Diagnóstico social nacional Lupus y otras enfermedades autoinmunes en México Cetlu 2025-2026</w:t>
      </w:r>
      <w:r w:rsidRPr="006E437B">
        <w:rPr>
          <w:rFonts w:ascii="Times New Roman" w:hAnsi="Times New Roman" w:cs="Times New Roman"/>
          <w:sz w:val="24"/>
          <w:szCs w:val="24"/>
        </w:rPr>
        <w:t>. Respuestas correspondientes al estado de Estado de México.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el Estado de México, las personas que viven con lupus y artritis describen una experiencia marcada por dolor articular intenso, inflamación persistente, agotamiento crónico y pérdida progresiva de movilidad. La coexistencia de ambas enfermedades profundiza el impacto emocional, laboral y económico, generando miedo, ansiedad y dependencia parcial de sistemas de seguridad social o redes familiares. La artritis asociada al lupus no aparece como un diagnóstico secundario menor, sino como un factor que incrementa la discapacidad funcional y la carga cotidiana del padecimiento.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Finalmente, en concordancia con la iniciativa federal presentada en noviembre de 2024 ante el Senado de la República por Cetlu-Limdeplu, la </w:t>
      </w:r>
      <w:r w:rsidRPr="006E437B">
        <w:rPr>
          <w:rFonts w:ascii="Times New Roman" w:hAnsi="Times New Roman" w:cs="Times New Roman"/>
          <w:b/>
          <w:sz w:val="24"/>
          <w:szCs w:val="24"/>
        </w:rPr>
        <w:t>Iniciativa de Ley Lupus y Autoinmunes Estado de México (noviembre de 2025)</w:t>
      </w:r>
      <w:r w:rsidRPr="006E437B">
        <w:rPr>
          <w:rFonts w:ascii="Times New Roman" w:hAnsi="Times New Roman" w:cs="Times New Roman"/>
          <w:sz w:val="24"/>
          <w:szCs w:val="24"/>
        </w:rPr>
        <w:t xml:space="preserve"> busca establecer un marco estatal que garantice el </w:t>
      </w:r>
      <w:r w:rsidRPr="006E437B">
        <w:rPr>
          <w:rFonts w:ascii="Times New Roman" w:hAnsi="Times New Roman" w:cs="Times New Roman"/>
          <w:b/>
          <w:sz w:val="24"/>
          <w:szCs w:val="24"/>
        </w:rPr>
        <w:t xml:space="preserve">censo digital de personas con estas enfermedades, </w:t>
      </w:r>
      <w:r w:rsidRPr="006E437B">
        <w:rPr>
          <w:rFonts w:ascii="Times New Roman" w:hAnsi="Times New Roman" w:cs="Times New Roman"/>
          <w:sz w:val="24"/>
          <w:szCs w:val="24"/>
        </w:rPr>
        <w:t>la</w:t>
      </w:r>
      <w:r w:rsidRPr="006E437B">
        <w:rPr>
          <w:rFonts w:ascii="Times New Roman" w:hAnsi="Times New Roman" w:cs="Times New Roman"/>
          <w:b/>
          <w:sz w:val="24"/>
          <w:szCs w:val="24"/>
        </w:rPr>
        <w:t xml:space="preserve"> no discriminación</w:t>
      </w:r>
      <w:r w:rsidRPr="006E437B">
        <w:rPr>
          <w:rFonts w:ascii="Times New Roman" w:hAnsi="Times New Roman" w:cs="Times New Roman"/>
          <w:sz w:val="24"/>
          <w:szCs w:val="24"/>
        </w:rPr>
        <w:t>, la</w:t>
      </w:r>
      <w:r w:rsidRPr="006E437B">
        <w:rPr>
          <w:rFonts w:ascii="Times New Roman" w:hAnsi="Times New Roman" w:cs="Times New Roman"/>
          <w:b/>
          <w:sz w:val="24"/>
          <w:szCs w:val="24"/>
        </w:rPr>
        <w:t xml:space="preserve"> detección oportuna,</w:t>
      </w:r>
      <w:r w:rsidRPr="006E437B">
        <w:rPr>
          <w:rFonts w:ascii="Times New Roman" w:hAnsi="Times New Roman" w:cs="Times New Roman"/>
          <w:sz w:val="24"/>
          <w:szCs w:val="24"/>
        </w:rPr>
        <w:t xml:space="preserve"> la </w:t>
      </w:r>
      <w:r w:rsidRPr="006E437B">
        <w:rPr>
          <w:rFonts w:ascii="Times New Roman" w:hAnsi="Times New Roman" w:cs="Times New Roman"/>
          <w:b/>
          <w:sz w:val="24"/>
          <w:szCs w:val="24"/>
        </w:rPr>
        <w:t>formación del personal de salud</w:t>
      </w:r>
      <w:r w:rsidRPr="006E437B">
        <w:rPr>
          <w:rFonts w:ascii="Times New Roman" w:hAnsi="Times New Roman" w:cs="Times New Roman"/>
          <w:sz w:val="24"/>
          <w:szCs w:val="24"/>
        </w:rPr>
        <w:t xml:space="preserve">, el </w:t>
      </w:r>
      <w:r w:rsidRPr="006E437B">
        <w:rPr>
          <w:rFonts w:ascii="Times New Roman" w:hAnsi="Times New Roman" w:cs="Times New Roman"/>
          <w:b/>
          <w:sz w:val="24"/>
          <w:szCs w:val="24"/>
        </w:rPr>
        <w:t>acceso efectivo a tratamientos y atención integral,</w:t>
      </w:r>
      <w:r w:rsidRPr="006E437B">
        <w:rPr>
          <w:rFonts w:ascii="Times New Roman" w:hAnsi="Times New Roman" w:cs="Times New Roman"/>
          <w:sz w:val="24"/>
          <w:szCs w:val="24"/>
        </w:rPr>
        <w:t xml:space="preserve"> así como acciones permanentes de </w:t>
      </w:r>
      <w:r w:rsidRPr="006E437B">
        <w:rPr>
          <w:rFonts w:ascii="Times New Roman" w:hAnsi="Times New Roman" w:cs="Times New Roman"/>
          <w:b/>
          <w:sz w:val="24"/>
          <w:szCs w:val="24"/>
        </w:rPr>
        <w:t>visibilidad y divulgación</w:t>
      </w:r>
      <w:r w:rsidRPr="006E437B">
        <w:rPr>
          <w:rFonts w:ascii="Times New Roman" w:hAnsi="Times New Roman" w:cs="Times New Roman"/>
          <w:sz w:val="24"/>
          <w:szCs w:val="24"/>
        </w:rPr>
        <w:t xml:space="preserve">, incluyendo la instauración de </w:t>
      </w:r>
      <w:r w:rsidRPr="006E437B">
        <w:rPr>
          <w:rFonts w:ascii="Times New Roman" w:hAnsi="Times New Roman" w:cs="Times New Roman"/>
          <w:b/>
          <w:sz w:val="24"/>
          <w:szCs w:val="24"/>
        </w:rPr>
        <w:t>una semana estatal de sensibilización en la segunda semana de mayo de cada año.</w:t>
      </w:r>
      <w:r w:rsidRPr="006E437B">
        <w:rPr>
          <w:rFonts w:ascii="Times New Roman" w:hAnsi="Times New Roman" w:cs="Times New Roman"/>
          <w:sz w:val="24"/>
          <w:szCs w:val="24"/>
        </w:rPr>
        <w:t xml:space="preserve"> Asimismo, incorpora de manera explícita una </w:t>
      </w:r>
      <w:r w:rsidRPr="006E437B">
        <w:rPr>
          <w:rFonts w:ascii="Times New Roman" w:hAnsi="Times New Roman" w:cs="Times New Roman"/>
          <w:b/>
          <w:sz w:val="24"/>
          <w:szCs w:val="24"/>
        </w:rPr>
        <w:t>perspectiva de género</w:t>
      </w:r>
      <w:r w:rsidRPr="006E437B">
        <w:rPr>
          <w:rFonts w:ascii="Times New Roman" w:hAnsi="Times New Roman" w:cs="Times New Roman"/>
          <w:sz w:val="24"/>
          <w:szCs w:val="24"/>
        </w:rPr>
        <w:t>, reconociendo el impacto diferenciado de estas enfermedades en mujeres y la necesidad de políticas públicas específicas que atiendan dicha realidad.</w:t>
      </w:r>
    </w:p>
    <w:p w:rsidR="001850B4" w:rsidRPr="006E437B" w:rsidRDefault="001850B4" w:rsidP="00141629">
      <w:pPr>
        <w:spacing w:after="0" w:line="240" w:lineRule="auto"/>
        <w:ind w:left="-5"/>
        <w:rPr>
          <w:rFonts w:ascii="Times New Roman" w:hAnsi="Times New Roman" w:cs="Times New Roman"/>
          <w:b/>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 xml:space="preserve">Tabla 5. Comparativo Incoativas Senado y Estado de México </w:t>
      </w:r>
    </w:p>
    <w:tbl>
      <w:tblPr>
        <w:tblStyle w:val="TableGrid"/>
        <w:tblW w:w="8790" w:type="dxa"/>
        <w:jc w:val="center"/>
        <w:tblInd w:w="0" w:type="dxa"/>
        <w:tblCellMar>
          <w:top w:w="73" w:type="dxa"/>
          <w:left w:w="118" w:type="dxa"/>
          <w:right w:w="53" w:type="dxa"/>
        </w:tblCellMar>
        <w:tblLook w:val="04A0" w:firstRow="1" w:lastRow="0" w:firstColumn="1" w:lastColumn="0" w:noHBand="0" w:noVBand="1"/>
      </w:tblPr>
      <w:tblGrid>
        <w:gridCol w:w="3404"/>
        <w:gridCol w:w="5386"/>
      </w:tblGrid>
      <w:tr w:rsidR="001850B4" w:rsidRPr="006E437B" w:rsidTr="00FD44F9">
        <w:trPr>
          <w:trHeight w:val="670"/>
          <w:jc w:val="center"/>
        </w:trPr>
        <w:tc>
          <w:tcPr>
            <w:tcW w:w="3404" w:type="dxa"/>
            <w:tcBorders>
              <w:top w:val="single" w:sz="4" w:space="0" w:color="000000"/>
              <w:left w:val="single" w:sz="4" w:space="0" w:color="000000"/>
              <w:bottom w:val="single" w:sz="4" w:space="0" w:color="000000"/>
              <w:right w:val="single" w:sz="4" w:space="0" w:color="000000"/>
            </w:tcBorders>
          </w:tcPr>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Iniciativa federal</w:t>
            </w:r>
            <w:r w:rsidRPr="006E437B">
              <w:rPr>
                <w:rFonts w:ascii="Times New Roman" w:hAnsi="Times New Roman" w:cs="Times New Roman"/>
                <w:sz w:val="24"/>
                <w:szCs w:val="24"/>
              </w:rPr>
              <w:t xml:space="preserve"> </w:t>
            </w:r>
          </w:p>
        </w:tc>
        <w:tc>
          <w:tcPr>
            <w:tcW w:w="5387" w:type="dxa"/>
            <w:tcBorders>
              <w:top w:val="single" w:sz="4" w:space="0" w:color="000000"/>
              <w:left w:val="single" w:sz="4" w:space="0" w:color="000000"/>
              <w:bottom w:val="single" w:sz="4" w:space="0" w:color="000000"/>
              <w:right w:val="single" w:sz="4"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Puntos clave</w:t>
            </w:r>
            <w:r w:rsidRPr="006E437B">
              <w:rPr>
                <w:rFonts w:ascii="Times New Roman" w:hAnsi="Times New Roman" w:cs="Times New Roman"/>
                <w:sz w:val="24"/>
                <w:szCs w:val="24"/>
              </w:rPr>
              <w:t xml:space="preserve"> </w:t>
            </w:r>
          </w:p>
        </w:tc>
      </w:tr>
      <w:tr w:rsidR="001850B4" w:rsidRPr="006E437B" w:rsidTr="00FD44F9">
        <w:trPr>
          <w:trHeight w:val="1335"/>
          <w:jc w:val="center"/>
        </w:trPr>
        <w:tc>
          <w:tcPr>
            <w:tcW w:w="3404" w:type="dxa"/>
            <w:tcBorders>
              <w:top w:val="single" w:sz="4" w:space="0" w:color="000000"/>
              <w:left w:val="single" w:sz="8" w:space="0" w:color="000000"/>
              <w:bottom w:val="single" w:sz="8" w:space="0" w:color="000000"/>
              <w:right w:val="single" w:sz="8" w:space="0" w:color="000000"/>
            </w:tcBorders>
          </w:tcPr>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 xml:space="preserve">Ley Lupus y Autoinmunes </w:t>
            </w: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Noviembre de</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2024</w:t>
            </w:r>
            <w:r w:rsidRPr="006E437B">
              <w:rPr>
                <w:rFonts w:ascii="Times New Roman" w:hAnsi="Times New Roman" w:cs="Times New Roman"/>
                <w:sz w:val="24"/>
                <w:szCs w:val="24"/>
              </w:rPr>
              <w:t xml:space="preserve"> </w:t>
            </w: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sz w:val="24"/>
                <w:szCs w:val="24"/>
              </w:rPr>
              <w:t xml:space="preserve">Cetlu-Limdeplu </w:t>
            </w: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Senado de la República</w:t>
            </w:r>
            <w:r w:rsidRPr="006E437B">
              <w:rPr>
                <w:rFonts w:ascii="Times New Roman" w:hAnsi="Times New Roman" w:cs="Times New Roman"/>
                <w:sz w:val="24"/>
                <w:szCs w:val="24"/>
              </w:rPr>
              <w:t xml:space="preserve"> </w:t>
            </w:r>
          </w:p>
        </w:tc>
        <w:tc>
          <w:tcPr>
            <w:tcW w:w="5387" w:type="dxa"/>
            <w:tcBorders>
              <w:top w:val="single" w:sz="4" w:space="0" w:color="000000"/>
              <w:left w:val="single" w:sz="8" w:space="0" w:color="000000"/>
              <w:bottom w:val="single" w:sz="8" w:space="0" w:color="000000"/>
              <w:right w:val="single" w:sz="8"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Censo</w:t>
            </w:r>
            <w:r w:rsidRPr="006E437B">
              <w:rPr>
                <w:rFonts w:ascii="Times New Roman" w:hAnsi="Times New Roman" w:cs="Times New Roman"/>
                <w:sz w:val="24"/>
                <w:szCs w:val="24"/>
              </w:rPr>
              <w:t xml:space="preserve">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No discriminación</w:t>
            </w:r>
            <w:r w:rsidRPr="006E437B">
              <w:rPr>
                <w:rFonts w:ascii="Times New Roman" w:hAnsi="Times New Roman" w:cs="Times New Roman"/>
                <w:sz w:val="24"/>
                <w:szCs w:val="24"/>
              </w:rPr>
              <w:t xml:space="preserve">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Formación |Detección oportuna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Accesibilidad |Investigación </w:t>
            </w:r>
          </w:p>
        </w:tc>
      </w:tr>
      <w:tr w:rsidR="006E437B" w:rsidRPr="006E437B" w:rsidTr="00FD44F9">
        <w:trPr>
          <w:trHeight w:val="2179"/>
          <w:jc w:val="center"/>
        </w:trPr>
        <w:tc>
          <w:tcPr>
            <w:tcW w:w="3404" w:type="dxa"/>
            <w:tcBorders>
              <w:top w:val="single" w:sz="8" w:space="0" w:color="000000"/>
              <w:left w:val="single" w:sz="8" w:space="0" w:color="000000"/>
              <w:bottom w:val="single" w:sz="8" w:space="0" w:color="000000"/>
              <w:right w:val="single" w:sz="8" w:space="0" w:color="000000"/>
            </w:tcBorders>
          </w:tcPr>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 xml:space="preserve">Ley Lupus y autoinmunes Estado de México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Cetlu-Limdeplu-Lupus y </w:t>
            </w: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sz w:val="24"/>
                <w:szCs w:val="24"/>
              </w:rPr>
              <w:t xml:space="preserve">Somos Valientes Toluca </w:t>
            </w:r>
          </w:p>
          <w:p w:rsidR="001850B4" w:rsidRPr="006E437B" w:rsidRDefault="001850B4" w:rsidP="00141629">
            <w:pPr>
              <w:spacing w:line="240" w:lineRule="auto"/>
              <w:ind w:left="2"/>
              <w:rPr>
                <w:rFonts w:ascii="Times New Roman" w:hAnsi="Times New Roman" w:cs="Times New Roman"/>
                <w:sz w:val="24"/>
                <w:szCs w:val="24"/>
              </w:rPr>
            </w:pPr>
            <w:r w:rsidRPr="006E437B">
              <w:rPr>
                <w:rFonts w:ascii="Times New Roman" w:hAnsi="Times New Roman" w:cs="Times New Roman"/>
                <w:b/>
                <w:sz w:val="24"/>
                <w:szCs w:val="24"/>
              </w:rPr>
              <w:t>Congreso Local</w:t>
            </w:r>
            <w:r w:rsidRPr="006E437B">
              <w:rPr>
                <w:rFonts w:ascii="Times New Roman" w:hAnsi="Times New Roman" w:cs="Times New Roman"/>
                <w:sz w:val="24"/>
                <w:szCs w:val="24"/>
              </w:rPr>
              <w:t xml:space="preserve"> </w:t>
            </w:r>
          </w:p>
        </w:tc>
        <w:tc>
          <w:tcPr>
            <w:tcW w:w="5387" w:type="dxa"/>
            <w:tcBorders>
              <w:top w:val="single" w:sz="8" w:space="0" w:color="000000"/>
              <w:left w:val="single" w:sz="8" w:space="0" w:color="000000"/>
              <w:bottom w:val="single" w:sz="8" w:space="0" w:color="000000"/>
              <w:right w:val="single" w:sz="8"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Una semana de visibilización estatal en mayo</w:t>
            </w:r>
            <w:r w:rsidRPr="006E437B">
              <w:rPr>
                <w:rFonts w:ascii="Times New Roman" w:hAnsi="Times New Roman" w:cs="Times New Roman"/>
                <w:sz w:val="24"/>
                <w:szCs w:val="24"/>
              </w:rPr>
              <w:t xml:space="preserve">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Segunda semana de mayo de cada año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Censo </w:t>
            </w:r>
            <w:r w:rsidRPr="006E437B">
              <w:rPr>
                <w:rFonts w:ascii="Times New Roman" w:hAnsi="Times New Roman" w:cs="Times New Roman"/>
                <w:sz w:val="24"/>
                <w:szCs w:val="24"/>
              </w:rPr>
              <w:tab/>
              <w:t xml:space="preserve">digital | No discriminación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Detección oportuna | Formación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Acceso a tratamientos y atención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Visibilidad y divulgación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Cruzada por el tema de género </w:t>
            </w:r>
          </w:p>
        </w:tc>
      </w:tr>
    </w:tbl>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Fuente:</w:t>
      </w:r>
      <w:r w:rsidRPr="006E437B">
        <w:rPr>
          <w:rFonts w:ascii="Times New Roman" w:hAnsi="Times New Roman" w:cs="Times New Roman"/>
          <w:sz w:val="24"/>
          <w:szCs w:val="24"/>
        </w:rPr>
        <w:t xml:space="preserve"> Centro de Estudios Transdisciplinarios Athié-Calleja por los Derechos de las Personas con Lupus A.C. (Cetlu).</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Tanto la iniciativa federal presentada ante el Senado de la República como la iniciativa de Ley Lupus y Autoinmunes en Estado de México buscan armonizar y fortalecer el marco jurídico existente mediante reformas a la </w:t>
      </w:r>
      <w:r w:rsidRPr="006E437B">
        <w:rPr>
          <w:rFonts w:ascii="Times New Roman" w:hAnsi="Times New Roman" w:cs="Times New Roman"/>
          <w:b/>
          <w:sz w:val="24"/>
          <w:szCs w:val="24"/>
        </w:rPr>
        <w:t>Ley General de Salud</w:t>
      </w:r>
      <w:r w:rsidRPr="006E437B">
        <w:rPr>
          <w:rFonts w:ascii="Times New Roman" w:hAnsi="Times New Roman" w:cs="Times New Roman"/>
          <w:sz w:val="24"/>
          <w:szCs w:val="24"/>
        </w:rPr>
        <w:t xml:space="preserve"> y a la </w:t>
      </w:r>
      <w:r w:rsidRPr="006E437B">
        <w:rPr>
          <w:rFonts w:ascii="Times New Roman" w:hAnsi="Times New Roman" w:cs="Times New Roman"/>
          <w:b/>
          <w:sz w:val="24"/>
          <w:szCs w:val="24"/>
        </w:rPr>
        <w:t>Ley Federal para Prevenir y Eliminar la Discriminación</w:t>
      </w:r>
      <w:r w:rsidRPr="006E437B">
        <w:rPr>
          <w:rFonts w:ascii="Times New Roman" w:hAnsi="Times New Roman" w:cs="Times New Roman"/>
          <w:sz w:val="24"/>
          <w:szCs w:val="24"/>
        </w:rPr>
        <w:t xml:space="preserve">, con el fin de garantizar atención integral, detección oportuna, acceso a tratamientos y no discriminación para las personas con lupus y otras enfermedades autoinmunes. De manera concordante, las propuestas estatales contemplan la adecuación de sus </w:t>
      </w:r>
      <w:r w:rsidRPr="006E437B">
        <w:rPr>
          <w:rFonts w:ascii="Times New Roman" w:hAnsi="Times New Roman" w:cs="Times New Roman"/>
          <w:b/>
          <w:sz w:val="24"/>
          <w:szCs w:val="24"/>
        </w:rPr>
        <w:t xml:space="preserve">leyes locales de salud </w:t>
      </w:r>
      <w:r w:rsidRPr="006E437B">
        <w:rPr>
          <w:rFonts w:ascii="Times New Roman" w:hAnsi="Times New Roman" w:cs="Times New Roman"/>
          <w:sz w:val="24"/>
          <w:szCs w:val="24"/>
        </w:rPr>
        <w:t>y</w:t>
      </w:r>
      <w:r w:rsidRPr="006E437B">
        <w:rPr>
          <w:rFonts w:ascii="Times New Roman" w:hAnsi="Times New Roman" w:cs="Times New Roman"/>
          <w:b/>
          <w:sz w:val="24"/>
          <w:szCs w:val="24"/>
        </w:rPr>
        <w:t xml:space="preserve"> </w:t>
      </w:r>
      <w:r w:rsidRPr="006E437B">
        <w:rPr>
          <w:rFonts w:ascii="Times New Roman" w:hAnsi="Times New Roman" w:cs="Times New Roman"/>
          <w:sz w:val="24"/>
          <w:szCs w:val="24"/>
        </w:rPr>
        <w:t>de sus</w:t>
      </w:r>
      <w:r w:rsidRPr="006E437B">
        <w:rPr>
          <w:rFonts w:ascii="Times New Roman" w:hAnsi="Times New Roman" w:cs="Times New Roman"/>
          <w:b/>
          <w:sz w:val="24"/>
          <w:szCs w:val="24"/>
        </w:rPr>
        <w:t xml:space="preserve"> leyes estatales para prevenir y eliminar la discriminación,</w:t>
      </w:r>
      <w:r w:rsidRPr="006E437B">
        <w:rPr>
          <w:rFonts w:ascii="Times New Roman" w:hAnsi="Times New Roman" w:cs="Times New Roman"/>
          <w:sz w:val="24"/>
          <w:szCs w:val="24"/>
        </w:rPr>
        <w:t xml:space="preserve"> a fin de asegurar la protección efectiva de derechos, la generación de registros y políticas públicas específicas en Estado de México y en las demás entidades federativas.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Respaldo nacional y necesidades en formación médica</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En concordancia con la iniciativa federal presentada en noviembre de 2024 ante el Senado de la República, estructurada por el Cetlu, que ha contado con el respaldo de diversas asociaciones, grupos y sociedad interesada en la enfermedad de todo el país, también propone reformar Ley Federal para Prevenir y Eliminar la Discriminación, con la finalidad de prevenir la discriminación a personas con lupus y otras enfermedades autoinmunes en los ámbitos laborales y sociales. Esto debido a que la condición de quienes la padecen, deriva en una espiral de violencias traducidas en la escasez de medicamentos, información, servicios de salud, tratamientos, servicios de laboratorio y médicos especializados tanto en el primer nivel de atención, cuya función principal es la </w:t>
      </w:r>
      <w:r w:rsidRPr="006E437B">
        <w:rPr>
          <w:rFonts w:ascii="Times New Roman" w:hAnsi="Times New Roman" w:cs="Times New Roman"/>
          <w:b/>
          <w:sz w:val="24"/>
          <w:szCs w:val="24"/>
        </w:rPr>
        <w:t>prevención, detección temprana y tratamiento de enfermedades,</w:t>
      </w:r>
      <w:r w:rsidRPr="006E437B">
        <w:rPr>
          <w:rFonts w:ascii="Times New Roman" w:hAnsi="Times New Roman" w:cs="Times New Roman"/>
          <w:sz w:val="24"/>
          <w:szCs w:val="24"/>
          <w:vertAlign w:val="superscript"/>
        </w:rPr>
        <w:t>xxviii</w:t>
      </w:r>
      <w:r w:rsidRPr="006E437B">
        <w:rPr>
          <w:rFonts w:ascii="Times New Roman" w:hAnsi="Times New Roman" w:cs="Times New Roman"/>
          <w:b/>
          <w:sz w:val="24"/>
          <w:szCs w:val="24"/>
        </w:rPr>
        <w:t xml:space="preserve"> como en la </w:t>
      </w:r>
      <w:r w:rsidRPr="006E437B">
        <w:rPr>
          <w:rFonts w:ascii="Times New Roman" w:hAnsi="Times New Roman" w:cs="Times New Roman"/>
          <w:sz w:val="24"/>
          <w:szCs w:val="24"/>
        </w:rPr>
        <w:t>atención especializada de hospitales generales o regionales, e incluso en los del tercer nivel de alta especialidad.</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A raíz de ello, el </w:t>
      </w:r>
      <w:r w:rsidRPr="006E437B">
        <w:rPr>
          <w:rFonts w:ascii="Times New Roman" w:hAnsi="Times New Roman" w:cs="Times New Roman"/>
          <w:b/>
          <w:sz w:val="24"/>
          <w:szCs w:val="24"/>
        </w:rPr>
        <w:t>Centro de Estudios Transdisciplinarios Athié-Calleja por los Derechos de las Personas con Lupus A.C.</w:t>
      </w:r>
      <w:r w:rsidRPr="006E437B">
        <w:rPr>
          <w:rFonts w:ascii="Times New Roman" w:hAnsi="Times New Roman" w:cs="Times New Roman"/>
          <w:sz w:val="24"/>
          <w:szCs w:val="24"/>
        </w:rPr>
        <w:t xml:space="preserve">, convocó y formó la </w:t>
      </w:r>
      <w:r w:rsidRPr="006E437B">
        <w:rPr>
          <w:rFonts w:ascii="Times New Roman" w:hAnsi="Times New Roman" w:cs="Times New Roman"/>
          <w:b/>
          <w:sz w:val="24"/>
          <w:szCs w:val="24"/>
        </w:rPr>
        <w:t>Liga Mexicana por los Derechos de las Personas con Lupus (Limdeplu),</w:t>
      </w:r>
      <w:r w:rsidRPr="006E437B">
        <w:rPr>
          <w:rFonts w:ascii="Times New Roman" w:hAnsi="Times New Roman" w:cs="Times New Roman"/>
          <w:sz w:val="24"/>
          <w:szCs w:val="24"/>
        </w:rPr>
        <w:t xml:space="preserve"> una red nacional que articula a colectivos y grupos de incidencia en 31 estados del país con el objetivo de impulsar iniciativas de ley en los congresos locales. </w:t>
      </w:r>
      <w:r w:rsidRPr="006E437B">
        <w:rPr>
          <w:rFonts w:ascii="Times New Roman" w:hAnsi="Times New Roman" w:cs="Times New Roman"/>
          <w:b/>
          <w:sz w:val="24"/>
          <w:szCs w:val="24"/>
        </w:rPr>
        <w:t xml:space="preserve">En el caso del Estado de México </w:t>
      </w:r>
      <w:r w:rsidRPr="006E437B">
        <w:rPr>
          <w:rFonts w:ascii="Times New Roman" w:hAnsi="Times New Roman" w:cs="Times New Roman"/>
          <w:sz w:val="24"/>
          <w:szCs w:val="24"/>
        </w:rPr>
        <w:t>723</w:t>
      </w:r>
      <w:r w:rsidRPr="006E437B">
        <w:rPr>
          <w:rFonts w:ascii="Times New Roman" w:hAnsi="Times New Roman" w:cs="Times New Roman"/>
          <w:b/>
          <w:sz w:val="24"/>
          <w:szCs w:val="24"/>
        </w:rPr>
        <w:t xml:space="preserve"> personas han firmado de apoyo a la iniciativa Ley Lupus y Autoinmunes, de las cuales, 130 son mujeres con lupus y otras enfermedades autoinmunes. </w:t>
      </w:r>
      <w:r w:rsidRPr="006E437B">
        <w:rPr>
          <w:rFonts w:ascii="Times New Roman" w:hAnsi="Times New Roman" w:cs="Times New Roman"/>
          <w:sz w:val="24"/>
          <w:szCs w:val="24"/>
        </w:rPr>
        <w:t xml:space="preserve">La articulación se encuentra representada por </w:t>
      </w:r>
      <w:r w:rsidRPr="006E437B">
        <w:rPr>
          <w:rFonts w:ascii="Times New Roman" w:hAnsi="Times New Roman" w:cs="Times New Roman"/>
          <w:b/>
          <w:sz w:val="24"/>
          <w:szCs w:val="24"/>
        </w:rPr>
        <w:t>Cetlu</w:t>
      </w:r>
      <w:r w:rsidRPr="006E437B">
        <w:rPr>
          <w:rFonts w:ascii="Times New Roman" w:hAnsi="Times New Roman" w:cs="Times New Roman"/>
          <w:sz w:val="24"/>
          <w:szCs w:val="24"/>
        </w:rPr>
        <w:t xml:space="preserve"> y la asociación </w:t>
      </w:r>
      <w:r w:rsidRPr="006E437B">
        <w:rPr>
          <w:rFonts w:ascii="Times New Roman" w:hAnsi="Times New Roman" w:cs="Times New Roman"/>
          <w:b/>
          <w:sz w:val="24"/>
          <w:szCs w:val="24"/>
        </w:rPr>
        <w:t xml:space="preserve">Red de Apoyo Somos Valientes Toluca, </w:t>
      </w:r>
      <w:r w:rsidRPr="006E437B">
        <w:rPr>
          <w:rFonts w:ascii="Times New Roman" w:hAnsi="Times New Roman" w:cs="Times New Roman"/>
          <w:sz w:val="24"/>
          <w:szCs w:val="24"/>
        </w:rPr>
        <w:t>así como sociedad solidaria, quienes de manera conjunta conforman el grupo encargado de promover, difundir y acompañar esta iniciativa de ley.</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b/>
          <w:sz w:val="24"/>
          <w:szCs w:val="24"/>
        </w:rPr>
      </w:pPr>
      <w:r w:rsidRPr="006E437B">
        <w:rPr>
          <w:rFonts w:ascii="Times New Roman" w:hAnsi="Times New Roman" w:cs="Times New Roman"/>
          <w:b/>
          <w:sz w:val="24"/>
          <w:szCs w:val="24"/>
        </w:rPr>
        <w:t>Somos Valientes Toluca</w:t>
      </w:r>
      <w:r w:rsidRPr="006E437B">
        <w:rPr>
          <w:rFonts w:ascii="Times New Roman" w:hAnsi="Times New Roman" w:cs="Times New Roman"/>
          <w:sz w:val="24"/>
          <w:szCs w:val="24"/>
        </w:rPr>
        <w:t xml:space="preserve"> es una red de apoyo creada el 17 de mayo de 2023 en Toluca, Estado de México, con el propósito de acompañar a personas con lupus, así como a sus familiares y cuidadores. Surge ante la necesidad de contar con un espacio seguro donde se brinde apoyo emocional, información confiable y herramientas prácticas para enfrentar esta enfermedad. Su misión es fortalecer una comunidad solidaria que promueva la comprensión, la aceptación y el bienestar integral, trabajando de la mano con profesionales de la salud y la sociedad para mejorar la calidad de vida de quienes vivimos con lupus. Actualmente cuenta con 85, entre personas con lupus, familiares y médicos.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el caso del estado de México, la situación del lupus y de las enfermedades autoinmunes aún refleja múltiples retos estructurales y sociales, por ejemplo, aunque en algunos municipios existe cobertura parcial de medicamentos, la atención es insuficiente y desigual centralizada en su capital.</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Por ejemplo, hasta 2025, el Colegio Mexicano de Reumatología reporta </w:t>
      </w:r>
      <w:r w:rsidRPr="006E437B">
        <w:rPr>
          <w:rFonts w:ascii="Times New Roman" w:hAnsi="Times New Roman" w:cs="Times New Roman"/>
          <w:b/>
          <w:sz w:val="24"/>
          <w:szCs w:val="24"/>
        </w:rPr>
        <w:t>54 reumatólogos en atención de adultos y 4 en atención pediátrica</w:t>
      </w:r>
      <w:r w:rsidRPr="006E437B">
        <w:rPr>
          <w:rFonts w:ascii="Times New Roman" w:hAnsi="Times New Roman" w:cs="Times New Roman"/>
          <w:sz w:val="24"/>
          <w:szCs w:val="24"/>
        </w:rPr>
        <w:t>,</w:t>
      </w:r>
      <w:r w:rsidRPr="006E437B">
        <w:rPr>
          <w:rFonts w:ascii="Times New Roman" w:hAnsi="Times New Roman" w:cs="Times New Roman"/>
          <w:sz w:val="24"/>
          <w:szCs w:val="24"/>
          <w:vertAlign w:val="superscript"/>
        </w:rPr>
        <w:t>xxix</w:t>
      </w:r>
      <w:r w:rsidRPr="006E437B">
        <w:rPr>
          <w:rFonts w:ascii="Times New Roman" w:hAnsi="Times New Roman" w:cs="Times New Roman"/>
          <w:sz w:val="24"/>
          <w:szCs w:val="24"/>
        </w:rPr>
        <w:t xml:space="preserve"> lo que evidencia la limitada disponibilidad de atención especializada, particularmente para niñas, niños y adolescentes. Esto implica que las posibilidades de atención y detección disminuyan generando barreras de acceso para las comunidades alejadas de la capital, así como que la atención respectiva esté siendo brindada por médicos generales o internistas.</w:t>
      </w:r>
      <w:r w:rsidRPr="006E437B">
        <w:rPr>
          <w:rFonts w:ascii="Times New Roman" w:hAnsi="Times New Roman" w:cs="Times New Roman"/>
          <w:sz w:val="24"/>
          <w:szCs w:val="24"/>
          <w:vertAlign w:val="superscript"/>
        </w:rPr>
        <w:t>xxx</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Aunado a ello, y considerando que el lupus eritematoso sistémico afecta predominantemente a mujeres (con una razón aproximada de 9:1 respecto de los hombres), en el Estado de México residen aproximadamente 8.7 millones de mujeres, de las cuales cerca de 4.5 millones se encuentran en edad reproductiva (INEGI-CONAPO, estimaciones 2020–2025). En ese contexto, y tomando como referencia el rango de prevalencia estimado para el lupus eritematoso sistémico de 20 a 70 casos por cada 100,000 habitantes,</w:t>
      </w:r>
      <w:r w:rsidRPr="006E437B">
        <w:rPr>
          <w:rFonts w:ascii="Times New Roman" w:hAnsi="Times New Roman" w:cs="Times New Roman"/>
          <w:sz w:val="24"/>
          <w:szCs w:val="24"/>
          <w:vertAlign w:val="superscript"/>
        </w:rPr>
        <w:t xml:space="preserve"> xxxi</w:t>
      </w:r>
      <w:r w:rsidRPr="006E437B">
        <w:rPr>
          <w:rFonts w:ascii="Times New Roman" w:hAnsi="Times New Roman" w:cs="Times New Roman"/>
          <w:sz w:val="24"/>
          <w:szCs w:val="24"/>
        </w:rPr>
        <w:t xml:space="preserve"> el Centro de Estudios Transdisciplinarios Athié-Calleja por los Derechos de las Personas con Lupus A. C. (Cetlu) estima que entre 1,740 y 6,090 mujeres que viven en el Estado de México podrían cursar con lupus eritematoso sistémico.</w:t>
      </w:r>
      <w:r w:rsidRPr="006E437B">
        <w:rPr>
          <w:rFonts w:ascii="Times New Roman" w:hAnsi="Times New Roman" w:cs="Times New Roman"/>
          <w:sz w:val="24"/>
          <w:szCs w:val="24"/>
          <w:vertAlign w:val="superscript"/>
        </w:rPr>
        <w:t xml:space="preserve"> xxxii</w:t>
      </w:r>
      <w:r w:rsidRPr="006E437B">
        <w:rPr>
          <w:rFonts w:ascii="Times New Roman" w:hAnsi="Times New Roman" w:cs="Times New Roman"/>
          <w:sz w:val="24"/>
          <w:szCs w:val="24"/>
        </w:rPr>
        <w:t xml:space="preserve"> Estas cifras evidencian la necesidad de fortalecer medidas normativas orientadas a la atención integral, oportuna y continua de las personas que viven con lupus y otras enfermedades autoinmunes en la entidad.</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Estos datos evidencian un </w:t>
      </w:r>
      <w:r w:rsidRPr="006E437B">
        <w:rPr>
          <w:rFonts w:ascii="Times New Roman" w:hAnsi="Times New Roman" w:cs="Times New Roman"/>
          <w:b/>
          <w:sz w:val="24"/>
          <w:szCs w:val="24"/>
        </w:rPr>
        <w:t>reto específico en materia de salud reproductiva y de género</w:t>
      </w:r>
      <w:r w:rsidRPr="006E437B">
        <w:rPr>
          <w:rFonts w:ascii="Times New Roman" w:hAnsi="Times New Roman" w:cs="Times New Roman"/>
          <w:sz w:val="24"/>
          <w:szCs w:val="24"/>
        </w:rPr>
        <w:t xml:space="preserve">, ya que la enfermedad afecta principalmente a </w:t>
      </w:r>
      <w:r w:rsidRPr="006E437B">
        <w:rPr>
          <w:rFonts w:ascii="Times New Roman" w:hAnsi="Times New Roman" w:cs="Times New Roman"/>
          <w:b/>
          <w:sz w:val="24"/>
          <w:szCs w:val="24"/>
        </w:rPr>
        <w:t>mujeres jóvenes y adultas en etapas de alta demanda social y económica</w:t>
      </w:r>
      <w:r w:rsidRPr="006E437B">
        <w:rPr>
          <w:rFonts w:ascii="Times New Roman" w:hAnsi="Times New Roman" w:cs="Times New Roman"/>
          <w:sz w:val="24"/>
          <w:szCs w:val="24"/>
        </w:rPr>
        <w:t xml:space="preserve">, con consecuencias que trascienden el ámbito clínico e impactan su </w:t>
      </w:r>
      <w:r w:rsidRPr="006E437B">
        <w:rPr>
          <w:rFonts w:ascii="Times New Roman" w:hAnsi="Times New Roman" w:cs="Times New Roman"/>
          <w:b/>
          <w:sz w:val="24"/>
          <w:szCs w:val="24"/>
        </w:rPr>
        <w:t>vida personal, laboral y comunitaria.</w:t>
      </w:r>
      <w:r w:rsidRPr="006E437B">
        <w:rPr>
          <w:rFonts w:ascii="Times New Roman" w:hAnsi="Times New Roman" w:cs="Times New Roman"/>
          <w:sz w:val="24"/>
          <w:szCs w:val="24"/>
        </w:rPr>
        <w:t xml:space="preserve"> La falta de servicios especializados en el estado agrava la vulnerabilidad de este grupo, al limitar el acceso a diagnóstico, control médico y acompañamiento integral (ver </w:t>
      </w:r>
      <w:r w:rsidRPr="006E437B">
        <w:rPr>
          <w:rFonts w:ascii="Times New Roman" w:hAnsi="Times New Roman" w:cs="Times New Roman"/>
          <w:b/>
          <w:sz w:val="24"/>
          <w:szCs w:val="24"/>
        </w:rPr>
        <w:t>Tabla 5</w:t>
      </w:r>
      <w:r w:rsidRPr="006E437B">
        <w:rPr>
          <w:rFonts w:ascii="Times New Roman" w:hAnsi="Times New Roman" w:cs="Times New Roman"/>
          <w:sz w:val="24"/>
          <w:szCs w:val="24"/>
        </w:rPr>
        <w:t>).</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b/>
          <w:sz w:val="24"/>
          <w:szCs w:val="24"/>
        </w:rPr>
      </w:pPr>
      <w:r w:rsidRPr="006E437B">
        <w:rPr>
          <w:rFonts w:ascii="Times New Roman" w:hAnsi="Times New Roman" w:cs="Times New Roman"/>
          <w:b/>
          <w:sz w:val="24"/>
          <w:szCs w:val="24"/>
        </w:rPr>
        <w:t>Tabla 5.</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Casos estimados en mujeres en edad reproductiva en Estado de México</w:t>
      </w:r>
    </w:p>
    <w:p w:rsidR="001850B4" w:rsidRPr="006E437B" w:rsidRDefault="001850B4" w:rsidP="00141629">
      <w:pPr>
        <w:spacing w:after="0" w:line="240" w:lineRule="auto"/>
        <w:ind w:left="-5"/>
        <w:rPr>
          <w:rFonts w:ascii="Times New Roman" w:hAnsi="Times New Roman" w:cs="Times New Roman"/>
          <w:b/>
          <w:sz w:val="24"/>
          <w:szCs w:val="24"/>
        </w:rPr>
      </w:pPr>
    </w:p>
    <w:tbl>
      <w:tblPr>
        <w:tblStyle w:val="TableGrid"/>
        <w:tblW w:w="8794" w:type="dxa"/>
        <w:jc w:val="center"/>
        <w:tblInd w:w="0" w:type="dxa"/>
        <w:tblLook w:val="04A0" w:firstRow="1" w:lastRow="0" w:firstColumn="1" w:lastColumn="0" w:noHBand="0" w:noVBand="1"/>
      </w:tblPr>
      <w:tblGrid>
        <w:gridCol w:w="2596"/>
        <w:gridCol w:w="3216"/>
        <w:gridCol w:w="2982"/>
      </w:tblGrid>
      <w:tr w:rsidR="001850B4" w:rsidRPr="006E437B" w:rsidTr="00FD44F9">
        <w:trPr>
          <w:trHeight w:val="576"/>
          <w:jc w:val="center"/>
        </w:trPr>
        <w:tc>
          <w:tcPr>
            <w:tcW w:w="259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 xml:space="preserve">Escenario </w:t>
            </w:r>
          </w:p>
        </w:tc>
        <w:tc>
          <w:tcPr>
            <w:tcW w:w="321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sz w:val="24"/>
                <w:szCs w:val="24"/>
              </w:rPr>
              <w:t>Casos estimados en mujeres (≈ 85 %)</w:t>
            </w:r>
          </w:p>
        </w:tc>
        <w:tc>
          <w:tcPr>
            <w:tcW w:w="2982" w:type="dxa"/>
            <w:tcBorders>
              <w:top w:val="double" w:sz="4" w:space="0" w:color="000000"/>
              <w:left w:val="double" w:sz="4" w:space="0" w:color="000000"/>
              <w:bottom w:val="double" w:sz="4" w:space="0" w:color="000000"/>
              <w:right w:val="double" w:sz="4" w:space="0" w:color="000000"/>
            </w:tcBorders>
          </w:tcPr>
          <w:p w:rsidR="001850B4" w:rsidRPr="006E437B" w:rsidRDefault="001850B4" w:rsidP="0020431B">
            <w:pPr>
              <w:spacing w:line="240" w:lineRule="auto"/>
              <w:jc w:val="both"/>
              <w:rPr>
                <w:rFonts w:ascii="Times New Roman" w:hAnsi="Times New Roman" w:cs="Times New Roman"/>
                <w:sz w:val="24"/>
                <w:szCs w:val="24"/>
              </w:rPr>
            </w:pPr>
            <w:r w:rsidRPr="006E437B">
              <w:rPr>
                <w:rFonts w:ascii="Times New Roman" w:hAnsi="Times New Roman" w:cs="Times New Roman"/>
                <w:b/>
                <w:sz w:val="24"/>
                <w:szCs w:val="24"/>
              </w:rPr>
              <w:t>Mujeres en edad reproductiva (≈)</w:t>
            </w:r>
          </w:p>
        </w:tc>
      </w:tr>
      <w:tr w:rsidR="001850B4" w:rsidRPr="006E437B" w:rsidTr="00FD44F9">
        <w:trPr>
          <w:trHeight w:val="819"/>
          <w:jc w:val="center"/>
        </w:trPr>
        <w:tc>
          <w:tcPr>
            <w:tcW w:w="2596" w:type="dxa"/>
            <w:tcBorders>
              <w:top w:val="double" w:sz="4" w:space="0" w:color="000000"/>
              <w:left w:val="double" w:sz="4" w:space="0" w:color="000000"/>
              <w:right w:val="doub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Prevalencia baja (20/100,000) </w:t>
            </w:r>
          </w:p>
        </w:tc>
        <w:tc>
          <w:tcPr>
            <w:tcW w:w="3216" w:type="dxa"/>
            <w:tcBorders>
              <w:top w:val="double" w:sz="4" w:space="0" w:color="000000"/>
              <w:left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1,740 </w:t>
            </w:r>
          </w:p>
        </w:tc>
        <w:tc>
          <w:tcPr>
            <w:tcW w:w="2982" w:type="dxa"/>
            <w:tcBorders>
              <w:top w:val="double" w:sz="4" w:space="0" w:color="000000"/>
              <w:left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4,500,000 </w:t>
            </w:r>
          </w:p>
        </w:tc>
      </w:tr>
      <w:tr w:rsidR="001850B4" w:rsidRPr="006E437B" w:rsidTr="00FD44F9">
        <w:trPr>
          <w:trHeight w:val="819"/>
          <w:jc w:val="center"/>
        </w:trPr>
        <w:tc>
          <w:tcPr>
            <w:tcW w:w="259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ind w:left="37"/>
              <w:jc w:val="both"/>
              <w:rPr>
                <w:rFonts w:ascii="Times New Roman" w:hAnsi="Times New Roman" w:cs="Times New Roman"/>
                <w:sz w:val="24"/>
                <w:szCs w:val="24"/>
              </w:rPr>
            </w:pPr>
            <w:r w:rsidRPr="006E437B">
              <w:rPr>
                <w:rFonts w:ascii="Times New Roman" w:hAnsi="Times New Roman" w:cs="Times New Roman"/>
                <w:sz w:val="24"/>
                <w:szCs w:val="24"/>
              </w:rPr>
              <w:t xml:space="preserve">Prevalencia alta (70/100,000) </w:t>
            </w:r>
          </w:p>
          <w:p w:rsidR="001850B4" w:rsidRPr="006E437B" w:rsidRDefault="001850B4" w:rsidP="00141629">
            <w:pPr>
              <w:spacing w:line="240" w:lineRule="auto"/>
              <w:ind w:left="65"/>
              <w:rPr>
                <w:rFonts w:ascii="Times New Roman" w:hAnsi="Times New Roman" w:cs="Times New Roman"/>
                <w:sz w:val="24"/>
                <w:szCs w:val="24"/>
              </w:rPr>
            </w:pPr>
          </w:p>
        </w:tc>
        <w:tc>
          <w:tcPr>
            <w:tcW w:w="3216"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6,090 </w:t>
            </w:r>
          </w:p>
        </w:tc>
        <w:tc>
          <w:tcPr>
            <w:tcW w:w="2982" w:type="dxa"/>
            <w:tcBorders>
              <w:top w:val="double" w:sz="4" w:space="0" w:color="000000"/>
              <w:left w:val="double" w:sz="4" w:space="0" w:color="000000"/>
              <w:bottom w:val="double" w:sz="4" w:space="0" w:color="000000"/>
              <w:right w:val="double" w:sz="4" w:space="0" w:color="000000"/>
            </w:tcBorders>
          </w:tcPr>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4,500,000 </w:t>
            </w:r>
          </w:p>
        </w:tc>
      </w:tr>
    </w:tbl>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Fuente:</w:t>
      </w:r>
      <w:r w:rsidRPr="006E437B">
        <w:rPr>
          <w:rFonts w:ascii="Times New Roman" w:hAnsi="Times New Roman" w:cs="Times New Roman"/>
          <w:sz w:val="24"/>
          <w:szCs w:val="24"/>
        </w:rPr>
        <w:t xml:space="preserve"> Cetlu, </w:t>
      </w:r>
      <w:r w:rsidRPr="006E437B">
        <w:rPr>
          <w:rFonts w:ascii="Times New Roman" w:hAnsi="Times New Roman" w:cs="Times New Roman"/>
          <w:i/>
          <w:sz w:val="24"/>
          <w:szCs w:val="24"/>
        </w:rPr>
        <w:t>Estatus del lupus en México</w:t>
      </w:r>
      <w:r w:rsidRPr="006E437B">
        <w:rPr>
          <w:rFonts w:ascii="Times New Roman" w:hAnsi="Times New Roman" w:cs="Times New Roman"/>
          <w:sz w:val="24"/>
          <w:szCs w:val="24"/>
        </w:rPr>
        <w:t xml:space="preserve">, 2025. Cifras estimadas con base en INEGI y CONAPO, y Ocampo-Torres, M. C., Bravo-Rojas, F. M., Martínez-Badajoz, A., </w:t>
      </w:r>
      <w:r w:rsidRPr="006E437B">
        <w:rPr>
          <w:rFonts w:ascii="Times New Roman" w:hAnsi="Times New Roman" w:cs="Times New Roman"/>
          <w:i/>
          <w:sz w:val="24"/>
          <w:szCs w:val="24"/>
        </w:rPr>
        <w:t>et al.</w:t>
      </w:r>
      <w:r w:rsidRPr="006E437B">
        <w:rPr>
          <w:rFonts w:ascii="Times New Roman" w:hAnsi="Times New Roman" w:cs="Times New Roman"/>
          <w:sz w:val="24"/>
          <w:szCs w:val="24"/>
        </w:rPr>
        <w:t xml:space="preserve"> (2024)</w:t>
      </w:r>
      <w:r w:rsidRPr="006E437B">
        <w:rPr>
          <w:rFonts w:ascii="Times New Roman" w:hAnsi="Times New Roman" w:cs="Times New Roman"/>
          <w:sz w:val="24"/>
          <w:szCs w:val="24"/>
          <w:vertAlign w:val="superscript"/>
        </w:rPr>
        <w:t>xxxiii</w:t>
      </w:r>
      <w:r w:rsidRPr="006E437B">
        <w:rPr>
          <w:rFonts w:ascii="Times New Roman" w:hAnsi="Times New Roman" w:cs="Times New Roman"/>
          <w:sz w:val="24"/>
          <w:szCs w:val="24"/>
        </w:rPr>
        <w:t xml:space="preserve">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suma, el panorama estatal muestra una realidad marcada por la necesidad de especialistas, campañas de sensibilización y el desconocimiento social. Todo ello subraya la urgencia de diseñar e implementar políticas públicas integrales que garanticen atención médica especializada, difusión adecuada y redes de apoyo para las personas que viven con lupus y otras enfermedades autoinmunes en Estado de México.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Adicional a ello, dado que el lupus eritematoso sistémico (LES) es una enfermedad multisistémica que requiere atención especializada por reumatólogos y puesto que en México, existe una concentración de estos especialistas en zonas metropolitanas como Ciudad de México, Nuevo León y Guadalajara, dejando a estados como Estado de México y particularmente en sus estados más desfavorecidos con una cobertura insuficiente. Esta escasez obliga a los pacientes a recurrir a médicos internistas, quienes, aunque capacitados, no siempre cuentan con la especialización necesaria para manejar la complejidad del lupus (González-Chávez, 2022. SS, 2023).</w:t>
      </w:r>
      <w:r w:rsidRPr="006E437B">
        <w:rPr>
          <w:rFonts w:ascii="Times New Roman" w:hAnsi="Times New Roman" w:cs="Times New Roman"/>
          <w:sz w:val="24"/>
          <w:szCs w:val="24"/>
          <w:vertAlign w:val="superscript"/>
        </w:rPr>
        <w:t>xxxiv</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Es importante mencionar que el tratamiento del lupus implica el uso de medicamentos como corticosteroides, inmunosupresores y terapias biológicas, cuyos costos pueden ser prohibitivos. Por ejemplo, un medicamento biológico, puede costar aproximadamente $28,000 USD anuales. Estos altos costos, sumados a la falta de cobertura integral por parte del Estado, generan una carga financiera significativa para los pacientes y sus familias.</w:t>
      </w:r>
      <w:r w:rsidRPr="006E437B">
        <w:rPr>
          <w:rFonts w:ascii="Times New Roman" w:hAnsi="Times New Roman" w:cs="Times New Roman"/>
          <w:sz w:val="24"/>
          <w:szCs w:val="24"/>
          <w:vertAlign w:val="superscript"/>
        </w:rPr>
        <w:t>xxxv</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cuanto a los servicios médicos, otro de los desafíos implica que el manejo efectivo del lupus requiere un enfoque multidisciplinario que incluya, además del reumatólogo, especialistas como nefrólogos, dermatólogos, cardiólogos, neurólogos, psicólogos y trabajadores sociales. Esta atención integral es esencial para abordar las diversas manifestaciones de la enfermedad y mejorar la calidad de vida de los pacientes,</w:t>
      </w:r>
      <w:r w:rsidRPr="006E437B">
        <w:rPr>
          <w:rFonts w:ascii="Times New Roman" w:hAnsi="Times New Roman" w:cs="Times New Roman"/>
          <w:sz w:val="24"/>
          <w:szCs w:val="24"/>
          <w:vertAlign w:val="superscript"/>
        </w:rPr>
        <w:t>xxxvi</w:t>
      </w:r>
      <w:r w:rsidRPr="006E437B">
        <w:rPr>
          <w:rFonts w:ascii="Times New Roman" w:hAnsi="Times New Roman" w:cs="Times New Roman"/>
          <w:sz w:val="24"/>
          <w:szCs w:val="24"/>
        </w:rPr>
        <w:t xml:space="preserve"> algo que, dada la condición de invisibilización y la ausencia de un censo, no sucede en México ni en ninguna entidad incluyendo Estado de México.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ese marco, la presente iniciativa tiene como propósito atender un problema de salud pública invisibilizado: las enfermedades autoinmunes y autoinmunes reumatológicas (EAR), que afectan tanto a la población adulta como pediátrica en el Estado de México. De acuerdo con la Organización Mundial de la Salud (OMS), existen más de 60 enfermedades autoinmunes reconocidas, cuya prevalencia global combinada oscila entre el 3 % y el 5 % de la población mundial, y cuya etiología se asocia a factores genéticos, hormonales y ambientales interrelacionados.</w:t>
      </w:r>
      <w:r w:rsidRPr="006E437B">
        <w:rPr>
          <w:rFonts w:ascii="Times New Roman" w:hAnsi="Times New Roman" w:cs="Times New Roman"/>
          <w:sz w:val="24"/>
          <w:szCs w:val="24"/>
          <w:vertAlign w:val="superscript"/>
        </w:rPr>
        <w:t>xxxvii</w:t>
      </w:r>
      <w:r w:rsidRPr="006E437B">
        <w:rPr>
          <w:rFonts w:ascii="Times New Roman" w:hAnsi="Times New Roman" w:cs="Times New Roman"/>
          <w:sz w:val="24"/>
          <w:szCs w:val="24"/>
        </w:rPr>
        <w:t xml:space="preserve"> Sin embargo, investigaciones recientes del National Institute of Allergy and Infectious Diseases (NIAID) y revisiones publicadas en </w:t>
      </w:r>
      <w:r w:rsidRPr="006E437B">
        <w:rPr>
          <w:rFonts w:ascii="Times New Roman" w:hAnsi="Times New Roman" w:cs="Times New Roman"/>
          <w:i/>
          <w:sz w:val="24"/>
          <w:szCs w:val="24"/>
        </w:rPr>
        <w:t>Nature</w:t>
      </w:r>
      <w:r w:rsidRPr="006E437B">
        <w:rPr>
          <w:rFonts w:ascii="Times New Roman" w:hAnsi="Times New Roman" w:cs="Times New Roman"/>
          <w:sz w:val="24"/>
          <w:szCs w:val="24"/>
        </w:rPr>
        <w:t xml:space="preserve"> y </w:t>
      </w:r>
      <w:r w:rsidRPr="006E437B">
        <w:rPr>
          <w:rFonts w:ascii="Times New Roman" w:hAnsi="Times New Roman" w:cs="Times New Roman"/>
          <w:i/>
          <w:sz w:val="24"/>
          <w:szCs w:val="24"/>
        </w:rPr>
        <w:t>Frontiers in Immunology</w:t>
      </w:r>
      <w:r w:rsidRPr="006E437B">
        <w:rPr>
          <w:rFonts w:ascii="Times New Roman" w:hAnsi="Times New Roman" w:cs="Times New Roman"/>
          <w:sz w:val="24"/>
          <w:szCs w:val="24"/>
        </w:rPr>
        <w:t xml:space="preserve"> señalan que el número de enfermedades autoinmunes podría superar las 100 a 150 entidades clínicas, dada la expansión de los criterios inmunológicos y la identificación de nuevos síndromes inmunomediados.</w:t>
      </w:r>
      <w:r w:rsidRPr="006E437B">
        <w:rPr>
          <w:rFonts w:ascii="Times New Roman" w:hAnsi="Times New Roman" w:cs="Times New Roman"/>
          <w:sz w:val="24"/>
          <w:szCs w:val="24"/>
          <w:vertAlign w:val="superscript"/>
        </w:rPr>
        <w:t>xxxviii</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Estado de México, como en todo el país y en la Región Latinoamericana, el diagnóstico oportuno de las enfermedades autoinmunes en menores de edad es difícil por múltiples razones: la escasa disponibilidad de reumatólogos pediátricos, la concentración de especialistas en las zonas urbanas, y la falta de protocolos de atención temprana en los primeros niveles del sistema de salud. A ello se suma el escaso conocimiento por parte del personal médico general y de primer contacto, lo cual ocasiona que síntomas como rigidez matutina, eritema malar, fatiga persistente o dolor articular, sean confundidos con cuadros infecciosos comunes o “dolores de crecimiento”, retrasando así su detección por meses o incluso años.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Las brechas en el sistema estatal de salud se reflejan no solo en la falta de subespecialistas, sino también en la escasez de insumos diagnósticos avanzados (como anticuerpos ANA o anti-CCP en centros periféricos), la falta de acceso a tratamientos biológicos e inmunosupresores, y la ausencia de atención integral con enfoque multidisciplinario.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 esto se suma el impacto psicosocial que viven las niñas, niños y jóvenes con enfermedades autoinmunes: ausentismo escolar, estigmatización, dificultades en la movilidad y afectaciones emocionales por el curso crónico y la visibilidad de los síntomas.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El lupus no solo afecta físicamente, sino que tiene un profundo impacto psicosocial y en la salud mental de quienes lo padecen. Las personas con lupus enfrentan tasas elevadas de </w:t>
      </w:r>
      <w:r w:rsidRPr="006E437B">
        <w:rPr>
          <w:rFonts w:ascii="Times New Roman" w:hAnsi="Times New Roman" w:cs="Times New Roman"/>
          <w:b/>
          <w:sz w:val="24"/>
          <w:szCs w:val="24"/>
        </w:rPr>
        <w:t>ansiedad, depresión, fatiga crónica y aislamiento social</w:t>
      </w:r>
      <w:r w:rsidRPr="006E437B">
        <w:rPr>
          <w:rFonts w:ascii="Times New Roman" w:hAnsi="Times New Roman" w:cs="Times New Roman"/>
          <w:sz w:val="24"/>
          <w:szCs w:val="24"/>
        </w:rPr>
        <w:t>, exacerbadas por la incertidumbre del diagnóstico, los brotes impredecibles y el estigma asociado a una enfermedad invisible (Drenkard, 2022).</w:t>
      </w:r>
      <w:r w:rsidRPr="006E437B">
        <w:rPr>
          <w:rFonts w:ascii="Times New Roman" w:hAnsi="Times New Roman" w:cs="Times New Roman"/>
          <w:sz w:val="24"/>
          <w:szCs w:val="24"/>
          <w:vertAlign w:val="superscript"/>
        </w:rPr>
        <w:t>xxxix</w:t>
      </w:r>
      <w:r w:rsidRPr="006E437B">
        <w:rPr>
          <w:rFonts w:ascii="Times New Roman" w:hAnsi="Times New Roman" w:cs="Times New Roman"/>
          <w:sz w:val="24"/>
          <w:szCs w:val="24"/>
        </w:rPr>
        <w:t xml:space="preserve"> Este desgaste emocional disminuye la calidad de vida, dificulta el apego al tratamiento y puede conducir al abandono laboral o educativo, afectando su proyecto de vida. Aunado a esto las personas con Lupus presentan alteraciones en la cognición, principalmente en atención, memoria y fluidez verbal a edades tempranas (36.5 años) y raramente son evaluados desde la neuropsicología.</w:t>
      </w:r>
      <w:r w:rsidRPr="006E437B">
        <w:rPr>
          <w:rFonts w:ascii="Times New Roman" w:hAnsi="Times New Roman" w:cs="Times New Roman"/>
          <w:sz w:val="24"/>
          <w:szCs w:val="24"/>
          <w:vertAlign w:val="superscript"/>
        </w:rPr>
        <w:t xml:space="preserve">28,29 </w:t>
      </w:r>
      <w:r w:rsidRPr="006E437B">
        <w:rPr>
          <w:rFonts w:ascii="Times New Roman" w:hAnsi="Times New Roman" w:cs="Times New Roman"/>
          <w:sz w:val="24"/>
          <w:szCs w:val="24"/>
        </w:rPr>
        <w:t>Reconocer este impacto es clave para garantizar una atención integral y con perspectiva de derechos.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Por otro lado, existen consideraciones importantes que impactan a las personas con lupus. Además de las estructurales relacionadas con la falta de atención oportuna, formación de médicos y médicas de primer nivel o trabajo curricular en las licenciaturas de Medicina para estudiar a las enfermedades autoinmunes con mayor profundidad, se encuentran la presencia de otras enfermedades o síndromes aunados al lupus a lo largo del periodo de la enfermedad. Las personas con lupus eritematoso sistémico (LES) pueden desarrollar otras enfermedades autoinmunes de forma concomitante, lo cual complica el diagnóstico y tratamiento. Las más comunes incluyen la </w:t>
      </w:r>
      <w:r w:rsidRPr="006E437B">
        <w:rPr>
          <w:rFonts w:ascii="Times New Roman" w:hAnsi="Times New Roman" w:cs="Times New Roman"/>
          <w:b/>
          <w:sz w:val="24"/>
          <w:szCs w:val="24"/>
        </w:rPr>
        <w:t>tiroiditis autoinmune de Hashimoto</w:t>
      </w:r>
      <w:r w:rsidRPr="006E437B">
        <w:rPr>
          <w:rFonts w:ascii="Times New Roman" w:hAnsi="Times New Roman" w:cs="Times New Roman"/>
          <w:sz w:val="24"/>
          <w:szCs w:val="24"/>
        </w:rPr>
        <w:t xml:space="preserve">, que puede provocar hipotiroidismo; el </w:t>
      </w:r>
      <w:r w:rsidRPr="006E437B">
        <w:rPr>
          <w:rFonts w:ascii="Times New Roman" w:hAnsi="Times New Roman" w:cs="Times New Roman"/>
          <w:b/>
          <w:sz w:val="24"/>
          <w:szCs w:val="24"/>
        </w:rPr>
        <w:t>Síndrome de Sjögren</w:t>
      </w:r>
      <w:r w:rsidRPr="006E437B">
        <w:rPr>
          <w:rFonts w:ascii="Times New Roman" w:hAnsi="Times New Roman" w:cs="Times New Roman"/>
          <w:sz w:val="24"/>
          <w:szCs w:val="24"/>
        </w:rPr>
        <w:t xml:space="preserve">, caracterizado por sequedad en ojos y boca; la </w:t>
      </w:r>
      <w:r w:rsidRPr="006E437B">
        <w:rPr>
          <w:rFonts w:ascii="Times New Roman" w:hAnsi="Times New Roman" w:cs="Times New Roman"/>
          <w:b/>
          <w:sz w:val="24"/>
          <w:szCs w:val="24"/>
        </w:rPr>
        <w:t>anemia hemolítica autoinmune</w:t>
      </w:r>
      <w:r w:rsidRPr="006E437B">
        <w:rPr>
          <w:rFonts w:ascii="Times New Roman" w:hAnsi="Times New Roman" w:cs="Times New Roman"/>
          <w:sz w:val="24"/>
          <w:szCs w:val="24"/>
        </w:rPr>
        <w:t xml:space="preserve">; la </w:t>
      </w:r>
      <w:r w:rsidRPr="006E437B">
        <w:rPr>
          <w:rFonts w:ascii="Times New Roman" w:hAnsi="Times New Roman" w:cs="Times New Roman"/>
          <w:b/>
          <w:sz w:val="24"/>
          <w:szCs w:val="24"/>
        </w:rPr>
        <w:t>trombocitopenia inmunológica</w:t>
      </w:r>
      <w:r w:rsidRPr="006E437B">
        <w:rPr>
          <w:rFonts w:ascii="Times New Roman" w:hAnsi="Times New Roman" w:cs="Times New Roman"/>
          <w:sz w:val="24"/>
          <w:szCs w:val="24"/>
        </w:rPr>
        <w:t xml:space="preserve">; y el </w:t>
      </w:r>
      <w:r w:rsidRPr="006E437B">
        <w:rPr>
          <w:rFonts w:ascii="Times New Roman" w:hAnsi="Times New Roman" w:cs="Times New Roman"/>
          <w:b/>
          <w:sz w:val="24"/>
          <w:szCs w:val="24"/>
        </w:rPr>
        <w:t>Síndrome antifosfolípido (SAF)</w:t>
      </w:r>
      <w:r w:rsidRPr="006E437B">
        <w:rPr>
          <w:rFonts w:ascii="Times New Roman" w:hAnsi="Times New Roman" w:cs="Times New Roman"/>
          <w:sz w:val="24"/>
          <w:szCs w:val="24"/>
        </w:rPr>
        <w:t xml:space="preserve">, que incrementa el riesgo de trombosis y pérdidas gestacionales. También se ha documentado la coexistencia con </w:t>
      </w:r>
      <w:r w:rsidRPr="006E437B">
        <w:rPr>
          <w:rFonts w:ascii="Times New Roman" w:hAnsi="Times New Roman" w:cs="Times New Roman"/>
          <w:b/>
          <w:sz w:val="24"/>
          <w:szCs w:val="24"/>
        </w:rPr>
        <w:t xml:space="preserve">artritis reumatoide, esclerosis sistémica </w:t>
      </w:r>
      <w:r w:rsidRPr="006E437B">
        <w:rPr>
          <w:rFonts w:ascii="Times New Roman" w:hAnsi="Times New Roman" w:cs="Times New Roman"/>
          <w:sz w:val="24"/>
          <w:szCs w:val="24"/>
        </w:rPr>
        <w:t>y</w:t>
      </w:r>
      <w:r w:rsidRPr="006E437B">
        <w:rPr>
          <w:rFonts w:ascii="Times New Roman" w:hAnsi="Times New Roman" w:cs="Times New Roman"/>
          <w:b/>
          <w:sz w:val="24"/>
          <w:szCs w:val="24"/>
        </w:rPr>
        <w:t xml:space="preserve"> miositis inflamatoria (</w:t>
      </w:r>
      <w:r w:rsidRPr="006E437B">
        <w:rPr>
          <w:rFonts w:ascii="Times New Roman" w:hAnsi="Times New Roman" w:cs="Times New Roman"/>
          <w:sz w:val="24"/>
          <w:szCs w:val="24"/>
        </w:rPr>
        <w:t>Kaul, 2016) y fibromialgia.</w:t>
      </w:r>
      <w:r w:rsidRPr="006E437B">
        <w:rPr>
          <w:rFonts w:ascii="Times New Roman" w:hAnsi="Times New Roman" w:cs="Times New Roman"/>
          <w:sz w:val="24"/>
          <w:szCs w:val="24"/>
          <w:vertAlign w:val="superscript"/>
        </w:rPr>
        <w:t>30</w:t>
      </w:r>
      <w:r w:rsidRPr="006E437B">
        <w:rPr>
          <w:rFonts w:ascii="Times New Roman" w:hAnsi="Times New Roman" w:cs="Times New Roman"/>
          <w:sz w:val="24"/>
          <w:szCs w:val="24"/>
        </w:rPr>
        <w:t xml:space="preserve"> Este recibe el nombre de síndrome de superposición y es más frecuente en mujeres jóvenes, ya de por sí el grupo más afectado por el lupus.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En ese marco, el lupus eritematoso sistémico (LES) y la fibromialgia (FM) comparten síntomas como dolor musculoesquelético generalizado, fatiga crónica y trastornos del sueño, lo que puede dificultar su diagnóstico diferencial. La coexistencia de ambas condiciones es común y puede intensificar la carga sintomática en los pacientes.</w:t>
      </w:r>
      <w:r w:rsidRPr="006E437B">
        <w:rPr>
          <w:rFonts w:ascii="Times New Roman" w:hAnsi="Times New Roman" w:cs="Times New Roman"/>
          <w:sz w:val="24"/>
          <w:szCs w:val="24"/>
          <w:vertAlign w:val="superscript"/>
        </w:rPr>
        <w:t>31</w:t>
      </w:r>
      <w:r w:rsidRPr="006E437B">
        <w:rPr>
          <w:rFonts w:ascii="Times New Roman" w:hAnsi="Times New Roman" w:cs="Times New Roman"/>
          <w:sz w:val="24"/>
          <w:szCs w:val="24"/>
        </w:rPr>
        <w:t xml:space="preserve"> Estudios han demostrado que la presencia de FM en pacientes con LES se asocia con una mayor discapacidad funcional y una calidad de vida reducida.</w:t>
      </w:r>
      <w:r w:rsidRPr="006E437B">
        <w:rPr>
          <w:rFonts w:ascii="Times New Roman" w:hAnsi="Times New Roman" w:cs="Times New Roman"/>
          <w:sz w:val="24"/>
          <w:szCs w:val="24"/>
          <w:vertAlign w:val="superscript"/>
        </w:rPr>
        <w:t xml:space="preserve"> 32</w:t>
      </w:r>
      <w:r w:rsidRPr="006E437B">
        <w:rPr>
          <w:rFonts w:ascii="Times New Roman" w:hAnsi="Times New Roman" w:cs="Times New Roman"/>
          <w:sz w:val="24"/>
          <w:szCs w:val="24"/>
        </w:rPr>
        <w:t xml:space="preserve"> Además, la fibromialgia puede influir en la percepción de la actividad del lupus, lo que podría llevar a tratamientos más agresivos de lo necesario. Por lo tanto, es crucial una evaluación cuidadosa para distinguir entre los síntomas de ambas enfermedades y evitar intervenciones terapéuticas inadecuadas.</w:t>
      </w:r>
      <w:r w:rsidRPr="006E437B">
        <w:rPr>
          <w:rFonts w:ascii="Times New Roman" w:hAnsi="Times New Roman" w:cs="Times New Roman"/>
          <w:sz w:val="24"/>
          <w:szCs w:val="24"/>
          <w:vertAlign w:val="superscript"/>
        </w:rPr>
        <w:t xml:space="preserve"> 33</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 esto se suma la inexistencia de un censo estatal de personas con lupus, la falta histórica de capacitación para médicos generales, y un periodo diagnóstico que puede superar los cinco años (Athié, 2023).</w:t>
      </w:r>
      <w:r w:rsidRPr="006E437B">
        <w:rPr>
          <w:rFonts w:ascii="Times New Roman" w:hAnsi="Times New Roman" w:cs="Times New Roman"/>
          <w:sz w:val="24"/>
          <w:szCs w:val="24"/>
          <w:vertAlign w:val="superscript"/>
        </w:rPr>
        <w:t>xl</w:t>
      </w:r>
      <w:r w:rsidRPr="006E437B">
        <w:rPr>
          <w:rFonts w:ascii="Times New Roman" w:hAnsi="Times New Roman" w:cs="Times New Roman"/>
          <w:sz w:val="24"/>
          <w:szCs w:val="24"/>
        </w:rPr>
        <w:t xml:space="preserve"> Esta situación propicia complicaciones severas e incluso la muerte, al tiempo que limita el acceso a tratamientos adecuados y asequibles. La discriminación laboral, la exclusión del sistema educativo y los costos inasumibles de tratamientos como la hemodiálisis —). El costo anual promedio en el sector público por el tratamiento de un individuo en hemodiálisis es de $158 964.00 M. N.</w:t>
      </w:r>
      <w:r w:rsidRPr="006E437B">
        <w:rPr>
          <w:rFonts w:ascii="Times New Roman" w:hAnsi="Times New Roman" w:cs="Times New Roman"/>
          <w:b/>
          <w:sz w:val="24"/>
          <w:szCs w:val="24"/>
        </w:rPr>
        <w:t>)</w:t>
      </w:r>
      <w:r w:rsidRPr="006E437B">
        <w:rPr>
          <w:rFonts w:ascii="Times New Roman" w:hAnsi="Times New Roman" w:cs="Times New Roman"/>
          <w:sz w:val="24"/>
          <w:szCs w:val="24"/>
          <w:vertAlign w:val="superscript"/>
        </w:rPr>
        <w:t>37</w:t>
      </w:r>
      <w:r w:rsidRPr="006E437B">
        <w:rPr>
          <w:rFonts w:ascii="Times New Roman" w:hAnsi="Times New Roman" w:cs="Times New Roman"/>
          <w:sz w:val="24"/>
          <w:szCs w:val="24"/>
        </w:rPr>
        <w:t>— agravan la ya precaria calidad de vida de quienes viven con lupus en la entidad. Esta realidad exige una respuesta legislativa urgente y con enfoque de justicia social.</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Esta cifra adquiere mayor relevancia si se considera que el lupus afecta de forma desproporcionada a mujeres jóvenes, especialmente en edad reproductiva, entre los 15 y los 45 años. Este panorama refuerza la urgencia de implementar políticas públicas específicas con enfoque de género y atención especializada para esta población altamente vulnerable.</w:t>
      </w:r>
      <w:r w:rsidRPr="006E437B">
        <w:rPr>
          <w:rFonts w:ascii="Times New Roman" w:hAnsi="Times New Roman" w:cs="Times New Roman"/>
          <w:sz w:val="24"/>
          <w:szCs w:val="24"/>
          <w:vertAlign w:val="superscript"/>
        </w:rPr>
        <w:t>39</w:t>
      </w:r>
      <w:r w:rsidRPr="006E437B">
        <w:rPr>
          <w:rFonts w:ascii="Times New Roman" w:hAnsi="Times New Roman" w:cs="Times New Roman"/>
          <w:sz w:val="24"/>
          <w:szCs w:val="24"/>
        </w:rPr>
        <w:t xml:space="preserve"> Esta significativa proporción de la población femenina en edad fértil subraya la urgencia de establecer políticas públicas que garanticen atención médica especializada, acceso continuo a tratamientos y un enfoque integral que tome en cuenta los impactos físicos, emocionales y sociales de la enfermedad.</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Por ello, la presente iniciativa propone declarar la segunda semana de mayo como la “Semana Estatal de Concientización sobre el Lupus y Otras Enfermedades Autoinmunes” en el Estado de México, así como expedir la Ley para la Atención Integral y la Garantía de Derechos de las Personas con Lupus y Otras Enfermedades Autoinmunes en la entidad, con el objetivo de:</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Impulsar un </w:t>
      </w:r>
      <w:r w:rsidRPr="006E437B">
        <w:rPr>
          <w:rFonts w:ascii="Times New Roman" w:hAnsi="Times New Roman" w:cs="Times New Roman"/>
          <w:b/>
          <w:sz w:val="24"/>
          <w:szCs w:val="24"/>
        </w:rPr>
        <w:t>Censo Estatal digital de Personas con Lupus y otras enfermedades autoinmunes de todas las edades.</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Reconocer formalmente a las </w:t>
      </w:r>
      <w:r w:rsidRPr="006E437B">
        <w:rPr>
          <w:rFonts w:ascii="Times New Roman" w:hAnsi="Times New Roman" w:cs="Times New Roman"/>
          <w:b/>
          <w:sz w:val="24"/>
          <w:szCs w:val="24"/>
        </w:rPr>
        <w:t xml:space="preserve">enfermedades autoinmunes como un problema prioritario de salud pública </w:t>
      </w:r>
      <w:r w:rsidRPr="006E437B">
        <w:rPr>
          <w:rFonts w:ascii="Times New Roman" w:hAnsi="Times New Roman" w:cs="Times New Roman"/>
          <w:sz w:val="24"/>
          <w:szCs w:val="24"/>
        </w:rPr>
        <w:t>que puede afectar a personas de todas las edades.</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Promover la </w:t>
      </w:r>
      <w:r w:rsidRPr="006E437B">
        <w:rPr>
          <w:rFonts w:ascii="Times New Roman" w:hAnsi="Times New Roman" w:cs="Times New Roman"/>
          <w:b/>
          <w:sz w:val="24"/>
          <w:szCs w:val="24"/>
        </w:rPr>
        <w:t>formación especializada en reumatología y reumatología pediátrica.</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Garantizar el </w:t>
      </w:r>
      <w:r w:rsidRPr="006E437B">
        <w:rPr>
          <w:rFonts w:ascii="Times New Roman" w:hAnsi="Times New Roman" w:cs="Times New Roman"/>
          <w:b/>
          <w:sz w:val="24"/>
          <w:szCs w:val="24"/>
        </w:rPr>
        <w:t>acceso a medicamentos esenciales, médicos especialistas y estudios diagnósticos.</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Fomentar la </w:t>
      </w:r>
      <w:r w:rsidRPr="006E437B">
        <w:rPr>
          <w:rFonts w:ascii="Times New Roman" w:hAnsi="Times New Roman" w:cs="Times New Roman"/>
          <w:b/>
          <w:sz w:val="24"/>
          <w:szCs w:val="24"/>
        </w:rPr>
        <w:t>detección temprana,</w:t>
      </w:r>
      <w:r w:rsidRPr="006E437B">
        <w:rPr>
          <w:rFonts w:ascii="Times New Roman" w:hAnsi="Times New Roman" w:cs="Times New Roman"/>
          <w:sz w:val="24"/>
          <w:szCs w:val="24"/>
        </w:rPr>
        <w:t xml:space="preserve"> especialmente en el primer nivel de atención.</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Impulsar </w:t>
      </w:r>
      <w:r w:rsidRPr="006E437B">
        <w:rPr>
          <w:rFonts w:ascii="Times New Roman" w:hAnsi="Times New Roman" w:cs="Times New Roman"/>
          <w:b/>
          <w:sz w:val="24"/>
          <w:szCs w:val="24"/>
        </w:rPr>
        <w:t>campañas de sensibilización, tamizaje y divulgación escolar.</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Prevenir la </w:t>
      </w:r>
      <w:r w:rsidRPr="006E437B">
        <w:rPr>
          <w:rFonts w:ascii="Times New Roman" w:hAnsi="Times New Roman" w:cs="Times New Roman"/>
          <w:b/>
          <w:sz w:val="24"/>
          <w:szCs w:val="24"/>
        </w:rPr>
        <w:t>discriminación institucional hacia pacientes con enfermedades invisibles y crónicas.</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Promover la integración de la </w:t>
      </w:r>
      <w:r w:rsidRPr="006E437B">
        <w:rPr>
          <w:rFonts w:ascii="Times New Roman" w:hAnsi="Times New Roman" w:cs="Times New Roman"/>
          <w:b/>
          <w:sz w:val="24"/>
          <w:szCs w:val="24"/>
        </w:rPr>
        <w:t>evaluación neuropsicológica</w:t>
      </w:r>
      <w:r w:rsidRPr="006E437B">
        <w:rPr>
          <w:rFonts w:ascii="Times New Roman" w:hAnsi="Times New Roman" w:cs="Times New Roman"/>
          <w:sz w:val="24"/>
          <w:szCs w:val="24"/>
        </w:rPr>
        <w:t xml:space="preserve"> en personas con lupus eritematoso sistémico en el sector público.</w:t>
      </w:r>
    </w:p>
    <w:p w:rsidR="001850B4" w:rsidRPr="006E437B" w:rsidRDefault="001850B4" w:rsidP="00DA64DA">
      <w:pPr>
        <w:numPr>
          <w:ilvl w:val="0"/>
          <w:numId w:val="20"/>
        </w:numPr>
        <w:spacing w:after="0" w:line="240" w:lineRule="auto"/>
        <w:ind w:hanging="360"/>
        <w:jc w:val="both"/>
        <w:rPr>
          <w:rFonts w:ascii="Times New Roman" w:hAnsi="Times New Roman" w:cs="Times New Roman"/>
          <w:sz w:val="24"/>
          <w:szCs w:val="24"/>
        </w:rPr>
      </w:pPr>
      <w:r w:rsidRPr="006E437B">
        <w:rPr>
          <w:rFonts w:ascii="Times New Roman" w:hAnsi="Times New Roman" w:cs="Times New Roman"/>
          <w:sz w:val="24"/>
          <w:szCs w:val="24"/>
        </w:rPr>
        <w:t xml:space="preserve">Reconocer el </w:t>
      </w:r>
      <w:r w:rsidRPr="006E437B">
        <w:rPr>
          <w:rFonts w:ascii="Times New Roman" w:hAnsi="Times New Roman" w:cs="Times New Roman"/>
          <w:b/>
          <w:sz w:val="24"/>
          <w:szCs w:val="24"/>
        </w:rPr>
        <w:t>lupus eritematoso sistémico como enfermedad discapacitante</w:t>
      </w:r>
      <w:r w:rsidRPr="006E437B">
        <w:rPr>
          <w:rFonts w:ascii="Times New Roman" w:hAnsi="Times New Roman" w:cs="Times New Roman"/>
          <w:sz w:val="24"/>
          <w:szCs w:val="24"/>
        </w:rPr>
        <w:t xml:space="preserve"> en el Estado de México.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Atender estas necesidades no solo implica </w:t>
      </w:r>
      <w:r w:rsidRPr="006E437B">
        <w:rPr>
          <w:rFonts w:ascii="Times New Roman" w:hAnsi="Times New Roman" w:cs="Times New Roman"/>
          <w:b/>
          <w:sz w:val="24"/>
          <w:szCs w:val="24"/>
        </w:rPr>
        <w:t>salvar vidas y prevenir discapacidad</w:t>
      </w:r>
      <w:r w:rsidRPr="006E437B">
        <w:rPr>
          <w:rFonts w:ascii="Times New Roman" w:hAnsi="Times New Roman" w:cs="Times New Roman"/>
          <w:sz w:val="24"/>
          <w:szCs w:val="24"/>
        </w:rPr>
        <w:t xml:space="preserve">, sino también </w:t>
      </w:r>
      <w:r w:rsidRPr="006E437B">
        <w:rPr>
          <w:rFonts w:ascii="Times New Roman" w:hAnsi="Times New Roman" w:cs="Times New Roman"/>
          <w:b/>
          <w:sz w:val="24"/>
          <w:szCs w:val="24"/>
        </w:rPr>
        <w:t>garantizar los derechos fundamentales a la salud, la educación y una vida digna</w:t>
      </w:r>
      <w:r w:rsidRPr="006E437B">
        <w:rPr>
          <w:rFonts w:ascii="Times New Roman" w:hAnsi="Times New Roman" w:cs="Times New Roman"/>
          <w:sz w:val="24"/>
          <w:szCs w:val="24"/>
        </w:rPr>
        <w:t xml:space="preserve"> para niñas, niños, jóvenes y personas adultas que viven con enfermedades reumáticas y autoinmunes en la entidad.</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b/>
          <w:sz w:val="24"/>
          <w:szCs w:val="24"/>
          <w:vertAlign w:val="superscript"/>
        </w:rPr>
      </w:pPr>
      <w:r w:rsidRPr="006E437B">
        <w:rPr>
          <w:rFonts w:ascii="Times New Roman" w:hAnsi="Times New Roman" w:cs="Times New Roman"/>
          <w:sz w:val="24"/>
          <w:szCs w:val="24"/>
        </w:rPr>
        <w:t>Finalmente, debe mencionarse que el lupus, conocido como la enfermedad autoinmune por excelencia, dada su complejidad y dificulta de ser diagnosticada, es una de las 100 afecciones consideradas dentro del espectro las enfermedades autoinmunes en dónde se considera la fibromialgia que vive igual condición de invisibilidad</w:t>
      </w:r>
      <w:r w:rsidRPr="006E437B">
        <w:rPr>
          <w:rFonts w:ascii="Times New Roman" w:hAnsi="Times New Roman" w:cs="Times New Roman"/>
          <w:sz w:val="24"/>
          <w:szCs w:val="24"/>
          <w:vertAlign w:val="superscript"/>
        </w:rPr>
        <w:t>40</w:t>
      </w:r>
      <w:r w:rsidRPr="006E437B">
        <w:rPr>
          <w:rFonts w:ascii="Times New Roman" w:hAnsi="Times New Roman" w:cs="Times New Roman"/>
          <w:sz w:val="24"/>
          <w:szCs w:val="24"/>
        </w:rPr>
        <w:t>, y que contempla la iniciativa de ley presentada en el Senado el 20 de noviembre de 2024. Quien padece lupus, es una enfermedad crónica, degenerativa y discapacitante, además suele presentar otras enfermedades consideradas raras y autoinmunes.</w:t>
      </w:r>
      <w:r w:rsidRPr="006E437B">
        <w:rPr>
          <w:rFonts w:ascii="Times New Roman" w:hAnsi="Times New Roman" w:cs="Times New Roman"/>
          <w:sz w:val="24"/>
          <w:szCs w:val="24"/>
          <w:vertAlign w:val="superscript"/>
        </w:rPr>
        <w:t>41</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De esa manera, con esta iniciativa se busca garantizar el derecho a una atención médica de calidad para todas y todos los que padecen la enfermedad de lupus y otras enfermedades autoinmunes, pero en especial a las mujeres, pues ellas constituyen la inmensa mayoría del grupo poblacional afectado por estas enfermedades, teniendo por objetivo establecer en nuestro marco legal la atención a personas con lupus y otras enfermedades autoinmunes, a fin de mejorar la calidad de vida de quienes viven con la enfermedad. Por otro lado, es preciso que en el Estado de México se mejore la atención y el acceso a los servicios de salud relacionados con padecimientos con lupus y otras enfermedades autoinmunes, a efecto de impulsar políticas públicas que propicien el mejoramiento en la cobertura médica de este tipo de enfermedades, impulsando además la creación del Censo Estatal digital de personas con Lupus y otras enfermedades autoinmunes.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 xml:space="preserve">i </w:t>
      </w:r>
      <w:r w:rsidRPr="006E437B">
        <w:rPr>
          <w:rFonts w:ascii="Times New Roman" w:eastAsia="Times New Roman" w:hAnsi="Times New Roman" w:cs="Times New Roman"/>
          <w:sz w:val="20"/>
          <w:szCs w:val="24"/>
        </w:rPr>
        <w:t xml:space="preserve">Registro Mexicano de Lupus. (2023). Prevalencia de Lupus en México. Recuperado de </w:t>
      </w:r>
      <w:hyperlink r:id="rId52">
        <w:r w:rsidRPr="006E437B">
          <w:rPr>
            <w:rFonts w:ascii="Times New Roman" w:eastAsia="Times New Roman" w:hAnsi="Times New Roman" w:cs="Times New Roman"/>
            <w:sz w:val="20"/>
            <w:szCs w:val="24"/>
            <w:u w:val="single" w:color="0563C1"/>
          </w:rPr>
          <w:t>https://lupusrgmx.liigh.unam.mx/</w:t>
        </w:r>
      </w:hyperlink>
      <w:hyperlink r:id="rId53">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ii</w:t>
      </w:r>
      <w:r w:rsidRPr="006E437B">
        <w:rPr>
          <w:rFonts w:ascii="Times New Roman" w:eastAsia="Times New Roman" w:hAnsi="Times New Roman" w:cs="Times New Roman"/>
          <w:sz w:val="20"/>
          <w:szCs w:val="24"/>
        </w:rPr>
        <w:t xml:space="preserve"> Drenkard, Cristina. (2022). Prólogo. En Athié, Laura (Comp.), </w:t>
      </w:r>
      <w:r w:rsidRPr="006E437B">
        <w:rPr>
          <w:rFonts w:ascii="Times New Roman" w:eastAsia="Times New Roman" w:hAnsi="Times New Roman" w:cs="Times New Roman"/>
          <w:i/>
          <w:sz w:val="20"/>
          <w:szCs w:val="24"/>
        </w:rPr>
        <w:t>Nos esforzamos y somos valientes: Memorias de nuestras batallas con el lupus</w:t>
      </w:r>
      <w:r w:rsidRPr="006E437B">
        <w:rPr>
          <w:rFonts w:ascii="Times New Roman" w:eastAsia="Times New Roman" w:hAnsi="Times New Roman" w:cs="Times New Roman"/>
          <w:sz w:val="20"/>
          <w:szCs w:val="24"/>
        </w:rPr>
        <w:t xml:space="preserve"> (pp. 9-12). LEM México.</w:t>
      </w:r>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 xml:space="preserve">iii </w:t>
      </w:r>
      <w:r w:rsidRPr="006E437B">
        <w:rPr>
          <w:rFonts w:ascii="Times New Roman" w:eastAsia="Times New Roman" w:hAnsi="Times New Roman" w:cs="Times New Roman"/>
          <w:sz w:val="20"/>
          <w:szCs w:val="24"/>
        </w:rPr>
        <w:t xml:space="preserve">Cardiel, M., entrevista con Martínez Vélez, N. A. </w:t>
      </w:r>
      <w:r w:rsidRPr="006E437B">
        <w:rPr>
          <w:rFonts w:ascii="Times New Roman" w:eastAsia="Times New Roman" w:hAnsi="Times New Roman" w:cs="Times New Roman"/>
          <w:sz w:val="20"/>
          <w:szCs w:val="24"/>
          <w:vertAlign w:val="superscript"/>
        </w:rPr>
        <w:t xml:space="preserve"> </w:t>
      </w:r>
      <w:r w:rsidRPr="006E437B">
        <w:rPr>
          <w:rFonts w:ascii="Times New Roman" w:eastAsia="Times New Roman" w:hAnsi="Times New Roman" w:cs="Times New Roman"/>
          <w:sz w:val="20"/>
          <w:szCs w:val="24"/>
        </w:rPr>
        <w:t xml:space="preserve">(2024). </w:t>
      </w:r>
      <w:r w:rsidRPr="006E437B">
        <w:rPr>
          <w:rFonts w:ascii="Times New Roman" w:eastAsia="Times New Roman" w:hAnsi="Times New Roman" w:cs="Times New Roman"/>
          <w:i/>
          <w:sz w:val="20"/>
          <w:szCs w:val="24"/>
        </w:rPr>
        <w:t>Las múltiples realidades de la odisea diagnóstica</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Lúpica: Experiencias, saberes y contranarrativas del lupus</w:t>
      </w:r>
      <w:r w:rsidRPr="006E437B">
        <w:rPr>
          <w:rFonts w:ascii="Times New Roman" w:eastAsia="Times New Roman" w:hAnsi="Times New Roman" w:cs="Times New Roman"/>
          <w:sz w:val="20"/>
          <w:szCs w:val="24"/>
        </w:rPr>
        <w:t xml:space="preserve">, 1(0), 8-12. Recuperado de </w:t>
      </w:r>
      <w:hyperlink r:id="rId54">
        <w:r w:rsidRPr="006E437B">
          <w:rPr>
            <w:rFonts w:ascii="Times New Roman" w:eastAsia="Times New Roman" w:hAnsi="Times New Roman" w:cs="Times New Roman"/>
            <w:sz w:val="20"/>
            <w:szCs w:val="24"/>
            <w:u w:val="single" w:color="0563C1"/>
          </w:rPr>
          <w:t>https://cetlu.com.mx/articulos/08</w:t>
        </w:r>
      </w:hyperlink>
      <w:hyperlink r:id="rId55">
        <w:r w:rsidRPr="006E437B">
          <w:rPr>
            <w:rFonts w:ascii="Times New Roman" w:eastAsia="Times New Roman" w:hAnsi="Times New Roman" w:cs="Times New Roman"/>
            <w:sz w:val="20"/>
            <w:szCs w:val="24"/>
            <w:u w:val="single" w:color="0563C1"/>
          </w:rPr>
          <w:t>-</w:t>
        </w:r>
      </w:hyperlink>
      <w:hyperlink r:id="rId56">
        <w:r w:rsidRPr="006E437B">
          <w:rPr>
            <w:rFonts w:ascii="Times New Roman" w:eastAsia="Times New Roman" w:hAnsi="Times New Roman" w:cs="Times New Roman"/>
            <w:sz w:val="20"/>
            <w:szCs w:val="24"/>
            <w:u w:val="single" w:color="0563C1"/>
          </w:rPr>
          <w:t>entrevista/</w:t>
        </w:r>
      </w:hyperlink>
      <w:hyperlink r:id="rId57">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 xml:space="preserve">iv </w:t>
      </w:r>
      <w:r w:rsidRPr="006E437B">
        <w:rPr>
          <w:rFonts w:ascii="Times New Roman" w:eastAsia="Times New Roman" w:hAnsi="Times New Roman" w:cs="Times New Roman"/>
          <w:sz w:val="20"/>
          <w:szCs w:val="24"/>
        </w:rPr>
        <w:t xml:space="preserve">Athié, L. (2024). La interrogante contemporánea: ¿síndrome o enfermedad? </w:t>
      </w:r>
      <w:r w:rsidRPr="006E437B">
        <w:rPr>
          <w:rFonts w:ascii="Times New Roman" w:eastAsia="Times New Roman" w:hAnsi="Times New Roman" w:cs="Times New Roman"/>
          <w:i/>
          <w:sz w:val="20"/>
          <w:szCs w:val="24"/>
        </w:rPr>
        <w:t>Lúpica, Cetlu</w:t>
      </w:r>
      <w:r w:rsidRPr="006E437B">
        <w:rPr>
          <w:rFonts w:ascii="Times New Roman" w:eastAsia="Times New Roman" w:hAnsi="Times New Roman" w:cs="Times New Roman"/>
          <w:sz w:val="20"/>
          <w:szCs w:val="24"/>
        </w:rPr>
        <w:t xml:space="preserve">, entrevista al Dr. Bernardo Pons-Estel, 1(0), 18-21. Recuperado de </w:t>
      </w:r>
      <w:hyperlink r:id="rId58">
        <w:r w:rsidRPr="006E437B">
          <w:rPr>
            <w:rFonts w:ascii="Times New Roman" w:eastAsia="Times New Roman" w:hAnsi="Times New Roman" w:cs="Times New Roman"/>
            <w:sz w:val="20"/>
            <w:szCs w:val="24"/>
            <w:u w:val="single" w:color="0563C1"/>
          </w:rPr>
          <w:t>https://cetlu.com.mx/articulos/18</w:t>
        </w:r>
      </w:hyperlink>
      <w:hyperlink r:id="rId59">
        <w:r w:rsidRPr="006E437B">
          <w:rPr>
            <w:rFonts w:ascii="Times New Roman" w:eastAsia="Times New Roman" w:hAnsi="Times New Roman" w:cs="Times New Roman"/>
            <w:sz w:val="20"/>
            <w:szCs w:val="24"/>
            <w:u w:val="single" w:color="0563C1"/>
          </w:rPr>
          <w:t>-</w:t>
        </w:r>
      </w:hyperlink>
      <w:hyperlink r:id="rId60">
        <w:r w:rsidRPr="006E437B">
          <w:rPr>
            <w:rFonts w:ascii="Times New Roman" w:eastAsia="Times New Roman" w:hAnsi="Times New Roman" w:cs="Times New Roman"/>
            <w:sz w:val="20"/>
            <w:szCs w:val="24"/>
            <w:u w:val="single" w:color="0563C1"/>
          </w:rPr>
          <w:t>entrevista/</w:t>
        </w:r>
      </w:hyperlink>
      <w:hyperlink r:id="rId61"/>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v</w:t>
      </w:r>
      <w:r w:rsidRPr="006E437B">
        <w:rPr>
          <w:rFonts w:ascii="Times New Roman" w:eastAsia="Times New Roman" w:hAnsi="Times New Roman" w:cs="Times New Roman"/>
          <w:sz w:val="20"/>
          <w:szCs w:val="24"/>
        </w:rPr>
        <w:t xml:space="preserve"> Lupus Foundation of America. Lupus. </w:t>
      </w:r>
      <w:hyperlink r:id="rId62">
        <w:r w:rsidRPr="006E437B">
          <w:rPr>
            <w:rFonts w:ascii="Times New Roman" w:eastAsia="Times New Roman" w:hAnsi="Times New Roman" w:cs="Times New Roman"/>
            <w:sz w:val="20"/>
            <w:szCs w:val="24"/>
            <w:u w:val="single" w:color="0563C1"/>
          </w:rPr>
          <w:t>https://www.lupus.org/</w:t>
        </w:r>
      </w:hyperlink>
      <w:hyperlink r:id="rId63">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vi</w:t>
      </w:r>
      <w:r w:rsidRPr="006E437B">
        <w:rPr>
          <w:rFonts w:ascii="Times New Roman" w:eastAsia="Times New Roman" w:hAnsi="Times New Roman" w:cs="Times New Roman"/>
          <w:sz w:val="20"/>
          <w:szCs w:val="24"/>
        </w:rPr>
        <w:t xml:space="preserve"> Drenkard, Cristina. (2022). Prólogo. En L. Athié (Comp.), </w:t>
      </w:r>
      <w:r w:rsidRPr="006E437B">
        <w:rPr>
          <w:rFonts w:ascii="Times New Roman" w:eastAsia="Times New Roman" w:hAnsi="Times New Roman" w:cs="Times New Roman"/>
          <w:i/>
          <w:sz w:val="20"/>
          <w:szCs w:val="24"/>
        </w:rPr>
        <w:t>Nos esforzamos y somos valientes: Memorias de nuestras batallas con el lupus</w:t>
      </w:r>
      <w:r w:rsidRPr="006E437B">
        <w:rPr>
          <w:rFonts w:ascii="Times New Roman" w:eastAsia="Times New Roman" w:hAnsi="Times New Roman" w:cs="Times New Roman"/>
          <w:sz w:val="20"/>
          <w:szCs w:val="24"/>
        </w:rPr>
        <w:t xml:space="preserve"> (pp. 9-12). LEM México. </w:t>
      </w:r>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vii</w:t>
      </w:r>
      <w:r w:rsidRPr="006E437B">
        <w:rPr>
          <w:rFonts w:ascii="Times New Roman" w:eastAsia="Times New Roman" w:hAnsi="Times New Roman" w:cs="Times New Roman"/>
          <w:sz w:val="20"/>
          <w:szCs w:val="24"/>
        </w:rPr>
        <w:t xml:space="preserve"> Mayo Clinic: </w:t>
      </w:r>
      <w:hyperlink r:id="rId64" w:history="1">
        <w:r w:rsidRPr="006E437B">
          <w:rPr>
            <w:rStyle w:val="Hipervnculo"/>
            <w:rFonts w:ascii="Times New Roman" w:eastAsia="Times New Roman" w:hAnsi="Times New Roman" w:cs="Times New Roman"/>
            <w:color w:val="auto"/>
            <w:sz w:val="20"/>
            <w:szCs w:val="24"/>
          </w:rPr>
          <w:t>https://www.mayoclinic.org/es/diseases-conditions/lupus/symptoms-causes /syc-20365789</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viii</w:t>
      </w:r>
      <w:r w:rsidRPr="006E437B">
        <w:rPr>
          <w:rFonts w:ascii="Times New Roman" w:eastAsia="Times New Roman" w:hAnsi="Times New Roman" w:cs="Times New Roman"/>
          <w:sz w:val="20"/>
          <w:szCs w:val="24"/>
        </w:rPr>
        <w:t xml:space="preserve"> National Resource Center on Lupus. Las causas de muerte más comunes en personas con lupus. Lupus Foundation of America: </w:t>
      </w:r>
      <w:hyperlink r:id="rId65">
        <w:r w:rsidRPr="006E437B">
          <w:rPr>
            <w:rFonts w:ascii="Times New Roman" w:eastAsia="Times New Roman" w:hAnsi="Times New Roman" w:cs="Times New Roman"/>
            <w:sz w:val="20"/>
            <w:szCs w:val="24"/>
            <w:u w:val="single" w:color="0563C1"/>
          </w:rPr>
          <w:t>https://www.lupus.org/es/resources/las</w:t>
        </w:r>
      </w:hyperlink>
      <w:hyperlink r:id="rId66">
        <w:r w:rsidRPr="006E437B">
          <w:rPr>
            <w:rFonts w:ascii="Times New Roman" w:eastAsia="Times New Roman" w:hAnsi="Times New Roman" w:cs="Times New Roman"/>
            <w:sz w:val="20"/>
            <w:szCs w:val="24"/>
            <w:u w:val="single" w:color="0563C1"/>
          </w:rPr>
          <w:t>-</w:t>
        </w:r>
      </w:hyperlink>
      <w:hyperlink r:id="rId67">
        <w:r w:rsidRPr="006E437B">
          <w:rPr>
            <w:rFonts w:ascii="Times New Roman" w:eastAsia="Times New Roman" w:hAnsi="Times New Roman" w:cs="Times New Roman"/>
            <w:sz w:val="20"/>
            <w:szCs w:val="24"/>
            <w:u w:val="single" w:color="0563C1"/>
          </w:rPr>
          <w:t>causas</w:t>
        </w:r>
      </w:hyperlink>
      <w:hyperlink r:id="rId68">
        <w:r w:rsidRPr="006E437B">
          <w:rPr>
            <w:rFonts w:ascii="Times New Roman" w:eastAsia="Times New Roman" w:hAnsi="Times New Roman" w:cs="Times New Roman"/>
            <w:sz w:val="20"/>
            <w:szCs w:val="24"/>
            <w:u w:val="single" w:color="0563C1"/>
          </w:rPr>
          <w:t>-</w:t>
        </w:r>
      </w:hyperlink>
      <w:hyperlink r:id="rId69">
        <w:r w:rsidRPr="006E437B">
          <w:rPr>
            <w:rFonts w:ascii="Times New Roman" w:eastAsia="Times New Roman" w:hAnsi="Times New Roman" w:cs="Times New Roman"/>
            <w:sz w:val="20"/>
            <w:szCs w:val="24"/>
            <w:u w:val="single" w:color="0563C1"/>
          </w:rPr>
          <w:t>de</w:t>
        </w:r>
      </w:hyperlink>
      <w:hyperlink r:id="rId70">
        <w:r w:rsidRPr="006E437B">
          <w:rPr>
            <w:rFonts w:ascii="Times New Roman" w:eastAsia="Times New Roman" w:hAnsi="Times New Roman" w:cs="Times New Roman"/>
            <w:sz w:val="20"/>
            <w:szCs w:val="24"/>
            <w:u w:val="single" w:color="0563C1"/>
          </w:rPr>
          <w:t>-</w:t>
        </w:r>
      </w:hyperlink>
      <w:hyperlink r:id="rId71">
        <w:r w:rsidRPr="006E437B">
          <w:rPr>
            <w:rFonts w:ascii="Times New Roman" w:eastAsia="Times New Roman" w:hAnsi="Times New Roman" w:cs="Times New Roman"/>
            <w:sz w:val="20"/>
            <w:szCs w:val="24"/>
            <w:u w:val="single" w:color="0563C1"/>
          </w:rPr>
          <w:t>muerte</w:t>
        </w:r>
      </w:hyperlink>
      <w:hyperlink r:id="rId72">
        <w:r w:rsidRPr="006E437B">
          <w:rPr>
            <w:rFonts w:ascii="Times New Roman" w:eastAsia="Times New Roman" w:hAnsi="Times New Roman" w:cs="Times New Roman"/>
            <w:sz w:val="20"/>
            <w:szCs w:val="24"/>
            <w:u w:val="single" w:color="0563C1"/>
          </w:rPr>
          <w:t>-</w:t>
        </w:r>
      </w:hyperlink>
      <w:hyperlink r:id="rId73">
        <w:r w:rsidRPr="006E437B">
          <w:rPr>
            <w:rFonts w:ascii="Times New Roman" w:eastAsia="Times New Roman" w:hAnsi="Times New Roman" w:cs="Times New Roman"/>
            <w:sz w:val="20"/>
            <w:szCs w:val="24"/>
            <w:u w:val="single" w:color="0563C1"/>
          </w:rPr>
          <w:t>mas</w:t>
        </w:r>
      </w:hyperlink>
      <w:hyperlink r:id="rId74">
        <w:r w:rsidRPr="006E437B">
          <w:rPr>
            <w:rFonts w:ascii="Times New Roman" w:eastAsia="Times New Roman" w:hAnsi="Times New Roman" w:cs="Times New Roman"/>
            <w:sz w:val="20"/>
            <w:szCs w:val="24"/>
            <w:u w:val="single" w:color="0563C1"/>
          </w:rPr>
          <w:t>-</w:t>
        </w:r>
      </w:hyperlink>
      <w:hyperlink r:id="rId75">
        <w:r w:rsidRPr="006E437B">
          <w:rPr>
            <w:rFonts w:ascii="Times New Roman" w:eastAsia="Times New Roman" w:hAnsi="Times New Roman" w:cs="Times New Roman"/>
            <w:sz w:val="20"/>
            <w:szCs w:val="24"/>
            <w:u w:val="single" w:color="0563C1"/>
          </w:rPr>
          <w:t>comunes</w:t>
        </w:r>
      </w:hyperlink>
      <w:hyperlink r:id="rId76">
        <w:r w:rsidRPr="006E437B">
          <w:rPr>
            <w:rFonts w:ascii="Times New Roman" w:eastAsia="Times New Roman" w:hAnsi="Times New Roman" w:cs="Times New Roman"/>
            <w:sz w:val="20"/>
            <w:szCs w:val="24"/>
            <w:u w:val="single" w:color="0563C1"/>
          </w:rPr>
          <w:t>-</w:t>
        </w:r>
      </w:hyperlink>
      <w:hyperlink r:id="rId77">
        <w:r w:rsidRPr="006E437B">
          <w:rPr>
            <w:rFonts w:ascii="Times New Roman" w:eastAsia="Times New Roman" w:hAnsi="Times New Roman" w:cs="Times New Roman"/>
            <w:sz w:val="20"/>
            <w:szCs w:val="24"/>
            <w:u w:val="single" w:color="0563C1"/>
          </w:rPr>
          <w:t>en</w:t>
        </w:r>
      </w:hyperlink>
      <w:hyperlink r:id="rId78">
        <w:r w:rsidRPr="006E437B">
          <w:rPr>
            <w:rFonts w:ascii="Times New Roman" w:eastAsia="Times New Roman" w:hAnsi="Times New Roman" w:cs="Times New Roman"/>
            <w:sz w:val="20"/>
            <w:szCs w:val="24"/>
            <w:u w:val="single" w:color="0563C1"/>
          </w:rPr>
          <w:t>-</w:t>
        </w:r>
      </w:hyperlink>
      <w:hyperlink r:id="rId79">
        <w:r w:rsidRPr="006E437B">
          <w:rPr>
            <w:rFonts w:ascii="Times New Roman" w:eastAsia="Times New Roman" w:hAnsi="Times New Roman" w:cs="Times New Roman"/>
            <w:sz w:val="20"/>
            <w:szCs w:val="24"/>
            <w:u w:val="single" w:color="0563C1"/>
          </w:rPr>
          <w:t>personas</w:t>
        </w:r>
      </w:hyperlink>
      <w:hyperlink r:id="rId80"/>
      <w:hyperlink r:id="rId81">
        <w:r w:rsidRPr="006E437B">
          <w:rPr>
            <w:rFonts w:ascii="Times New Roman" w:eastAsia="Times New Roman" w:hAnsi="Times New Roman" w:cs="Times New Roman"/>
            <w:sz w:val="20"/>
            <w:szCs w:val="24"/>
            <w:u w:val="single" w:color="0563C1"/>
          </w:rPr>
          <w:t>con</w:t>
        </w:r>
      </w:hyperlink>
      <w:hyperlink r:id="rId82">
        <w:r w:rsidRPr="006E437B">
          <w:rPr>
            <w:rFonts w:ascii="Times New Roman" w:eastAsia="Times New Roman" w:hAnsi="Times New Roman" w:cs="Times New Roman"/>
            <w:sz w:val="20"/>
            <w:szCs w:val="24"/>
            <w:u w:val="single" w:color="0563C1"/>
          </w:rPr>
          <w:t>-</w:t>
        </w:r>
      </w:hyperlink>
      <w:hyperlink r:id="rId83">
        <w:r w:rsidRPr="006E437B">
          <w:rPr>
            <w:rFonts w:ascii="Times New Roman" w:eastAsia="Times New Roman" w:hAnsi="Times New Roman" w:cs="Times New Roman"/>
            <w:sz w:val="20"/>
            <w:szCs w:val="24"/>
            <w:u w:val="single" w:color="0563C1"/>
          </w:rPr>
          <w:t>lupus</w:t>
        </w:r>
      </w:hyperlink>
      <w:hyperlink r:id="rId84">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ix</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b/>
          <w:sz w:val="20"/>
          <w:szCs w:val="24"/>
        </w:rPr>
        <w:t>Manual MSD.</w:t>
      </w:r>
      <w:r w:rsidRPr="006E437B">
        <w:rPr>
          <w:rFonts w:ascii="Times New Roman" w:eastAsia="Times New Roman" w:hAnsi="Times New Roman" w:cs="Times New Roman"/>
          <w:sz w:val="20"/>
          <w:szCs w:val="24"/>
        </w:rPr>
        <w:t xml:space="preserve"> (2023). </w:t>
      </w:r>
      <w:r w:rsidRPr="006E437B">
        <w:rPr>
          <w:rFonts w:ascii="Times New Roman" w:eastAsia="Times New Roman" w:hAnsi="Times New Roman" w:cs="Times New Roman"/>
          <w:i/>
          <w:sz w:val="20"/>
          <w:szCs w:val="24"/>
        </w:rPr>
        <w:t>Lupus eritematoso sistémico (LES)</w:t>
      </w:r>
      <w:r w:rsidRPr="006E437B">
        <w:rPr>
          <w:rFonts w:ascii="Times New Roman" w:eastAsia="Times New Roman" w:hAnsi="Times New Roman" w:cs="Times New Roman"/>
          <w:sz w:val="20"/>
          <w:szCs w:val="24"/>
        </w:rPr>
        <w:t xml:space="preserve">. MSD Manuals. </w:t>
      </w:r>
    </w:p>
    <w:p w:rsidR="001850B4" w:rsidRPr="006E437B" w:rsidRDefault="00C53639" w:rsidP="00141629">
      <w:pPr>
        <w:spacing w:after="0" w:line="240" w:lineRule="auto"/>
        <w:ind w:left="-5"/>
        <w:rPr>
          <w:rFonts w:ascii="Times New Roman" w:eastAsia="Times New Roman" w:hAnsi="Times New Roman" w:cs="Times New Roman"/>
          <w:sz w:val="20"/>
          <w:szCs w:val="24"/>
        </w:rPr>
      </w:pPr>
      <w:hyperlink r:id="rId85">
        <w:r w:rsidR="001850B4" w:rsidRPr="006E437B">
          <w:rPr>
            <w:rFonts w:ascii="Times New Roman" w:eastAsia="Times New Roman" w:hAnsi="Times New Roman" w:cs="Times New Roman"/>
            <w:sz w:val="20"/>
            <w:szCs w:val="24"/>
            <w:u w:val="single" w:color="0563C1"/>
          </w:rPr>
          <w:t>https://www.msdmanuals.com/es</w:t>
        </w:r>
      </w:hyperlink>
      <w:hyperlink r:id="rId86">
        <w:r w:rsidR="001850B4" w:rsidRPr="006E437B">
          <w:rPr>
            <w:rFonts w:ascii="Times New Roman" w:eastAsia="Times New Roman" w:hAnsi="Times New Roman" w:cs="Times New Roman"/>
            <w:sz w:val="20"/>
            <w:szCs w:val="24"/>
            <w:u w:val="single" w:color="0563C1"/>
          </w:rPr>
          <w:t>-</w:t>
        </w:r>
      </w:hyperlink>
      <w:hyperlink r:id="rId87">
        <w:r w:rsidR="001850B4" w:rsidRPr="006E437B">
          <w:rPr>
            <w:rFonts w:ascii="Times New Roman" w:eastAsia="Times New Roman" w:hAnsi="Times New Roman" w:cs="Times New Roman"/>
            <w:sz w:val="20"/>
            <w:szCs w:val="24"/>
            <w:u w:val="single" w:color="0563C1"/>
          </w:rPr>
          <w:t>mx/professional/trastornos</w:t>
        </w:r>
      </w:hyperlink>
      <w:hyperlink r:id="rId88">
        <w:r w:rsidR="001850B4" w:rsidRPr="006E437B">
          <w:rPr>
            <w:rFonts w:ascii="Times New Roman" w:eastAsia="Times New Roman" w:hAnsi="Times New Roman" w:cs="Times New Roman"/>
            <w:sz w:val="20"/>
            <w:szCs w:val="24"/>
            <w:u w:val="single" w:color="0563C1"/>
          </w:rPr>
          <w:t>-</w:t>
        </w:r>
      </w:hyperlink>
      <w:hyperlink r:id="rId89">
        <w:r w:rsidR="001850B4" w:rsidRPr="006E437B">
          <w:rPr>
            <w:rFonts w:ascii="Times New Roman" w:eastAsia="Times New Roman" w:hAnsi="Times New Roman" w:cs="Times New Roman"/>
            <w:sz w:val="20"/>
            <w:szCs w:val="24"/>
            <w:u w:val="single" w:color="0563C1"/>
          </w:rPr>
          <w:t>de</w:t>
        </w:r>
      </w:hyperlink>
      <w:hyperlink r:id="rId90">
        <w:r w:rsidR="001850B4" w:rsidRPr="006E437B">
          <w:rPr>
            <w:rFonts w:ascii="Times New Roman" w:eastAsia="Times New Roman" w:hAnsi="Times New Roman" w:cs="Times New Roman"/>
            <w:sz w:val="20"/>
            <w:szCs w:val="24"/>
            <w:u w:val="single" w:color="0563C1"/>
          </w:rPr>
          <w:t>-</w:t>
        </w:r>
      </w:hyperlink>
      <w:hyperlink r:id="rId91">
        <w:r w:rsidR="001850B4" w:rsidRPr="006E437B">
          <w:rPr>
            <w:rFonts w:ascii="Times New Roman" w:eastAsia="Times New Roman" w:hAnsi="Times New Roman" w:cs="Times New Roman"/>
            <w:sz w:val="20"/>
            <w:szCs w:val="24"/>
            <w:u w:val="single" w:color="0563C1"/>
          </w:rPr>
          <w:t>los</w:t>
        </w:r>
      </w:hyperlink>
      <w:hyperlink r:id="rId92">
        <w:r w:rsidR="001850B4" w:rsidRPr="006E437B">
          <w:rPr>
            <w:rFonts w:ascii="Times New Roman" w:eastAsia="Times New Roman" w:hAnsi="Times New Roman" w:cs="Times New Roman"/>
            <w:sz w:val="20"/>
            <w:szCs w:val="24"/>
            <w:u w:val="single" w:color="0563C1"/>
          </w:rPr>
          <w:t>-</w:t>
        </w:r>
      </w:hyperlink>
      <w:hyperlink r:id="rId93">
        <w:r w:rsidR="001850B4" w:rsidRPr="006E437B">
          <w:rPr>
            <w:rFonts w:ascii="Times New Roman" w:eastAsia="Times New Roman" w:hAnsi="Times New Roman" w:cs="Times New Roman"/>
            <w:sz w:val="20"/>
            <w:szCs w:val="24"/>
            <w:u w:val="single" w:color="0563C1"/>
          </w:rPr>
          <w:t>tejidos</w:t>
        </w:r>
      </w:hyperlink>
      <w:hyperlink r:id="rId94">
        <w:r w:rsidR="001850B4" w:rsidRPr="006E437B">
          <w:rPr>
            <w:rFonts w:ascii="Times New Roman" w:eastAsia="Times New Roman" w:hAnsi="Times New Roman" w:cs="Times New Roman"/>
            <w:sz w:val="20"/>
            <w:szCs w:val="24"/>
            <w:u w:val="single" w:color="0563C1"/>
          </w:rPr>
          <w:t>-</w:t>
        </w:r>
      </w:hyperlink>
      <w:hyperlink r:id="rId95">
        <w:r w:rsidR="001850B4" w:rsidRPr="006E437B">
          <w:rPr>
            <w:rFonts w:ascii="Times New Roman" w:eastAsia="Times New Roman" w:hAnsi="Times New Roman" w:cs="Times New Roman"/>
            <w:sz w:val="20"/>
            <w:szCs w:val="24"/>
            <w:u w:val="single" w:color="0563C1"/>
          </w:rPr>
          <w:t>musculoesquel%C3%A9tico</w:t>
        </w:r>
      </w:hyperlink>
      <w:hyperlink r:id="rId96">
        <w:r w:rsidR="001850B4" w:rsidRPr="006E437B">
          <w:rPr>
            <w:rFonts w:ascii="Times New Roman" w:eastAsia="Times New Roman" w:hAnsi="Times New Roman" w:cs="Times New Roman"/>
            <w:sz w:val="20"/>
            <w:szCs w:val="24"/>
            <w:u w:val="single" w:color="0563C1"/>
          </w:rPr>
          <w:t>-</w:t>
        </w:r>
      </w:hyperlink>
      <w:hyperlink r:id="rId97">
        <w:r w:rsidR="001850B4" w:rsidRPr="006E437B">
          <w:rPr>
            <w:rFonts w:ascii="Times New Roman" w:eastAsia="Times New Roman" w:hAnsi="Times New Roman" w:cs="Times New Roman"/>
            <w:sz w:val="20"/>
            <w:szCs w:val="24"/>
            <w:u w:val="single" w:color="0563C1"/>
          </w:rPr>
          <w:t>y</w:t>
        </w:r>
      </w:hyperlink>
      <w:hyperlink r:id="rId98"/>
      <w:hyperlink r:id="rId99">
        <w:r w:rsidR="001850B4" w:rsidRPr="006E437B">
          <w:rPr>
            <w:rFonts w:ascii="Times New Roman" w:eastAsia="Times New Roman" w:hAnsi="Times New Roman" w:cs="Times New Roman"/>
            <w:sz w:val="20"/>
            <w:szCs w:val="24"/>
            <w:u w:val="single" w:color="0563C1"/>
          </w:rPr>
          <w:t>conectivo/enfermedades</w:t>
        </w:r>
      </w:hyperlink>
      <w:hyperlink r:id="rId100">
        <w:r w:rsidR="001850B4" w:rsidRPr="006E437B">
          <w:rPr>
            <w:rFonts w:ascii="Times New Roman" w:eastAsia="Times New Roman" w:hAnsi="Times New Roman" w:cs="Times New Roman"/>
            <w:sz w:val="20"/>
            <w:szCs w:val="24"/>
            <w:u w:val="single" w:color="0563C1"/>
          </w:rPr>
          <w:t>-</w:t>
        </w:r>
      </w:hyperlink>
      <w:hyperlink r:id="rId101">
        <w:r w:rsidR="001850B4" w:rsidRPr="006E437B">
          <w:rPr>
            <w:rFonts w:ascii="Times New Roman" w:eastAsia="Times New Roman" w:hAnsi="Times New Roman" w:cs="Times New Roman"/>
            <w:sz w:val="20"/>
            <w:szCs w:val="24"/>
            <w:u w:val="single" w:color="0563C1"/>
          </w:rPr>
          <w:t>reum%C3%A1ticas</w:t>
        </w:r>
      </w:hyperlink>
      <w:hyperlink r:id="rId102">
        <w:r w:rsidR="001850B4" w:rsidRPr="006E437B">
          <w:rPr>
            <w:rFonts w:ascii="Times New Roman" w:eastAsia="Times New Roman" w:hAnsi="Times New Roman" w:cs="Times New Roman"/>
            <w:sz w:val="20"/>
            <w:szCs w:val="24"/>
            <w:u w:val="single" w:color="0563C1"/>
          </w:rPr>
          <w:t>-</w:t>
        </w:r>
      </w:hyperlink>
      <w:hyperlink r:id="rId103">
        <w:r w:rsidR="001850B4" w:rsidRPr="006E437B">
          <w:rPr>
            <w:rFonts w:ascii="Times New Roman" w:eastAsia="Times New Roman" w:hAnsi="Times New Roman" w:cs="Times New Roman"/>
            <w:sz w:val="20"/>
            <w:szCs w:val="24"/>
            <w:u w:val="single" w:color="0563C1"/>
          </w:rPr>
          <w:t>autoinmumunitarias/lupus</w:t>
        </w:r>
      </w:hyperlink>
      <w:hyperlink r:id="rId104">
        <w:r w:rsidR="001850B4" w:rsidRPr="006E437B">
          <w:rPr>
            <w:rFonts w:ascii="Times New Roman" w:eastAsia="Times New Roman" w:hAnsi="Times New Roman" w:cs="Times New Roman"/>
            <w:sz w:val="20"/>
            <w:szCs w:val="24"/>
            <w:u w:val="single" w:color="0563C1"/>
          </w:rPr>
          <w:t>-</w:t>
        </w:r>
      </w:hyperlink>
      <w:hyperlink r:id="rId105">
        <w:r w:rsidR="001850B4" w:rsidRPr="006E437B">
          <w:rPr>
            <w:rFonts w:ascii="Times New Roman" w:eastAsia="Times New Roman" w:hAnsi="Times New Roman" w:cs="Times New Roman"/>
            <w:sz w:val="20"/>
            <w:szCs w:val="24"/>
            <w:u w:val="single" w:color="0563C1"/>
          </w:rPr>
          <w:t>eritematoso</w:t>
        </w:r>
      </w:hyperlink>
      <w:hyperlink r:id="rId106">
        <w:r w:rsidR="001850B4" w:rsidRPr="006E437B">
          <w:rPr>
            <w:rFonts w:ascii="Times New Roman" w:eastAsia="Times New Roman" w:hAnsi="Times New Roman" w:cs="Times New Roman"/>
            <w:sz w:val="20"/>
            <w:szCs w:val="24"/>
            <w:u w:val="single" w:color="0563C1"/>
          </w:rPr>
          <w:t>-</w:t>
        </w:r>
      </w:hyperlink>
      <w:hyperlink r:id="rId107">
        <w:r w:rsidR="001850B4" w:rsidRPr="006E437B">
          <w:rPr>
            <w:rFonts w:ascii="Times New Roman" w:eastAsia="Times New Roman" w:hAnsi="Times New Roman" w:cs="Times New Roman"/>
            <w:sz w:val="20"/>
            <w:szCs w:val="24"/>
            <w:u w:val="single" w:color="0563C1"/>
          </w:rPr>
          <w:t>sist%C3%A9mico</w:t>
        </w:r>
      </w:hyperlink>
      <w:hyperlink r:id="rId108">
        <w:r w:rsidR="001850B4" w:rsidRPr="006E437B">
          <w:rPr>
            <w:rFonts w:ascii="Times New Roman" w:eastAsia="Times New Roman" w:hAnsi="Times New Roman" w:cs="Times New Roman"/>
            <w:sz w:val="20"/>
            <w:szCs w:val="24"/>
            <w:u w:val="single" w:color="0563C1"/>
          </w:rPr>
          <w:t>-</w:t>
        </w:r>
      </w:hyperlink>
      <w:hyperlink r:id="rId109">
        <w:r w:rsidR="001850B4" w:rsidRPr="006E437B">
          <w:rPr>
            <w:rFonts w:ascii="Times New Roman" w:eastAsia="Times New Roman" w:hAnsi="Times New Roman" w:cs="Times New Roman"/>
            <w:sz w:val="20"/>
            <w:szCs w:val="24"/>
            <w:u w:val="single" w:color="0563C1"/>
          </w:rPr>
          <w:t>les</w:t>
        </w:r>
      </w:hyperlink>
      <w:hyperlink r:id="rId110">
        <w:r w:rsidR="001850B4"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w:t>
      </w:r>
      <w:r w:rsidRPr="006E437B">
        <w:rPr>
          <w:rFonts w:ascii="Times New Roman" w:eastAsia="Times New Roman" w:hAnsi="Times New Roman" w:cs="Times New Roman"/>
          <w:sz w:val="20"/>
          <w:szCs w:val="24"/>
        </w:rPr>
        <w:t xml:space="preserve"> Mayo Clinic. (2022). </w:t>
      </w:r>
      <w:r w:rsidRPr="006E437B">
        <w:rPr>
          <w:rFonts w:ascii="Times New Roman" w:eastAsia="Times New Roman" w:hAnsi="Times New Roman" w:cs="Times New Roman"/>
          <w:i/>
          <w:sz w:val="20"/>
          <w:szCs w:val="24"/>
        </w:rPr>
        <w:t>Lupus: Diagnóstico y tratamiento</w:t>
      </w:r>
      <w:r w:rsidRPr="006E437B">
        <w:rPr>
          <w:rFonts w:ascii="Times New Roman" w:eastAsia="Times New Roman" w:hAnsi="Times New Roman" w:cs="Times New Roman"/>
          <w:sz w:val="20"/>
          <w:szCs w:val="24"/>
        </w:rPr>
        <w:t xml:space="preserve">. Recuperado de </w:t>
      </w:r>
      <w:hyperlink r:id="rId111">
        <w:r w:rsidRPr="006E437B">
          <w:rPr>
            <w:rFonts w:ascii="Times New Roman" w:eastAsia="Times New Roman" w:hAnsi="Times New Roman" w:cs="Times New Roman"/>
            <w:sz w:val="20"/>
            <w:szCs w:val="24"/>
            <w:u w:val="single" w:color="0563C1"/>
          </w:rPr>
          <w:t>https://www.mayoclinic.org/es/diseases</w:t>
        </w:r>
      </w:hyperlink>
      <w:hyperlink r:id="rId112">
        <w:r w:rsidRPr="006E437B">
          <w:rPr>
            <w:rFonts w:ascii="Times New Roman" w:eastAsia="Times New Roman" w:hAnsi="Times New Roman" w:cs="Times New Roman"/>
            <w:sz w:val="20"/>
            <w:szCs w:val="24"/>
            <w:u w:val="single" w:color="0563C1"/>
          </w:rPr>
          <w:t>-</w:t>
        </w:r>
      </w:hyperlink>
      <w:hyperlink r:id="rId113">
        <w:r w:rsidRPr="006E437B">
          <w:rPr>
            <w:rFonts w:ascii="Times New Roman" w:eastAsia="Times New Roman" w:hAnsi="Times New Roman" w:cs="Times New Roman"/>
            <w:sz w:val="20"/>
            <w:szCs w:val="24"/>
            <w:u w:val="single" w:color="0563C1"/>
          </w:rPr>
          <w:t>conditions/lupus/diagnosis</w:t>
        </w:r>
      </w:hyperlink>
      <w:hyperlink r:id="rId114">
        <w:r w:rsidRPr="006E437B">
          <w:rPr>
            <w:rFonts w:ascii="Times New Roman" w:eastAsia="Times New Roman" w:hAnsi="Times New Roman" w:cs="Times New Roman"/>
            <w:sz w:val="20"/>
            <w:szCs w:val="24"/>
            <w:u w:val="single" w:color="0563C1"/>
          </w:rPr>
          <w:t>-</w:t>
        </w:r>
      </w:hyperlink>
      <w:hyperlink r:id="rId115">
        <w:r w:rsidRPr="006E437B">
          <w:rPr>
            <w:rFonts w:ascii="Times New Roman" w:eastAsia="Times New Roman" w:hAnsi="Times New Roman" w:cs="Times New Roman"/>
            <w:sz w:val="20"/>
            <w:szCs w:val="24"/>
            <w:u w:val="single" w:color="0563C1"/>
          </w:rPr>
          <w:t>treatment/drc</w:t>
        </w:r>
      </w:hyperlink>
      <w:hyperlink r:id="rId116">
        <w:r w:rsidRPr="006E437B">
          <w:rPr>
            <w:rFonts w:ascii="Times New Roman" w:eastAsia="Times New Roman" w:hAnsi="Times New Roman" w:cs="Times New Roman"/>
            <w:sz w:val="20"/>
            <w:szCs w:val="24"/>
            <w:u w:val="single" w:color="0563C1"/>
          </w:rPr>
          <w:t>-</w:t>
        </w:r>
      </w:hyperlink>
      <w:hyperlink r:id="rId117">
        <w:r w:rsidRPr="006E437B">
          <w:rPr>
            <w:rFonts w:ascii="Times New Roman" w:eastAsia="Times New Roman" w:hAnsi="Times New Roman" w:cs="Times New Roman"/>
            <w:sz w:val="20"/>
            <w:szCs w:val="24"/>
            <w:u w:val="single" w:color="0563C1"/>
          </w:rPr>
          <w:t>20365790</w:t>
        </w:r>
      </w:hyperlink>
      <w:hyperlink r:id="rId118">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xi</w:t>
      </w:r>
      <w:r w:rsidRPr="006E437B">
        <w:rPr>
          <w:rFonts w:ascii="Times New Roman" w:eastAsia="Times New Roman" w:hAnsi="Times New Roman" w:cs="Times New Roman"/>
          <w:sz w:val="20"/>
          <w:szCs w:val="24"/>
        </w:rPr>
        <w:t xml:space="preserve"> Salud y Medicina. (2022, 4 de agosto). </w:t>
      </w:r>
      <w:r w:rsidRPr="006E437B">
        <w:rPr>
          <w:rFonts w:ascii="Times New Roman" w:eastAsia="Times New Roman" w:hAnsi="Times New Roman" w:cs="Times New Roman"/>
          <w:i/>
          <w:sz w:val="20"/>
          <w:szCs w:val="24"/>
        </w:rPr>
        <w:t>Cremas solares para el lupus</w:t>
      </w:r>
      <w:r w:rsidRPr="006E437B">
        <w:rPr>
          <w:rFonts w:ascii="Times New Roman" w:eastAsia="Times New Roman" w:hAnsi="Times New Roman" w:cs="Times New Roman"/>
          <w:sz w:val="20"/>
          <w:szCs w:val="24"/>
        </w:rPr>
        <w:t xml:space="preserve">. Recuperado de https://saludymedicina.org/post/cremas-solares-para-el-lupus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xii</w:t>
      </w:r>
      <w:r w:rsidRPr="006E437B">
        <w:rPr>
          <w:rFonts w:ascii="Times New Roman" w:eastAsia="Times New Roman" w:hAnsi="Times New Roman" w:cs="Times New Roman"/>
          <w:sz w:val="20"/>
          <w:szCs w:val="24"/>
        </w:rPr>
        <w:t xml:space="preserve"> Levy DM, Kamphuis S. Systemic lupus erythematosus in children and adolescents. Pediatr Clin North Am. 2012;59(2):345–64.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xiii</w:t>
      </w:r>
      <w:r w:rsidRPr="006E437B">
        <w:rPr>
          <w:rFonts w:ascii="Times New Roman" w:eastAsia="Times New Roman" w:hAnsi="Times New Roman" w:cs="Times New Roman"/>
          <w:sz w:val="20"/>
          <w:szCs w:val="24"/>
        </w:rPr>
        <w:t xml:space="preserve"> Renson T, Lightstone L, Ciurtin C, Gaymer C, Marks SD. The unique challenges of childhood-onset systemic lupus erythematosus and lupus nephritis patients: a proposed framework for an individualized transitional care plan. Pediatric Nephrology. 2025;40(10):3045–53.</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xiv</w:t>
      </w:r>
      <w:r w:rsidRPr="006E437B">
        <w:rPr>
          <w:rFonts w:ascii="Times New Roman" w:eastAsia="Times New Roman" w:hAnsi="Times New Roman" w:cs="Times New Roman"/>
          <w:sz w:val="20"/>
          <w:szCs w:val="24"/>
        </w:rPr>
        <w:t xml:space="preserve"> Abdwani R, Al Masroori E, Abdullah E, Al Abrawi S, Al-Zakwani I. Evaluating the performance of ACR, SLICC and EULAR/ACR classification criteria in childhood onset systemic lupus erythematosus. Pediatric Rheumatology. 2021;19(1):141. </w:t>
      </w:r>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xv</w:t>
      </w:r>
      <w:r w:rsidRPr="006E437B">
        <w:rPr>
          <w:rFonts w:ascii="Times New Roman" w:eastAsia="Times New Roman" w:hAnsi="Times New Roman" w:cs="Times New Roman"/>
          <w:sz w:val="20"/>
          <w:szCs w:val="24"/>
        </w:rPr>
        <w:t xml:space="preserve"> Villarreal-Treviño AV, Saad-Magalhãnes C, Álvarez M, Rubio-Pérez N, García Rodríguez F. Juvenile systemic lupus erythematosus: Challenge for equity in Latin America. Reumatología Clínica (English Edition). 2025;21(9).</w:t>
      </w:r>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xvi</w:t>
      </w:r>
      <w:r w:rsidRPr="006E437B">
        <w:rPr>
          <w:rFonts w:ascii="Times New Roman" w:eastAsia="Times New Roman" w:hAnsi="Times New Roman" w:cs="Times New Roman"/>
          <w:sz w:val="20"/>
          <w:szCs w:val="24"/>
        </w:rPr>
        <w:t xml:space="preserve"> Pons-Estel BA, Catoggio LJ, Cardiel MH, Soriano ER, Gentiletti S, Villa AR, et al. The GLADEL multinational Latin American prospective inception cohort of 1,214 patients with systemic lupus erythematosus: ethnic and disease heterogeneity among "Hispanics". Medicine (Baltimore). 2004;83(1):1–17.</w:t>
      </w:r>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xvii</w:t>
      </w:r>
      <w:r w:rsidRPr="006E437B">
        <w:rPr>
          <w:rFonts w:ascii="Times New Roman" w:eastAsia="Times New Roman" w:hAnsi="Times New Roman" w:cs="Times New Roman"/>
          <w:sz w:val="20"/>
          <w:szCs w:val="24"/>
        </w:rPr>
        <w:t xml:space="preserve"> Villarreal-Treviño AV, Saad-Magalhãnes C, Álvarez M, Rubio-Pérez N, García Rodríguez F. Juvenile systemic lupus erythematosus: Challenge for equity in Latin America. Reumatología Clínica (English Edition). 2025;21(9).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xviii</w:t>
      </w:r>
      <w:r w:rsidRPr="006E437B">
        <w:rPr>
          <w:rFonts w:ascii="Times New Roman" w:eastAsia="Times New Roman" w:hAnsi="Times New Roman" w:cs="Times New Roman"/>
          <w:sz w:val="20"/>
          <w:szCs w:val="24"/>
        </w:rPr>
        <w:t xml:space="preserve"> Organización Mundial de la Salud. (1992). </w:t>
      </w:r>
      <w:r w:rsidRPr="006E437B">
        <w:rPr>
          <w:rFonts w:ascii="Times New Roman" w:eastAsia="Times New Roman" w:hAnsi="Times New Roman" w:cs="Times New Roman"/>
          <w:i/>
          <w:sz w:val="20"/>
          <w:szCs w:val="24"/>
        </w:rPr>
        <w:t>Enfermedades reumáticas</w:t>
      </w:r>
      <w:r w:rsidRPr="006E437B">
        <w:rPr>
          <w:rFonts w:ascii="Times New Roman" w:eastAsia="Times New Roman" w:hAnsi="Times New Roman" w:cs="Times New Roman"/>
          <w:sz w:val="20"/>
          <w:szCs w:val="24"/>
        </w:rPr>
        <w:t xml:space="preserve"> (Serie de Informes Técnicos, No. 816). Ginebra: OMS. Recuperado de </w:t>
      </w:r>
      <w:hyperlink r:id="rId119">
        <w:r w:rsidRPr="006E437B">
          <w:rPr>
            <w:rFonts w:ascii="Times New Roman" w:eastAsia="Times New Roman" w:hAnsi="Times New Roman" w:cs="Times New Roman"/>
            <w:sz w:val="20"/>
            <w:szCs w:val="24"/>
            <w:u w:val="single" w:color="0563C1"/>
          </w:rPr>
          <w:t>https://apps.who.int/iris/bitstream/handle/10665/39682/9243208160_spa.pdf</w:t>
        </w:r>
      </w:hyperlink>
      <w:hyperlink r:id="rId120">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rPr>
        <w:t xml:space="preserve"> </w:t>
      </w:r>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xix</w:t>
      </w:r>
      <w:r w:rsidRPr="006E437B">
        <w:rPr>
          <w:rFonts w:ascii="Times New Roman" w:eastAsia="Times New Roman" w:hAnsi="Times New Roman" w:cs="Times New Roman"/>
          <w:sz w:val="20"/>
          <w:szCs w:val="24"/>
        </w:rPr>
        <w:t xml:space="preserve"> Asociación Catalana de Lupus Eritematoso. (s.f.). </w:t>
      </w:r>
      <w:r w:rsidRPr="006E437B">
        <w:rPr>
          <w:rFonts w:ascii="Times New Roman" w:eastAsia="Times New Roman" w:hAnsi="Times New Roman" w:cs="Times New Roman"/>
          <w:i/>
          <w:sz w:val="20"/>
          <w:szCs w:val="24"/>
        </w:rPr>
        <w:t>Orígenes del Día Mundial del Lupus</w:t>
      </w:r>
      <w:r w:rsidRPr="006E437B">
        <w:rPr>
          <w:rFonts w:ascii="Times New Roman" w:eastAsia="Times New Roman" w:hAnsi="Times New Roman" w:cs="Times New Roman"/>
          <w:sz w:val="20"/>
          <w:szCs w:val="24"/>
        </w:rPr>
        <w:t xml:space="preserve">. Recuperado de </w:t>
      </w:r>
      <w:hyperlink r:id="rId121">
        <w:r w:rsidRPr="006E437B">
          <w:rPr>
            <w:rFonts w:ascii="Times New Roman" w:eastAsia="Times New Roman" w:hAnsi="Times New Roman" w:cs="Times New Roman"/>
            <w:sz w:val="20"/>
            <w:szCs w:val="24"/>
            <w:u w:val="single" w:color="0563C1"/>
          </w:rPr>
          <w:t>https://www.acleg.org/origenes</w:t>
        </w:r>
      </w:hyperlink>
      <w:hyperlink r:id="rId122">
        <w:r w:rsidRPr="006E437B">
          <w:rPr>
            <w:rFonts w:ascii="Times New Roman" w:eastAsia="Times New Roman" w:hAnsi="Times New Roman" w:cs="Times New Roman"/>
            <w:sz w:val="20"/>
            <w:szCs w:val="24"/>
            <w:u w:val="single" w:color="0563C1"/>
          </w:rPr>
          <w:t>-</w:t>
        </w:r>
      </w:hyperlink>
      <w:hyperlink r:id="rId123">
        <w:r w:rsidRPr="006E437B">
          <w:rPr>
            <w:rFonts w:ascii="Times New Roman" w:eastAsia="Times New Roman" w:hAnsi="Times New Roman" w:cs="Times New Roman"/>
            <w:sz w:val="20"/>
            <w:szCs w:val="24"/>
            <w:u w:val="single" w:color="0563C1"/>
          </w:rPr>
          <w:t>del</w:t>
        </w:r>
      </w:hyperlink>
      <w:hyperlink r:id="rId124">
        <w:r w:rsidRPr="006E437B">
          <w:rPr>
            <w:rFonts w:ascii="Times New Roman" w:eastAsia="Times New Roman" w:hAnsi="Times New Roman" w:cs="Times New Roman"/>
            <w:sz w:val="20"/>
            <w:szCs w:val="24"/>
            <w:u w:val="single" w:color="0563C1"/>
          </w:rPr>
          <w:t>-</w:t>
        </w:r>
      </w:hyperlink>
      <w:hyperlink r:id="rId125">
        <w:r w:rsidRPr="006E437B">
          <w:rPr>
            <w:rFonts w:ascii="Times New Roman" w:eastAsia="Times New Roman" w:hAnsi="Times New Roman" w:cs="Times New Roman"/>
            <w:sz w:val="20"/>
            <w:szCs w:val="24"/>
            <w:u w:val="single" w:color="0563C1"/>
          </w:rPr>
          <w:t>dia</w:t>
        </w:r>
      </w:hyperlink>
      <w:hyperlink r:id="rId126">
        <w:r w:rsidRPr="006E437B">
          <w:rPr>
            <w:rFonts w:ascii="Times New Roman" w:eastAsia="Times New Roman" w:hAnsi="Times New Roman" w:cs="Times New Roman"/>
            <w:sz w:val="20"/>
            <w:szCs w:val="24"/>
            <w:u w:val="single" w:color="0563C1"/>
          </w:rPr>
          <w:t>-</w:t>
        </w:r>
      </w:hyperlink>
      <w:hyperlink r:id="rId127">
        <w:r w:rsidRPr="006E437B">
          <w:rPr>
            <w:rFonts w:ascii="Times New Roman" w:eastAsia="Times New Roman" w:hAnsi="Times New Roman" w:cs="Times New Roman"/>
            <w:sz w:val="20"/>
            <w:szCs w:val="24"/>
            <w:u w:val="single" w:color="0563C1"/>
          </w:rPr>
          <w:t>mundial</w:t>
        </w:r>
      </w:hyperlink>
      <w:hyperlink r:id="rId128">
        <w:r w:rsidRPr="006E437B">
          <w:rPr>
            <w:rFonts w:ascii="Times New Roman" w:eastAsia="Times New Roman" w:hAnsi="Times New Roman" w:cs="Times New Roman"/>
            <w:sz w:val="20"/>
            <w:szCs w:val="24"/>
            <w:u w:val="single" w:color="0563C1"/>
          </w:rPr>
          <w:t>-</w:t>
        </w:r>
      </w:hyperlink>
      <w:hyperlink r:id="rId129">
        <w:r w:rsidRPr="006E437B">
          <w:rPr>
            <w:rFonts w:ascii="Times New Roman" w:eastAsia="Times New Roman" w:hAnsi="Times New Roman" w:cs="Times New Roman"/>
            <w:sz w:val="20"/>
            <w:szCs w:val="24"/>
            <w:u w:val="single" w:color="0563C1"/>
          </w:rPr>
          <w:t>del</w:t>
        </w:r>
      </w:hyperlink>
      <w:hyperlink r:id="rId130">
        <w:r w:rsidRPr="006E437B">
          <w:rPr>
            <w:rFonts w:ascii="Times New Roman" w:eastAsia="Times New Roman" w:hAnsi="Times New Roman" w:cs="Times New Roman"/>
            <w:sz w:val="20"/>
            <w:szCs w:val="24"/>
            <w:u w:val="single" w:color="0563C1"/>
          </w:rPr>
          <w:t>-</w:t>
        </w:r>
      </w:hyperlink>
      <w:hyperlink r:id="rId131">
        <w:r w:rsidRPr="006E437B">
          <w:rPr>
            <w:rFonts w:ascii="Times New Roman" w:eastAsia="Times New Roman" w:hAnsi="Times New Roman" w:cs="Times New Roman"/>
            <w:sz w:val="20"/>
            <w:szCs w:val="24"/>
            <w:u w:val="single" w:color="0563C1"/>
          </w:rPr>
          <w:t>lupus/</w:t>
        </w:r>
      </w:hyperlink>
      <w:hyperlink r:id="rId132">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w:t>
      </w:r>
      <w:r w:rsidRPr="006E437B">
        <w:rPr>
          <w:rFonts w:ascii="Times New Roman" w:eastAsia="Times New Roman" w:hAnsi="Times New Roman" w:cs="Times New Roman"/>
          <w:sz w:val="20"/>
          <w:szCs w:val="24"/>
        </w:rPr>
        <w:t xml:space="preserve"> Athié, Laura (2023). </w:t>
      </w:r>
      <w:r w:rsidRPr="006E437B">
        <w:rPr>
          <w:rFonts w:ascii="Times New Roman" w:eastAsia="Times New Roman" w:hAnsi="Times New Roman" w:cs="Times New Roman"/>
          <w:i/>
          <w:sz w:val="20"/>
          <w:szCs w:val="24"/>
        </w:rPr>
        <w:t>Contranarrativas ante la violencia discursiva: El caso de las personas con lupus</w:t>
      </w:r>
      <w:r w:rsidRPr="006E437B">
        <w:rPr>
          <w:rFonts w:ascii="Times New Roman" w:eastAsia="Times New Roman" w:hAnsi="Times New Roman" w:cs="Times New Roman"/>
          <w:sz w:val="20"/>
          <w:szCs w:val="24"/>
        </w:rPr>
        <w:t xml:space="preserve"> (Tesis doctoral, Benemérita Universidad Autónoma de Puebla). Repositorio Institucional BUAP: </w:t>
      </w:r>
      <w:hyperlink r:id="rId133">
        <w:r w:rsidRPr="006E437B">
          <w:rPr>
            <w:rFonts w:ascii="Times New Roman" w:eastAsia="Times New Roman" w:hAnsi="Times New Roman" w:cs="Times New Roman"/>
            <w:sz w:val="20"/>
            <w:szCs w:val="24"/>
            <w:u w:val="single" w:color="0563C1"/>
          </w:rPr>
          <w:t>https://repositorioinstitucional.buap.mx/items/41a1c9a0</w:t>
        </w:r>
      </w:hyperlink>
      <w:hyperlink r:id="rId134">
        <w:r w:rsidRPr="006E437B">
          <w:rPr>
            <w:rFonts w:ascii="Times New Roman" w:eastAsia="Times New Roman" w:hAnsi="Times New Roman" w:cs="Times New Roman"/>
            <w:sz w:val="20"/>
            <w:szCs w:val="24"/>
            <w:u w:val="single" w:color="0563C1"/>
          </w:rPr>
          <w:t>-</w:t>
        </w:r>
      </w:hyperlink>
      <w:hyperlink r:id="rId135">
        <w:r w:rsidRPr="006E437B">
          <w:rPr>
            <w:rFonts w:ascii="Times New Roman" w:eastAsia="Times New Roman" w:hAnsi="Times New Roman" w:cs="Times New Roman"/>
            <w:sz w:val="20"/>
            <w:szCs w:val="24"/>
            <w:u w:val="single" w:color="0563C1"/>
          </w:rPr>
          <w:t>f16e</w:t>
        </w:r>
      </w:hyperlink>
      <w:hyperlink r:id="rId136">
        <w:r w:rsidRPr="006E437B">
          <w:rPr>
            <w:rFonts w:ascii="Times New Roman" w:eastAsia="Times New Roman" w:hAnsi="Times New Roman" w:cs="Times New Roman"/>
            <w:sz w:val="20"/>
            <w:szCs w:val="24"/>
            <w:u w:val="single" w:color="0563C1"/>
          </w:rPr>
          <w:t>-</w:t>
        </w:r>
      </w:hyperlink>
      <w:hyperlink r:id="rId137">
        <w:r w:rsidRPr="006E437B">
          <w:rPr>
            <w:rFonts w:ascii="Times New Roman" w:eastAsia="Times New Roman" w:hAnsi="Times New Roman" w:cs="Times New Roman"/>
            <w:sz w:val="20"/>
            <w:szCs w:val="24"/>
            <w:u w:val="single" w:color="0563C1"/>
          </w:rPr>
          <w:t>4565</w:t>
        </w:r>
      </w:hyperlink>
      <w:hyperlink r:id="rId138">
        <w:r w:rsidRPr="006E437B">
          <w:rPr>
            <w:rFonts w:ascii="Times New Roman" w:eastAsia="Times New Roman" w:hAnsi="Times New Roman" w:cs="Times New Roman"/>
            <w:sz w:val="20"/>
            <w:szCs w:val="24"/>
            <w:u w:val="single" w:color="0563C1"/>
          </w:rPr>
          <w:t>-</w:t>
        </w:r>
      </w:hyperlink>
      <w:hyperlink r:id="rId139">
        <w:r w:rsidRPr="006E437B">
          <w:rPr>
            <w:rFonts w:ascii="Times New Roman" w:eastAsia="Times New Roman" w:hAnsi="Times New Roman" w:cs="Times New Roman"/>
            <w:sz w:val="20"/>
            <w:szCs w:val="24"/>
            <w:u w:val="single" w:color="0563C1"/>
          </w:rPr>
          <w:t>b8d5</w:t>
        </w:r>
      </w:hyperlink>
      <w:hyperlink r:id="rId140">
        <w:r w:rsidRPr="006E437B">
          <w:rPr>
            <w:rFonts w:ascii="Times New Roman" w:eastAsia="Times New Roman" w:hAnsi="Times New Roman" w:cs="Times New Roman"/>
            <w:sz w:val="20"/>
            <w:szCs w:val="24"/>
            <w:u w:val="single" w:color="0563C1"/>
          </w:rPr>
          <w:t>-</w:t>
        </w:r>
      </w:hyperlink>
      <w:hyperlink r:id="rId141">
        <w:r w:rsidRPr="006E437B">
          <w:rPr>
            <w:rFonts w:ascii="Times New Roman" w:eastAsia="Times New Roman" w:hAnsi="Times New Roman" w:cs="Times New Roman"/>
            <w:sz w:val="20"/>
            <w:szCs w:val="24"/>
            <w:u w:val="single" w:color="0563C1"/>
          </w:rPr>
          <w:t>4d7ec1fecae7</w:t>
        </w:r>
      </w:hyperlink>
      <w:hyperlink r:id="rId142">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rPr>
        <w:t>Pág. 96</w:t>
      </w:r>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xxi</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b/>
          <w:sz w:val="20"/>
          <w:szCs w:val="24"/>
        </w:rPr>
        <w:t>Laboratorio Internacional de Investigación sobre el Genoma Humano, UNAM.</w:t>
      </w:r>
      <w:r w:rsidRPr="006E437B">
        <w:rPr>
          <w:rFonts w:ascii="Times New Roman" w:eastAsia="Times New Roman" w:hAnsi="Times New Roman" w:cs="Times New Roman"/>
          <w:sz w:val="20"/>
          <w:szCs w:val="24"/>
        </w:rPr>
        <w:t xml:space="preserve"> (s.f.). </w:t>
      </w:r>
      <w:r w:rsidRPr="006E437B">
        <w:rPr>
          <w:rFonts w:ascii="Times New Roman" w:eastAsia="Times New Roman" w:hAnsi="Times New Roman" w:cs="Times New Roman"/>
          <w:i/>
          <w:sz w:val="20"/>
          <w:szCs w:val="24"/>
        </w:rPr>
        <w:t>Registro Mexicano de Lupus (LupusRGMX).</w:t>
      </w:r>
      <w:r w:rsidRPr="006E437B">
        <w:rPr>
          <w:rFonts w:ascii="Times New Roman" w:eastAsia="Times New Roman" w:hAnsi="Times New Roman" w:cs="Times New Roman"/>
          <w:sz w:val="20"/>
          <w:szCs w:val="24"/>
        </w:rPr>
        <w:t xml:space="preserve"> Universidad Nacional Autónoma de México. Recuperado el [31 de febrero de 2025], de </w:t>
      </w:r>
      <w:hyperlink r:id="rId143">
        <w:r w:rsidRPr="006E437B">
          <w:rPr>
            <w:rFonts w:ascii="Times New Roman" w:eastAsia="Times New Roman" w:hAnsi="Times New Roman" w:cs="Times New Roman"/>
            <w:sz w:val="20"/>
            <w:szCs w:val="24"/>
            <w:u w:val="single" w:color="0563C1"/>
          </w:rPr>
          <w:t>https://lupusrgmx.liigh.unam.mx/</w:t>
        </w:r>
      </w:hyperlink>
      <w:hyperlink r:id="rId144">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xxii</w:t>
      </w:r>
      <w:r w:rsidRPr="006E437B">
        <w:rPr>
          <w:rFonts w:ascii="Times New Roman" w:eastAsia="Times New Roman" w:hAnsi="Times New Roman" w:cs="Times New Roman"/>
          <w:sz w:val="20"/>
          <w:szCs w:val="24"/>
        </w:rPr>
        <w:t xml:space="preserve"> Congreso del Estado de Puebla. (2025, 15 de septiembre). Iniciativa en materia de detección, control y tratamiento del lupus, esclerosis múltiple y otras enfermedades autoinmunes. Aprobado por unanimidad. </w:t>
      </w:r>
      <w:hyperlink r:id="rId145">
        <w:r w:rsidRPr="006E437B">
          <w:rPr>
            <w:rFonts w:ascii="Times New Roman" w:eastAsia="Times New Roman" w:hAnsi="Times New Roman" w:cs="Times New Roman"/>
            <w:sz w:val="20"/>
            <w:szCs w:val="24"/>
            <w:u w:val="single" w:color="0563C1"/>
          </w:rPr>
          <w:t>https://www.congresopuebla.gob.mx/index.php?id=56805&amp;option=com_k2&amp;task=download&amp;view=item</w:t>
        </w:r>
      </w:hyperlink>
      <w:hyperlink r:id="rId146">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xxiii</w:t>
      </w:r>
      <w:r w:rsidRPr="006E437B">
        <w:rPr>
          <w:rFonts w:ascii="Times New Roman" w:eastAsia="Times New Roman" w:hAnsi="Times New Roman" w:cs="Times New Roman"/>
          <w:sz w:val="20"/>
          <w:szCs w:val="24"/>
        </w:rPr>
        <w:t xml:space="preserve"> Athié, Laura (2023). </w:t>
      </w:r>
      <w:r w:rsidRPr="006E437B">
        <w:rPr>
          <w:rFonts w:ascii="Times New Roman" w:eastAsia="Times New Roman" w:hAnsi="Times New Roman" w:cs="Times New Roman"/>
          <w:i/>
          <w:sz w:val="20"/>
          <w:szCs w:val="24"/>
        </w:rPr>
        <w:t>Contranarrativas ante la violencia discursiva: El caso de las personas con lupus</w:t>
      </w:r>
      <w:r w:rsidRPr="006E437B">
        <w:rPr>
          <w:rFonts w:ascii="Times New Roman" w:eastAsia="Times New Roman" w:hAnsi="Times New Roman" w:cs="Times New Roman"/>
          <w:sz w:val="20"/>
          <w:szCs w:val="24"/>
        </w:rPr>
        <w:t xml:space="preserve"> (Tesis doctoral, Benemérita Universidad Autónoma de Puebla). Repositorio Institucional BUAP. </w:t>
      </w:r>
      <w:hyperlink r:id="rId147">
        <w:r w:rsidRPr="006E437B">
          <w:rPr>
            <w:rFonts w:ascii="Times New Roman" w:eastAsia="Times New Roman" w:hAnsi="Times New Roman" w:cs="Times New Roman"/>
            <w:sz w:val="20"/>
            <w:szCs w:val="24"/>
            <w:u w:val="single" w:color="0563C1"/>
          </w:rPr>
          <w:t>https://repositorioinstitucional.buap.mx/items/41a1c9a0</w:t>
        </w:r>
      </w:hyperlink>
      <w:hyperlink r:id="rId148">
        <w:r w:rsidRPr="006E437B">
          <w:rPr>
            <w:rFonts w:ascii="Times New Roman" w:eastAsia="Times New Roman" w:hAnsi="Times New Roman" w:cs="Times New Roman"/>
            <w:sz w:val="20"/>
            <w:szCs w:val="24"/>
            <w:u w:val="single" w:color="0563C1"/>
          </w:rPr>
          <w:t>-</w:t>
        </w:r>
      </w:hyperlink>
      <w:hyperlink r:id="rId149">
        <w:r w:rsidRPr="006E437B">
          <w:rPr>
            <w:rFonts w:ascii="Times New Roman" w:eastAsia="Times New Roman" w:hAnsi="Times New Roman" w:cs="Times New Roman"/>
            <w:sz w:val="20"/>
            <w:szCs w:val="24"/>
            <w:u w:val="single" w:color="0563C1"/>
          </w:rPr>
          <w:t>f16e</w:t>
        </w:r>
      </w:hyperlink>
      <w:hyperlink r:id="rId150">
        <w:r w:rsidRPr="006E437B">
          <w:rPr>
            <w:rFonts w:ascii="Times New Roman" w:eastAsia="Times New Roman" w:hAnsi="Times New Roman" w:cs="Times New Roman"/>
            <w:sz w:val="20"/>
            <w:szCs w:val="24"/>
            <w:u w:val="single" w:color="0563C1"/>
          </w:rPr>
          <w:t>-</w:t>
        </w:r>
      </w:hyperlink>
      <w:hyperlink r:id="rId151">
        <w:r w:rsidRPr="006E437B">
          <w:rPr>
            <w:rFonts w:ascii="Times New Roman" w:eastAsia="Times New Roman" w:hAnsi="Times New Roman" w:cs="Times New Roman"/>
            <w:sz w:val="20"/>
            <w:szCs w:val="24"/>
            <w:u w:val="single" w:color="0563C1"/>
          </w:rPr>
          <w:t>4565</w:t>
        </w:r>
      </w:hyperlink>
      <w:hyperlink r:id="rId152">
        <w:r w:rsidRPr="006E437B">
          <w:rPr>
            <w:rFonts w:ascii="Times New Roman" w:eastAsia="Times New Roman" w:hAnsi="Times New Roman" w:cs="Times New Roman"/>
            <w:sz w:val="20"/>
            <w:szCs w:val="24"/>
            <w:u w:val="single" w:color="0563C1"/>
          </w:rPr>
          <w:t>-</w:t>
        </w:r>
      </w:hyperlink>
      <w:hyperlink r:id="rId153">
        <w:r w:rsidRPr="006E437B">
          <w:rPr>
            <w:rFonts w:ascii="Times New Roman" w:eastAsia="Times New Roman" w:hAnsi="Times New Roman" w:cs="Times New Roman"/>
            <w:sz w:val="20"/>
            <w:szCs w:val="24"/>
            <w:u w:val="single" w:color="0563C1"/>
          </w:rPr>
          <w:t>b8d5</w:t>
        </w:r>
      </w:hyperlink>
      <w:hyperlink r:id="rId154">
        <w:r w:rsidRPr="006E437B">
          <w:rPr>
            <w:rFonts w:ascii="Times New Roman" w:eastAsia="Times New Roman" w:hAnsi="Times New Roman" w:cs="Times New Roman"/>
            <w:sz w:val="20"/>
            <w:szCs w:val="24"/>
            <w:u w:val="single" w:color="0563C1"/>
          </w:rPr>
          <w:t>-</w:t>
        </w:r>
      </w:hyperlink>
      <w:hyperlink r:id="rId155">
        <w:r w:rsidRPr="006E437B">
          <w:rPr>
            <w:rFonts w:ascii="Times New Roman" w:eastAsia="Times New Roman" w:hAnsi="Times New Roman" w:cs="Times New Roman"/>
            <w:sz w:val="20"/>
            <w:szCs w:val="24"/>
            <w:u w:val="single" w:color="0563C1"/>
          </w:rPr>
          <w:t>4d7ec1fecae7</w:t>
        </w:r>
      </w:hyperlink>
      <w:hyperlink r:id="rId156">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rPr>
        <w:t>Pág. 336</w:t>
      </w:r>
    </w:p>
    <w:p w:rsidR="001850B4" w:rsidRPr="006E437B" w:rsidRDefault="001850B4" w:rsidP="00141629">
      <w:pPr>
        <w:spacing w:after="0" w:line="240" w:lineRule="auto"/>
        <w:rPr>
          <w:rFonts w:ascii="Times New Roman" w:eastAsia="Times New Roman" w:hAnsi="Times New Roman" w:cs="Times New Roman"/>
          <w:sz w:val="20"/>
          <w:szCs w:val="24"/>
          <w:u w:val="single" w:color="0563C1"/>
        </w:rPr>
      </w:pPr>
      <w:r w:rsidRPr="006E437B">
        <w:rPr>
          <w:rFonts w:ascii="Times New Roman" w:eastAsia="Times New Roman" w:hAnsi="Times New Roman" w:cs="Times New Roman"/>
          <w:sz w:val="20"/>
          <w:szCs w:val="24"/>
          <w:vertAlign w:val="superscript"/>
        </w:rPr>
        <w:t>xxiv</w:t>
      </w:r>
      <w:hyperlink r:id="rId157">
        <w:r w:rsidRPr="006E437B">
          <w:rPr>
            <w:rFonts w:ascii="Times New Roman" w:eastAsia="Times New Roman" w:hAnsi="Times New Roman" w:cs="Times New Roman"/>
            <w:sz w:val="20"/>
            <w:szCs w:val="24"/>
          </w:rPr>
          <w:t xml:space="preserve"> </w:t>
        </w:r>
      </w:hyperlink>
      <w:hyperlink r:id="rId158">
        <w:r w:rsidRPr="006E437B">
          <w:rPr>
            <w:rFonts w:ascii="Times New Roman" w:eastAsia="Times New Roman" w:hAnsi="Times New Roman" w:cs="Times New Roman"/>
            <w:sz w:val="20"/>
            <w:szCs w:val="24"/>
            <w:u w:val="single" w:color="0563C1"/>
          </w:rPr>
          <w:t>https://www.senado.gob.mx/66/gaceta_del_senado/documento/145730</w:t>
        </w:r>
      </w:hyperlink>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xxv</w:t>
      </w:r>
      <w:r w:rsidRPr="006E437B">
        <w:rPr>
          <w:rFonts w:ascii="Times New Roman" w:eastAsia="Times New Roman" w:hAnsi="Times New Roman" w:cs="Times New Roman"/>
          <w:sz w:val="20"/>
          <w:szCs w:val="24"/>
        </w:rPr>
        <w:t xml:space="preserve"> Pons-Estel, B. A., et al. (2014). </w:t>
      </w:r>
      <w:r w:rsidRPr="006E437B">
        <w:rPr>
          <w:rFonts w:ascii="Times New Roman" w:eastAsia="Times New Roman" w:hAnsi="Times New Roman" w:cs="Times New Roman"/>
          <w:i/>
          <w:sz w:val="20"/>
          <w:szCs w:val="24"/>
        </w:rPr>
        <w:t>Understanding the epidemiology and progression of systemic lupus erythematosus in Latin America: The GLADEL experience.</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Autoimmunity Reviews</w:t>
      </w:r>
      <w:r w:rsidRPr="006E437B">
        <w:rPr>
          <w:rFonts w:ascii="Times New Roman" w:eastAsia="Times New Roman" w:hAnsi="Times New Roman" w:cs="Times New Roman"/>
          <w:sz w:val="20"/>
          <w:szCs w:val="24"/>
        </w:rPr>
        <w:t xml:space="preserve">.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xxvi</w:t>
      </w:r>
      <w:r w:rsidRPr="006E437B">
        <w:rPr>
          <w:rFonts w:ascii="Times New Roman" w:eastAsia="Times New Roman" w:hAnsi="Times New Roman" w:cs="Times New Roman"/>
          <w:sz w:val="20"/>
          <w:szCs w:val="24"/>
        </w:rPr>
        <w:t xml:space="preserve"> Cortés-Castell, E., Castillo-Ortiz, J. D., Sánchez-González, A. I., &amp; Goycochea-Robles, M. V. (2022). </w:t>
      </w:r>
      <w:r w:rsidRPr="006E437B">
        <w:rPr>
          <w:rFonts w:ascii="Times New Roman" w:eastAsia="Times New Roman" w:hAnsi="Times New Roman" w:cs="Times New Roman"/>
          <w:i/>
          <w:sz w:val="20"/>
          <w:szCs w:val="24"/>
        </w:rPr>
        <w:t>Distribución y características de la certificación de los reumatólogos en México.</w:t>
      </w:r>
      <w:r w:rsidRPr="006E437B">
        <w:rPr>
          <w:rFonts w:ascii="Times New Roman" w:eastAsia="Times New Roman" w:hAnsi="Times New Roman" w:cs="Times New Roman"/>
          <w:sz w:val="20"/>
          <w:szCs w:val="24"/>
        </w:rPr>
        <w:t xml:space="preserve">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i/>
          <w:sz w:val="20"/>
          <w:szCs w:val="24"/>
          <w:vertAlign w:val="superscript"/>
        </w:rPr>
        <w:t>xxvii</w:t>
      </w:r>
      <w:r w:rsidRPr="006E437B">
        <w:rPr>
          <w:rFonts w:ascii="Times New Roman" w:eastAsia="Times New Roman" w:hAnsi="Times New Roman" w:cs="Times New Roman"/>
          <w:i/>
          <w:sz w:val="20"/>
          <w:szCs w:val="24"/>
        </w:rPr>
        <w:t xml:space="preserve"> Ibidem.</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xxviii</w:t>
      </w:r>
      <w:r w:rsidRPr="006E437B">
        <w:rPr>
          <w:rFonts w:ascii="Times New Roman" w:eastAsia="Times New Roman" w:hAnsi="Times New Roman" w:cs="Times New Roman"/>
          <w:sz w:val="20"/>
          <w:szCs w:val="24"/>
        </w:rPr>
        <w:t xml:space="preserve"> Athié, Laura (2023). </w:t>
      </w:r>
      <w:r w:rsidRPr="006E437B">
        <w:rPr>
          <w:rFonts w:ascii="Times New Roman" w:eastAsia="Times New Roman" w:hAnsi="Times New Roman" w:cs="Times New Roman"/>
          <w:i/>
          <w:sz w:val="20"/>
          <w:szCs w:val="24"/>
        </w:rPr>
        <w:t>Contranarrativas ante la violencia discursiva: El caso de las personas con lupus</w:t>
      </w:r>
      <w:r w:rsidRPr="006E437B">
        <w:rPr>
          <w:rFonts w:ascii="Times New Roman" w:eastAsia="Times New Roman" w:hAnsi="Times New Roman" w:cs="Times New Roman"/>
          <w:sz w:val="20"/>
          <w:szCs w:val="24"/>
        </w:rPr>
        <w:t xml:space="preserve"> (Tesis doctoral, Benemérita Universidad Autónoma de Puebla). Repositorio Institucional BUAP. Págs. 236279.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xxix</w:t>
      </w:r>
      <w:r w:rsidRPr="006E437B">
        <w:rPr>
          <w:rFonts w:ascii="Times New Roman" w:eastAsia="Times New Roman" w:hAnsi="Times New Roman" w:cs="Times New Roman"/>
          <w:sz w:val="20"/>
          <w:szCs w:val="24"/>
        </w:rPr>
        <w:t xml:space="preserve"> Fuente: Encuentra un reumatólogo. </w:t>
      </w:r>
      <w:r w:rsidRPr="006E437B">
        <w:rPr>
          <w:rFonts w:ascii="Times New Roman" w:eastAsia="Times New Roman" w:hAnsi="Times New Roman" w:cs="Times New Roman"/>
          <w:b/>
          <w:sz w:val="20"/>
          <w:szCs w:val="24"/>
        </w:rPr>
        <w:t xml:space="preserve">Colegio Mexicano de Reumatología: </w:t>
      </w:r>
    </w:p>
    <w:p w:rsidR="001850B4" w:rsidRPr="006E437B" w:rsidRDefault="00C53639" w:rsidP="00141629">
      <w:pPr>
        <w:spacing w:after="0" w:line="240" w:lineRule="auto"/>
        <w:ind w:left="-5"/>
        <w:rPr>
          <w:rFonts w:ascii="Times New Roman" w:eastAsia="Times New Roman" w:hAnsi="Times New Roman" w:cs="Times New Roman"/>
          <w:sz w:val="20"/>
          <w:szCs w:val="24"/>
        </w:rPr>
      </w:pPr>
      <w:hyperlink r:id="rId159" w:history="1">
        <w:r w:rsidR="001850B4" w:rsidRPr="006E437B">
          <w:rPr>
            <w:rStyle w:val="Hipervnculo"/>
            <w:rFonts w:ascii="Times New Roman" w:eastAsia="Times New Roman" w:hAnsi="Times New Roman" w:cs="Times New Roman"/>
            <w:b/>
            <w:color w:val="auto"/>
            <w:sz w:val="20"/>
            <w:szCs w:val="24"/>
          </w:rPr>
          <w:t>https://reumatologia.org.mx/encuentra-reumatologo/</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b/>
          <w:sz w:val="20"/>
          <w:szCs w:val="24"/>
        </w:rPr>
        <w:t>Colegio Mexicano de Reumatología.</w:t>
      </w:r>
      <w:r w:rsidRPr="006E437B">
        <w:rPr>
          <w:rFonts w:ascii="Times New Roman" w:eastAsia="Times New Roman" w:hAnsi="Times New Roman" w:cs="Times New Roman"/>
          <w:sz w:val="20"/>
          <w:szCs w:val="24"/>
        </w:rPr>
        <w:t xml:space="preserve"> (s.f.). </w:t>
      </w:r>
      <w:r w:rsidRPr="006E437B">
        <w:rPr>
          <w:rFonts w:ascii="Times New Roman" w:eastAsia="Times New Roman" w:hAnsi="Times New Roman" w:cs="Times New Roman"/>
          <w:i/>
          <w:sz w:val="20"/>
          <w:szCs w:val="24"/>
        </w:rPr>
        <w:t>Directorio de reumatólogos certificados en México</w:t>
      </w:r>
      <w:r w:rsidRPr="006E437B">
        <w:rPr>
          <w:rFonts w:ascii="Times New Roman" w:eastAsia="Times New Roman" w:hAnsi="Times New Roman" w:cs="Times New Roman"/>
          <w:sz w:val="20"/>
          <w:szCs w:val="24"/>
        </w:rPr>
        <w:t xml:space="preserve">. Recuperado el [20 de mayo de 2025], de </w:t>
      </w:r>
      <w:hyperlink r:id="rId160">
        <w:r w:rsidRPr="006E437B">
          <w:rPr>
            <w:rFonts w:ascii="Times New Roman" w:eastAsia="Times New Roman" w:hAnsi="Times New Roman" w:cs="Times New Roman"/>
            <w:sz w:val="20"/>
            <w:szCs w:val="24"/>
            <w:u w:val="single" w:color="000000"/>
          </w:rPr>
          <w:t>https://reumatologia.org.mx/directorio/</w:t>
        </w:r>
      </w:hyperlink>
      <w:hyperlink r:id="rId161">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xxxi</w:t>
      </w:r>
      <w:r w:rsidRPr="006E437B">
        <w:rPr>
          <w:rFonts w:ascii="Times New Roman" w:eastAsia="Times New Roman" w:hAnsi="Times New Roman" w:cs="Times New Roman"/>
          <w:sz w:val="20"/>
          <w:szCs w:val="24"/>
        </w:rPr>
        <w:t xml:space="preserve"> Instituto Nacional de Estadística y Geografía. (2021, 26 de enero). INEGI. Ocampo-Torres, M. C., Bravo-Rojas, F. M., Martínez-Badajoz, A., et al. (2024). </w:t>
      </w:r>
      <w:r w:rsidRPr="006E437B">
        <w:rPr>
          <w:rFonts w:ascii="Times New Roman" w:eastAsia="Times New Roman" w:hAnsi="Times New Roman" w:cs="Times New Roman"/>
          <w:i/>
          <w:sz w:val="20"/>
          <w:szCs w:val="24"/>
        </w:rPr>
        <w:t>Características epidemiológicas, clínicas y bioquímicas de los pacientes en la cohorte LUPUS-IMMex</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Revista Médica del Instituto Mexicano del Seguro Social, 62</w:t>
      </w:r>
      <w:r w:rsidRPr="006E437B">
        <w:rPr>
          <w:rFonts w:ascii="Times New Roman" w:eastAsia="Times New Roman" w:hAnsi="Times New Roman" w:cs="Times New Roman"/>
          <w:sz w:val="20"/>
          <w:szCs w:val="24"/>
        </w:rPr>
        <w:t xml:space="preserve">(1), e5247. </w:t>
      </w:r>
      <w:hyperlink r:id="rId162">
        <w:r w:rsidRPr="006E437B">
          <w:rPr>
            <w:rFonts w:ascii="Times New Roman" w:eastAsia="Times New Roman" w:hAnsi="Times New Roman" w:cs="Times New Roman"/>
            <w:sz w:val="20"/>
            <w:szCs w:val="24"/>
            <w:u w:val="single" w:color="0563C1"/>
          </w:rPr>
          <w:t>https://doi.org/10.5281/zenodo.10278103</w:t>
        </w:r>
      </w:hyperlink>
      <w:hyperlink r:id="rId163">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xxxii</w:t>
      </w:r>
      <w:r w:rsidRPr="006E437B">
        <w:rPr>
          <w:rFonts w:ascii="Times New Roman" w:eastAsia="Times New Roman" w:hAnsi="Times New Roman" w:cs="Times New Roman"/>
          <w:sz w:val="20"/>
          <w:szCs w:val="24"/>
        </w:rPr>
        <w:t xml:space="preserve"> Centro de Estudios Transdisciplinarios Athié-Calleja por los Derechos de las Personas con Lupus A.C. (2025, octubre). </w:t>
      </w:r>
      <w:r w:rsidRPr="006E437B">
        <w:rPr>
          <w:rFonts w:ascii="Times New Roman" w:eastAsia="Times New Roman" w:hAnsi="Times New Roman" w:cs="Times New Roman"/>
          <w:i/>
          <w:sz w:val="20"/>
          <w:szCs w:val="24"/>
        </w:rPr>
        <w:t>Estatus del lupus en México</w:t>
      </w:r>
      <w:r w:rsidRPr="006E437B">
        <w:rPr>
          <w:rFonts w:ascii="Times New Roman" w:eastAsia="Times New Roman" w:hAnsi="Times New Roman" w:cs="Times New Roman"/>
          <w:sz w:val="20"/>
          <w:szCs w:val="24"/>
        </w:rPr>
        <w:t xml:space="preserve">. Documento interno. Cifras estimadas con base en: Instituto Nacional de Estadística y Geografía (INEGI). (2021, 26 de enero). Álvarez-Hernández, E., Barreira-Mercado, E., Fragoso-Loyo, H. E., Hernández-Díaz, C., Mota-Mondragón, B., Muñoz-López, S., &amp; Pacheco-Tena, C. (2023). </w:t>
      </w:r>
      <w:r w:rsidRPr="006E437B">
        <w:rPr>
          <w:rFonts w:ascii="Times New Roman" w:eastAsia="Times New Roman" w:hAnsi="Times New Roman" w:cs="Times New Roman"/>
          <w:i/>
          <w:sz w:val="20"/>
          <w:szCs w:val="24"/>
        </w:rPr>
        <w:t>Distribution and characteristics of the certification of rheumatologists in Mexico</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Reumatología Clínica (English Edition), 19</w:t>
      </w:r>
      <w:r w:rsidRPr="006E437B">
        <w:rPr>
          <w:rFonts w:ascii="Times New Roman" w:eastAsia="Times New Roman" w:hAnsi="Times New Roman" w:cs="Times New Roman"/>
          <w:sz w:val="20"/>
          <w:szCs w:val="24"/>
        </w:rPr>
        <w:t xml:space="preserve">(7), 379–385; Ocampo-Torres, M. C., Bravo-Rojas, F. M., Martínez-Badajoz, A., et al. (2024). </w:t>
      </w:r>
      <w:r w:rsidRPr="006E437B">
        <w:rPr>
          <w:rFonts w:ascii="Times New Roman" w:eastAsia="Times New Roman" w:hAnsi="Times New Roman" w:cs="Times New Roman"/>
          <w:i/>
          <w:sz w:val="20"/>
          <w:szCs w:val="24"/>
        </w:rPr>
        <w:t>Características epidemiológicas, clínicas y bioquímicas de los pacientes en la cohorte LUPUSIMMex</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Revista Médica del Instituto Mexicano del Seguro Social, 62</w:t>
      </w:r>
      <w:r w:rsidRPr="006E437B">
        <w:rPr>
          <w:rFonts w:ascii="Times New Roman" w:eastAsia="Times New Roman" w:hAnsi="Times New Roman" w:cs="Times New Roman"/>
          <w:sz w:val="20"/>
          <w:szCs w:val="24"/>
        </w:rPr>
        <w:t xml:space="preserve">(1), e5247. </w:t>
      </w:r>
      <w:hyperlink r:id="rId164">
        <w:r w:rsidRPr="006E437B">
          <w:rPr>
            <w:rFonts w:ascii="Times New Roman" w:eastAsia="Times New Roman" w:hAnsi="Times New Roman" w:cs="Times New Roman"/>
            <w:sz w:val="20"/>
            <w:szCs w:val="24"/>
            <w:u w:val="single" w:color="0563C1"/>
          </w:rPr>
          <w:t>https://doi.org/10.5281/zenodo.10278103</w:t>
        </w:r>
      </w:hyperlink>
      <w:hyperlink r:id="rId165">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xxxiii</w:t>
      </w:r>
      <w:r w:rsidRPr="006E437B">
        <w:rPr>
          <w:rFonts w:ascii="Times New Roman" w:eastAsia="Times New Roman" w:hAnsi="Times New Roman" w:cs="Times New Roman"/>
          <w:sz w:val="20"/>
          <w:szCs w:val="24"/>
        </w:rPr>
        <w:t xml:space="preserve"> Instituto Nacional de Estadística y Geografía, Consejo Nacional de Población &amp; Ocampo-Torres, M. C., Bravo-Rojas, F. M., Martínez-Badajoz, A., </w:t>
      </w:r>
      <w:r w:rsidRPr="006E437B">
        <w:rPr>
          <w:rFonts w:ascii="Times New Roman" w:eastAsia="Times New Roman" w:hAnsi="Times New Roman" w:cs="Times New Roman"/>
          <w:i/>
          <w:sz w:val="20"/>
          <w:szCs w:val="24"/>
        </w:rPr>
        <w:t>et al.</w:t>
      </w:r>
      <w:r w:rsidRPr="006E437B">
        <w:rPr>
          <w:rFonts w:ascii="Times New Roman" w:eastAsia="Times New Roman" w:hAnsi="Times New Roman" w:cs="Times New Roman"/>
          <w:sz w:val="20"/>
          <w:szCs w:val="24"/>
        </w:rPr>
        <w:t xml:space="preserve"> (2024). (CETLU 2026). INEGI / CONAPO / Revista Médica del Instituto Mexicano del Seguro Social. </w:t>
      </w:r>
      <w:hyperlink r:id="rId166">
        <w:r w:rsidRPr="006E437B">
          <w:rPr>
            <w:rFonts w:ascii="Times New Roman" w:eastAsia="Times New Roman" w:hAnsi="Times New Roman" w:cs="Times New Roman"/>
            <w:sz w:val="20"/>
            <w:szCs w:val="24"/>
            <w:u w:val="single" w:color="0563C1"/>
          </w:rPr>
          <w:t>https://www.inegi.org.mx/contenidos/saladeprensa/boletines/2021/EstSociodemo/ResultCenso2020_Jal.pdf</w:t>
        </w:r>
      </w:hyperlink>
      <w:hyperlink r:id="rId167">
        <w:r w:rsidRPr="006E437B">
          <w:rPr>
            <w:rFonts w:ascii="Times New Roman" w:eastAsia="Times New Roman" w:hAnsi="Times New Roman" w:cs="Times New Roman"/>
            <w:sz w:val="20"/>
            <w:szCs w:val="24"/>
          </w:rPr>
          <w:t>;</w:t>
        </w:r>
      </w:hyperlink>
      <w:r w:rsidRPr="006E437B">
        <w:rPr>
          <w:rFonts w:ascii="Times New Roman" w:eastAsia="Times New Roman" w:hAnsi="Times New Roman" w:cs="Times New Roman"/>
          <w:sz w:val="20"/>
          <w:szCs w:val="24"/>
        </w:rPr>
        <w:t xml:space="preserve"> </w:t>
      </w:r>
      <w:hyperlink r:id="rId168">
        <w:r w:rsidRPr="006E437B">
          <w:rPr>
            <w:rFonts w:ascii="Times New Roman" w:eastAsia="Times New Roman" w:hAnsi="Times New Roman" w:cs="Times New Roman"/>
            <w:sz w:val="20"/>
            <w:szCs w:val="24"/>
            <w:u w:val="single" w:color="0563C1"/>
          </w:rPr>
          <w:t>https://www.gob.mx/conapo/documentos/proyecciones</w:t>
        </w:r>
      </w:hyperlink>
      <w:hyperlink r:id="rId169">
        <w:r w:rsidRPr="006E437B">
          <w:rPr>
            <w:rFonts w:ascii="Times New Roman" w:eastAsia="Times New Roman" w:hAnsi="Times New Roman" w:cs="Times New Roman"/>
            <w:sz w:val="20"/>
            <w:szCs w:val="24"/>
            <w:u w:val="single" w:color="0563C1"/>
          </w:rPr>
          <w:t>-</w:t>
        </w:r>
      </w:hyperlink>
      <w:hyperlink r:id="rId170">
        <w:r w:rsidRPr="006E437B">
          <w:rPr>
            <w:rFonts w:ascii="Times New Roman" w:eastAsia="Times New Roman" w:hAnsi="Times New Roman" w:cs="Times New Roman"/>
            <w:sz w:val="20"/>
            <w:szCs w:val="24"/>
            <w:u w:val="single" w:color="0563C1"/>
          </w:rPr>
          <w:t>de</w:t>
        </w:r>
      </w:hyperlink>
      <w:hyperlink r:id="rId171">
        <w:r w:rsidRPr="006E437B">
          <w:rPr>
            <w:rFonts w:ascii="Times New Roman" w:eastAsia="Times New Roman" w:hAnsi="Times New Roman" w:cs="Times New Roman"/>
            <w:sz w:val="20"/>
            <w:szCs w:val="24"/>
            <w:u w:val="single" w:color="0563C1"/>
          </w:rPr>
          <w:t>-</w:t>
        </w:r>
      </w:hyperlink>
      <w:hyperlink r:id="rId172">
        <w:r w:rsidRPr="006E437B">
          <w:rPr>
            <w:rFonts w:ascii="Times New Roman" w:eastAsia="Times New Roman" w:hAnsi="Times New Roman" w:cs="Times New Roman"/>
            <w:sz w:val="20"/>
            <w:szCs w:val="24"/>
            <w:u w:val="single" w:color="0563C1"/>
          </w:rPr>
          <w:t>la</w:t>
        </w:r>
      </w:hyperlink>
      <w:hyperlink r:id="rId173">
        <w:r w:rsidRPr="006E437B">
          <w:rPr>
            <w:rFonts w:ascii="Times New Roman" w:eastAsia="Times New Roman" w:hAnsi="Times New Roman" w:cs="Times New Roman"/>
            <w:sz w:val="20"/>
            <w:szCs w:val="24"/>
            <w:u w:val="single" w:color="0563C1"/>
          </w:rPr>
          <w:t>-</w:t>
        </w:r>
      </w:hyperlink>
      <w:hyperlink r:id="rId174">
        <w:r w:rsidRPr="006E437B">
          <w:rPr>
            <w:rFonts w:ascii="Times New Roman" w:eastAsia="Times New Roman" w:hAnsi="Times New Roman" w:cs="Times New Roman"/>
            <w:sz w:val="20"/>
            <w:szCs w:val="24"/>
            <w:u w:val="single" w:color="0563C1"/>
          </w:rPr>
          <w:t>poblacion</w:t>
        </w:r>
      </w:hyperlink>
      <w:hyperlink r:id="rId175">
        <w:r w:rsidRPr="006E437B">
          <w:rPr>
            <w:rFonts w:ascii="Times New Roman" w:eastAsia="Times New Roman" w:hAnsi="Times New Roman" w:cs="Times New Roman"/>
            <w:sz w:val="20"/>
            <w:szCs w:val="24"/>
            <w:u w:val="single" w:color="0563C1"/>
          </w:rPr>
          <w:t>-</w:t>
        </w:r>
      </w:hyperlink>
      <w:hyperlink r:id="rId176">
        <w:r w:rsidRPr="006E437B">
          <w:rPr>
            <w:rFonts w:ascii="Times New Roman" w:eastAsia="Times New Roman" w:hAnsi="Times New Roman" w:cs="Times New Roman"/>
            <w:sz w:val="20"/>
            <w:szCs w:val="24"/>
            <w:u w:val="single" w:color="0563C1"/>
          </w:rPr>
          <w:t>de</w:t>
        </w:r>
      </w:hyperlink>
      <w:hyperlink r:id="rId177">
        <w:r w:rsidRPr="006E437B">
          <w:rPr>
            <w:rFonts w:ascii="Times New Roman" w:eastAsia="Times New Roman" w:hAnsi="Times New Roman" w:cs="Times New Roman"/>
            <w:sz w:val="20"/>
            <w:szCs w:val="24"/>
            <w:u w:val="single" w:color="0563C1"/>
          </w:rPr>
          <w:t>-</w:t>
        </w:r>
      </w:hyperlink>
      <w:hyperlink r:id="rId178">
        <w:r w:rsidRPr="006E437B">
          <w:rPr>
            <w:rFonts w:ascii="Times New Roman" w:eastAsia="Times New Roman" w:hAnsi="Times New Roman" w:cs="Times New Roman"/>
            <w:sz w:val="20"/>
            <w:szCs w:val="24"/>
            <w:u w:val="single" w:color="0563C1"/>
          </w:rPr>
          <w:t>mexico</w:t>
        </w:r>
      </w:hyperlink>
      <w:hyperlink r:id="rId179">
        <w:r w:rsidRPr="006E437B">
          <w:rPr>
            <w:rFonts w:ascii="Times New Roman" w:eastAsia="Times New Roman" w:hAnsi="Times New Roman" w:cs="Times New Roman"/>
            <w:sz w:val="20"/>
            <w:szCs w:val="24"/>
            <w:u w:val="single" w:color="0563C1"/>
          </w:rPr>
          <w:t>-</w:t>
        </w:r>
      </w:hyperlink>
      <w:hyperlink r:id="rId180">
        <w:r w:rsidRPr="006E437B">
          <w:rPr>
            <w:rFonts w:ascii="Times New Roman" w:eastAsia="Times New Roman" w:hAnsi="Times New Roman" w:cs="Times New Roman"/>
            <w:sz w:val="20"/>
            <w:szCs w:val="24"/>
            <w:u w:val="single" w:color="0563C1"/>
          </w:rPr>
          <w:t>y</w:t>
        </w:r>
      </w:hyperlink>
      <w:hyperlink r:id="rId181">
        <w:r w:rsidRPr="006E437B">
          <w:rPr>
            <w:rFonts w:ascii="Times New Roman" w:eastAsia="Times New Roman" w:hAnsi="Times New Roman" w:cs="Times New Roman"/>
            <w:sz w:val="20"/>
            <w:szCs w:val="24"/>
            <w:u w:val="single" w:color="0563C1"/>
          </w:rPr>
          <w:t>-</w:t>
        </w:r>
      </w:hyperlink>
      <w:hyperlink r:id="rId182">
        <w:r w:rsidRPr="006E437B">
          <w:rPr>
            <w:rFonts w:ascii="Times New Roman" w:eastAsia="Times New Roman" w:hAnsi="Times New Roman" w:cs="Times New Roman"/>
            <w:sz w:val="20"/>
            <w:szCs w:val="24"/>
            <w:u w:val="single" w:color="0563C1"/>
          </w:rPr>
          <w:t>de</w:t>
        </w:r>
      </w:hyperlink>
      <w:hyperlink r:id="rId183">
        <w:r w:rsidRPr="006E437B">
          <w:rPr>
            <w:rFonts w:ascii="Times New Roman" w:eastAsia="Times New Roman" w:hAnsi="Times New Roman" w:cs="Times New Roman"/>
            <w:sz w:val="20"/>
            <w:szCs w:val="24"/>
            <w:u w:val="single" w:color="0563C1"/>
          </w:rPr>
          <w:t>-</w:t>
        </w:r>
      </w:hyperlink>
      <w:hyperlink r:id="rId184">
        <w:r w:rsidRPr="006E437B">
          <w:rPr>
            <w:rFonts w:ascii="Times New Roman" w:eastAsia="Times New Roman" w:hAnsi="Times New Roman" w:cs="Times New Roman"/>
            <w:sz w:val="20"/>
            <w:szCs w:val="24"/>
            <w:u w:val="single" w:color="0563C1"/>
          </w:rPr>
          <w:t>las</w:t>
        </w:r>
      </w:hyperlink>
      <w:hyperlink r:id="rId185">
        <w:r w:rsidRPr="006E437B">
          <w:rPr>
            <w:rFonts w:ascii="Times New Roman" w:eastAsia="Times New Roman" w:hAnsi="Times New Roman" w:cs="Times New Roman"/>
            <w:sz w:val="20"/>
            <w:szCs w:val="24"/>
            <w:u w:val="single" w:color="0563C1"/>
          </w:rPr>
          <w:t>-</w:t>
        </w:r>
      </w:hyperlink>
      <w:hyperlink r:id="rId186">
        <w:r w:rsidRPr="006E437B">
          <w:rPr>
            <w:rFonts w:ascii="Times New Roman" w:eastAsia="Times New Roman" w:hAnsi="Times New Roman" w:cs="Times New Roman"/>
            <w:sz w:val="20"/>
            <w:szCs w:val="24"/>
            <w:u w:val="single" w:color="0563C1"/>
          </w:rPr>
          <w:t>entidades</w:t>
        </w:r>
      </w:hyperlink>
      <w:hyperlink r:id="rId187"/>
      <w:hyperlink r:id="rId188">
        <w:r w:rsidRPr="006E437B">
          <w:rPr>
            <w:rFonts w:ascii="Times New Roman" w:eastAsia="Times New Roman" w:hAnsi="Times New Roman" w:cs="Times New Roman"/>
            <w:sz w:val="20"/>
            <w:szCs w:val="24"/>
            <w:u w:val="single" w:color="0563C1"/>
          </w:rPr>
          <w:t>federativas</w:t>
        </w:r>
      </w:hyperlink>
      <w:hyperlink r:id="rId189">
        <w:r w:rsidRPr="006E437B">
          <w:rPr>
            <w:rFonts w:ascii="Times New Roman" w:eastAsia="Times New Roman" w:hAnsi="Times New Roman" w:cs="Times New Roman"/>
            <w:sz w:val="20"/>
            <w:szCs w:val="24"/>
            <w:u w:val="single" w:color="0563C1"/>
          </w:rPr>
          <w:t>-</w:t>
        </w:r>
      </w:hyperlink>
      <w:hyperlink r:id="rId190">
        <w:r w:rsidRPr="006E437B">
          <w:rPr>
            <w:rFonts w:ascii="Times New Roman" w:eastAsia="Times New Roman" w:hAnsi="Times New Roman" w:cs="Times New Roman"/>
            <w:sz w:val="20"/>
            <w:szCs w:val="24"/>
            <w:u w:val="single" w:color="0563C1"/>
          </w:rPr>
          <w:t>2020</w:t>
        </w:r>
      </w:hyperlink>
      <w:hyperlink r:id="rId191">
        <w:r w:rsidRPr="006E437B">
          <w:rPr>
            <w:rFonts w:ascii="Times New Roman" w:eastAsia="Times New Roman" w:hAnsi="Times New Roman" w:cs="Times New Roman"/>
            <w:sz w:val="20"/>
            <w:szCs w:val="24"/>
            <w:u w:val="single" w:color="0563C1"/>
          </w:rPr>
          <w:t>-</w:t>
        </w:r>
      </w:hyperlink>
      <w:hyperlink r:id="rId192">
        <w:r w:rsidRPr="006E437B">
          <w:rPr>
            <w:rFonts w:ascii="Times New Roman" w:eastAsia="Times New Roman" w:hAnsi="Times New Roman" w:cs="Times New Roman"/>
            <w:sz w:val="20"/>
            <w:szCs w:val="24"/>
            <w:u w:val="single" w:color="0563C1"/>
          </w:rPr>
          <w:t>2070</w:t>
        </w:r>
      </w:hyperlink>
      <w:hyperlink r:id="rId193">
        <w:r w:rsidRPr="006E437B">
          <w:rPr>
            <w:rFonts w:ascii="Times New Roman" w:eastAsia="Times New Roman" w:hAnsi="Times New Roman" w:cs="Times New Roman"/>
            <w:sz w:val="20"/>
            <w:szCs w:val="24"/>
          </w:rPr>
          <w:t>;</w:t>
        </w:r>
      </w:hyperlink>
      <w:hyperlink r:id="rId194">
        <w:r w:rsidRPr="006E437B">
          <w:rPr>
            <w:rFonts w:ascii="Times New Roman" w:eastAsia="Times New Roman" w:hAnsi="Times New Roman" w:cs="Times New Roman"/>
            <w:sz w:val="20"/>
            <w:szCs w:val="24"/>
          </w:rPr>
          <w:t xml:space="preserve"> </w:t>
        </w:r>
      </w:hyperlink>
      <w:hyperlink r:id="rId195">
        <w:r w:rsidRPr="006E437B">
          <w:rPr>
            <w:rFonts w:ascii="Times New Roman" w:eastAsia="Times New Roman" w:hAnsi="Times New Roman" w:cs="Times New Roman"/>
            <w:sz w:val="20"/>
            <w:szCs w:val="24"/>
            <w:u w:val="single" w:color="0563C1"/>
          </w:rPr>
          <w:t>https://doi.org/10.5281/zenodo.10278103</w:t>
        </w:r>
      </w:hyperlink>
      <w:hyperlink r:id="rId196">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xxxiv</w:t>
      </w:r>
      <w:r w:rsidRPr="006E437B">
        <w:rPr>
          <w:rFonts w:ascii="Times New Roman" w:eastAsia="Times New Roman" w:hAnsi="Times New Roman" w:cs="Times New Roman"/>
          <w:sz w:val="20"/>
          <w:szCs w:val="24"/>
        </w:rPr>
        <w:t xml:space="preserve"> González-Chávez, A., &amp; Gutiérrez, M. (2022). Situación de la reumatología en México: Déficit de reumatólogos en el país. </w:t>
      </w:r>
      <w:r w:rsidRPr="006E437B">
        <w:rPr>
          <w:rFonts w:ascii="Times New Roman" w:eastAsia="Times New Roman" w:hAnsi="Times New Roman" w:cs="Times New Roman"/>
          <w:i/>
          <w:sz w:val="20"/>
          <w:szCs w:val="24"/>
        </w:rPr>
        <w:t>Reumatología Clínica</w:t>
      </w:r>
      <w:r w:rsidRPr="006E437B">
        <w:rPr>
          <w:rFonts w:ascii="Times New Roman" w:eastAsia="Times New Roman" w:hAnsi="Times New Roman" w:cs="Times New Roman"/>
          <w:sz w:val="20"/>
          <w:szCs w:val="24"/>
        </w:rPr>
        <w:t xml:space="preserve">, 18(1), 3-10. </w:t>
      </w:r>
      <w:hyperlink r:id="rId197">
        <w:r w:rsidRPr="006E437B">
          <w:rPr>
            <w:rFonts w:ascii="Times New Roman" w:eastAsia="Times New Roman" w:hAnsi="Times New Roman" w:cs="Times New Roman"/>
            <w:sz w:val="20"/>
            <w:szCs w:val="24"/>
            <w:u w:val="single" w:color="0563C1"/>
          </w:rPr>
          <w:t>https://doi.org/10.1016/j.reuma.2021.05.005 /</w:t>
        </w:r>
      </w:hyperlink>
      <w:hyperlink r:id="rId198">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rPr>
        <w:t xml:space="preserve">Secretaría de Salud. (2023). De cada 10 personas con lupus, entre siete y nueve son mujeres. </w:t>
      </w:r>
      <w:hyperlink r:id="rId199">
        <w:r w:rsidRPr="006E437B">
          <w:rPr>
            <w:rFonts w:ascii="Times New Roman" w:eastAsia="Times New Roman" w:hAnsi="Times New Roman" w:cs="Times New Roman"/>
            <w:sz w:val="20"/>
            <w:szCs w:val="24"/>
            <w:u w:val="single" w:color="0563C1"/>
          </w:rPr>
          <w:t>https://www.gob.mx/salud/es/articulos/de</w:t>
        </w:r>
      </w:hyperlink>
      <w:hyperlink r:id="rId200">
        <w:r w:rsidRPr="006E437B">
          <w:rPr>
            <w:rFonts w:ascii="Times New Roman" w:eastAsia="Times New Roman" w:hAnsi="Times New Roman" w:cs="Times New Roman"/>
            <w:sz w:val="20"/>
            <w:szCs w:val="24"/>
            <w:u w:val="single" w:color="0563C1"/>
          </w:rPr>
          <w:t>-</w:t>
        </w:r>
      </w:hyperlink>
      <w:hyperlink r:id="rId201">
        <w:r w:rsidRPr="006E437B">
          <w:rPr>
            <w:rFonts w:ascii="Times New Roman" w:eastAsia="Times New Roman" w:hAnsi="Times New Roman" w:cs="Times New Roman"/>
            <w:sz w:val="20"/>
            <w:szCs w:val="24"/>
            <w:u w:val="single" w:color="0563C1"/>
          </w:rPr>
          <w:t>cada</w:t>
        </w:r>
      </w:hyperlink>
      <w:hyperlink r:id="rId202">
        <w:r w:rsidRPr="006E437B">
          <w:rPr>
            <w:rFonts w:ascii="Times New Roman" w:eastAsia="Times New Roman" w:hAnsi="Times New Roman" w:cs="Times New Roman"/>
            <w:sz w:val="20"/>
            <w:szCs w:val="24"/>
            <w:u w:val="single" w:color="0563C1"/>
          </w:rPr>
          <w:t>-</w:t>
        </w:r>
      </w:hyperlink>
      <w:hyperlink r:id="rId203">
        <w:r w:rsidRPr="006E437B">
          <w:rPr>
            <w:rFonts w:ascii="Times New Roman" w:eastAsia="Times New Roman" w:hAnsi="Times New Roman" w:cs="Times New Roman"/>
            <w:sz w:val="20"/>
            <w:szCs w:val="24"/>
            <w:u w:val="single" w:color="0563C1"/>
          </w:rPr>
          <w:t>10</w:t>
        </w:r>
      </w:hyperlink>
      <w:hyperlink r:id="rId204">
        <w:r w:rsidRPr="006E437B">
          <w:rPr>
            <w:rFonts w:ascii="Times New Roman" w:eastAsia="Times New Roman" w:hAnsi="Times New Roman" w:cs="Times New Roman"/>
            <w:sz w:val="20"/>
            <w:szCs w:val="24"/>
            <w:u w:val="single" w:color="0563C1"/>
          </w:rPr>
          <w:t>-</w:t>
        </w:r>
      </w:hyperlink>
      <w:hyperlink r:id="rId205">
        <w:r w:rsidRPr="006E437B">
          <w:rPr>
            <w:rFonts w:ascii="Times New Roman" w:eastAsia="Times New Roman" w:hAnsi="Times New Roman" w:cs="Times New Roman"/>
            <w:sz w:val="20"/>
            <w:szCs w:val="24"/>
            <w:u w:val="single" w:color="0563C1"/>
          </w:rPr>
          <w:t>personas</w:t>
        </w:r>
      </w:hyperlink>
      <w:hyperlink r:id="rId206">
        <w:r w:rsidRPr="006E437B">
          <w:rPr>
            <w:rFonts w:ascii="Times New Roman" w:eastAsia="Times New Roman" w:hAnsi="Times New Roman" w:cs="Times New Roman"/>
            <w:sz w:val="20"/>
            <w:szCs w:val="24"/>
            <w:u w:val="single" w:color="0563C1"/>
          </w:rPr>
          <w:t>-</w:t>
        </w:r>
      </w:hyperlink>
      <w:hyperlink r:id="rId207">
        <w:r w:rsidRPr="006E437B">
          <w:rPr>
            <w:rFonts w:ascii="Times New Roman" w:eastAsia="Times New Roman" w:hAnsi="Times New Roman" w:cs="Times New Roman"/>
            <w:sz w:val="20"/>
            <w:szCs w:val="24"/>
            <w:u w:val="single" w:color="0563C1"/>
          </w:rPr>
          <w:t>con</w:t>
        </w:r>
      </w:hyperlink>
      <w:hyperlink r:id="rId208">
        <w:r w:rsidRPr="006E437B">
          <w:rPr>
            <w:rFonts w:ascii="Times New Roman" w:eastAsia="Times New Roman" w:hAnsi="Times New Roman" w:cs="Times New Roman"/>
            <w:sz w:val="20"/>
            <w:szCs w:val="24"/>
            <w:u w:val="single" w:color="0563C1"/>
          </w:rPr>
          <w:t>-</w:t>
        </w:r>
      </w:hyperlink>
      <w:hyperlink r:id="rId209">
        <w:r w:rsidRPr="006E437B">
          <w:rPr>
            <w:rFonts w:ascii="Times New Roman" w:eastAsia="Times New Roman" w:hAnsi="Times New Roman" w:cs="Times New Roman"/>
            <w:sz w:val="20"/>
            <w:szCs w:val="24"/>
            <w:u w:val="single" w:color="0563C1"/>
          </w:rPr>
          <w:t>lupus</w:t>
        </w:r>
      </w:hyperlink>
      <w:hyperlink r:id="rId210">
        <w:r w:rsidRPr="006E437B">
          <w:rPr>
            <w:rFonts w:ascii="Times New Roman" w:eastAsia="Times New Roman" w:hAnsi="Times New Roman" w:cs="Times New Roman"/>
            <w:sz w:val="20"/>
            <w:szCs w:val="24"/>
            <w:u w:val="single" w:color="0563C1"/>
          </w:rPr>
          <w:t>-</w:t>
        </w:r>
      </w:hyperlink>
      <w:hyperlink r:id="rId211">
        <w:r w:rsidRPr="006E437B">
          <w:rPr>
            <w:rFonts w:ascii="Times New Roman" w:eastAsia="Times New Roman" w:hAnsi="Times New Roman" w:cs="Times New Roman"/>
            <w:sz w:val="20"/>
            <w:szCs w:val="24"/>
            <w:u w:val="single" w:color="0563C1"/>
          </w:rPr>
          <w:t>entre</w:t>
        </w:r>
      </w:hyperlink>
      <w:hyperlink r:id="rId212">
        <w:r w:rsidRPr="006E437B">
          <w:rPr>
            <w:rFonts w:ascii="Times New Roman" w:eastAsia="Times New Roman" w:hAnsi="Times New Roman" w:cs="Times New Roman"/>
            <w:sz w:val="20"/>
            <w:szCs w:val="24"/>
            <w:u w:val="single" w:color="0563C1"/>
          </w:rPr>
          <w:t>-</w:t>
        </w:r>
      </w:hyperlink>
      <w:hyperlink r:id="rId213">
        <w:r w:rsidRPr="006E437B">
          <w:rPr>
            <w:rFonts w:ascii="Times New Roman" w:eastAsia="Times New Roman" w:hAnsi="Times New Roman" w:cs="Times New Roman"/>
            <w:sz w:val="20"/>
            <w:szCs w:val="24"/>
            <w:u w:val="single" w:color="0563C1"/>
          </w:rPr>
          <w:t>siete</w:t>
        </w:r>
      </w:hyperlink>
      <w:hyperlink r:id="rId214">
        <w:r w:rsidRPr="006E437B">
          <w:rPr>
            <w:rFonts w:ascii="Times New Roman" w:eastAsia="Times New Roman" w:hAnsi="Times New Roman" w:cs="Times New Roman"/>
            <w:sz w:val="20"/>
            <w:szCs w:val="24"/>
            <w:u w:val="single" w:color="0563C1"/>
          </w:rPr>
          <w:t>-</w:t>
        </w:r>
      </w:hyperlink>
      <w:hyperlink r:id="rId215">
        <w:r w:rsidRPr="006E437B">
          <w:rPr>
            <w:rFonts w:ascii="Times New Roman" w:eastAsia="Times New Roman" w:hAnsi="Times New Roman" w:cs="Times New Roman"/>
            <w:sz w:val="20"/>
            <w:szCs w:val="24"/>
            <w:u w:val="single" w:color="0563C1"/>
          </w:rPr>
          <w:t>y</w:t>
        </w:r>
      </w:hyperlink>
      <w:hyperlink r:id="rId216">
        <w:r w:rsidRPr="006E437B">
          <w:rPr>
            <w:rFonts w:ascii="Times New Roman" w:eastAsia="Times New Roman" w:hAnsi="Times New Roman" w:cs="Times New Roman"/>
            <w:sz w:val="20"/>
            <w:szCs w:val="24"/>
            <w:u w:val="single" w:color="0563C1"/>
          </w:rPr>
          <w:t>-</w:t>
        </w:r>
      </w:hyperlink>
      <w:hyperlink r:id="rId217">
        <w:r w:rsidRPr="006E437B">
          <w:rPr>
            <w:rFonts w:ascii="Times New Roman" w:eastAsia="Times New Roman" w:hAnsi="Times New Roman" w:cs="Times New Roman"/>
            <w:sz w:val="20"/>
            <w:szCs w:val="24"/>
            <w:u w:val="single" w:color="0563C1"/>
          </w:rPr>
          <w:t>nueve</w:t>
        </w:r>
      </w:hyperlink>
      <w:hyperlink r:id="rId218">
        <w:r w:rsidRPr="006E437B">
          <w:rPr>
            <w:rFonts w:ascii="Times New Roman" w:eastAsia="Times New Roman" w:hAnsi="Times New Roman" w:cs="Times New Roman"/>
            <w:sz w:val="20"/>
            <w:szCs w:val="24"/>
            <w:u w:val="single" w:color="0563C1"/>
          </w:rPr>
          <w:t>-</w:t>
        </w:r>
      </w:hyperlink>
      <w:hyperlink r:id="rId219">
        <w:r w:rsidRPr="006E437B">
          <w:rPr>
            <w:rFonts w:ascii="Times New Roman" w:eastAsia="Times New Roman" w:hAnsi="Times New Roman" w:cs="Times New Roman"/>
            <w:sz w:val="20"/>
            <w:szCs w:val="24"/>
            <w:u w:val="single" w:color="0563C1"/>
          </w:rPr>
          <w:t>son</w:t>
        </w:r>
      </w:hyperlink>
      <w:hyperlink r:id="rId220">
        <w:r w:rsidRPr="006E437B">
          <w:rPr>
            <w:rFonts w:ascii="Times New Roman" w:eastAsia="Times New Roman" w:hAnsi="Times New Roman" w:cs="Times New Roman"/>
            <w:sz w:val="20"/>
            <w:szCs w:val="24"/>
            <w:u w:val="single" w:color="0563C1"/>
          </w:rPr>
          <w:t>-</w:t>
        </w:r>
      </w:hyperlink>
      <w:hyperlink r:id="rId221">
        <w:r w:rsidRPr="006E437B">
          <w:rPr>
            <w:rFonts w:ascii="Times New Roman" w:eastAsia="Times New Roman" w:hAnsi="Times New Roman" w:cs="Times New Roman"/>
            <w:sz w:val="20"/>
            <w:szCs w:val="24"/>
            <w:u w:val="single" w:color="0563C1"/>
          </w:rPr>
          <w:t>mujeres</w:t>
        </w:r>
      </w:hyperlink>
      <w:hyperlink r:id="rId222">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xxxv</w:t>
      </w:r>
      <w:r w:rsidRPr="006E437B">
        <w:rPr>
          <w:rFonts w:ascii="Times New Roman" w:eastAsia="Times New Roman" w:hAnsi="Times New Roman" w:cs="Times New Roman"/>
          <w:sz w:val="20"/>
          <w:szCs w:val="24"/>
        </w:rPr>
        <w:t xml:space="preserve"> Lupus Foundation of America. (2022). Datos y estadísticas sobre el lupus. </w:t>
      </w:r>
      <w:hyperlink r:id="rId223">
        <w:r w:rsidRPr="006E437B">
          <w:rPr>
            <w:rFonts w:ascii="Times New Roman" w:eastAsia="Times New Roman" w:hAnsi="Times New Roman" w:cs="Times New Roman"/>
            <w:sz w:val="20"/>
            <w:szCs w:val="24"/>
            <w:u w:val="single" w:color="0563C1"/>
          </w:rPr>
          <w:t>https://www.lupus.org/es/resources/datos</w:t>
        </w:r>
      </w:hyperlink>
      <w:hyperlink r:id="rId224">
        <w:r w:rsidRPr="006E437B">
          <w:rPr>
            <w:rFonts w:ascii="Times New Roman" w:eastAsia="Times New Roman" w:hAnsi="Times New Roman" w:cs="Times New Roman"/>
            <w:sz w:val="20"/>
            <w:szCs w:val="24"/>
            <w:u w:val="single" w:color="0563C1"/>
          </w:rPr>
          <w:t>-</w:t>
        </w:r>
      </w:hyperlink>
      <w:hyperlink r:id="rId225">
        <w:r w:rsidRPr="006E437B">
          <w:rPr>
            <w:rFonts w:ascii="Times New Roman" w:eastAsia="Times New Roman" w:hAnsi="Times New Roman" w:cs="Times New Roman"/>
            <w:sz w:val="20"/>
            <w:szCs w:val="24"/>
            <w:u w:val="single" w:color="0563C1"/>
          </w:rPr>
          <w:t>y</w:t>
        </w:r>
      </w:hyperlink>
      <w:hyperlink r:id="rId226">
        <w:r w:rsidRPr="006E437B">
          <w:rPr>
            <w:rFonts w:ascii="Times New Roman" w:eastAsia="Times New Roman" w:hAnsi="Times New Roman" w:cs="Times New Roman"/>
            <w:sz w:val="20"/>
            <w:szCs w:val="24"/>
            <w:u w:val="single" w:color="0563C1"/>
          </w:rPr>
          <w:t>-</w:t>
        </w:r>
      </w:hyperlink>
      <w:hyperlink r:id="rId227">
        <w:r w:rsidRPr="006E437B">
          <w:rPr>
            <w:rFonts w:ascii="Times New Roman" w:eastAsia="Times New Roman" w:hAnsi="Times New Roman" w:cs="Times New Roman"/>
            <w:sz w:val="20"/>
            <w:szCs w:val="24"/>
            <w:u w:val="single" w:color="0563C1"/>
          </w:rPr>
          <w:t>estadisticas</w:t>
        </w:r>
      </w:hyperlink>
      <w:hyperlink r:id="rId228">
        <w:r w:rsidRPr="006E437B">
          <w:rPr>
            <w:rFonts w:ascii="Times New Roman" w:eastAsia="Times New Roman" w:hAnsi="Times New Roman" w:cs="Times New Roman"/>
            <w:sz w:val="20"/>
            <w:szCs w:val="24"/>
            <w:u w:val="single" w:color="0563C1"/>
          </w:rPr>
          <w:t>-</w:t>
        </w:r>
      </w:hyperlink>
      <w:hyperlink r:id="rId229">
        <w:r w:rsidRPr="006E437B">
          <w:rPr>
            <w:rFonts w:ascii="Times New Roman" w:eastAsia="Times New Roman" w:hAnsi="Times New Roman" w:cs="Times New Roman"/>
            <w:sz w:val="20"/>
            <w:szCs w:val="24"/>
            <w:u w:val="single" w:color="0563C1"/>
          </w:rPr>
          <w:t>sobre</w:t>
        </w:r>
      </w:hyperlink>
      <w:hyperlink r:id="rId230">
        <w:r w:rsidRPr="006E437B">
          <w:rPr>
            <w:rFonts w:ascii="Times New Roman" w:eastAsia="Times New Roman" w:hAnsi="Times New Roman" w:cs="Times New Roman"/>
            <w:sz w:val="20"/>
            <w:szCs w:val="24"/>
            <w:u w:val="single" w:color="0563C1"/>
          </w:rPr>
          <w:t>-</w:t>
        </w:r>
      </w:hyperlink>
      <w:hyperlink r:id="rId231">
        <w:r w:rsidRPr="006E437B">
          <w:rPr>
            <w:rFonts w:ascii="Times New Roman" w:eastAsia="Times New Roman" w:hAnsi="Times New Roman" w:cs="Times New Roman"/>
            <w:sz w:val="20"/>
            <w:szCs w:val="24"/>
            <w:u w:val="single" w:color="0563C1"/>
          </w:rPr>
          <w:t>el</w:t>
        </w:r>
      </w:hyperlink>
      <w:hyperlink r:id="rId232">
        <w:r w:rsidRPr="006E437B">
          <w:rPr>
            <w:rFonts w:ascii="Times New Roman" w:eastAsia="Times New Roman" w:hAnsi="Times New Roman" w:cs="Times New Roman"/>
            <w:sz w:val="20"/>
            <w:szCs w:val="24"/>
            <w:u w:val="single" w:color="0563C1"/>
          </w:rPr>
          <w:t>-</w:t>
        </w:r>
      </w:hyperlink>
      <w:hyperlink r:id="rId233">
        <w:r w:rsidRPr="006E437B">
          <w:rPr>
            <w:rFonts w:ascii="Times New Roman" w:eastAsia="Times New Roman" w:hAnsi="Times New Roman" w:cs="Times New Roman"/>
            <w:sz w:val="20"/>
            <w:szCs w:val="24"/>
            <w:u w:val="single" w:color="0563C1"/>
          </w:rPr>
          <w:t>lupus</w:t>
        </w:r>
      </w:hyperlink>
      <w:hyperlink r:id="rId234">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rPr>
        <w:t xml:space="preserve"> </w:t>
      </w:r>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xxxvi</w:t>
      </w:r>
      <w:r w:rsidRPr="006E437B">
        <w:rPr>
          <w:rFonts w:ascii="Times New Roman" w:eastAsia="Times New Roman" w:hAnsi="Times New Roman" w:cs="Times New Roman"/>
          <w:sz w:val="20"/>
          <w:szCs w:val="24"/>
        </w:rPr>
        <w:t xml:space="preserve"> Mayo Clinic. (2021). Clínica de Lupus - Panorama general. </w:t>
      </w:r>
      <w:hyperlink r:id="rId235">
        <w:r w:rsidRPr="006E437B">
          <w:rPr>
            <w:rFonts w:ascii="Times New Roman" w:eastAsia="Times New Roman" w:hAnsi="Times New Roman" w:cs="Times New Roman"/>
            <w:sz w:val="20"/>
            <w:szCs w:val="24"/>
            <w:u w:val="single" w:color="0563C1"/>
          </w:rPr>
          <w:t>https://www.mayoclinic.org/es/departments</w:t>
        </w:r>
      </w:hyperlink>
      <w:hyperlink r:id="rId236"/>
      <w:hyperlink r:id="rId237">
        <w:r w:rsidRPr="006E437B">
          <w:rPr>
            <w:rFonts w:ascii="Times New Roman" w:eastAsia="Times New Roman" w:hAnsi="Times New Roman" w:cs="Times New Roman"/>
            <w:sz w:val="20"/>
            <w:szCs w:val="24"/>
            <w:u w:val="single" w:color="0563C1"/>
          </w:rPr>
          <w:t>centers/lupus</w:t>
        </w:r>
      </w:hyperlink>
      <w:hyperlink r:id="rId238">
        <w:r w:rsidRPr="006E437B">
          <w:rPr>
            <w:rFonts w:ascii="Times New Roman" w:eastAsia="Times New Roman" w:hAnsi="Times New Roman" w:cs="Times New Roman"/>
            <w:sz w:val="20"/>
            <w:szCs w:val="24"/>
            <w:u w:val="single" w:color="0563C1"/>
          </w:rPr>
          <w:t>-</w:t>
        </w:r>
      </w:hyperlink>
      <w:hyperlink r:id="rId239">
        <w:r w:rsidRPr="006E437B">
          <w:rPr>
            <w:rFonts w:ascii="Times New Roman" w:eastAsia="Times New Roman" w:hAnsi="Times New Roman" w:cs="Times New Roman"/>
            <w:sz w:val="20"/>
            <w:szCs w:val="24"/>
            <w:u w:val="single" w:color="0563C1"/>
          </w:rPr>
          <w:t>clinic/overview/ovc</w:t>
        </w:r>
      </w:hyperlink>
      <w:hyperlink r:id="rId240">
        <w:r w:rsidRPr="006E437B">
          <w:rPr>
            <w:rFonts w:ascii="Times New Roman" w:eastAsia="Times New Roman" w:hAnsi="Times New Roman" w:cs="Times New Roman"/>
            <w:sz w:val="20"/>
            <w:szCs w:val="24"/>
            <w:u w:val="single" w:color="0563C1"/>
          </w:rPr>
          <w:t>-</w:t>
        </w:r>
      </w:hyperlink>
      <w:hyperlink r:id="rId241">
        <w:r w:rsidRPr="006E437B">
          <w:rPr>
            <w:rFonts w:ascii="Times New Roman" w:eastAsia="Times New Roman" w:hAnsi="Times New Roman" w:cs="Times New Roman"/>
            <w:sz w:val="20"/>
            <w:szCs w:val="24"/>
            <w:u w:val="single" w:color="0563C1"/>
          </w:rPr>
          <w:t>20477808</w:t>
        </w:r>
      </w:hyperlink>
      <w:hyperlink r:id="rId242">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xxxvii</w:t>
      </w:r>
      <w:r w:rsidRPr="006E437B">
        <w:rPr>
          <w:rFonts w:ascii="Times New Roman" w:eastAsia="Times New Roman" w:hAnsi="Times New Roman" w:cs="Times New Roman"/>
          <w:sz w:val="20"/>
          <w:szCs w:val="24"/>
        </w:rPr>
        <w:t xml:space="preserve"> National Institute of Allergy and Infectious Diseases (NIAID). (2023). </w:t>
      </w:r>
      <w:r w:rsidRPr="006E437B">
        <w:rPr>
          <w:rFonts w:ascii="Times New Roman" w:eastAsia="Times New Roman" w:hAnsi="Times New Roman" w:cs="Times New Roman"/>
          <w:i/>
          <w:sz w:val="20"/>
          <w:szCs w:val="24"/>
        </w:rPr>
        <w:t>Autoimmune Diseases Overview.</w:t>
      </w:r>
      <w:r w:rsidRPr="006E437B">
        <w:rPr>
          <w:rFonts w:ascii="Times New Roman" w:eastAsia="Times New Roman" w:hAnsi="Times New Roman" w:cs="Times New Roman"/>
          <w:sz w:val="20"/>
          <w:szCs w:val="24"/>
        </w:rPr>
        <w:t xml:space="preserve"> U.S. Department of Health &amp; Human Services. </w:t>
      </w:r>
      <w:hyperlink r:id="rId243">
        <w:r w:rsidRPr="006E437B">
          <w:rPr>
            <w:rFonts w:ascii="Times New Roman" w:eastAsia="Times New Roman" w:hAnsi="Times New Roman" w:cs="Times New Roman"/>
            <w:sz w:val="20"/>
            <w:szCs w:val="24"/>
            <w:u w:val="single" w:color="0563C1"/>
          </w:rPr>
          <w:t>https://www.niaid.nih.gov/diseases</w:t>
        </w:r>
      </w:hyperlink>
      <w:hyperlink r:id="rId244">
        <w:r w:rsidRPr="006E437B">
          <w:rPr>
            <w:rFonts w:ascii="Times New Roman" w:eastAsia="Times New Roman" w:hAnsi="Times New Roman" w:cs="Times New Roman"/>
            <w:sz w:val="20"/>
            <w:szCs w:val="24"/>
            <w:u w:val="single" w:color="0563C1"/>
          </w:rPr>
          <w:t>-</w:t>
        </w:r>
      </w:hyperlink>
      <w:hyperlink r:id="rId245">
        <w:r w:rsidRPr="006E437B">
          <w:rPr>
            <w:rFonts w:ascii="Times New Roman" w:eastAsia="Times New Roman" w:hAnsi="Times New Roman" w:cs="Times New Roman"/>
            <w:sz w:val="20"/>
            <w:szCs w:val="24"/>
            <w:u w:val="single" w:color="0563C1"/>
          </w:rPr>
          <w:t>conditions/autoimmune</w:t>
        </w:r>
      </w:hyperlink>
      <w:hyperlink r:id="rId246"/>
      <w:hyperlink r:id="rId247">
        <w:r w:rsidRPr="006E437B">
          <w:rPr>
            <w:rFonts w:ascii="Times New Roman" w:eastAsia="Times New Roman" w:hAnsi="Times New Roman" w:cs="Times New Roman"/>
            <w:sz w:val="20"/>
            <w:szCs w:val="24"/>
            <w:u w:val="single" w:color="0563C1"/>
          </w:rPr>
          <w:t>diseases</w:t>
        </w:r>
      </w:hyperlink>
      <w:hyperlink r:id="rId248">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xxxviii</w:t>
      </w:r>
      <w:r w:rsidRPr="006E437B">
        <w:rPr>
          <w:rFonts w:ascii="Times New Roman" w:eastAsia="Times New Roman" w:hAnsi="Times New Roman" w:cs="Times New Roman"/>
          <w:sz w:val="20"/>
          <w:szCs w:val="24"/>
        </w:rPr>
        <w:t xml:space="preserve"> Xiang, Y., Zhang, M., Jiang, D., Su, Q., &amp; Shi, J. (2023). </w:t>
      </w:r>
      <w:r w:rsidRPr="006E437B">
        <w:rPr>
          <w:rFonts w:ascii="Times New Roman" w:eastAsia="Times New Roman" w:hAnsi="Times New Roman" w:cs="Times New Roman"/>
          <w:i/>
          <w:sz w:val="20"/>
          <w:szCs w:val="24"/>
        </w:rPr>
        <w:t>The role of inflammation in autoimmune disease: A therapeutic target.</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Frontiers in Immunology</w:t>
      </w:r>
      <w:r w:rsidRPr="006E437B">
        <w:rPr>
          <w:rFonts w:ascii="Times New Roman" w:eastAsia="Times New Roman" w:hAnsi="Times New Roman" w:cs="Times New Roman"/>
          <w:sz w:val="20"/>
          <w:szCs w:val="24"/>
        </w:rPr>
        <w:t xml:space="preserve">, 14, 1267091. </w:t>
      </w:r>
      <w:hyperlink r:id="rId249">
        <w:r w:rsidRPr="006E437B">
          <w:rPr>
            <w:rFonts w:ascii="Times New Roman" w:eastAsia="Times New Roman" w:hAnsi="Times New Roman" w:cs="Times New Roman"/>
            <w:sz w:val="20"/>
            <w:szCs w:val="24"/>
            <w:u w:val="single" w:color="0563C1"/>
          </w:rPr>
          <w:t>https://doi.org/10.3389/fimmu.2023.1267091</w:t>
        </w:r>
      </w:hyperlink>
      <w:hyperlink r:id="rId250">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xxxix</w:t>
      </w:r>
      <w:r w:rsidRPr="006E437B">
        <w:rPr>
          <w:rFonts w:ascii="Times New Roman" w:eastAsia="Times New Roman" w:hAnsi="Times New Roman" w:cs="Times New Roman"/>
          <w:sz w:val="20"/>
          <w:szCs w:val="24"/>
        </w:rPr>
        <w:t xml:space="preserve"> Drenkard, C., Bao, G., Dennis, G., &amp; Lim, S. S. (2022). Mental Health in Systemic Lupus Erythematosus: A Growing but Neglected Concern. </w:t>
      </w:r>
      <w:r w:rsidRPr="006E437B">
        <w:rPr>
          <w:rFonts w:ascii="Times New Roman" w:eastAsia="Times New Roman" w:hAnsi="Times New Roman" w:cs="Times New Roman"/>
          <w:i/>
          <w:sz w:val="20"/>
          <w:szCs w:val="24"/>
        </w:rPr>
        <w:t>Current Opinion in Rheumatology</w:t>
      </w:r>
      <w:r w:rsidRPr="006E437B">
        <w:rPr>
          <w:rFonts w:ascii="Times New Roman" w:eastAsia="Times New Roman" w:hAnsi="Times New Roman" w:cs="Times New Roman"/>
          <w:sz w:val="20"/>
          <w:szCs w:val="24"/>
        </w:rPr>
        <w:t xml:space="preserve">, 34(2), 120–127. </w:t>
      </w:r>
      <w:hyperlink r:id="rId251">
        <w:r w:rsidRPr="006E437B">
          <w:rPr>
            <w:rFonts w:ascii="Times New Roman" w:eastAsia="Times New Roman" w:hAnsi="Times New Roman" w:cs="Times New Roman"/>
            <w:sz w:val="20"/>
            <w:szCs w:val="24"/>
            <w:u w:val="single" w:color="0563C1"/>
          </w:rPr>
          <w:t>https://doi.org/10.1097/BOR.0000000000000854</w:t>
        </w:r>
      </w:hyperlink>
      <w:hyperlink r:id="rId252">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28</w:t>
      </w:r>
      <w:r w:rsidRPr="006E437B">
        <w:rPr>
          <w:rFonts w:ascii="Times New Roman" w:eastAsia="Times New Roman" w:hAnsi="Times New Roman" w:cs="Times New Roman"/>
          <w:sz w:val="20"/>
          <w:szCs w:val="24"/>
        </w:rPr>
        <w:t xml:space="preserve"> Bonet-Alvarez, J., Torres-Rivas, C., Vergel-Scetti, M., &amp; Bonet-Alvarez, M. (2017). Cognitive impairment in lupus erythematosus: a case report. </w:t>
      </w:r>
      <w:r w:rsidRPr="006E437B">
        <w:rPr>
          <w:rFonts w:ascii="Times New Roman" w:eastAsia="Times New Roman" w:hAnsi="Times New Roman" w:cs="Times New Roman"/>
          <w:i/>
          <w:sz w:val="20"/>
          <w:szCs w:val="24"/>
        </w:rPr>
        <w:t>Acta Neurológica Colombiana, 33(1)</w:t>
      </w:r>
      <w:r w:rsidRPr="006E437B">
        <w:rPr>
          <w:rFonts w:ascii="Times New Roman" w:eastAsia="Times New Roman" w:hAnsi="Times New Roman" w:cs="Times New Roman"/>
          <w:sz w:val="20"/>
          <w:szCs w:val="24"/>
        </w:rPr>
        <w:t xml:space="preserve">, 16-21. </w:t>
      </w:r>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29.</w:t>
      </w:r>
      <w:r w:rsidRPr="006E437B">
        <w:rPr>
          <w:rFonts w:ascii="Times New Roman" w:eastAsia="Times New Roman" w:hAnsi="Times New Roman" w:cs="Times New Roman"/>
          <w:sz w:val="20"/>
          <w:szCs w:val="24"/>
        </w:rPr>
        <w:t xml:space="preserve"> Al Rayes, H., Tani, C., Kwan, A., Marzouk, S., Colosimo, K., Medina-Rosas, J., ... y Touma, Z. (octubre de 2018). ¿Cuál es la prevalencia del deterioro cognitivo en el lupus y qué instrumentos se utilizan para medirlo? Una revisión sistemática y un metaanálisis. En </w:t>
      </w:r>
      <w:r w:rsidRPr="006E437B">
        <w:rPr>
          <w:rFonts w:ascii="Times New Roman" w:eastAsia="Times New Roman" w:hAnsi="Times New Roman" w:cs="Times New Roman"/>
          <w:i/>
          <w:sz w:val="20"/>
          <w:szCs w:val="24"/>
        </w:rPr>
        <w:t>Seminarios sobre artritis y reumatismo</w:t>
      </w:r>
      <w:r w:rsidRPr="006E437B">
        <w:rPr>
          <w:rFonts w:ascii="Times New Roman" w:eastAsia="Times New Roman" w:hAnsi="Times New Roman" w:cs="Times New Roman"/>
          <w:sz w:val="20"/>
          <w:szCs w:val="24"/>
        </w:rPr>
        <w:t xml:space="preserve"> (Vol. 48, N.° 2, págs. 240-255). WB Saunders.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30</w:t>
      </w:r>
      <w:r w:rsidRPr="006E437B">
        <w:rPr>
          <w:rFonts w:ascii="Times New Roman" w:eastAsia="Times New Roman" w:hAnsi="Times New Roman" w:cs="Times New Roman"/>
          <w:sz w:val="20"/>
          <w:szCs w:val="24"/>
        </w:rPr>
        <w:t xml:space="preserve"> Kaul, A., Gordon, C., Crow, M. K., Touma, Z., Urowitz, M. B., van Vollenhoven, R., &amp; Ruiz-Irastorza, G. (2016). Systemic lupus erythematosus. </w:t>
      </w:r>
      <w:r w:rsidRPr="006E437B">
        <w:rPr>
          <w:rFonts w:ascii="Times New Roman" w:eastAsia="Times New Roman" w:hAnsi="Times New Roman" w:cs="Times New Roman"/>
          <w:i/>
          <w:sz w:val="20"/>
          <w:szCs w:val="24"/>
        </w:rPr>
        <w:t>Nature Reviews Disease Primers</w:t>
      </w:r>
      <w:r w:rsidRPr="006E437B">
        <w:rPr>
          <w:rFonts w:ascii="Times New Roman" w:eastAsia="Times New Roman" w:hAnsi="Times New Roman" w:cs="Times New Roman"/>
          <w:sz w:val="20"/>
          <w:szCs w:val="24"/>
        </w:rPr>
        <w:t xml:space="preserve">, 2, 16039. </w:t>
      </w:r>
    </w:p>
    <w:p w:rsidR="001850B4" w:rsidRPr="006E437B" w:rsidRDefault="00C53639" w:rsidP="00141629">
      <w:pPr>
        <w:spacing w:after="0" w:line="240" w:lineRule="auto"/>
        <w:ind w:left="-5"/>
        <w:rPr>
          <w:rFonts w:ascii="Times New Roman" w:hAnsi="Times New Roman" w:cs="Times New Roman"/>
          <w:sz w:val="20"/>
          <w:szCs w:val="24"/>
        </w:rPr>
      </w:pPr>
      <w:hyperlink r:id="rId253">
        <w:r w:rsidR="001850B4" w:rsidRPr="006E437B">
          <w:rPr>
            <w:rFonts w:ascii="Times New Roman" w:eastAsia="Times New Roman" w:hAnsi="Times New Roman" w:cs="Times New Roman"/>
            <w:sz w:val="20"/>
            <w:szCs w:val="24"/>
            <w:u w:val="single" w:color="000000"/>
          </w:rPr>
          <w:t>https://doi.org/10.1038/nrdp.2016.39</w:t>
        </w:r>
      </w:hyperlink>
      <w:hyperlink r:id="rId254">
        <w:r w:rsidR="001850B4"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31</w:t>
      </w:r>
      <w:r w:rsidRPr="006E437B">
        <w:rPr>
          <w:rFonts w:ascii="Times New Roman" w:eastAsia="Times New Roman" w:hAnsi="Times New Roman" w:cs="Times New Roman"/>
          <w:sz w:val="20"/>
          <w:szCs w:val="24"/>
        </w:rPr>
        <w:t xml:space="preserve"> Lupus Research Alliance. (s.f.). </w:t>
      </w:r>
      <w:r w:rsidRPr="006E437B">
        <w:rPr>
          <w:rFonts w:ascii="Times New Roman" w:eastAsia="Times New Roman" w:hAnsi="Times New Roman" w:cs="Times New Roman"/>
          <w:i/>
          <w:sz w:val="20"/>
          <w:szCs w:val="24"/>
        </w:rPr>
        <w:t>Síntomas comunes del lupus</w:t>
      </w:r>
      <w:r w:rsidRPr="006E437B">
        <w:rPr>
          <w:rFonts w:ascii="Times New Roman" w:eastAsia="Times New Roman" w:hAnsi="Times New Roman" w:cs="Times New Roman"/>
          <w:sz w:val="20"/>
          <w:szCs w:val="24"/>
        </w:rPr>
        <w:t xml:space="preserve">. Recuperado el 20 de mayo de 2025, de </w:t>
      </w:r>
      <w:hyperlink r:id="rId255">
        <w:r w:rsidRPr="006E437B">
          <w:rPr>
            <w:rFonts w:ascii="Times New Roman" w:eastAsia="Times New Roman" w:hAnsi="Times New Roman" w:cs="Times New Roman"/>
            <w:sz w:val="20"/>
            <w:szCs w:val="24"/>
            <w:u w:val="single" w:color="000000"/>
          </w:rPr>
          <w:t>https://www.lupusresearch.org/en</w:t>
        </w:r>
      </w:hyperlink>
      <w:hyperlink r:id="rId256">
        <w:r w:rsidRPr="006E437B">
          <w:rPr>
            <w:rFonts w:ascii="Times New Roman" w:eastAsia="Times New Roman" w:hAnsi="Times New Roman" w:cs="Times New Roman"/>
            <w:sz w:val="20"/>
            <w:szCs w:val="24"/>
            <w:u w:val="single" w:color="000000"/>
          </w:rPr>
          <w:t>-</w:t>
        </w:r>
      </w:hyperlink>
      <w:hyperlink r:id="rId257">
        <w:r w:rsidRPr="006E437B">
          <w:rPr>
            <w:rFonts w:ascii="Times New Roman" w:eastAsia="Times New Roman" w:hAnsi="Times New Roman" w:cs="Times New Roman"/>
            <w:sz w:val="20"/>
            <w:szCs w:val="24"/>
            <w:u w:val="single" w:color="000000"/>
          </w:rPr>
          <w:t>espanol/acerca</w:t>
        </w:r>
      </w:hyperlink>
      <w:hyperlink r:id="rId258">
        <w:r w:rsidRPr="006E437B">
          <w:rPr>
            <w:rFonts w:ascii="Times New Roman" w:eastAsia="Times New Roman" w:hAnsi="Times New Roman" w:cs="Times New Roman"/>
            <w:sz w:val="20"/>
            <w:szCs w:val="24"/>
            <w:u w:val="single" w:color="000000"/>
          </w:rPr>
          <w:t>-</w:t>
        </w:r>
      </w:hyperlink>
      <w:hyperlink r:id="rId259">
        <w:r w:rsidRPr="006E437B">
          <w:rPr>
            <w:rFonts w:ascii="Times New Roman" w:eastAsia="Times New Roman" w:hAnsi="Times New Roman" w:cs="Times New Roman"/>
            <w:sz w:val="20"/>
            <w:szCs w:val="24"/>
            <w:u w:val="single" w:color="000000"/>
          </w:rPr>
          <w:t>del</w:t>
        </w:r>
      </w:hyperlink>
      <w:hyperlink r:id="rId260">
        <w:r w:rsidRPr="006E437B">
          <w:rPr>
            <w:rFonts w:ascii="Times New Roman" w:eastAsia="Times New Roman" w:hAnsi="Times New Roman" w:cs="Times New Roman"/>
            <w:sz w:val="20"/>
            <w:szCs w:val="24"/>
            <w:u w:val="single" w:color="000000"/>
          </w:rPr>
          <w:t>-</w:t>
        </w:r>
      </w:hyperlink>
      <w:hyperlink r:id="rId261">
        <w:r w:rsidRPr="006E437B">
          <w:rPr>
            <w:rFonts w:ascii="Times New Roman" w:eastAsia="Times New Roman" w:hAnsi="Times New Roman" w:cs="Times New Roman"/>
            <w:sz w:val="20"/>
            <w:szCs w:val="24"/>
            <w:u w:val="single" w:color="000000"/>
          </w:rPr>
          <w:t>lupus/sintomas</w:t>
        </w:r>
      </w:hyperlink>
      <w:hyperlink r:id="rId262">
        <w:r w:rsidRPr="006E437B">
          <w:rPr>
            <w:rFonts w:ascii="Times New Roman" w:eastAsia="Times New Roman" w:hAnsi="Times New Roman" w:cs="Times New Roman"/>
            <w:sz w:val="20"/>
            <w:szCs w:val="24"/>
            <w:u w:val="single" w:color="000000"/>
          </w:rPr>
          <w:t>-</w:t>
        </w:r>
      </w:hyperlink>
      <w:hyperlink r:id="rId263">
        <w:r w:rsidRPr="006E437B">
          <w:rPr>
            <w:rFonts w:ascii="Times New Roman" w:eastAsia="Times New Roman" w:hAnsi="Times New Roman" w:cs="Times New Roman"/>
            <w:sz w:val="20"/>
            <w:szCs w:val="24"/>
            <w:u w:val="single" w:color="000000"/>
          </w:rPr>
          <w:t>comunes</w:t>
        </w:r>
      </w:hyperlink>
      <w:hyperlink r:id="rId264">
        <w:r w:rsidRPr="006E437B">
          <w:rPr>
            <w:rFonts w:ascii="Times New Roman" w:eastAsia="Times New Roman" w:hAnsi="Times New Roman" w:cs="Times New Roman"/>
            <w:sz w:val="20"/>
            <w:szCs w:val="24"/>
            <w:u w:val="single" w:color="000000"/>
          </w:rPr>
          <w:t>-</w:t>
        </w:r>
      </w:hyperlink>
      <w:hyperlink r:id="rId265">
        <w:r w:rsidRPr="006E437B">
          <w:rPr>
            <w:rFonts w:ascii="Times New Roman" w:eastAsia="Times New Roman" w:hAnsi="Times New Roman" w:cs="Times New Roman"/>
            <w:sz w:val="20"/>
            <w:szCs w:val="24"/>
            <w:u w:val="single" w:color="000000"/>
          </w:rPr>
          <w:t>del</w:t>
        </w:r>
      </w:hyperlink>
      <w:hyperlink r:id="rId266">
        <w:r w:rsidRPr="006E437B">
          <w:rPr>
            <w:rFonts w:ascii="Times New Roman" w:eastAsia="Times New Roman" w:hAnsi="Times New Roman" w:cs="Times New Roman"/>
            <w:sz w:val="20"/>
            <w:szCs w:val="24"/>
            <w:u w:val="single" w:color="000000"/>
          </w:rPr>
          <w:t>-</w:t>
        </w:r>
      </w:hyperlink>
      <w:hyperlink r:id="rId267">
        <w:r w:rsidRPr="006E437B">
          <w:rPr>
            <w:rFonts w:ascii="Times New Roman" w:eastAsia="Times New Roman" w:hAnsi="Times New Roman" w:cs="Times New Roman"/>
            <w:sz w:val="20"/>
            <w:szCs w:val="24"/>
            <w:u w:val="single" w:color="000000"/>
          </w:rPr>
          <w:t>lupus/</w:t>
        </w:r>
      </w:hyperlink>
      <w:hyperlink r:id="rId268">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32</w:t>
      </w:r>
      <w:r w:rsidRPr="006E437B">
        <w:rPr>
          <w:rFonts w:ascii="Times New Roman" w:eastAsia="Times New Roman" w:hAnsi="Times New Roman" w:cs="Times New Roman"/>
          <w:sz w:val="20"/>
          <w:szCs w:val="24"/>
        </w:rPr>
        <w:t xml:space="preserve"> Mayo Clinic. (2022). </w:t>
      </w:r>
      <w:r w:rsidRPr="006E437B">
        <w:rPr>
          <w:rFonts w:ascii="Times New Roman" w:eastAsia="Times New Roman" w:hAnsi="Times New Roman" w:cs="Times New Roman"/>
          <w:i/>
          <w:sz w:val="20"/>
          <w:szCs w:val="24"/>
        </w:rPr>
        <w:t>Fibromialgia: Síntomas y causas</w:t>
      </w:r>
      <w:r w:rsidRPr="006E437B">
        <w:rPr>
          <w:rFonts w:ascii="Times New Roman" w:eastAsia="Times New Roman" w:hAnsi="Times New Roman" w:cs="Times New Roman"/>
          <w:sz w:val="20"/>
          <w:szCs w:val="24"/>
        </w:rPr>
        <w:t xml:space="preserve">. Recuperado el 20 de mayo de 2025, de </w:t>
      </w:r>
      <w:hyperlink r:id="rId269">
        <w:r w:rsidRPr="006E437B">
          <w:rPr>
            <w:rFonts w:ascii="Times New Roman" w:eastAsia="Times New Roman" w:hAnsi="Times New Roman" w:cs="Times New Roman"/>
            <w:sz w:val="20"/>
            <w:szCs w:val="24"/>
            <w:u w:val="single" w:color="000000"/>
          </w:rPr>
          <w:t>https://www.mayoclinic.org/es/diseases</w:t>
        </w:r>
      </w:hyperlink>
      <w:hyperlink r:id="rId270">
        <w:r w:rsidRPr="006E437B">
          <w:rPr>
            <w:rFonts w:ascii="Times New Roman" w:eastAsia="Times New Roman" w:hAnsi="Times New Roman" w:cs="Times New Roman"/>
            <w:sz w:val="20"/>
            <w:szCs w:val="24"/>
            <w:u w:val="single" w:color="000000"/>
          </w:rPr>
          <w:t>-</w:t>
        </w:r>
      </w:hyperlink>
      <w:hyperlink r:id="rId271">
        <w:r w:rsidRPr="006E437B">
          <w:rPr>
            <w:rFonts w:ascii="Times New Roman" w:eastAsia="Times New Roman" w:hAnsi="Times New Roman" w:cs="Times New Roman"/>
            <w:sz w:val="20"/>
            <w:szCs w:val="24"/>
            <w:u w:val="single" w:color="000000"/>
          </w:rPr>
          <w:t>conditions/fibromyalgia/symptoms</w:t>
        </w:r>
      </w:hyperlink>
      <w:hyperlink r:id="rId272">
        <w:r w:rsidRPr="006E437B">
          <w:rPr>
            <w:rFonts w:ascii="Times New Roman" w:eastAsia="Times New Roman" w:hAnsi="Times New Roman" w:cs="Times New Roman"/>
            <w:sz w:val="20"/>
            <w:szCs w:val="24"/>
            <w:u w:val="single" w:color="000000"/>
          </w:rPr>
          <w:t>-</w:t>
        </w:r>
      </w:hyperlink>
      <w:hyperlink r:id="rId273">
        <w:r w:rsidRPr="006E437B">
          <w:rPr>
            <w:rFonts w:ascii="Times New Roman" w:eastAsia="Times New Roman" w:hAnsi="Times New Roman" w:cs="Times New Roman"/>
            <w:sz w:val="20"/>
            <w:szCs w:val="24"/>
            <w:u w:val="single" w:color="000000"/>
          </w:rPr>
          <w:t>causes/syc</w:t>
        </w:r>
      </w:hyperlink>
      <w:hyperlink r:id="rId274">
        <w:r w:rsidRPr="006E437B">
          <w:rPr>
            <w:rFonts w:ascii="Times New Roman" w:eastAsia="Times New Roman" w:hAnsi="Times New Roman" w:cs="Times New Roman"/>
            <w:sz w:val="20"/>
            <w:szCs w:val="24"/>
            <w:u w:val="single" w:color="000000"/>
          </w:rPr>
          <w:t>-</w:t>
        </w:r>
      </w:hyperlink>
      <w:hyperlink r:id="rId275">
        <w:r w:rsidRPr="006E437B">
          <w:rPr>
            <w:rFonts w:ascii="Times New Roman" w:eastAsia="Times New Roman" w:hAnsi="Times New Roman" w:cs="Times New Roman"/>
            <w:sz w:val="20"/>
            <w:szCs w:val="24"/>
            <w:u w:val="single" w:color="000000"/>
          </w:rPr>
          <w:t>20354780</w:t>
        </w:r>
      </w:hyperlink>
      <w:hyperlink r:id="rId276">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33</w:t>
      </w:r>
      <w:r w:rsidRPr="006E437B">
        <w:rPr>
          <w:rFonts w:ascii="Times New Roman" w:eastAsia="Times New Roman" w:hAnsi="Times New Roman" w:cs="Times New Roman"/>
          <w:sz w:val="20"/>
          <w:szCs w:val="24"/>
        </w:rPr>
        <w:t xml:space="preserve"> Arthritis Foundation. (s.f.). </w:t>
      </w:r>
      <w:r w:rsidRPr="006E437B">
        <w:rPr>
          <w:rFonts w:ascii="Times New Roman" w:eastAsia="Times New Roman" w:hAnsi="Times New Roman" w:cs="Times New Roman"/>
          <w:i/>
          <w:sz w:val="20"/>
          <w:szCs w:val="24"/>
        </w:rPr>
        <w:t>¿Fibromialgia, lupus o ambas cosas?</w:t>
      </w:r>
      <w:r w:rsidRPr="006E437B">
        <w:rPr>
          <w:rFonts w:ascii="Times New Roman" w:eastAsia="Times New Roman" w:hAnsi="Times New Roman" w:cs="Times New Roman"/>
          <w:sz w:val="20"/>
          <w:szCs w:val="24"/>
        </w:rPr>
        <w:t xml:space="preserve">. Recuperado el 20 de mayo de 2025, de </w:t>
      </w:r>
      <w:hyperlink r:id="rId277">
        <w:r w:rsidRPr="006E437B">
          <w:rPr>
            <w:rFonts w:ascii="Times New Roman" w:eastAsia="Times New Roman" w:hAnsi="Times New Roman" w:cs="Times New Roman"/>
            <w:sz w:val="20"/>
            <w:szCs w:val="24"/>
            <w:u w:val="single" w:color="000000"/>
          </w:rPr>
          <w:t>https://espanol.arthritis.org/diseases/more</w:t>
        </w:r>
      </w:hyperlink>
      <w:hyperlink r:id="rId278">
        <w:r w:rsidRPr="006E437B">
          <w:rPr>
            <w:rFonts w:ascii="Times New Roman" w:eastAsia="Times New Roman" w:hAnsi="Times New Roman" w:cs="Times New Roman"/>
            <w:sz w:val="20"/>
            <w:szCs w:val="24"/>
            <w:u w:val="single" w:color="000000"/>
          </w:rPr>
          <w:t>-</w:t>
        </w:r>
      </w:hyperlink>
      <w:hyperlink r:id="rId279">
        <w:r w:rsidRPr="006E437B">
          <w:rPr>
            <w:rFonts w:ascii="Times New Roman" w:eastAsia="Times New Roman" w:hAnsi="Times New Roman" w:cs="Times New Roman"/>
            <w:sz w:val="20"/>
            <w:szCs w:val="24"/>
            <w:u w:val="single" w:color="000000"/>
          </w:rPr>
          <w:t>about/fibromyalgia%2C</w:t>
        </w:r>
      </w:hyperlink>
      <w:hyperlink r:id="rId280">
        <w:r w:rsidRPr="006E437B">
          <w:rPr>
            <w:rFonts w:ascii="Times New Roman" w:eastAsia="Times New Roman" w:hAnsi="Times New Roman" w:cs="Times New Roman"/>
            <w:sz w:val="20"/>
            <w:szCs w:val="24"/>
            <w:u w:val="single" w:color="000000"/>
          </w:rPr>
          <w:t>-</w:t>
        </w:r>
      </w:hyperlink>
      <w:hyperlink r:id="rId281">
        <w:r w:rsidRPr="006E437B">
          <w:rPr>
            <w:rFonts w:ascii="Times New Roman" w:eastAsia="Times New Roman" w:hAnsi="Times New Roman" w:cs="Times New Roman"/>
            <w:sz w:val="20"/>
            <w:szCs w:val="24"/>
            <w:u w:val="single" w:color="000000"/>
          </w:rPr>
          <w:t>lupus%2C</w:t>
        </w:r>
      </w:hyperlink>
      <w:hyperlink r:id="rId282">
        <w:r w:rsidRPr="006E437B">
          <w:rPr>
            <w:rFonts w:ascii="Times New Roman" w:eastAsia="Times New Roman" w:hAnsi="Times New Roman" w:cs="Times New Roman"/>
            <w:sz w:val="20"/>
            <w:szCs w:val="24"/>
            <w:u w:val="single" w:color="000000"/>
          </w:rPr>
          <w:t>-</w:t>
        </w:r>
      </w:hyperlink>
      <w:hyperlink r:id="rId283">
        <w:r w:rsidRPr="006E437B">
          <w:rPr>
            <w:rFonts w:ascii="Times New Roman" w:eastAsia="Times New Roman" w:hAnsi="Times New Roman" w:cs="Times New Roman"/>
            <w:sz w:val="20"/>
            <w:szCs w:val="24"/>
            <w:u w:val="single" w:color="000000"/>
          </w:rPr>
          <w:t>or</w:t>
        </w:r>
      </w:hyperlink>
      <w:hyperlink r:id="rId284">
        <w:r w:rsidRPr="006E437B">
          <w:rPr>
            <w:rFonts w:ascii="Times New Roman" w:eastAsia="Times New Roman" w:hAnsi="Times New Roman" w:cs="Times New Roman"/>
            <w:sz w:val="20"/>
            <w:szCs w:val="24"/>
            <w:u w:val="single" w:color="000000"/>
          </w:rPr>
          <w:t>-</w:t>
        </w:r>
      </w:hyperlink>
      <w:hyperlink r:id="rId285">
        <w:r w:rsidRPr="006E437B">
          <w:rPr>
            <w:rFonts w:ascii="Times New Roman" w:eastAsia="Times New Roman" w:hAnsi="Times New Roman" w:cs="Times New Roman"/>
            <w:sz w:val="20"/>
            <w:szCs w:val="24"/>
            <w:u w:val="single" w:color="000000"/>
          </w:rPr>
          <w:t>both</w:t>
        </w:r>
      </w:hyperlink>
      <w:hyperlink r:id="rId286">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34</w:t>
      </w:r>
      <w:r w:rsidRPr="006E437B">
        <w:rPr>
          <w:rFonts w:ascii="Times New Roman" w:eastAsia="Times New Roman" w:hAnsi="Times New Roman" w:cs="Times New Roman"/>
          <w:sz w:val="20"/>
          <w:szCs w:val="24"/>
        </w:rPr>
        <w:t xml:space="preserve"> Documento Interno. Informe para Indesol (Instituto Nacional de desarrollo Social)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i/>
          <w:sz w:val="20"/>
          <w:szCs w:val="24"/>
          <w:vertAlign w:val="superscript"/>
        </w:rPr>
        <w:t>35</w:t>
      </w:r>
      <w:r w:rsidRPr="006E437B">
        <w:rPr>
          <w:rFonts w:ascii="Times New Roman" w:eastAsia="Times New Roman" w:hAnsi="Times New Roman" w:cs="Times New Roman"/>
          <w:i/>
          <w:sz w:val="20"/>
          <w:szCs w:val="24"/>
        </w:rPr>
        <w:t xml:space="preserve"> Informe sobre la situación de las personas con lupus. </w:t>
      </w:r>
      <w:r w:rsidRPr="006E437B">
        <w:rPr>
          <w:rFonts w:ascii="Times New Roman" w:eastAsia="Times New Roman" w:hAnsi="Times New Roman" w:cs="Times New Roman"/>
          <w:sz w:val="20"/>
          <w:szCs w:val="24"/>
        </w:rPr>
        <w:t xml:space="preserve">Liga Mexicana por los Derechos de las Personas con Lupus (LIMDEPLU). Manuscrito no publicado. </w:t>
      </w:r>
    </w:p>
    <w:p w:rsidR="001850B4" w:rsidRPr="006E437B" w:rsidRDefault="001850B4" w:rsidP="00141629">
      <w:pPr>
        <w:spacing w:after="0" w:line="240" w:lineRule="auto"/>
        <w:ind w:left="-5"/>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 xml:space="preserve">36 </w:t>
      </w:r>
      <w:r w:rsidRPr="006E437B">
        <w:rPr>
          <w:rFonts w:ascii="Times New Roman" w:eastAsia="Times New Roman" w:hAnsi="Times New Roman" w:cs="Times New Roman"/>
          <w:sz w:val="20"/>
          <w:szCs w:val="24"/>
        </w:rPr>
        <w:t xml:space="preserve">Álvarez-Hernández, E., Barreira-Mercado, E., Fragoso-Loyo, H. E., Hernández-Díaz, C., Mota-Mondragón, B., Muñoz-López, S., ... &amp; Alpízar-Rodríguez, D. (2023). Distribución y características de la certificación de los reumatólogos en México. </w:t>
      </w:r>
      <w:r w:rsidRPr="006E437B">
        <w:rPr>
          <w:rFonts w:ascii="Times New Roman" w:eastAsia="Times New Roman" w:hAnsi="Times New Roman" w:cs="Times New Roman"/>
          <w:i/>
          <w:sz w:val="20"/>
          <w:szCs w:val="24"/>
        </w:rPr>
        <w:t>Reumatología Clínica</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19</w:t>
      </w:r>
      <w:r w:rsidRPr="006E437B">
        <w:rPr>
          <w:rFonts w:ascii="Times New Roman" w:eastAsia="Times New Roman" w:hAnsi="Times New Roman" w:cs="Times New Roman"/>
          <w:sz w:val="20"/>
          <w:szCs w:val="24"/>
        </w:rPr>
        <w:t xml:space="preserve">(7), 379-385.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37</w:t>
      </w:r>
      <w:r w:rsidRPr="006E437B">
        <w:rPr>
          <w:rFonts w:ascii="Times New Roman" w:eastAsia="Times New Roman" w:hAnsi="Times New Roman" w:cs="Times New Roman"/>
          <w:sz w:val="20"/>
          <w:szCs w:val="24"/>
        </w:rPr>
        <w:t xml:space="preserve"> Durán-Arenas, L., Ávila-Palomares, P. D., Zendejas-Villanueva, R., Vargas-Ruiz, M. M., Tirado-Gómez, L.  L., &amp; López-Cervantes, M. (2011). Costos directos de la hemodiálisis en unidades públicas y privadas. </w:t>
      </w:r>
      <w:r w:rsidRPr="006E437B">
        <w:rPr>
          <w:rFonts w:ascii="Times New Roman" w:eastAsia="Times New Roman" w:hAnsi="Times New Roman" w:cs="Times New Roman"/>
          <w:i/>
          <w:sz w:val="20"/>
          <w:szCs w:val="24"/>
        </w:rPr>
        <w:t>Salud pública de México</w:t>
      </w:r>
      <w:r w:rsidRPr="006E437B">
        <w:rPr>
          <w:rFonts w:ascii="Times New Roman" w:eastAsia="Times New Roman" w:hAnsi="Times New Roman" w:cs="Times New Roman"/>
          <w:sz w:val="20"/>
          <w:szCs w:val="24"/>
        </w:rPr>
        <w:t xml:space="preserve">, </w:t>
      </w:r>
      <w:r w:rsidRPr="006E437B">
        <w:rPr>
          <w:rFonts w:ascii="Times New Roman" w:eastAsia="Times New Roman" w:hAnsi="Times New Roman" w:cs="Times New Roman"/>
          <w:i/>
          <w:sz w:val="20"/>
          <w:szCs w:val="24"/>
        </w:rPr>
        <w:t>53</w:t>
      </w:r>
      <w:r w:rsidRPr="006E437B">
        <w:rPr>
          <w:rFonts w:ascii="Times New Roman" w:eastAsia="Times New Roman" w:hAnsi="Times New Roman" w:cs="Times New Roman"/>
          <w:sz w:val="20"/>
          <w:szCs w:val="24"/>
        </w:rPr>
        <w:t xml:space="preserve">(suppl 4), 516-524. </w:t>
      </w:r>
    </w:p>
    <w:p w:rsidR="001850B4" w:rsidRPr="006E437B" w:rsidRDefault="001850B4" w:rsidP="00141629">
      <w:pPr>
        <w:spacing w:after="0" w:line="240" w:lineRule="auto"/>
        <w:rPr>
          <w:rFonts w:ascii="Times New Roman" w:eastAsia="Times New Roman" w:hAnsi="Times New Roman" w:cs="Times New Roman"/>
          <w:sz w:val="20"/>
          <w:szCs w:val="24"/>
        </w:rPr>
      </w:pPr>
      <w:r w:rsidRPr="006E437B">
        <w:rPr>
          <w:rFonts w:ascii="Times New Roman" w:eastAsia="Times New Roman" w:hAnsi="Times New Roman" w:cs="Times New Roman"/>
          <w:sz w:val="20"/>
          <w:szCs w:val="24"/>
          <w:vertAlign w:val="superscript"/>
        </w:rPr>
        <w:t>38</w:t>
      </w:r>
      <w:r w:rsidRPr="006E437B">
        <w:rPr>
          <w:rFonts w:ascii="Times New Roman" w:eastAsia="Times New Roman" w:hAnsi="Times New Roman" w:cs="Times New Roman"/>
          <w:sz w:val="20"/>
          <w:szCs w:val="24"/>
        </w:rPr>
        <w:t xml:space="preserve"> Instituto Mexicano del Seguro Social. (2019, mayo). </w:t>
      </w:r>
      <w:r w:rsidRPr="006E437B">
        <w:rPr>
          <w:rFonts w:ascii="Times New Roman" w:eastAsia="Times New Roman" w:hAnsi="Times New Roman" w:cs="Times New Roman"/>
          <w:i/>
          <w:sz w:val="20"/>
          <w:szCs w:val="24"/>
        </w:rPr>
        <w:t>Detección y tratamiento oportuno mejora calidad de vida de personas con lupus</w:t>
      </w:r>
      <w:r w:rsidRPr="006E437B">
        <w:rPr>
          <w:rFonts w:ascii="Times New Roman" w:eastAsia="Times New Roman" w:hAnsi="Times New Roman" w:cs="Times New Roman"/>
          <w:sz w:val="20"/>
          <w:szCs w:val="24"/>
        </w:rPr>
        <w:t xml:space="preserve">. Recuperado de </w:t>
      </w:r>
      <w:hyperlink r:id="rId287">
        <w:r w:rsidRPr="006E437B">
          <w:rPr>
            <w:rFonts w:ascii="Times New Roman" w:eastAsia="Times New Roman" w:hAnsi="Times New Roman" w:cs="Times New Roman"/>
            <w:sz w:val="20"/>
            <w:szCs w:val="24"/>
            <w:u w:val="single" w:color="000000"/>
          </w:rPr>
          <w:t>https://www.imss.gob.mx/prensa/archivo/201905/115</w:t>
        </w:r>
      </w:hyperlink>
      <w:hyperlink r:id="rId288">
        <w:r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39</w:t>
      </w:r>
      <w:r w:rsidRPr="006E437B">
        <w:rPr>
          <w:rFonts w:ascii="Times New Roman" w:eastAsia="Times New Roman" w:hAnsi="Times New Roman" w:cs="Times New Roman"/>
          <w:sz w:val="20"/>
          <w:szCs w:val="24"/>
        </w:rPr>
        <w:t xml:space="preserve"> Instituto Nacional de Estadística y Geografía (INEGI). (2020). </w:t>
      </w:r>
      <w:r w:rsidRPr="006E437B">
        <w:rPr>
          <w:rFonts w:ascii="Times New Roman" w:eastAsia="Times New Roman" w:hAnsi="Times New Roman" w:cs="Times New Roman"/>
          <w:i/>
          <w:sz w:val="20"/>
          <w:szCs w:val="24"/>
        </w:rPr>
        <w:t>Censo de Población y Vivienda 2020.</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40</w:t>
      </w:r>
      <w:r w:rsidRPr="006E437B">
        <w:rPr>
          <w:rFonts w:ascii="Times New Roman" w:eastAsia="Times New Roman" w:hAnsi="Times New Roman" w:cs="Times New Roman"/>
          <w:sz w:val="20"/>
          <w:szCs w:val="24"/>
        </w:rPr>
        <w:t xml:space="preserve"> Asociación Autoinmune. (s.f.). </w:t>
      </w:r>
      <w:r w:rsidRPr="006E437B">
        <w:rPr>
          <w:rFonts w:ascii="Times New Roman" w:eastAsia="Times New Roman" w:hAnsi="Times New Roman" w:cs="Times New Roman"/>
          <w:i/>
          <w:sz w:val="20"/>
          <w:szCs w:val="24"/>
        </w:rPr>
        <w:t>Información sobre enfermedades</w:t>
      </w:r>
      <w:r w:rsidRPr="006E437B">
        <w:rPr>
          <w:rFonts w:ascii="Times New Roman" w:eastAsia="Times New Roman" w:hAnsi="Times New Roman" w:cs="Times New Roman"/>
          <w:sz w:val="20"/>
          <w:szCs w:val="24"/>
        </w:rPr>
        <w:t xml:space="preserve">. Recuperado de </w:t>
      </w:r>
      <w:hyperlink r:id="rId289">
        <w:r w:rsidRPr="006E437B">
          <w:rPr>
            <w:rFonts w:ascii="Times New Roman" w:eastAsia="Times New Roman" w:hAnsi="Times New Roman" w:cs="Times New Roman"/>
            <w:sz w:val="20"/>
            <w:szCs w:val="24"/>
            <w:u w:val="single" w:color="000000"/>
          </w:rPr>
          <w:t>https://autoimmune.org/es/disease</w:t>
        </w:r>
      </w:hyperlink>
      <w:hyperlink r:id="rId290">
        <w:r w:rsidRPr="006E437B">
          <w:rPr>
            <w:rFonts w:ascii="Times New Roman" w:eastAsia="Times New Roman" w:hAnsi="Times New Roman" w:cs="Times New Roman"/>
            <w:sz w:val="20"/>
            <w:szCs w:val="24"/>
            <w:u w:val="single" w:color="000000"/>
          </w:rPr>
          <w:t>-</w:t>
        </w:r>
      </w:hyperlink>
      <w:hyperlink r:id="rId291">
        <w:r w:rsidRPr="006E437B">
          <w:rPr>
            <w:rFonts w:ascii="Times New Roman" w:eastAsia="Times New Roman" w:hAnsi="Times New Roman" w:cs="Times New Roman"/>
            <w:sz w:val="20"/>
            <w:szCs w:val="24"/>
            <w:u w:val="single" w:color="000000"/>
          </w:rPr>
          <w:t>information/</w:t>
        </w:r>
      </w:hyperlink>
      <w:hyperlink r:id="rId292">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rPr>
        <w:t xml:space="preserve"> </w:t>
      </w:r>
    </w:p>
    <w:p w:rsidR="001850B4" w:rsidRPr="006E437B" w:rsidRDefault="001850B4" w:rsidP="00141629">
      <w:pPr>
        <w:spacing w:after="0" w:line="240" w:lineRule="auto"/>
        <w:rPr>
          <w:rFonts w:ascii="Times New Roman" w:hAnsi="Times New Roman" w:cs="Times New Roman"/>
          <w:sz w:val="20"/>
          <w:szCs w:val="24"/>
        </w:rPr>
      </w:pPr>
      <w:r w:rsidRPr="006E437B">
        <w:rPr>
          <w:rFonts w:ascii="Times New Roman" w:eastAsia="Times New Roman" w:hAnsi="Times New Roman" w:cs="Times New Roman"/>
          <w:sz w:val="20"/>
          <w:szCs w:val="24"/>
          <w:vertAlign w:val="superscript"/>
        </w:rPr>
        <w:t>41</w:t>
      </w:r>
      <w:r w:rsidRPr="006E437B">
        <w:rPr>
          <w:rFonts w:ascii="Times New Roman" w:eastAsia="Times New Roman" w:hAnsi="Times New Roman" w:cs="Times New Roman"/>
          <w:sz w:val="20"/>
          <w:szCs w:val="24"/>
        </w:rPr>
        <w:t xml:space="preserve"> Lupus Foundation of America. (s.f.). </w:t>
      </w:r>
      <w:r w:rsidRPr="006E437B">
        <w:rPr>
          <w:rFonts w:ascii="Times New Roman" w:eastAsia="Times New Roman" w:hAnsi="Times New Roman" w:cs="Times New Roman"/>
          <w:i/>
          <w:sz w:val="20"/>
          <w:szCs w:val="24"/>
        </w:rPr>
        <w:t>Enfermedades comunes que se superponen con el lupus</w:t>
      </w:r>
      <w:r w:rsidRPr="006E437B">
        <w:rPr>
          <w:rFonts w:ascii="Times New Roman" w:eastAsia="Times New Roman" w:hAnsi="Times New Roman" w:cs="Times New Roman"/>
          <w:sz w:val="20"/>
          <w:szCs w:val="24"/>
        </w:rPr>
        <w:t xml:space="preserve">. Recuperado el 20 de mayo de 2025, de </w:t>
      </w:r>
      <w:hyperlink r:id="rId293">
        <w:r w:rsidRPr="006E437B">
          <w:rPr>
            <w:rFonts w:ascii="Times New Roman" w:eastAsia="Times New Roman" w:hAnsi="Times New Roman" w:cs="Times New Roman"/>
            <w:sz w:val="20"/>
            <w:szCs w:val="24"/>
            <w:u w:val="single" w:color="000000"/>
          </w:rPr>
          <w:t>https://www.lupus.org/es/resources/common</w:t>
        </w:r>
      </w:hyperlink>
      <w:hyperlink r:id="rId294">
        <w:r w:rsidRPr="006E437B">
          <w:rPr>
            <w:rFonts w:ascii="Times New Roman" w:eastAsia="Times New Roman" w:hAnsi="Times New Roman" w:cs="Times New Roman"/>
            <w:sz w:val="20"/>
            <w:szCs w:val="24"/>
            <w:u w:val="single" w:color="000000"/>
          </w:rPr>
          <w:t>-</w:t>
        </w:r>
      </w:hyperlink>
      <w:hyperlink r:id="rId295">
        <w:r w:rsidRPr="006E437B">
          <w:rPr>
            <w:rFonts w:ascii="Times New Roman" w:eastAsia="Times New Roman" w:hAnsi="Times New Roman" w:cs="Times New Roman"/>
            <w:sz w:val="20"/>
            <w:szCs w:val="24"/>
            <w:u w:val="single" w:color="000000"/>
          </w:rPr>
          <w:t>diseases</w:t>
        </w:r>
      </w:hyperlink>
      <w:hyperlink r:id="rId296">
        <w:r w:rsidRPr="006E437B">
          <w:rPr>
            <w:rFonts w:ascii="Times New Roman" w:eastAsia="Times New Roman" w:hAnsi="Times New Roman" w:cs="Times New Roman"/>
            <w:sz w:val="20"/>
            <w:szCs w:val="24"/>
            <w:u w:val="single" w:color="000000"/>
          </w:rPr>
          <w:t>-</w:t>
        </w:r>
      </w:hyperlink>
      <w:hyperlink r:id="rId297">
        <w:r w:rsidRPr="006E437B">
          <w:rPr>
            <w:rFonts w:ascii="Times New Roman" w:eastAsia="Times New Roman" w:hAnsi="Times New Roman" w:cs="Times New Roman"/>
            <w:sz w:val="20"/>
            <w:szCs w:val="24"/>
            <w:u w:val="single" w:color="000000"/>
          </w:rPr>
          <w:t>that</w:t>
        </w:r>
      </w:hyperlink>
      <w:hyperlink r:id="rId298">
        <w:r w:rsidRPr="006E437B">
          <w:rPr>
            <w:rFonts w:ascii="Times New Roman" w:eastAsia="Times New Roman" w:hAnsi="Times New Roman" w:cs="Times New Roman"/>
            <w:sz w:val="20"/>
            <w:szCs w:val="24"/>
            <w:u w:val="single" w:color="000000"/>
          </w:rPr>
          <w:t>-</w:t>
        </w:r>
      </w:hyperlink>
      <w:hyperlink r:id="rId299">
        <w:r w:rsidRPr="006E437B">
          <w:rPr>
            <w:rFonts w:ascii="Times New Roman" w:eastAsia="Times New Roman" w:hAnsi="Times New Roman" w:cs="Times New Roman"/>
            <w:sz w:val="20"/>
            <w:szCs w:val="24"/>
            <w:u w:val="single" w:color="000000"/>
          </w:rPr>
          <w:t>overlap</w:t>
        </w:r>
      </w:hyperlink>
      <w:hyperlink r:id="rId300">
        <w:r w:rsidRPr="006E437B">
          <w:rPr>
            <w:rFonts w:ascii="Times New Roman" w:eastAsia="Times New Roman" w:hAnsi="Times New Roman" w:cs="Times New Roman"/>
            <w:sz w:val="20"/>
            <w:szCs w:val="24"/>
            <w:u w:val="single" w:color="000000"/>
          </w:rPr>
          <w:t>-</w:t>
        </w:r>
      </w:hyperlink>
      <w:hyperlink r:id="rId301">
        <w:r w:rsidRPr="006E437B">
          <w:rPr>
            <w:rFonts w:ascii="Times New Roman" w:eastAsia="Times New Roman" w:hAnsi="Times New Roman" w:cs="Times New Roman"/>
            <w:sz w:val="20"/>
            <w:szCs w:val="24"/>
            <w:u w:val="single" w:color="000000"/>
          </w:rPr>
          <w:t>with</w:t>
        </w:r>
      </w:hyperlink>
      <w:hyperlink r:id="rId302">
        <w:r w:rsidRPr="006E437B">
          <w:rPr>
            <w:rFonts w:ascii="Times New Roman" w:eastAsia="Times New Roman" w:hAnsi="Times New Roman" w:cs="Times New Roman"/>
            <w:sz w:val="20"/>
            <w:szCs w:val="24"/>
            <w:u w:val="single" w:color="000000"/>
          </w:rPr>
          <w:t>-</w:t>
        </w:r>
      </w:hyperlink>
      <w:hyperlink r:id="rId303">
        <w:r w:rsidRPr="006E437B">
          <w:rPr>
            <w:rFonts w:ascii="Times New Roman" w:eastAsia="Times New Roman" w:hAnsi="Times New Roman" w:cs="Times New Roman"/>
            <w:sz w:val="20"/>
            <w:szCs w:val="24"/>
            <w:u w:val="single" w:color="000000"/>
          </w:rPr>
          <w:t>lupus</w:t>
        </w:r>
      </w:hyperlink>
      <w:hyperlink r:id="rId304">
        <w:r w:rsidRPr="006E437B">
          <w:rPr>
            <w:rFonts w:ascii="Times New Roman" w:eastAsia="Times New Roman" w:hAnsi="Times New Roman" w:cs="Times New Roman"/>
            <w:sz w:val="20"/>
            <w:szCs w:val="24"/>
          </w:rPr>
          <w:t xml:space="preserve"> </w:t>
        </w:r>
      </w:hyperlink>
      <w:r w:rsidRPr="006E437B">
        <w:rPr>
          <w:rFonts w:ascii="Times New Roman" w:eastAsia="Times New Roman" w:hAnsi="Times New Roman" w:cs="Times New Roman"/>
          <w:sz w:val="20"/>
          <w:szCs w:val="24"/>
          <w:vertAlign w:val="superscript"/>
        </w:rPr>
        <w:t>xl</w:t>
      </w:r>
      <w:r w:rsidRPr="006E437B">
        <w:rPr>
          <w:rFonts w:ascii="Times New Roman" w:eastAsia="Times New Roman" w:hAnsi="Times New Roman" w:cs="Times New Roman"/>
          <w:sz w:val="20"/>
          <w:szCs w:val="24"/>
        </w:rPr>
        <w:t xml:space="preserve"> Athié, Laura (2023). </w:t>
      </w:r>
      <w:r w:rsidRPr="006E437B">
        <w:rPr>
          <w:rFonts w:ascii="Times New Roman" w:eastAsia="Times New Roman" w:hAnsi="Times New Roman" w:cs="Times New Roman"/>
          <w:i/>
          <w:sz w:val="20"/>
          <w:szCs w:val="24"/>
        </w:rPr>
        <w:t>Contranarrativas ante la violencia discursiva: El caso de las personas con lupus</w:t>
      </w:r>
      <w:r w:rsidRPr="006E437B">
        <w:rPr>
          <w:rFonts w:ascii="Times New Roman" w:eastAsia="Times New Roman" w:hAnsi="Times New Roman" w:cs="Times New Roman"/>
          <w:sz w:val="20"/>
          <w:szCs w:val="24"/>
        </w:rPr>
        <w:t xml:space="preserve"> (Tesis doctoral, Benemérita Universidad Autónoma de Puebla). Repositorio Institucional BUAP: </w:t>
      </w:r>
    </w:p>
    <w:p w:rsidR="001850B4" w:rsidRPr="006E437B" w:rsidRDefault="00C53639" w:rsidP="00141629">
      <w:pPr>
        <w:spacing w:after="0" w:line="240" w:lineRule="auto"/>
        <w:ind w:left="-5"/>
        <w:rPr>
          <w:rFonts w:ascii="Times New Roman" w:hAnsi="Times New Roman" w:cs="Times New Roman"/>
          <w:sz w:val="20"/>
          <w:szCs w:val="24"/>
        </w:rPr>
      </w:pPr>
      <w:hyperlink r:id="rId305">
        <w:r w:rsidR="001850B4" w:rsidRPr="006E437B">
          <w:rPr>
            <w:rFonts w:ascii="Times New Roman" w:eastAsia="Times New Roman" w:hAnsi="Times New Roman" w:cs="Times New Roman"/>
            <w:sz w:val="20"/>
            <w:szCs w:val="24"/>
            <w:u w:val="single" w:color="0563C1"/>
          </w:rPr>
          <w:t>https://repositorioinstitucional.buap.mx/items/41a1c9a0</w:t>
        </w:r>
      </w:hyperlink>
      <w:hyperlink r:id="rId306">
        <w:r w:rsidR="001850B4" w:rsidRPr="006E437B">
          <w:rPr>
            <w:rFonts w:ascii="Times New Roman" w:eastAsia="Times New Roman" w:hAnsi="Times New Roman" w:cs="Times New Roman"/>
            <w:sz w:val="20"/>
            <w:szCs w:val="24"/>
            <w:u w:val="single" w:color="0563C1"/>
          </w:rPr>
          <w:t>-</w:t>
        </w:r>
      </w:hyperlink>
      <w:hyperlink r:id="rId307">
        <w:r w:rsidR="001850B4" w:rsidRPr="006E437B">
          <w:rPr>
            <w:rFonts w:ascii="Times New Roman" w:eastAsia="Times New Roman" w:hAnsi="Times New Roman" w:cs="Times New Roman"/>
            <w:sz w:val="20"/>
            <w:szCs w:val="24"/>
            <w:u w:val="single" w:color="0563C1"/>
          </w:rPr>
          <w:t>f16e</w:t>
        </w:r>
      </w:hyperlink>
      <w:hyperlink r:id="rId308">
        <w:r w:rsidR="001850B4" w:rsidRPr="006E437B">
          <w:rPr>
            <w:rFonts w:ascii="Times New Roman" w:eastAsia="Times New Roman" w:hAnsi="Times New Roman" w:cs="Times New Roman"/>
            <w:sz w:val="20"/>
            <w:szCs w:val="24"/>
            <w:u w:val="single" w:color="0563C1"/>
          </w:rPr>
          <w:t>-</w:t>
        </w:r>
      </w:hyperlink>
      <w:hyperlink r:id="rId309">
        <w:r w:rsidR="001850B4" w:rsidRPr="006E437B">
          <w:rPr>
            <w:rFonts w:ascii="Times New Roman" w:eastAsia="Times New Roman" w:hAnsi="Times New Roman" w:cs="Times New Roman"/>
            <w:sz w:val="20"/>
            <w:szCs w:val="24"/>
            <w:u w:val="single" w:color="0563C1"/>
          </w:rPr>
          <w:t>4565</w:t>
        </w:r>
      </w:hyperlink>
      <w:hyperlink r:id="rId310">
        <w:r w:rsidR="001850B4" w:rsidRPr="006E437B">
          <w:rPr>
            <w:rFonts w:ascii="Times New Roman" w:eastAsia="Times New Roman" w:hAnsi="Times New Roman" w:cs="Times New Roman"/>
            <w:sz w:val="20"/>
            <w:szCs w:val="24"/>
            <w:u w:val="single" w:color="0563C1"/>
          </w:rPr>
          <w:t>-</w:t>
        </w:r>
      </w:hyperlink>
      <w:hyperlink r:id="rId311">
        <w:r w:rsidR="001850B4" w:rsidRPr="006E437B">
          <w:rPr>
            <w:rFonts w:ascii="Times New Roman" w:eastAsia="Times New Roman" w:hAnsi="Times New Roman" w:cs="Times New Roman"/>
            <w:sz w:val="20"/>
            <w:szCs w:val="24"/>
            <w:u w:val="single" w:color="0563C1"/>
          </w:rPr>
          <w:t>b8d5</w:t>
        </w:r>
      </w:hyperlink>
      <w:hyperlink r:id="rId312">
        <w:r w:rsidR="001850B4" w:rsidRPr="006E437B">
          <w:rPr>
            <w:rFonts w:ascii="Times New Roman" w:eastAsia="Times New Roman" w:hAnsi="Times New Roman" w:cs="Times New Roman"/>
            <w:sz w:val="20"/>
            <w:szCs w:val="24"/>
            <w:u w:val="single" w:color="0563C1"/>
          </w:rPr>
          <w:t>-</w:t>
        </w:r>
      </w:hyperlink>
      <w:hyperlink r:id="rId313">
        <w:r w:rsidR="001850B4" w:rsidRPr="006E437B">
          <w:rPr>
            <w:rFonts w:ascii="Times New Roman" w:eastAsia="Times New Roman" w:hAnsi="Times New Roman" w:cs="Times New Roman"/>
            <w:sz w:val="20"/>
            <w:szCs w:val="24"/>
            <w:u w:val="single" w:color="0563C1"/>
          </w:rPr>
          <w:t>4d7ec1fecae7</w:t>
        </w:r>
      </w:hyperlink>
      <w:hyperlink r:id="rId314">
        <w:r w:rsidR="001850B4" w:rsidRPr="006E437B">
          <w:rPr>
            <w:rFonts w:ascii="Times New Roman" w:eastAsia="Times New Roman" w:hAnsi="Times New Roman" w:cs="Times New Roman"/>
            <w:sz w:val="20"/>
            <w:szCs w:val="24"/>
          </w:rPr>
          <w:t xml:space="preserve"> </w:t>
        </w:r>
      </w:hyperlink>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Para efectos de estudio y análisis, se proporciona la siguiente información, para un mejor entendimiento de las modificaciones planteadas.</w:t>
      </w:r>
    </w:p>
    <w:p w:rsidR="001850B4" w:rsidRPr="006E437B" w:rsidRDefault="001850B4" w:rsidP="00141629">
      <w:pPr>
        <w:spacing w:after="0" w:line="240" w:lineRule="auto"/>
        <w:rPr>
          <w:rFonts w:ascii="Times New Roman" w:hAnsi="Times New Roman" w:cs="Times New Roman"/>
          <w:sz w:val="24"/>
          <w:szCs w:val="24"/>
        </w:rPr>
      </w:pPr>
    </w:p>
    <w:tbl>
      <w:tblPr>
        <w:tblStyle w:val="Tablaconcuadrcula"/>
        <w:tblW w:w="0" w:type="auto"/>
        <w:jc w:val="center"/>
        <w:tblLook w:val="04A0" w:firstRow="1" w:lastRow="0" w:firstColumn="1" w:lastColumn="0" w:noHBand="0" w:noVBand="1"/>
      </w:tblPr>
      <w:tblGrid>
        <w:gridCol w:w="4135"/>
        <w:gridCol w:w="4698"/>
      </w:tblGrid>
      <w:tr w:rsidR="001850B4" w:rsidRPr="006E437B" w:rsidTr="00FD44F9">
        <w:trPr>
          <w:jc w:val="center"/>
        </w:trPr>
        <w:tc>
          <w:tcPr>
            <w:tcW w:w="8833" w:type="dxa"/>
            <w:gridSpan w:val="2"/>
            <w:shd w:val="clear" w:color="auto" w:fill="FF0000"/>
          </w:tcPr>
          <w:p w:rsidR="001850B4" w:rsidRPr="006E437B" w:rsidRDefault="001850B4" w:rsidP="00141629">
            <w:pPr>
              <w:spacing w:line="240" w:lineRule="auto"/>
              <w:ind w:left="105"/>
              <w:jc w:val="center"/>
              <w:rPr>
                <w:rFonts w:ascii="Times New Roman" w:hAnsi="Times New Roman" w:cs="Times New Roman"/>
                <w:sz w:val="24"/>
                <w:szCs w:val="24"/>
              </w:rPr>
            </w:pPr>
            <w:r w:rsidRPr="006E437B">
              <w:rPr>
                <w:rFonts w:ascii="Times New Roman" w:hAnsi="Times New Roman" w:cs="Times New Roman"/>
                <w:b/>
                <w:sz w:val="24"/>
                <w:szCs w:val="24"/>
              </w:rPr>
              <w:t xml:space="preserve">LEY DE SALUD DEL ESTADO DE MÉXICO </w:t>
            </w:r>
          </w:p>
          <w:p w:rsidR="001850B4" w:rsidRPr="006E437B" w:rsidRDefault="001850B4" w:rsidP="00141629">
            <w:pPr>
              <w:spacing w:line="240" w:lineRule="auto"/>
              <w:rPr>
                <w:rFonts w:ascii="Times New Roman" w:hAnsi="Times New Roman" w:cs="Times New Roman"/>
                <w:sz w:val="24"/>
                <w:szCs w:val="24"/>
              </w:rPr>
            </w:pPr>
          </w:p>
        </w:tc>
      </w:tr>
      <w:tr w:rsidR="001850B4" w:rsidRPr="006E437B" w:rsidTr="00FD44F9">
        <w:trPr>
          <w:jc w:val="center"/>
        </w:trPr>
        <w:tc>
          <w:tcPr>
            <w:tcW w:w="4135" w:type="dxa"/>
            <w:shd w:val="clear" w:color="auto" w:fill="FF0000"/>
          </w:tcPr>
          <w:p w:rsidR="001850B4" w:rsidRPr="006E437B" w:rsidRDefault="001850B4" w:rsidP="00141629">
            <w:pPr>
              <w:spacing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TEXTO VIGENTE</w:t>
            </w:r>
          </w:p>
        </w:tc>
        <w:tc>
          <w:tcPr>
            <w:tcW w:w="4698" w:type="dxa"/>
            <w:shd w:val="clear" w:color="auto" w:fill="FF0000"/>
          </w:tcPr>
          <w:p w:rsidR="001850B4" w:rsidRPr="006E437B" w:rsidRDefault="001850B4" w:rsidP="00141629">
            <w:pPr>
              <w:spacing w:line="240" w:lineRule="auto"/>
              <w:jc w:val="center"/>
              <w:rPr>
                <w:rFonts w:ascii="Times New Roman" w:hAnsi="Times New Roman" w:cs="Times New Roman"/>
                <w:sz w:val="24"/>
                <w:szCs w:val="24"/>
              </w:rPr>
            </w:pPr>
            <w:r w:rsidRPr="006E437B">
              <w:rPr>
                <w:rFonts w:ascii="Times New Roman" w:hAnsi="Times New Roman" w:cs="Times New Roman"/>
                <w:b/>
                <w:sz w:val="24"/>
                <w:szCs w:val="24"/>
              </w:rPr>
              <w:t>PROPUESTA</w:t>
            </w:r>
          </w:p>
        </w:tc>
      </w:tr>
      <w:tr w:rsidR="001850B4" w:rsidRPr="006E437B" w:rsidTr="00FD44F9">
        <w:trPr>
          <w:jc w:val="center"/>
        </w:trPr>
        <w:tc>
          <w:tcPr>
            <w:tcW w:w="4135" w:type="dxa"/>
          </w:tcPr>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Artículo 3. Para los efectos de la presente Ley, se entenderán los siguientes términos: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I. … a XXIV. … </w:t>
            </w:r>
          </w:p>
          <w:p w:rsidR="001850B4" w:rsidRPr="006E437B" w:rsidRDefault="001850B4" w:rsidP="00141629">
            <w:pPr>
              <w:pStyle w:val="Default"/>
              <w:rPr>
                <w:rFonts w:ascii="Times New Roman" w:hAnsi="Times New Roman" w:cs="Times New Roman"/>
                <w:color w:val="auto"/>
              </w:rPr>
            </w:pP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XXV. Hemovigilancia: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XXVI. … a XXX. …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 xml:space="preserve">XXXI. Personal de salud: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XXXII. … a XLV. … </w:t>
            </w:r>
          </w:p>
          <w:p w:rsidR="001850B4" w:rsidRPr="006E437B" w:rsidRDefault="001850B4" w:rsidP="00141629">
            <w:pPr>
              <w:spacing w:line="240" w:lineRule="auto"/>
              <w:rPr>
                <w:rFonts w:ascii="Times New Roman" w:hAnsi="Times New Roman" w:cs="Times New Roman"/>
                <w:sz w:val="24"/>
                <w:szCs w:val="24"/>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Artículo 3. Para los efectos de la presente Ley, se entenderán los siguientes términos: </w:t>
            </w:r>
          </w:p>
          <w:p w:rsidR="001850B4" w:rsidRPr="006E437B" w:rsidRDefault="001850B4" w:rsidP="00141629">
            <w:pPr>
              <w:spacing w:line="240" w:lineRule="auto"/>
              <w:rPr>
                <w:rFonts w:ascii="Times New Roman" w:hAnsi="Times New Roman" w:cs="Times New Roman"/>
                <w:sz w:val="24"/>
                <w:szCs w:val="24"/>
              </w:rPr>
            </w:pP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I… a XXIV. …</w:t>
            </w:r>
          </w:p>
          <w:p w:rsidR="001850B4" w:rsidRPr="006E437B" w:rsidRDefault="001850B4" w:rsidP="00141629">
            <w:pPr>
              <w:pStyle w:val="Default"/>
              <w:jc w:val="both"/>
              <w:rPr>
                <w:rFonts w:ascii="Times New Roman" w:hAnsi="Times New Roman" w:cs="Times New Roman"/>
                <w:b/>
                <w:bCs/>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XXV. </w:t>
            </w:r>
            <w:r w:rsidRPr="006E437B">
              <w:rPr>
                <w:rFonts w:ascii="Times New Roman" w:hAnsi="Times New Roman" w:cs="Times New Roman"/>
                <w:color w:val="auto"/>
              </w:rPr>
              <w:t xml:space="preserve">Enfermedad autoinmune: Condición crónica, de origen multifactorial, caracterizada por una alteración del sistema inmunológico mediante la cual este pierde la capacidad de reconocer como propios los tejidos, células u órganos del organismo y desencadena una respuesta inmunitaria en su contra, ocasionando inflamación, daño tisular y alteraciones funcionales que pueden afectar uno o diversos órganos o sistemas, con distintos grados de gravedad y evolución.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XXVI. </w:t>
            </w:r>
            <w:r w:rsidRPr="006E437B">
              <w:rPr>
                <w:rFonts w:ascii="Times New Roman" w:hAnsi="Times New Roman" w:cs="Times New Roman"/>
                <w:color w:val="auto"/>
              </w:rPr>
              <w:t xml:space="preserve">Hemovigilancia. ...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XXVII. </w:t>
            </w:r>
            <w:r w:rsidRPr="006E437B">
              <w:rPr>
                <w:rFonts w:ascii="Times New Roman" w:hAnsi="Times New Roman" w:cs="Times New Roman"/>
                <w:color w:val="auto"/>
              </w:rPr>
              <w:t xml:space="preserve">IMSS - Bienestar…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XXVIII. </w:t>
            </w:r>
            <w:r w:rsidRPr="006E437B">
              <w:rPr>
                <w:rFonts w:ascii="Times New Roman" w:hAnsi="Times New Roman" w:cs="Times New Roman"/>
                <w:color w:val="auto"/>
              </w:rPr>
              <w:t xml:space="preserve">ISEM. …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XXIX. </w:t>
            </w:r>
            <w:r w:rsidRPr="006E437B">
              <w:rPr>
                <w:rFonts w:ascii="Times New Roman" w:hAnsi="Times New Roman" w:cs="Times New Roman"/>
                <w:color w:val="auto"/>
              </w:rPr>
              <w:t xml:space="preserve">Ley. …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XXX. </w:t>
            </w:r>
            <w:r w:rsidRPr="006E437B">
              <w:rPr>
                <w:rFonts w:ascii="Times New Roman" w:hAnsi="Times New Roman" w:cs="Times New Roman"/>
                <w:color w:val="auto"/>
              </w:rPr>
              <w:t xml:space="preserve">Ley General. …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XXXI. </w:t>
            </w:r>
            <w:r w:rsidRPr="006E437B">
              <w:rPr>
                <w:rFonts w:ascii="Times New Roman" w:hAnsi="Times New Roman" w:cs="Times New Roman"/>
                <w:color w:val="auto"/>
              </w:rPr>
              <w:t>Lupus: Enfermedad autoinmune, crónico degenerativa e incurable, multisistémica que ataca de manera indistinta a quien la padece. Es potencialmente mortal si no se cuenta con acceso a tratamientos, servicios médicos adecuados de forma oportuna.</w:t>
            </w:r>
          </w:p>
          <w:p w:rsidR="001850B4" w:rsidRPr="006E437B" w:rsidRDefault="001850B4" w:rsidP="00141629">
            <w:pPr>
              <w:pStyle w:val="Default"/>
              <w:jc w:val="both"/>
              <w:rPr>
                <w:rFonts w:ascii="Times New Roman" w:hAnsi="Times New Roman" w:cs="Times New Roman"/>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XXXII. </w:t>
            </w:r>
            <w:r w:rsidRPr="006E437B">
              <w:rPr>
                <w:rFonts w:ascii="Times New Roman" w:hAnsi="Times New Roman" w:cs="Times New Roman"/>
                <w:color w:val="auto"/>
              </w:rPr>
              <w:t xml:space="preserve">Niveles de atención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XXXIII</w:t>
            </w:r>
            <w:r w:rsidRPr="006E437B">
              <w:rPr>
                <w:rFonts w:ascii="Times New Roman" w:hAnsi="Times New Roman" w:cs="Times New Roman"/>
                <w:color w:val="auto"/>
              </w:rPr>
              <w:t>. Personal de salud.</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XXXIV. </w:t>
            </w:r>
            <w:r w:rsidRPr="006E437B">
              <w:rPr>
                <w:rFonts w:ascii="Times New Roman" w:hAnsi="Times New Roman" w:cs="Times New Roman"/>
                <w:color w:val="auto"/>
              </w:rPr>
              <w:t xml:space="preserve">Prestación de servicios de salud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b/>
                <w:bCs/>
                <w:color w:val="auto"/>
              </w:rPr>
              <w:t xml:space="preserve">XXXV. </w:t>
            </w:r>
            <w:r w:rsidRPr="006E437B">
              <w:rPr>
                <w:rFonts w:ascii="Times New Roman" w:hAnsi="Times New Roman" w:cs="Times New Roman"/>
                <w:color w:val="auto"/>
              </w:rPr>
              <w:t>Red Estatal De Salud Mental y Adiciones.</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 xml:space="preserve">XXXVI. </w:t>
            </w:r>
            <w:r w:rsidRPr="006E437B">
              <w:rPr>
                <w:rFonts w:ascii="Times New Roman" w:hAnsi="Times New Roman" w:cs="Times New Roman"/>
                <w:color w:val="auto"/>
              </w:rPr>
              <w:t xml:space="preserve">Reglamento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XXXVII</w:t>
            </w:r>
            <w:r w:rsidRPr="006E437B">
              <w:rPr>
                <w:rFonts w:ascii="Times New Roman" w:hAnsi="Times New Roman" w:cs="Times New Roman"/>
                <w:color w:val="auto"/>
              </w:rPr>
              <w:t xml:space="preserve">. Reproducción Asistida.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XXXVIII</w:t>
            </w:r>
            <w:r w:rsidRPr="006E437B">
              <w:rPr>
                <w:rFonts w:ascii="Times New Roman" w:hAnsi="Times New Roman" w:cs="Times New Roman"/>
                <w:color w:val="auto"/>
              </w:rPr>
              <w:t xml:space="preserve">. Salud Mental.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XXXIX</w:t>
            </w:r>
            <w:r w:rsidRPr="006E437B">
              <w:rPr>
                <w:rFonts w:ascii="Times New Roman" w:hAnsi="Times New Roman" w:cs="Times New Roman"/>
                <w:color w:val="auto"/>
              </w:rPr>
              <w:t xml:space="preserve">. Salud Pública.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 xml:space="preserve">XL. </w:t>
            </w:r>
            <w:r w:rsidRPr="006E437B">
              <w:rPr>
                <w:rFonts w:ascii="Times New Roman" w:hAnsi="Times New Roman" w:cs="Times New Roman"/>
                <w:bCs/>
                <w:color w:val="auto"/>
              </w:rPr>
              <w:t>Secretaria</w:t>
            </w:r>
            <w:r w:rsidRPr="006E437B">
              <w:rPr>
                <w:rFonts w:ascii="Times New Roman" w:hAnsi="Times New Roman" w:cs="Times New Roman"/>
                <w:b/>
                <w:bCs/>
                <w:color w:val="auto"/>
              </w:rPr>
              <w:t xml:space="preserve">.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XLI</w:t>
            </w:r>
            <w:r w:rsidRPr="006E437B">
              <w:rPr>
                <w:rFonts w:ascii="Times New Roman" w:hAnsi="Times New Roman" w:cs="Times New Roman"/>
                <w:color w:val="auto"/>
              </w:rPr>
              <w:t xml:space="preserve">. Secretaria Federal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XLII</w:t>
            </w:r>
            <w:r w:rsidRPr="006E437B">
              <w:rPr>
                <w:rFonts w:ascii="Times New Roman" w:hAnsi="Times New Roman" w:cs="Times New Roman"/>
                <w:color w:val="auto"/>
              </w:rPr>
              <w:t xml:space="preserve">. Sistema Estatal.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 xml:space="preserve">XLIII. </w:t>
            </w:r>
            <w:r w:rsidRPr="006E437B">
              <w:rPr>
                <w:rFonts w:ascii="Times New Roman" w:hAnsi="Times New Roman" w:cs="Times New Roman"/>
                <w:color w:val="auto"/>
              </w:rPr>
              <w:t xml:space="preserve">Suicidio.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XLIV</w:t>
            </w:r>
            <w:r w:rsidRPr="006E437B">
              <w:rPr>
                <w:rFonts w:ascii="Times New Roman" w:hAnsi="Times New Roman" w:cs="Times New Roman"/>
                <w:color w:val="auto"/>
              </w:rPr>
              <w:t xml:space="preserve">. Sustancia Psicoactiva.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 xml:space="preserve">XLV. </w:t>
            </w:r>
            <w:r w:rsidRPr="006E437B">
              <w:rPr>
                <w:rFonts w:ascii="Times New Roman" w:hAnsi="Times New Roman" w:cs="Times New Roman"/>
                <w:color w:val="auto"/>
              </w:rPr>
              <w:t xml:space="preserve">Vacunación …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b/>
                <w:bCs/>
                <w:color w:val="auto"/>
              </w:rPr>
              <w:t xml:space="preserve">XLVI. </w:t>
            </w:r>
            <w:r w:rsidRPr="006E437B">
              <w:rPr>
                <w:rFonts w:ascii="Times New Roman" w:hAnsi="Times New Roman" w:cs="Times New Roman"/>
                <w:color w:val="auto"/>
              </w:rPr>
              <w:t xml:space="preserve">Vigilancia Epidemiológica … </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b/>
                <w:bCs/>
                <w:sz w:val="24"/>
                <w:szCs w:val="24"/>
              </w:rPr>
              <w:t xml:space="preserve">XLVII </w:t>
            </w:r>
            <w:r w:rsidRPr="006E437B">
              <w:rPr>
                <w:rFonts w:ascii="Times New Roman" w:hAnsi="Times New Roman" w:cs="Times New Roman"/>
                <w:sz w:val="24"/>
                <w:szCs w:val="24"/>
              </w:rPr>
              <w:t>Zoonosis. …</w:t>
            </w:r>
          </w:p>
          <w:p w:rsidR="001850B4" w:rsidRPr="006E437B" w:rsidRDefault="001850B4" w:rsidP="00141629">
            <w:pPr>
              <w:spacing w:line="240" w:lineRule="auto"/>
              <w:rPr>
                <w:rFonts w:ascii="Times New Roman" w:hAnsi="Times New Roman" w:cs="Times New Roman"/>
                <w:sz w:val="24"/>
                <w:szCs w:val="24"/>
              </w:rPr>
            </w:pP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Artículo 104. La Secretaría ejecutará proyectos estratégicos, programas, campañas permanentes y planes de contingencia necesarios para la promoción de la salud, la prevención, control y eliminación de enfermedades transmisibles y no transmisibles que representen un riesgo real o potencial para la salud pública en el Estado de México.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 </w:t>
            </w:r>
          </w:p>
          <w:p w:rsidR="001850B4" w:rsidRPr="006E437B" w:rsidRDefault="001850B4" w:rsidP="00141629">
            <w:pPr>
              <w:pStyle w:val="Default"/>
              <w:rPr>
                <w:rFonts w:ascii="Times New Roman" w:hAnsi="Times New Roman" w:cs="Times New Roman"/>
                <w:color w:val="auto"/>
              </w:rPr>
            </w:pPr>
            <w:r w:rsidRPr="006E437B">
              <w:rPr>
                <w:rFonts w:ascii="Times New Roman" w:hAnsi="Times New Roman" w:cs="Times New Roman"/>
                <w:color w:val="auto"/>
              </w:rPr>
              <w:t xml:space="preserve">… </w:t>
            </w: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Artículo 104. La Secretaría ejecutará proyectos estratégicos, programas, campañas permanentes y planes de contingencia necesarios para la promoción de la salud, la prevención, control y eliminación de enfermedades transmisibles, no </w:t>
            </w:r>
            <w:r w:rsidRPr="006E437B">
              <w:rPr>
                <w:rFonts w:ascii="Times New Roman" w:hAnsi="Times New Roman" w:cs="Times New Roman"/>
                <w:b/>
                <w:bCs/>
                <w:color w:val="auto"/>
              </w:rPr>
              <w:t xml:space="preserve">transmisibles o autoinmunes </w:t>
            </w:r>
            <w:r w:rsidRPr="006E437B">
              <w:rPr>
                <w:rFonts w:ascii="Times New Roman" w:hAnsi="Times New Roman" w:cs="Times New Roman"/>
                <w:color w:val="auto"/>
              </w:rPr>
              <w:t xml:space="preserve">que representen un riesgo real o potencial para la salud pública en el Estado de México.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 </w:t>
            </w: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 </w:t>
            </w: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TÍTULO DÉCIMO TERCERO DE LA ATENCIÓN INTEGRAL A LAS PERSONAS CON LUPUS Y OTRAS ENFERMEDADES AUTOINMUNES.</w:t>
            </w: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CAPÍTULO I </w:t>
            </w:r>
          </w:p>
          <w:p w:rsidR="001850B4" w:rsidRPr="006E437B" w:rsidRDefault="001850B4" w:rsidP="00141629">
            <w:pPr>
              <w:pStyle w:val="Default"/>
              <w:jc w:val="both"/>
              <w:rPr>
                <w:rFonts w:ascii="Times New Roman" w:hAnsi="Times New Roman" w:cs="Times New Roman"/>
                <w:color w:val="auto"/>
              </w:rPr>
            </w:pP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Artículo 308. La Secretaría de Salud del Estado de México implementará acciones permanentes de prevención, detección oportuna, diagnóstico, tratamiento integral, control y seguimiento del lupus y otras enfermedades autoinmunes. </w:t>
            </w: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Artículo 309. Las acciones comprenderán, al menos:</w:t>
            </w:r>
          </w:p>
          <w:p w:rsidR="001850B4" w:rsidRPr="006E437B" w:rsidRDefault="001850B4" w:rsidP="00DA64DA">
            <w:pPr>
              <w:pStyle w:val="Default"/>
              <w:numPr>
                <w:ilvl w:val="0"/>
                <w:numId w:val="24"/>
              </w:numPr>
              <w:jc w:val="both"/>
              <w:rPr>
                <w:rFonts w:ascii="Times New Roman" w:hAnsi="Times New Roman" w:cs="Times New Roman"/>
                <w:color w:val="auto"/>
              </w:rPr>
            </w:pPr>
            <w:r w:rsidRPr="006E437B">
              <w:rPr>
                <w:rFonts w:ascii="Times New Roman" w:hAnsi="Times New Roman" w:cs="Times New Roman"/>
                <w:color w:val="auto"/>
              </w:rPr>
              <w:t>Diagnóstico oportuno;</w:t>
            </w:r>
          </w:p>
          <w:p w:rsidR="001850B4" w:rsidRPr="006E437B" w:rsidRDefault="001850B4" w:rsidP="00DA64DA">
            <w:pPr>
              <w:pStyle w:val="Default"/>
              <w:numPr>
                <w:ilvl w:val="0"/>
                <w:numId w:val="24"/>
              </w:numPr>
              <w:jc w:val="both"/>
              <w:rPr>
                <w:rFonts w:ascii="Times New Roman" w:hAnsi="Times New Roman" w:cs="Times New Roman"/>
                <w:color w:val="auto"/>
              </w:rPr>
            </w:pPr>
            <w:r w:rsidRPr="006E437B">
              <w:rPr>
                <w:rFonts w:ascii="Times New Roman" w:hAnsi="Times New Roman" w:cs="Times New Roman"/>
                <w:color w:val="auto"/>
              </w:rPr>
              <w:t>Protocolos de referencia y contrarreferencia;</w:t>
            </w:r>
          </w:p>
          <w:p w:rsidR="001850B4" w:rsidRPr="006E437B" w:rsidRDefault="001850B4" w:rsidP="00DA64DA">
            <w:pPr>
              <w:pStyle w:val="Default"/>
              <w:numPr>
                <w:ilvl w:val="0"/>
                <w:numId w:val="24"/>
              </w:numPr>
              <w:jc w:val="both"/>
              <w:rPr>
                <w:rFonts w:ascii="Times New Roman" w:hAnsi="Times New Roman" w:cs="Times New Roman"/>
                <w:color w:val="auto"/>
              </w:rPr>
            </w:pPr>
            <w:r w:rsidRPr="006E437B">
              <w:rPr>
                <w:rFonts w:ascii="Times New Roman" w:hAnsi="Times New Roman" w:cs="Times New Roman"/>
                <w:color w:val="auto"/>
              </w:rPr>
              <w:t>Capacitación continua del personal de salud;</w:t>
            </w:r>
          </w:p>
          <w:p w:rsidR="001850B4" w:rsidRPr="006E437B" w:rsidRDefault="001850B4" w:rsidP="00DA64DA">
            <w:pPr>
              <w:pStyle w:val="Default"/>
              <w:numPr>
                <w:ilvl w:val="0"/>
                <w:numId w:val="24"/>
              </w:numPr>
              <w:jc w:val="both"/>
              <w:rPr>
                <w:rFonts w:ascii="Times New Roman" w:hAnsi="Times New Roman" w:cs="Times New Roman"/>
                <w:color w:val="auto"/>
              </w:rPr>
            </w:pPr>
            <w:r w:rsidRPr="006E437B">
              <w:rPr>
                <w:rFonts w:ascii="Times New Roman" w:hAnsi="Times New Roman" w:cs="Times New Roman"/>
                <w:color w:val="auto"/>
              </w:rPr>
              <w:t>Vigilancia epidemiológica;</w:t>
            </w:r>
          </w:p>
          <w:p w:rsidR="001850B4" w:rsidRPr="006E437B" w:rsidRDefault="001850B4" w:rsidP="00DA64DA">
            <w:pPr>
              <w:pStyle w:val="Default"/>
              <w:numPr>
                <w:ilvl w:val="0"/>
                <w:numId w:val="24"/>
              </w:numPr>
              <w:jc w:val="both"/>
              <w:rPr>
                <w:rFonts w:ascii="Times New Roman" w:hAnsi="Times New Roman" w:cs="Times New Roman"/>
                <w:color w:val="auto"/>
              </w:rPr>
            </w:pPr>
            <w:r w:rsidRPr="006E437B">
              <w:rPr>
                <w:rFonts w:ascii="Times New Roman" w:hAnsi="Times New Roman" w:cs="Times New Roman"/>
                <w:color w:val="auto"/>
              </w:rPr>
              <w:t>Acceso equitativo a tratamiento;</w:t>
            </w:r>
          </w:p>
          <w:p w:rsidR="001850B4" w:rsidRPr="006E437B" w:rsidRDefault="001850B4" w:rsidP="00DA64DA">
            <w:pPr>
              <w:pStyle w:val="Default"/>
              <w:numPr>
                <w:ilvl w:val="0"/>
                <w:numId w:val="24"/>
              </w:numPr>
              <w:jc w:val="both"/>
              <w:rPr>
                <w:rFonts w:ascii="Times New Roman" w:hAnsi="Times New Roman" w:cs="Times New Roman"/>
                <w:color w:val="auto"/>
              </w:rPr>
            </w:pPr>
            <w:r w:rsidRPr="006E437B">
              <w:rPr>
                <w:rFonts w:ascii="Times New Roman" w:hAnsi="Times New Roman" w:cs="Times New Roman"/>
                <w:color w:val="auto"/>
              </w:rPr>
              <w:t>Las demás que determine la autoridad competente.</w:t>
            </w: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Artículo 310. La Secretaría de Salud integrará y administrará el Registro Estatal de Personas con Lupus y Otras Enfermedades Autoinmunes, con fines estadísticos, epidemiológicos y de planeación de políticas públicas, garantizando la protección de datos personales. </w:t>
            </w: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Artículo 311. Las personas profesionales, técnicas y auxiliares de la salud deberán notificar los casos diagnosticados conforme a la normatividad aplicable para efectos del Registro Estatal.</w:t>
            </w:r>
          </w:p>
        </w:tc>
      </w:tr>
      <w:tr w:rsidR="001850B4" w:rsidRPr="006E437B" w:rsidTr="00FD44F9">
        <w:trPr>
          <w:jc w:val="center"/>
        </w:trPr>
        <w:tc>
          <w:tcPr>
            <w:tcW w:w="4135"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SIN CORRELATIVO </w:t>
            </w:r>
          </w:p>
          <w:p w:rsidR="001850B4" w:rsidRPr="006E437B" w:rsidRDefault="001850B4" w:rsidP="00141629">
            <w:pPr>
              <w:pStyle w:val="Default"/>
              <w:jc w:val="both"/>
              <w:rPr>
                <w:rFonts w:ascii="Times New Roman" w:hAnsi="Times New Roman" w:cs="Times New Roman"/>
                <w:color w:val="auto"/>
              </w:rPr>
            </w:pPr>
          </w:p>
        </w:tc>
        <w:tc>
          <w:tcPr>
            <w:tcW w:w="4698" w:type="dxa"/>
          </w:tcPr>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Artículo 312. Se declara la segunda semana del mes de mayo de cada año como la Semana Estatal de Concientización sobre el Lupus y otras Enfermedades Autoinmunes, con el objeto de promover acciones de información, sensibilización, educación para la salud, prevención, detección oportuna y difusión sobre estos padecimientos, así como contribuir al reconocimiento de las necesidades de las personas que viven con dichas enfermedades.</w:t>
            </w:r>
          </w:p>
          <w:p w:rsidR="001850B4" w:rsidRPr="006E437B" w:rsidRDefault="001850B4" w:rsidP="00141629">
            <w:pPr>
              <w:pStyle w:val="Default"/>
              <w:jc w:val="both"/>
              <w:rPr>
                <w:rFonts w:ascii="Times New Roman" w:hAnsi="Times New Roman" w:cs="Times New Roman"/>
                <w:color w:val="auto"/>
              </w:rPr>
            </w:pPr>
          </w:p>
          <w:p w:rsidR="001850B4" w:rsidRPr="006E437B" w:rsidRDefault="001850B4" w:rsidP="00141629">
            <w:pPr>
              <w:pStyle w:val="Default"/>
              <w:jc w:val="both"/>
              <w:rPr>
                <w:rFonts w:ascii="Times New Roman" w:hAnsi="Times New Roman" w:cs="Times New Roman"/>
                <w:color w:val="auto"/>
              </w:rPr>
            </w:pPr>
            <w:r w:rsidRPr="006E437B">
              <w:rPr>
                <w:rFonts w:ascii="Times New Roman" w:hAnsi="Times New Roman" w:cs="Times New Roman"/>
                <w:color w:val="auto"/>
              </w:rPr>
              <w:t xml:space="preserve">Durante la semana referida, la Secretaría de Salud del Estado de México, en el ámbito de sus atribuciones y en coordinación con las autoridades competentes, podrá implementar acciones orientadas a fortalecer el conocimiento de la población sobre el lupus y otras enfermedades autoinmunes. </w:t>
            </w:r>
          </w:p>
        </w:tc>
      </w:tr>
    </w:tbl>
    <w:p w:rsidR="001850B4" w:rsidRPr="006E437B" w:rsidRDefault="001850B4" w:rsidP="00141629">
      <w:pPr>
        <w:spacing w:after="0" w:line="240" w:lineRule="auto"/>
        <w:rPr>
          <w:rFonts w:ascii="Times New Roman" w:hAnsi="Times New Roman" w:cs="Times New Roman"/>
          <w:sz w:val="24"/>
          <w:szCs w:val="24"/>
        </w:rPr>
      </w:pPr>
    </w:p>
    <w:tbl>
      <w:tblPr>
        <w:tblStyle w:val="TableGrid"/>
        <w:tblW w:w="8829" w:type="dxa"/>
        <w:jc w:val="center"/>
        <w:tblInd w:w="0" w:type="dxa"/>
        <w:tblCellMar>
          <w:top w:w="13" w:type="dxa"/>
          <w:left w:w="108" w:type="dxa"/>
          <w:right w:w="41" w:type="dxa"/>
        </w:tblCellMar>
        <w:tblLook w:val="04A0" w:firstRow="1" w:lastRow="0" w:firstColumn="1" w:lastColumn="0" w:noHBand="0" w:noVBand="1"/>
      </w:tblPr>
      <w:tblGrid>
        <w:gridCol w:w="4414"/>
        <w:gridCol w:w="4415"/>
      </w:tblGrid>
      <w:tr w:rsidR="001850B4" w:rsidRPr="006E437B" w:rsidTr="00FD44F9">
        <w:trPr>
          <w:trHeight w:val="838"/>
          <w:jc w:val="center"/>
        </w:trPr>
        <w:tc>
          <w:tcPr>
            <w:tcW w:w="8829" w:type="dxa"/>
            <w:gridSpan w:val="2"/>
            <w:tcBorders>
              <w:top w:val="single" w:sz="4" w:space="0" w:color="000000"/>
              <w:left w:val="single" w:sz="4" w:space="0" w:color="000000"/>
              <w:bottom w:val="single" w:sz="4" w:space="0" w:color="000000"/>
              <w:right w:val="single" w:sz="4" w:space="0" w:color="000000"/>
            </w:tcBorders>
          </w:tcPr>
          <w:p w:rsidR="001850B4" w:rsidRPr="006E437B" w:rsidRDefault="001850B4" w:rsidP="00141629">
            <w:pPr>
              <w:spacing w:line="240" w:lineRule="auto"/>
              <w:jc w:val="center"/>
              <w:rPr>
                <w:rFonts w:ascii="Times New Roman" w:hAnsi="Times New Roman" w:cs="Times New Roman"/>
                <w:sz w:val="24"/>
                <w:szCs w:val="24"/>
              </w:rPr>
            </w:pPr>
            <w:r w:rsidRPr="006E437B">
              <w:rPr>
                <w:rFonts w:ascii="Times New Roman" w:hAnsi="Times New Roman" w:cs="Times New Roman"/>
                <w:sz w:val="24"/>
                <w:szCs w:val="24"/>
              </w:rPr>
              <w:t xml:space="preserve">LEY PARA PREVENIR, COMBATIR Y ELIMINAR ACTOS DE </w:t>
            </w:r>
          </w:p>
          <w:p w:rsidR="001850B4" w:rsidRPr="006E437B" w:rsidRDefault="001850B4" w:rsidP="00141629">
            <w:pPr>
              <w:spacing w:line="240" w:lineRule="auto"/>
              <w:jc w:val="center"/>
              <w:rPr>
                <w:rFonts w:ascii="Times New Roman" w:hAnsi="Times New Roman" w:cs="Times New Roman"/>
                <w:sz w:val="24"/>
                <w:szCs w:val="24"/>
              </w:rPr>
            </w:pPr>
            <w:r w:rsidRPr="006E437B">
              <w:rPr>
                <w:rFonts w:ascii="Times New Roman" w:hAnsi="Times New Roman" w:cs="Times New Roman"/>
                <w:sz w:val="24"/>
                <w:szCs w:val="24"/>
              </w:rPr>
              <w:t xml:space="preserve">DISCRIMINACIÓN EN EL ESTADO DE MÉXICO </w:t>
            </w:r>
          </w:p>
        </w:tc>
      </w:tr>
      <w:tr w:rsidR="001850B4" w:rsidRPr="006E437B" w:rsidTr="00FD44F9">
        <w:trPr>
          <w:trHeight w:val="422"/>
          <w:jc w:val="center"/>
        </w:trPr>
        <w:tc>
          <w:tcPr>
            <w:tcW w:w="8829" w:type="dxa"/>
            <w:gridSpan w:val="2"/>
            <w:tcBorders>
              <w:top w:val="single" w:sz="4" w:space="0" w:color="000000"/>
              <w:left w:val="single" w:sz="4" w:space="0" w:color="000000"/>
              <w:bottom w:val="single" w:sz="4" w:space="0" w:color="000000"/>
              <w:right w:val="single" w:sz="4" w:space="0" w:color="000000"/>
            </w:tcBorders>
          </w:tcPr>
          <w:p w:rsidR="001850B4" w:rsidRPr="006E437B" w:rsidRDefault="001850B4" w:rsidP="00141629">
            <w:pPr>
              <w:spacing w:line="240" w:lineRule="auto"/>
              <w:jc w:val="center"/>
              <w:rPr>
                <w:rFonts w:ascii="Times New Roman" w:hAnsi="Times New Roman" w:cs="Times New Roman"/>
                <w:sz w:val="24"/>
                <w:szCs w:val="24"/>
              </w:rPr>
            </w:pPr>
            <w:r w:rsidRPr="006E437B">
              <w:rPr>
                <w:rFonts w:ascii="Times New Roman" w:hAnsi="Times New Roman" w:cs="Times New Roman"/>
                <w:sz w:val="24"/>
                <w:szCs w:val="24"/>
              </w:rPr>
              <w:t xml:space="preserve">CAPÍTULO II. DE LA DISCRIMINACIÓN </w:t>
            </w:r>
          </w:p>
        </w:tc>
      </w:tr>
      <w:tr w:rsidR="001850B4" w:rsidRPr="006E437B" w:rsidTr="00FD44F9">
        <w:trPr>
          <w:trHeight w:val="6533"/>
          <w:jc w:val="center"/>
        </w:trPr>
        <w:tc>
          <w:tcPr>
            <w:tcW w:w="4414" w:type="dxa"/>
            <w:tcBorders>
              <w:top w:val="single" w:sz="4" w:space="0" w:color="000000"/>
              <w:left w:val="single" w:sz="4" w:space="0" w:color="000000"/>
              <w:bottom w:val="single" w:sz="4" w:space="0" w:color="000000"/>
              <w:right w:val="sing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 Para los efectos de esta ley se entenderá por discriminación toda forma de preferencia, distinción, exclusión, repudio, desprecio, incomprensión, rechazo o restricción que, basada en el origen étnico o nacional como el antisemitismo o cualquier otro tipo de segregación; sexo o género; edad; discapacidad; condición social o económica; condiciones de salud; embarazo; lengua; religión; opiniones; predilecciones de cualquier índole; estado civil o alguna otra que tenga por efecto impedir o anular el reconocimiento o el ejercicio de los derechos fundamentales en condiciones de equidad e igualdad de oportunidades y de trato de las personas.</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w:t>
            </w:r>
          </w:p>
        </w:tc>
        <w:tc>
          <w:tcPr>
            <w:tcW w:w="4415" w:type="dxa"/>
            <w:tcBorders>
              <w:top w:val="single" w:sz="4" w:space="0" w:color="000000"/>
              <w:left w:val="single" w:sz="4" w:space="0" w:color="000000"/>
              <w:bottom w:val="single" w:sz="4" w:space="0" w:color="000000"/>
              <w:right w:val="single" w:sz="4" w:space="0" w:color="000000"/>
            </w:tcBorders>
          </w:tcPr>
          <w:p w:rsidR="001850B4" w:rsidRPr="006E437B" w:rsidRDefault="001850B4" w:rsidP="00141629">
            <w:pPr>
              <w:spacing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Artículo 5.- Para los efectos de esta ley se entenderá por discriminación toda forma de preferencia, distinción, exclusión, repudio, desprecio, incomprensión, rechazo o restricción que, basada en el origen étnico o nacional como el antisemitismo o cualquier otro tipo de segregación; sexo o género; edad; discapacidad; condición social o económica; condiciones de salud;  </w:t>
            </w:r>
            <w:r w:rsidRPr="006E437B">
              <w:rPr>
                <w:rFonts w:ascii="Times New Roman" w:hAnsi="Times New Roman" w:cs="Times New Roman"/>
                <w:b/>
                <w:sz w:val="24"/>
                <w:szCs w:val="24"/>
              </w:rPr>
              <w:t>las enfermedades crónicas, degenerativas, discapacitantes, transmisibles o no transmisibles, así como cualquier condición médica, incluyendo las enfermedades autoinmunes</w:t>
            </w:r>
            <w:r w:rsidRPr="006E437B">
              <w:rPr>
                <w:rFonts w:ascii="Times New Roman" w:hAnsi="Times New Roman" w:cs="Times New Roman"/>
                <w:sz w:val="24"/>
                <w:szCs w:val="24"/>
              </w:rPr>
              <w:t>; embarazo; lengua; religión; opiniones; predilecciones de cualquier índole; estado civil o alguna otra que tenga por efecto impedir o anular el reconocimiento o el ejercicio de los derechos fundamentales en condiciones de equidad e igualdad de oportunidades y de trato de las personas.</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1850B4" w:rsidRPr="006E437B" w:rsidRDefault="001850B4" w:rsidP="00141629">
            <w:pPr>
              <w:spacing w:line="240" w:lineRule="auto"/>
              <w:rPr>
                <w:rFonts w:ascii="Times New Roman" w:hAnsi="Times New Roman" w:cs="Times New Roman"/>
                <w:sz w:val="24"/>
                <w:szCs w:val="24"/>
              </w:rPr>
            </w:pPr>
            <w:r w:rsidRPr="006E437B">
              <w:rPr>
                <w:rFonts w:ascii="Times New Roman" w:hAnsi="Times New Roman" w:cs="Times New Roman"/>
                <w:sz w:val="24"/>
                <w:szCs w:val="24"/>
              </w:rPr>
              <w:t>…</w:t>
            </w:r>
          </w:p>
        </w:tc>
      </w:tr>
    </w:tbl>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se somete a la consideración de esta Honorable Legislatura, la presente iniciativa, para su análisis, discusión y en su caso aprobación en sus términos.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PROYECTO DE DECRETO POR EL QUE REFORMAN Y ADICIONAN DIVERSAS DISPOSICIONES DE LA LEY DE SALUD DEL ESTADO DE MÉXICO Y SE REFORMA EL ARTÍCULO 5 DE LA LEY PARA PREVENIR, COMBATIR Y ELIMINAR ACTOS DE DISCRIMINACIÓN EN EL ESTADO DE MÉXICO.</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primero. Se Reforman </w:t>
      </w:r>
      <w:r w:rsidRPr="006E437B">
        <w:rPr>
          <w:rFonts w:ascii="Times New Roman" w:hAnsi="Times New Roman" w:cs="Times New Roman"/>
          <w:sz w:val="24"/>
          <w:szCs w:val="24"/>
        </w:rPr>
        <w:t xml:space="preserve">los artículos 3 fracción XXV, fracción XXXI; el artículo 104;de la Ley General de Salud del Estado de México; </w:t>
      </w:r>
      <w:r w:rsidRPr="006E437B">
        <w:rPr>
          <w:rFonts w:ascii="Times New Roman" w:hAnsi="Times New Roman" w:cs="Times New Roman"/>
          <w:b/>
          <w:sz w:val="24"/>
          <w:szCs w:val="24"/>
        </w:rPr>
        <w:t xml:space="preserve">Se reforma </w:t>
      </w:r>
      <w:r w:rsidRPr="006E437B">
        <w:rPr>
          <w:rFonts w:ascii="Times New Roman" w:hAnsi="Times New Roman" w:cs="Times New Roman"/>
          <w:sz w:val="24"/>
          <w:szCs w:val="24"/>
        </w:rPr>
        <w:t xml:space="preserve">el artículo 5 de la Ley para Prevenir, Combatir y Eliminar Actos de Discriminación en el Estado de México; </w:t>
      </w:r>
      <w:r w:rsidRPr="006E437B">
        <w:rPr>
          <w:rFonts w:ascii="Times New Roman" w:hAnsi="Times New Roman" w:cs="Times New Roman"/>
          <w:b/>
          <w:sz w:val="24"/>
          <w:szCs w:val="24"/>
        </w:rPr>
        <w:t xml:space="preserve">Se adicionan </w:t>
      </w:r>
      <w:r w:rsidRPr="006E437B">
        <w:rPr>
          <w:rFonts w:ascii="Times New Roman" w:hAnsi="Times New Roman" w:cs="Times New Roman"/>
          <w:sz w:val="24"/>
          <w:szCs w:val="24"/>
        </w:rPr>
        <w:t>El Título décimo tercero de la atención integral a las personas con lupus y otras enfermedades autoinmunes; los artículos 308; 309. 310, 311 y 312; todos ellos de la Ley General de Salud del Estado de México.</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LEY DE SALUD DEL ESTADO DE MÉXICO</w:t>
      </w:r>
    </w:p>
    <w:p w:rsidR="001850B4" w:rsidRPr="006E437B" w:rsidRDefault="001850B4" w:rsidP="00141629">
      <w:pPr>
        <w:spacing w:after="0" w:line="240" w:lineRule="auto"/>
        <w:jc w:val="center"/>
        <w:rPr>
          <w:rFonts w:ascii="Times New Roman" w:hAnsi="Times New Roman" w:cs="Times New Roman"/>
          <w:sz w:val="24"/>
          <w:szCs w:val="24"/>
        </w:rPr>
      </w:pP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TÍTULO PRIMERO DE LAS DISPOSICIONES GENERALES</w:t>
      </w:r>
    </w:p>
    <w:p w:rsidR="001850B4" w:rsidRPr="006E437B" w:rsidRDefault="001850B4" w:rsidP="00141629">
      <w:pPr>
        <w:spacing w:after="0" w:line="240" w:lineRule="auto"/>
        <w:jc w:val="center"/>
        <w:rPr>
          <w:rFonts w:ascii="Times New Roman" w:hAnsi="Times New Roman" w:cs="Times New Roman"/>
          <w:sz w:val="24"/>
          <w:szCs w:val="24"/>
        </w:rPr>
      </w:pP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CAPÍTULO ÚNICO Generalidades</w:t>
      </w:r>
    </w:p>
    <w:p w:rsidR="001850B4" w:rsidRPr="006E437B" w:rsidRDefault="001850B4" w:rsidP="00141629">
      <w:pPr>
        <w:spacing w:after="0" w:line="240" w:lineRule="auto"/>
        <w:jc w:val="center"/>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 xml:space="preserve">Artículo 3. Para los efectos de la presente Ley, se entenderán los siguientes términos: </w:t>
      </w:r>
    </w:p>
    <w:p w:rsidR="001850B4" w:rsidRPr="006E437B" w:rsidRDefault="001850B4" w:rsidP="00141629">
      <w:pPr>
        <w:spacing w:after="0" w:line="240" w:lineRule="auto"/>
        <w:rPr>
          <w:rFonts w:ascii="Times New Roman" w:eastAsia="Calibri" w:hAnsi="Times New Roman" w:cs="Times New Roman"/>
          <w:sz w:val="24"/>
          <w:szCs w:val="24"/>
        </w:rPr>
      </w:pPr>
    </w:p>
    <w:p w:rsidR="001850B4" w:rsidRPr="006E437B" w:rsidRDefault="001850B4" w:rsidP="00141629">
      <w:pPr>
        <w:spacing w:after="0" w:line="240" w:lineRule="auto"/>
        <w:ind w:left="321" w:firstLine="709"/>
        <w:rPr>
          <w:rFonts w:ascii="Times New Roman" w:hAnsi="Times New Roman" w:cs="Times New Roman"/>
          <w:sz w:val="24"/>
          <w:szCs w:val="24"/>
        </w:rPr>
      </w:pPr>
      <w:r w:rsidRPr="006E437B">
        <w:rPr>
          <w:rFonts w:ascii="Times New Roman" w:hAnsi="Times New Roman" w:cs="Times New Roman"/>
          <w:sz w:val="24"/>
          <w:szCs w:val="24"/>
        </w:rPr>
        <w:t xml:space="preserve">I. …  a XXIV. …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DA64DA">
      <w:pPr>
        <w:pStyle w:val="Prrafodelista"/>
        <w:numPr>
          <w:ilvl w:val="0"/>
          <w:numId w:val="21"/>
        </w:numPr>
        <w:spacing w:after="0" w:line="240" w:lineRule="auto"/>
        <w:ind w:hanging="10"/>
        <w:jc w:val="both"/>
        <w:rPr>
          <w:rFonts w:ascii="Times New Roman" w:hAnsi="Times New Roman" w:cs="Times New Roman"/>
          <w:color w:val="auto"/>
          <w:sz w:val="24"/>
          <w:szCs w:val="24"/>
        </w:rPr>
      </w:pPr>
      <w:r w:rsidRPr="006E437B">
        <w:rPr>
          <w:rFonts w:ascii="Times New Roman" w:hAnsi="Times New Roman" w:cs="Times New Roman"/>
          <w:color w:val="auto"/>
          <w:sz w:val="24"/>
          <w:szCs w:val="24"/>
        </w:rPr>
        <w:t>Enfermedad autoinmune: Condición crónica, de origen multifactorial, caracterizada por una alteración del sistema inmunológico mediante la cual este pierde la capacidad de reconocer como propios los tejidos, células u órganos del organismo y desencadena una respuesta inmunitaria en su contra, ocasionando inflamación, daño tisular y alteraciones funcionales que pueden afectar uno o diversos órganos o sistemas, con distintos grados de gravedad y evolución.</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1040"/>
        <w:rPr>
          <w:rFonts w:ascii="Times New Roman" w:hAnsi="Times New Roman" w:cs="Times New Roman"/>
          <w:sz w:val="24"/>
          <w:szCs w:val="24"/>
        </w:rPr>
      </w:pPr>
      <w:r w:rsidRPr="006E437B">
        <w:rPr>
          <w:rFonts w:ascii="Times New Roman" w:hAnsi="Times New Roman" w:cs="Times New Roman"/>
          <w:sz w:val="24"/>
          <w:szCs w:val="24"/>
        </w:rPr>
        <w:t>XXVI. … a XXX. …</w:t>
      </w:r>
    </w:p>
    <w:p w:rsidR="001850B4" w:rsidRPr="006E437B" w:rsidRDefault="001850B4" w:rsidP="00141629">
      <w:pPr>
        <w:spacing w:after="0" w:line="240" w:lineRule="auto"/>
        <w:ind w:left="10" w:hanging="10"/>
        <w:rPr>
          <w:rFonts w:ascii="Times New Roman" w:hAnsi="Times New Roman" w:cs="Times New Roman"/>
          <w:sz w:val="24"/>
          <w:szCs w:val="24"/>
        </w:rPr>
      </w:pPr>
    </w:p>
    <w:p w:rsidR="001850B4" w:rsidRPr="006E437B" w:rsidRDefault="001850B4" w:rsidP="00DA64DA">
      <w:pPr>
        <w:numPr>
          <w:ilvl w:val="0"/>
          <w:numId w:val="22"/>
        </w:numPr>
        <w:spacing w:after="0" w:line="240" w:lineRule="auto"/>
        <w:ind w:firstLine="26"/>
        <w:jc w:val="both"/>
        <w:rPr>
          <w:rFonts w:ascii="Times New Roman" w:hAnsi="Times New Roman" w:cs="Times New Roman"/>
          <w:sz w:val="24"/>
          <w:szCs w:val="24"/>
        </w:rPr>
      </w:pPr>
      <w:r w:rsidRPr="006E437B">
        <w:rPr>
          <w:rFonts w:ascii="Times New Roman" w:hAnsi="Times New Roman" w:cs="Times New Roman"/>
          <w:sz w:val="24"/>
          <w:szCs w:val="24"/>
        </w:rPr>
        <w:t>Lupus: Enfermedad autoinmune, crónico degenerativa e incurable, multisistémica que ataca de manera indistinta a quien la padece. Es potencialmente mortal si no se cuenta con acceso a tratamientos, servicios médicos adecuados de forma oportuna.</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1118"/>
        <w:rPr>
          <w:rFonts w:ascii="Times New Roman" w:hAnsi="Times New Roman" w:cs="Times New Roman"/>
          <w:b/>
          <w:sz w:val="24"/>
          <w:szCs w:val="24"/>
        </w:rPr>
      </w:pPr>
      <w:r w:rsidRPr="006E437B">
        <w:rPr>
          <w:rFonts w:ascii="Times New Roman" w:hAnsi="Times New Roman" w:cs="Times New Roman"/>
          <w:sz w:val="24"/>
          <w:szCs w:val="24"/>
        </w:rPr>
        <w:t xml:space="preserve">XXXII. … a </w:t>
      </w:r>
      <w:r w:rsidRPr="006E437B">
        <w:rPr>
          <w:rFonts w:ascii="Times New Roman" w:hAnsi="Times New Roman" w:cs="Times New Roman"/>
          <w:b/>
          <w:sz w:val="24"/>
          <w:szCs w:val="24"/>
        </w:rPr>
        <w:t>XLVII. …</w:t>
      </w:r>
    </w:p>
    <w:p w:rsidR="001850B4" w:rsidRPr="006E437B" w:rsidRDefault="001850B4" w:rsidP="00141629">
      <w:pPr>
        <w:spacing w:after="0" w:line="240" w:lineRule="auto"/>
        <w:ind w:left="370"/>
        <w:rPr>
          <w:rFonts w:ascii="Times New Roman" w:hAnsi="Times New Roman" w:cs="Times New Roman"/>
          <w:sz w:val="24"/>
          <w:szCs w:val="24"/>
        </w:rPr>
      </w:pPr>
    </w:p>
    <w:p w:rsidR="001850B4" w:rsidRPr="006E437B" w:rsidRDefault="001850B4" w:rsidP="00141629">
      <w:pPr>
        <w:spacing w:after="0" w:line="240" w:lineRule="auto"/>
        <w:ind w:left="1134"/>
        <w:jc w:val="both"/>
        <w:rPr>
          <w:rFonts w:ascii="Times New Roman" w:hAnsi="Times New Roman" w:cs="Times New Roman"/>
          <w:sz w:val="24"/>
          <w:szCs w:val="24"/>
        </w:rPr>
      </w:pPr>
      <w:r w:rsidRPr="006E437B">
        <w:rPr>
          <w:rFonts w:ascii="Times New Roman" w:hAnsi="Times New Roman" w:cs="Times New Roman"/>
          <w:sz w:val="24"/>
          <w:szCs w:val="24"/>
        </w:rPr>
        <w:t xml:space="preserve">Se adicionan dos fracciones al artículo 3 de la Ley de Salud del Estado de México, respetando el orden alfabético de las definiciones contenidas en dicho artículo, por lo que las fracciones subsecuentes se recorren en su orden y numeración correspondiente, sin que ello implique la eliminación o supresión de las disposiciones actualmente vigentes. </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Artículo 104. La Secretaría ejecutará proyectos estratégicos, programas, campañas permanentes y planes de contingencia necesarios para la promoción de la salud, la prevención, control y eliminación de enfermedades transmisibles, no </w:t>
      </w:r>
      <w:r w:rsidRPr="006E437B">
        <w:rPr>
          <w:rFonts w:ascii="Times New Roman" w:hAnsi="Times New Roman" w:cs="Times New Roman"/>
          <w:b/>
          <w:sz w:val="24"/>
          <w:szCs w:val="24"/>
        </w:rPr>
        <w:t xml:space="preserve">transmisibles o autoinmunes </w:t>
      </w:r>
      <w:r w:rsidRPr="006E437B">
        <w:rPr>
          <w:rFonts w:ascii="Times New Roman" w:hAnsi="Times New Roman" w:cs="Times New Roman"/>
          <w:sz w:val="24"/>
          <w:szCs w:val="24"/>
        </w:rPr>
        <w:t>que representen un riesgo real o potencial para la salud pública en el Estado de México.</w:t>
      </w: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TÍTULO DÉCIMO TERCERO DE LA ATENCIÓN INTEGRAL A LAS PERSONAS CON LUPUS Y OTRAS ENFERMEDADES AUTOINMUNES.</w:t>
      </w:r>
    </w:p>
    <w:p w:rsidR="001850B4" w:rsidRPr="006E437B" w:rsidRDefault="001850B4" w:rsidP="00141629">
      <w:pPr>
        <w:spacing w:after="0" w:line="240" w:lineRule="auto"/>
        <w:jc w:val="center"/>
        <w:rPr>
          <w:rFonts w:ascii="Times New Roman" w:hAnsi="Times New Roman" w:cs="Times New Roman"/>
          <w:sz w:val="24"/>
          <w:szCs w:val="24"/>
        </w:rPr>
      </w:pP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 xml:space="preserve">CAPITULO I </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Artículo 308. La Secretaría de Salud del Estado de México implementará acciones permanentes de prevención, detección oportuna, diagnóstico, tratamiento integral, control y seguimiento del lupus y otras enfermedades autoinmunes.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Artículo 309. Las acciones comprenderán, al menos:</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DA64DA">
      <w:pPr>
        <w:numPr>
          <w:ilvl w:val="0"/>
          <w:numId w:val="23"/>
        </w:numPr>
        <w:spacing w:after="0" w:line="240" w:lineRule="auto"/>
        <w:ind w:hanging="708"/>
        <w:jc w:val="both"/>
        <w:rPr>
          <w:rFonts w:ascii="Times New Roman" w:hAnsi="Times New Roman" w:cs="Times New Roman"/>
          <w:sz w:val="24"/>
          <w:szCs w:val="24"/>
        </w:rPr>
      </w:pPr>
      <w:r w:rsidRPr="006E437B">
        <w:rPr>
          <w:rFonts w:ascii="Times New Roman" w:hAnsi="Times New Roman" w:cs="Times New Roman"/>
          <w:sz w:val="24"/>
          <w:szCs w:val="24"/>
        </w:rPr>
        <w:t>Diagnóstico oportuno;</w:t>
      </w:r>
    </w:p>
    <w:p w:rsidR="001850B4" w:rsidRPr="006E437B" w:rsidRDefault="001850B4" w:rsidP="00DA64DA">
      <w:pPr>
        <w:numPr>
          <w:ilvl w:val="0"/>
          <w:numId w:val="23"/>
        </w:numPr>
        <w:spacing w:after="0" w:line="240" w:lineRule="auto"/>
        <w:ind w:hanging="708"/>
        <w:jc w:val="both"/>
        <w:rPr>
          <w:rFonts w:ascii="Times New Roman" w:hAnsi="Times New Roman" w:cs="Times New Roman"/>
          <w:sz w:val="24"/>
          <w:szCs w:val="24"/>
        </w:rPr>
      </w:pPr>
      <w:r w:rsidRPr="006E437B">
        <w:rPr>
          <w:rFonts w:ascii="Times New Roman" w:hAnsi="Times New Roman" w:cs="Times New Roman"/>
          <w:sz w:val="24"/>
          <w:szCs w:val="24"/>
        </w:rPr>
        <w:t>Protocolos de referencia y contrarreferencia;</w:t>
      </w:r>
    </w:p>
    <w:p w:rsidR="001850B4" w:rsidRPr="006E437B" w:rsidRDefault="001850B4" w:rsidP="00DA64DA">
      <w:pPr>
        <w:numPr>
          <w:ilvl w:val="0"/>
          <w:numId w:val="23"/>
        </w:numPr>
        <w:spacing w:after="0" w:line="240" w:lineRule="auto"/>
        <w:ind w:hanging="708"/>
        <w:jc w:val="both"/>
        <w:rPr>
          <w:rFonts w:ascii="Times New Roman" w:hAnsi="Times New Roman" w:cs="Times New Roman"/>
          <w:sz w:val="24"/>
          <w:szCs w:val="24"/>
        </w:rPr>
      </w:pPr>
      <w:r w:rsidRPr="006E437B">
        <w:rPr>
          <w:rFonts w:ascii="Times New Roman" w:hAnsi="Times New Roman" w:cs="Times New Roman"/>
          <w:sz w:val="24"/>
          <w:szCs w:val="24"/>
        </w:rPr>
        <w:t>Capacitación continua del personal de salud;</w:t>
      </w:r>
    </w:p>
    <w:p w:rsidR="001850B4" w:rsidRPr="006E437B" w:rsidRDefault="001850B4" w:rsidP="00DA64DA">
      <w:pPr>
        <w:numPr>
          <w:ilvl w:val="0"/>
          <w:numId w:val="23"/>
        </w:numPr>
        <w:spacing w:after="0" w:line="240" w:lineRule="auto"/>
        <w:ind w:hanging="708"/>
        <w:jc w:val="both"/>
        <w:rPr>
          <w:rFonts w:ascii="Times New Roman" w:hAnsi="Times New Roman" w:cs="Times New Roman"/>
          <w:sz w:val="24"/>
          <w:szCs w:val="24"/>
        </w:rPr>
      </w:pPr>
      <w:r w:rsidRPr="006E437B">
        <w:rPr>
          <w:rFonts w:ascii="Times New Roman" w:hAnsi="Times New Roman" w:cs="Times New Roman"/>
          <w:sz w:val="24"/>
          <w:szCs w:val="24"/>
        </w:rPr>
        <w:t>Vigilancia epidemiológica;</w:t>
      </w:r>
    </w:p>
    <w:p w:rsidR="001850B4" w:rsidRPr="006E437B" w:rsidRDefault="001850B4" w:rsidP="00DA64DA">
      <w:pPr>
        <w:numPr>
          <w:ilvl w:val="0"/>
          <w:numId w:val="23"/>
        </w:numPr>
        <w:spacing w:after="0" w:line="240" w:lineRule="auto"/>
        <w:ind w:hanging="708"/>
        <w:jc w:val="both"/>
        <w:rPr>
          <w:rFonts w:ascii="Times New Roman" w:hAnsi="Times New Roman" w:cs="Times New Roman"/>
          <w:sz w:val="24"/>
          <w:szCs w:val="24"/>
        </w:rPr>
      </w:pPr>
      <w:r w:rsidRPr="006E437B">
        <w:rPr>
          <w:rFonts w:ascii="Times New Roman" w:hAnsi="Times New Roman" w:cs="Times New Roman"/>
          <w:sz w:val="24"/>
          <w:szCs w:val="24"/>
        </w:rPr>
        <w:t>Acceso equitativo a tratamiento;</w:t>
      </w:r>
    </w:p>
    <w:p w:rsidR="001850B4" w:rsidRPr="006E437B" w:rsidRDefault="001850B4" w:rsidP="00DA64DA">
      <w:pPr>
        <w:numPr>
          <w:ilvl w:val="0"/>
          <w:numId w:val="23"/>
        </w:numPr>
        <w:spacing w:after="0" w:line="240" w:lineRule="auto"/>
        <w:ind w:hanging="708"/>
        <w:jc w:val="both"/>
        <w:rPr>
          <w:rFonts w:ascii="Times New Roman" w:hAnsi="Times New Roman" w:cs="Times New Roman"/>
          <w:sz w:val="24"/>
          <w:szCs w:val="24"/>
        </w:rPr>
      </w:pPr>
      <w:r w:rsidRPr="006E437B">
        <w:rPr>
          <w:rFonts w:ascii="Times New Roman" w:hAnsi="Times New Roman" w:cs="Times New Roman"/>
          <w:sz w:val="24"/>
          <w:szCs w:val="24"/>
        </w:rPr>
        <w:t>Las demás que determine la autoridad competente.</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Artículo 310. La Secretaría de Salud integrará y administrará el Registro Estatal de Personas con Lupus y Otras Enfermedades Autoinmunes, con fines estadísticos, epidemiológicos y de planeación de políticas públicas, garantizando la protección de datos personales.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Artículo 311. Las personas profesionales, técnicas y auxiliares de la salud deberán notificar los casos diagnosticados conforme a la normatividad aplicable para efectos del Registro Estatal.</w:t>
      </w:r>
    </w:p>
    <w:p w:rsidR="001850B4" w:rsidRPr="006E437B" w:rsidRDefault="001850B4" w:rsidP="00141629">
      <w:pPr>
        <w:spacing w:after="0" w:line="240" w:lineRule="auto"/>
        <w:ind w:left="-5"/>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Artículo 312. Se declara la segunda semana del mes de mayo de cada año como la Semana Estatal de Concientización sobre el Lupus y otras Enfermedades Autoinmunes, con el objeto de promover acciones de información, sensibilización, educación para la salud, prevención, detección oportuna y difusión sobre estos padecimientos, así como contribuir al reconocimiento de las necesidades de las personas que viven con dichas enfermedades.</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Durante la semana referida, la Secretaría de Salud del Estado de México, en el ámbito de sus atribuciones y en coordinación con las autoridades competentes, podrá implementar acciones orientadas a fortalecer el conocimiento de la población sobre el lupus y otras enfermedades autoinmunes.</w:t>
      </w:r>
    </w:p>
    <w:p w:rsidR="001850B4" w:rsidRPr="006E437B" w:rsidRDefault="001850B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LEY PARA PREVENIR, COMBATIR Y ELIMINAR ACTOS DE DISCRIMINACIÓN EN EL ESTADO DE MÉXICO</w:t>
      </w:r>
    </w:p>
    <w:p w:rsidR="001850B4" w:rsidRPr="006E437B" w:rsidRDefault="001850B4" w:rsidP="00141629">
      <w:pPr>
        <w:spacing w:after="0" w:line="240" w:lineRule="auto"/>
        <w:jc w:val="center"/>
        <w:rPr>
          <w:rFonts w:ascii="Times New Roman" w:hAnsi="Times New Roman" w:cs="Times New Roman"/>
          <w:sz w:val="24"/>
          <w:szCs w:val="24"/>
        </w:rPr>
      </w:pPr>
    </w:p>
    <w:p w:rsidR="001850B4" w:rsidRPr="006E437B" w:rsidRDefault="001850B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CAPITULO II. DE LA DISCRIMINACIÓN</w:t>
      </w:r>
    </w:p>
    <w:p w:rsidR="001850B4" w:rsidRPr="006E437B" w:rsidRDefault="001850B4" w:rsidP="00141629">
      <w:pPr>
        <w:spacing w:after="0" w:line="240" w:lineRule="auto"/>
        <w:jc w:val="center"/>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Artículo 5.- Para los efectos de esta ley se entenderá por discriminación toda forma de preferencia, distinción, exclusión, repudio, desprecio, incomprensión, rechazo o restricción que, basada en el origen étnico o nacional como el antisemitismo o cualquier otro tipo de segregación; sexo o género; edad; discapacidad; condición social o económica; condiciones de salud;  </w:t>
      </w:r>
      <w:r w:rsidRPr="006E437B">
        <w:rPr>
          <w:rFonts w:ascii="Times New Roman" w:hAnsi="Times New Roman" w:cs="Times New Roman"/>
          <w:b/>
          <w:sz w:val="24"/>
          <w:szCs w:val="24"/>
        </w:rPr>
        <w:t>las enfermedades crónicas, degenerativas, discapacitantes, transmisibles o no transmisibles, así como cualquier condición médica, incluyendo las enfermedades autoinmunes</w:t>
      </w:r>
      <w:r w:rsidRPr="006E437B">
        <w:rPr>
          <w:rFonts w:ascii="Times New Roman" w:hAnsi="Times New Roman" w:cs="Times New Roman"/>
          <w:sz w:val="24"/>
          <w:szCs w:val="24"/>
        </w:rPr>
        <w:t>; embarazo; lengua; religión; opiniones; predilecciones de cualquier índole; estado civil o alguna otra que tenga por efecto impedir o anular el reconocimiento o el ejercicio de los derechos fundamentales en condiciones de equidad e igualdad de oportunidades y de trato de las personas.</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pStyle w:val="Ttulo1"/>
        <w:keepNext w:val="0"/>
        <w:keepLines w:val="0"/>
        <w:spacing w:line="240" w:lineRule="auto"/>
        <w:ind w:left="11" w:right="0" w:hanging="11"/>
        <w:rPr>
          <w:rFonts w:ascii="Times New Roman" w:hAnsi="Times New Roman" w:cs="Times New Roman"/>
          <w:color w:val="auto"/>
          <w:szCs w:val="24"/>
        </w:rPr>
      </w:pPr>
      <w:r w:rsidRPr="006E437B">
        <w:rPr>
          <w:rFonts w:ascii="Times New Roman" w:hAnsi="Times New Roman" w:cs="Times New Roman"/>
          <w:color w:val="auto"/>
          <w:szCs w:val="24"/>
        </w:rPr>
        <w:t>TRANSITORIOS</w:t>
      </w:r>
    </w:p>
    <w:p w:rsidR="001850B4" w:rsidRPr="006E437B" w:rsidRDefault="001850B4" w:rsidP="00141629">
      <w:pPr>
        <w:spacing w:after="0" w:line="240" w:lineRule="auto"/>
        <w:ind w:left="10" w:hanging="10"/>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 xml:space="preserve">PRIMERO. El presente Decreto entrará en vigor al día siguiente de su publicación en el Periódico Oficial “Gaceta del Gobierno”. </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SEGUNDO- El Poder Ejecutivo del Estado, por conducto de la Secretaría de Salud y en coordinación con las instituciones del sector salud y los municipios, adoptará las medidas y previsiones necesarias para la implementación de la presente Ley, incluyendo la integración y operación del Registro Estatal de Personas con Lupus y Otras Enfermedades Autoinmunes, en un plazo no mayor a noventa días naturales contados a partir de la entrada en vigor del presente Decreto.</w:t>
      </w:r>
    </w:p>
    <w:p w:rsidR="001850B4" w:rsidRPr="006E437B" w:rsidRDefault="001850B4" w:rsidP="00141629">
      <w:pPr>
        <w:spacing w:after="0" w:line="240" w:lineRule="auto"/>
        <w:rPr>
          <w:rFonts w:ascii="Times New Roman" w:hAnsi="Times New Roman" w:cs="Times New Roman"/>
          <w:sz w:val="24"/>
          <w:szCs w:val="24"/>
        </w:rPr>
      </w:pPr>
    </w:p>
    <w:p w:rsidR="001850B4" w:rsidRPr="006E437B" w:rsidRDefault="001850B4"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sz w:val="24"/>
          <w:szCs w:val="24"/>
        </w:rPr>
        <w:t>TERCERO-.Se derogan las disposiciones legales y reglamentarias que se opongan a los preceptos de esta Ley.</w:t>
      </w:r>
      <w:bookmarkEnd w:id="6"/>
    </w:p>
    <w:p w:rsidR="00CB0A7A" w:rsidRPr="006E437B" w:rsidRDefault="00CB0A7A" w:rsidP="00141629">
      <w:pPr>
        <w:spacing w:after="0" w:line="240" w:lineRule="auto"/>
        <w:jc w:val="both"/>
        <w:rPr>
          <w:rFonts w:ascii="Times New Roman" w:hAnsi="Times New Roman" w:cs="Times New Roman"/>
          <w:sz w:val="24"/>
          <w:szCs w:val="24"/>
        </w:rPr>
      </w:pPr>
    </w:p>
    <w:p w:rsidR="00931582" w:rsidRPr="006E437B" w:rsidRDefault="0093158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931582" w:rsidRPr="006E437B" w:rsidRDefault="00931582" w:rsidP="00141629">
      <w:pPr>
        <w:pStyle w:val="Sinespaciado"/>
        <w:jc w:val="both"/>
        <w:rPr>
          <w:rFonts w:ascii="Times New Roman" w:hAnsi="Times New Roman" w:cs="Times New Roman"/>
          <w:sz w:val="24"/>
          <w:szCs w:val="24"/>
        </w:rPr>
      </w:pP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diputado.</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registra la iniciativa y se remite a las Comisiones Legislativas de Salud, Asistencia y Bienestar Social y Derechos Humanos</w:t>
      </w:r>
      <w:r w:rsidR="00CD1FA1" w:rsidRPr="006E437B">
        <w:rPr>
          <w:rFonts w:ascii="Times New Roman" w:hAnsi="Times New Roman" w:cs="Times New Roman"/>
          <w:sz w:val="24"/>
          <w:szCs w:val="24"/>
        </w:rPr>
        <w:t>,</w:t>
      </w:r>
      <w:r w:rsidRPr="006E437B">
        <w:rPr>
          <w:rFonts w:ascii="Times New Roman" w:hAnsi="Times New Roman" w:cs="Times New Roman"/>
          <w:sz w:val="24"/>
          <w:szCs w:val="24"/>
        </w:rPr>
        <w:t xml:space="preserve"> para su estudio y dictamen.</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Con apego al punto 13, la diputada Leticia Mejía García presenta</w:t>
      </w:r>
      <w:r w:rsidR="008D03C7" w:rsidRPr="006E437B">
        <w:rPr>
          <w:rFonts w:ascii="Times New Roman" w:hAnsi="Times New Roman" w:cs="Times New Roman"/>
          <w:sz w:val="24"/>
          <w:szCs w:val="24"/>
        </w:rPr>
        <w:t>,</w:t>
      </w:r>
      <w:r w:rsidRPr="006E437B">
        <w:rPr>
          <w:rFonts w:ascii="Times New Roman" w:hAnsi="Times New Roman" w:cs="Times New Roman"/>
          <w:sz w:val="24"/>
          <w:szCs w:val="24"/>
        </w:rPr>
        <w:t xml:space="preserve"> en nombre del Grupo Parlamentario del Partido Revolucionario Institucional, </w:t>
      </w:r>
      <w:r w:rsidR="008D03C7" w:rsidRPr="006E437B">
        <w:rPr>
          <w:rFonts w:ascii="Times New Roman" w:hAnsi="Times New Roman" w:cs="Times New Roman"/>
          <w:sz w:val="24"/>
          <w:szCs w:val="24"/>
        </w:rPr>
        <w:t xml:space="preserve">Iniciativa </w:t>
      </w:r>
      <w:r w:rsidRPr="006E437B">
        <w:rPr>
          <w:rFonts w:ascii="Times New Roman" w:hAnsi="Times New Roman" w:cs="Times New Roman"/>
          <w:sz w:val="24"/>
          <w:szCs w:val="24"/>
        </w:rPr>
        <w:t xml:space="preserve">con </w:t>
      </w:r>
      <w:r w:rsidR="008D03C7" w:rsidRPr="006E437B">
        <w:rPr>
          <w:rFonts w:ascii="Times New Roman" w:hAnsi="Times New Roman" w:cs="Times New Roman"/>
          <w:sz w:val="24"/>
          <w:szCs w:val="24"/>
        </w:rPr>
        <w:t xml:space="preserve">Proyecto </w:t>
      </w:r>
      <w:r w:rsidRPr="006E437B">
        <w:rPr>
          <w:rFonts w:ascii="Times New Roman" w:hAnsi="Times New Roman" w:cs="Times New Roman"/>
          <w:sz w:val="24"/>
          <w:szCs w:val="24"/>
        </w:rPr>
        <w:t xml:space="preserve">de </w:t>
      </w:r>
      <w:r w:rsidR="008D03C7" w:rsidRPr="006E437B">
        <w:rPr>
          <w:rFonts w:ascii="Times New Roman" w:hAnsi="Times New Roman" w:cs="Times New Roman"/>
          <w:sz w:val="24"/>
          <w:szCs w:val="24"/>
        </w:rPr>
        <w:t xml:space="preserve">Decreto </w:t>
      </w:r>
      <w:r w:rsidRPr="006E437B">
        <w:rPr>
          <w:rFonts w:ascii="Times New Roman" w:hAnsi="Times New Roman" w:cs="Times New Roman"/>
          <w:sz w:val="24"/>
          <w:szCs w:val="24"/>
        </w:rPr>
        <w:t>por el que se reforma la Constitución Política del Estado Libre y Soberano de México para garantizar que el presupuesto del campo mexiquense, crezca al menos 10% cada año, adelante diputada.</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LETICIA MEJÍA GARCÍA. Gracias.</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Saludo con mucho respeto a mis compañeras y compañeros diputados, a quienes se encuentran en este Recinto y a quienes nos siguen por las diferentes plataformas, a los medios de comunicación que cubren también el trabajo de esta Legislatura.</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El día de hoy, hago uso de esta tribuna para presentar una iniciativa que tiene que ver con algo muy importante, hablar de quienes en el día a día, nos dan de comer.</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Vivir del campo no es fácil, se necesita mucho amor por la tierra y muchísima valentía, nuestros campesinos se levantan muy temprano, trabajan de sol a sol y buscan que en sus casas nunca falte un plato de comida; pero, además, garantizan que en nuestras casas tampoco falte esa comida.</w:t>
      </w:r>
      <w:r w:rsidR="007B3D5E" w:rsidRPr="006E437B">
        <w:rPr>
          <w:rFonts w:ascii="Times New Roman" w:hAnsi="Times New Roman" w:cs="Times New Roman"/>
          <w:sz w:val="24"/>
          <w:szCs w:val="24"/>
        </w:rPr>
        <w:t xml:space="preserve"> </w:t>
      </w:r>
      <w:r w:rsidRPr="006E437B">
        <w:rPr>
          <w:rFonts w:ascii="Times New Roman" w:hAnsi="Times New Roman" w:cs="Times New Roman"/>
          <w:sz w:val="24"/>
          <w:szCs w:val="24"/>
        </w:rPr>
        <w:t>El campo es lo que sostiene al Estado de México y a todo nuestro país, sin campo no hay alimento, por eso, todos desde el Gobierno, desde la sociedad o desde cualquiera que sea nuestra trinchera, tenemos que apoyarlo; pero apoyarlo de verdad.</w:t>
      </w:r>
    </w:p>
    <w:p w:rsidR="00601128" w:rsidRPr="006E437B" w:rsidRDefault="00601128"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Les comparto algunos datos para que veamos de qué tamaño es su importancia. Según el último censo del INEGI, del 2022, en el Estado de México, tenemos más de un millón 270 mil hectáreas que se usan para sembrar y para cuidar los bosques.</w:t>
      </w:r>
      <w:r w:rsidR="00D25159" w:rsidRPr="006E437B">
        <w:rPr>
          <w:rFonts w:ascii="Times New Roman" w:hAnsi="Times New Roman" w:cs="Times New Roman"/>
          <w:sz w:val="24"/>
          <w:szCs w:val="24"/>
        </w:rPr>
        <w:t xml:space="preserve"> </w:t>
      </w:r>
      <w:r w:rsidRPr="006E437B">
        <w:rPr>
          <w:rFonts w:ascii="Times New Roman" w:hAnsi="Times New Roman" w:cs="Times New Roman"/>
          <w:sz w:val="24"/>
          <w:szCs w:val="24"/>
        </w:rPr>
        <w:t>Existen casi 475 mil unidades de producción; es decir, casi 475 mil familias y productores que viven del campo y se siembran 610 mil hectáreas.</w:t>
      </w:r>
    </w:p>
    <w:p w:rsidR="00601128"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esta tierra mexiquense, se produce principalmente maíz, avena, papa, jitomate, alfalfa, nopal, aguacate y agave; también se cría ganado, cerdos, pollos, borregos, todo esto es gracias al esfuerzo de casi 2 millones 800 mil personas, de ellas, 3 de cada 10 son adultos mayores y casi la mitad son indígenas, es gente que ha trabajado la tierra toda su vida y que va de generación en generación; pero ese trabajo tan valioso, la está pasando muy mal, cuando se les pregunta cuál es el principal problema a nuestros campesino, el 95% de los productores; es decir, casi todos, dijeron que todo está carísimo, los fertilizantes, la semilla, la gasolina, todo lo que se necesita para sembrar, es muy caro, más del 40% dijo que su tierra ya no produce como antes y más del 35% dijo que sufren de inseguridad, a eso se le suma que no tienen cómo transportar sus cosechas, las malas condiciones de los caminos saca cosecha, no tienen dónde guardarlas, no encuentran gente que les ayude a trabajar y casi no tienen acceso a créditos a un seguro o a un apoyo.</w:t>
      </w:r>
    </w:p>
    <w:p w:rsidR="00B0432C" w:rsidRPr="006E437B" w:rsidRDefault="00601128"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El mayor golpe que reciben, es el aumento de los precios, todo ha subido, de acuerdo con el INEGI, desde finales del 2018 hasta ahora, el costo de la vida ha subido más de 41%, se han tenido meses muy difíciles con aumentos de más del 7% en el 2021 y de casi 9% en el 2022 y lo más grave es que los productos del campo, son los que más han subido. En el 2022, subieron más del 16% y en julio del 2024, casi 14%, eso quiere decir que el campesino cada día le alcanza menos, todo lo que se necesita para trabajar, el fertilizante, el Diesel, las herramientas, </w:t>
      </w:r>
      <w:r w:rsidR="007B76E9" w:rsidRPr="006E437B">
        <w:rPr>
          <w:rFonts w:ascii="Times New Roman" w:hAnsi="Times New Roman" w:cs="Times New Roman"/>
          <w:sz w:val="24"/>
          <w:szCs w:val="24"/>
        </w:rPr>
        <w:t>sube y sube</w:t>
      </w:r>
      <w:r w:rsidR="00144EC2" w:rsidRPr="006E437B">
        <w:rPr>
          <w:rFonts w:ascii="Times New Roman" w:hAnsi="Times New Roman" w:cs="Times New Roman"/>
          <w:sz w:val="24"/>
          <w:szCs w:val="24"/>
        </w:rPr>
        <w:t>;</w:t>
      </w:r>
      <w:r w:rsidR="007B76E9" w:rsidRPr="006E437B">
        <w:rPr>
          <w:rFonts w:ascii="Times New Roman" w:hAnsi="Times New Roman" w:cs="Times New Roman"/>
          <w:sz w:val="24"/>
          <w:szCs w:val="24"/>
        </w:rPr>
        <w:t xml:space="preserve"> </w:t>
      </w:r>
      <w:r w:rsidR="00B0432C" w:rsidRPr="006E437B">
        <w:rPr>
          <w:rFonts w:ascii="Times New Roman" w:hAnsi="Times New Roman" w:cs="Times New Roman"/>
          <w:sz w:val="24"/>
          <w:szCs w:val="24"/>
        </w:rPr>
        <w:t>pero lo que ellos venden no sube; para este año la Legislatura destinó al campo más de 4 mil 200 millones de pesos, eso fue lo que nosotros aprobamos; pero ese dinero se reparte entre la Secretaría del Campo, ICAMEX y PROBOSQUE, que son las instancias responsables de apoyar directamente a los productores.</w:t>
      </w:r>
    </w:p>
    <w:p w:rsidR="00B0432C"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Sí el presupuesto del sector ha ido subiendo poco a poco, año con año</w:t>
      </w:r>
      <w:r w:rsidR="00854F67"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sube sin una regla y sube en lo mínimo, sin una garantía y siempre ha sido insuficiente; no hablamos del antes o del después, de nuevos o viejos gobiernos</w:t>
      </w:r>
      <w:r w:rsidR="00854F67" w:rsidRPr="006E437B">
        <w:rPr>
          <w:rFonts w:ascii="Times New Roman" w:hAnsi="Times New Roman" w:cs="Times New Roman"/>
          <w:sz w:val="24"/>
          <w:szCs w:val="24"/>
        </w:rPr>
        <w:t>;</w:t>
      </w:r>
      <w:r w:rsidRPr="006E437B">
        <w:rPr>
          <w:rFonts w:ascii="Times New Roman" w:hAnsi="Times New Roman" w:cs="Times New Roman"/>
          <w:sz w:val="24"/>
          <w:szCs w:val="24"/>
        </w:rPr>
        <w:t xml:space="preserve"> sino de lo que históricamente ha sido insuficiente para el campo, un año sube poquito, otro año casi nada y así no se puede planear</w:t>
      </w:r>
      <w:r w:rsidR="00854F67" w:rsidRPr="006E437B">
        <w:rPr>
          <w:rFonts w:ascii="Times New Roman" w:hAnsi="Times New Roman" w:cs="Times New Roman"/>
          <w:sz w:val="24"/>
          <w:szCs w:val="24"/>
        </w:rPr>
        <w:t>;</w:t>
      </w:r>
      <w:r w:rsidRPr="006E437B">
        <w:rPr>
          <w:rFonts w:ascii="Times New Roman" w:hAnsi="Times New Roman" w:cs="Times New Roman"/>
          <w:sz w:val="24"/>
          <w:szCs w:val="24"/>
        </w:rPr>
        <w:t xml:space="preserve"> así no se puede asegurar que los programas que le sirven a los campesinos sigan funcionando y aquí es donde quiero ser muy clara y firme desde esta tribuna, ya basta de discursos bonitos para el campo, si en los hechos no se ve el apoyo verdadero.</w:t>
      </w:r>
    </w:p>
    <w:p w:rsidR="00B0432C"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Lo digo con respeto, pero también con exigencia, no queremos que las políticas públicas para el campo se conviertan en un simple mejoralito, que no cura la enfermedad de fondo; no queremos programas que alivien por un rato y luego se olvidan del productor, queremos soluciones de fondo para el campo y hoy que tenemos la oportunidad diputadas y diputados como representantes de los ciudadanos en este Congreso, hagámosle justicia al campo mexiquense.</w:t>
      </w:r>
    </w:p>
    <w:p w:rsidR="00B0432C"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Exigimos que los programas que durante muchos años han funcionado, los que la gente del campo conoce, confía y espera, se siguen ejecutando, se fortalezcan, crezcan en montos mayores y no desaparezcan por ocurrencia o por falta de presupuesto; el campesino necesita continuidad, certeza, reglas claras en las que además se privilegie el apoyo para la atención a fenómenos catastróficos como heladas, sequías, granizadas e inundaciones, en las que los apoyos han sido insuficientes y que cada vez es mayor la demanda, el cambio climático está afectando a nuestro campo y nuestros campesinos necesitan del apoyo para volver a levantar sus siembras y sus cosechas.</w:t>
      </w:r>
    </w:p>
    <w:p w:rsidR="00B0432C"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Y necesitamos también algo más grande, tecnifiquemos el campo mexiquense de una vez por todas en los hechos no en el discurso, como lo hacen otros países como Estados Unidos, Canadá o los países de Europa, donde sus campesinos son apoyados de verdad con créditos baratos, con maquinaria, con tecnología, con seguros, con precios garantizados, aquí en cambio a nuestros campesinos se les deja solos, así cómo quieren que compitan con el mundo exterior.</w:t>
      </w:r>
    </w:p>
    <w:p w:rsidR="00B0432C"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Nuestros productores no pueden competir con los precios del extranjero, porque mientras que en las políticas internacionales se apoya y se protege al campesino, en México se le está abandonado a su suerte; no es justo que el maíz que tanto esfuerzo se cosecha por un productor tenga que competir con maíz importado que viene subsidiado por otros gobiernos, eso no es justo y no es parejo; por eso hoy no sólo venimos a presentar números, venimos a exigir que pasemos del discurso a los apoyos verdaderos, que los créditos de los apoyos no sean un trámite imposible, que sean un apoyo real, accesible y a tiempo; que la tecnificación llegue al surco y no se quede en el escritorio; pero para eso compañeros diputados se requiere presupuesto y hacer crecer al que se destina en esta cámara para atender a nuestros campesinos.</w:t>
      </w:r>
    </w:p>
    <w:p w:rsidR="00B0432C"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¿Qué es lo que proponemos en esta iniciativa? Algo muy sencillo y muy justo</w:t>
      </w:r>
      <w:r w:rsidR="006171D1" w:rsidRPr="006E437B">
        <w:rPr>
          <w:rFonts w:ascii="Times New Roman" w:hAnsi="Times New Roman" w:cs="Times New Roman"/>
          <w:sz w:val="24"/>
          <w:szCs w:val="24"/>
        </w:rPr>
        <w:t>, q</w:t>
      </w:r>
      <w:r w:rsidRPr="006E437B">
        <w:rPr>
          <w:rFonts w:ascii="Times New Roman" w:hAnsi="Times New Roman" w:cs="Times New Roman"/>
          <w:sz w:val="24"/>
          <w:szCs w:val="24"/>
        </w:rPr>
        <w:t>ue en nuestra Constitución quede escrito que el dinero para el Sector Agropecuario debe aumentar cada año al menos 10% con respecto del año anterior; esta reforma no es un capricho, es un piso mínimo de dignidad para el campo, es garantizar que cada año haya más recursos y de mayor alcance para que la ayuda sí llegue a los productores y llegue a más productores, a más ganaderos, a más campesinas, a más campesinos para que puedan enfrentar el precio tan alto en los insumos y para que su trabajo sea realmente rentable digno y competitivo.</w:t>
      </w:r>
    </w:p>
    <w:p w:rsidR="004C6F5E" w:rsidRPr="006E437B" w:rsidRDefault="00B0432C"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Desde el PRI lo decimos fuerte y claro, vamos a seguir defendiendo un campo productivo, tecnificado y justo, porque defender al campo es defender a quienes alimentan a México y a quienes alimentan a nuestro Estado; por eso creemos que esta reforma es necesaria y urgente y ahora que vamos a discutir el presupuesto para el 2027 lo es mucho más, hagamos posible que el presupuesto para el campo para el próximo año</w:t>
      </w:r>
      <w:r w:rsidR="0012055D" w:rsidRPr="006E437B">
        <w:rPr>
          <w:rFonts w:ascii="Times New Roman" w:hAnsi="Times New Roman" w:cs="Times New Roman"/>
          <w:sz w:val="24"/>
          <w:szCs w:val="24"/>
        </w:rPr>
        <w:t>,</w:t>
      </w:r>
      <w:r w:rsidRPr="006E437B">
        <w:rPr>
          <w:rFonts w:ascii="Times New Roman" w:hAnsi="Times New Roman" w:cs="Times New Roman"/>
          <w:sz w:val="24"/>
          <w:szCs w:val="24"/>
        </w:rPr>
        <w:t xml:space="preserve"> realmente alcance y atienda a las diversas necesidades de este importante sector</w:t>
      </w:r>
      <w:r w:rsidR="00261D7B" w:rsidRPr="006E437B">
        <w:rPr>
          <w:rFonts w:ascii="Times New Roman" w:hAnsi="Times New Roman" w:cs="Times New Roman"/>
          <w:sz w:val="24"/>
          <w:szCs w:val="24"/>
        </w:rPr>
        <w:t xml:space="preserve">, </w:t>
      </w:r>
      <w:r w:rsidR="004C6F5E" w:rsidRPr="006E437B">
        <w:rPr>
          <w:rFonts w:ascii="Times New Roman" w:hAnsi="Times New Roman" w:cs="Times New Roman"/>
          <w:sz w:val="24"/>
          <w:szCs w:val="24"/>
        </w:rPr>
        <w:t>darle más recursos al campo, no es un gasto, es una inversión que podemos hacer y que eso es hacer justicia para quienes nos dan de comer todos los días, que el apoyo al campo se vea en el presupuesto y no solo en el discurso.</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Diputado Presidente, solicito que el texto de esta </w:t>
      </w:r>
      <w:r w:rsidR="00EE4F15" w:rsidRPr="006E437B">
        <w:rPr>
          <w:rFonts w:ascii="Times New Roman" w:hAnsi="Times New Roman" w:cs="Times New Roman"/>
          <w:sz w:val="24"/>
          <w:szCs w:val="24"/>
        </w:rPr>
        <w:t xml:space="preserve">Iniciativa, </w:t>
      </w:r>
      <w:r w:rsidRPr="006E437B">
        <w:rPr>
          <w:rFonts w:ascii="Times New Roman" w:hAnsi="Times New Roman" w:cs="Times New Roman"/>
          <w:sz w:val="24"/>
          <w:szCs w:val="24"/>
        </w:rPr>
        <w:t>sea integrado al Diario de los Debates y a la Gaceta Parlamentaria</w:t>
      </w:r>
      <w:r w:rsidR="00EE4F15"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sobre todo, solicito a mis compañeros y compañeras diputados que hagamos conciencia sobre este problema y estos retos a los que hoy enfrenta el campo mexicano y de manera especial al campo mexiquense, porque si nosotros nos sensibilizamos y hacemos conciencia de ello, estoy segura que en el 2027 podremos contar con un presupuesto que atienda mayormente las demandas del </w:t>
      </w:r>
      <w:r w:rsidR="00D20343" w:rsidRPr="006E437B">
        <w:rPr>
          <w:rFonts w:ascii="Times New Roman" w:hAnsi="Times New Roman" w:cs="Times New Roman"/>
          <w:sz w:val="24"/>
          <w:szCs w:val="24"/>
        </w:rPr>
        <w:t xml:space="preserve">Agro </w:t>
      </w:r>
      <w:r w:rsidRPr="006E437B">
        <w:rPr>
          <w:rFonts w:ascii="Times New Roman" w:hAnsi="Times New Roman" w:cs="Times New Roman"/>
          <w:sz w:val="24"/>
          <w:szCs w:val="24"/>
        </w:rPr>
        <w:t xml:space="preserve">mexiquense. </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Muchas gracias</w:t>
      </w:r>
      <w:r w:rsidR="00F817D2" w:rsidRPr="006E437B">
        <w:rPr>
          <w:rFonts w:ascii="Times New Roman" w:hAnsi="Times New Roman" w:cs="Times New Roman"/>
          <w:sz w:val="24"/>
          <w:szCs w:val="24"/>
        </w:rPr>
        <w:t>, e</w:t>
      </w:r>
      <w:r w:rsidR="00D20343" w:rsidRPr="006E437B">
        <w:rPr>
          <w:rFonts w:ascii="Times New Roman" w:hAnsi="Times New Roman" w:cs="Times New Roman"/>
          <w:sz w:val="24"/>
          <w:szCs w:val="24"/>
        </w:rPr>
        <w:t xml:space="preserve">s </w:t>
      </w:r>
      <w:r w:rsidRPr="006E437B">
        <w:rPr>
          <w:rFonts w:ascii="Times New Roman" w:hAnsi="Times New Roman" w:cs="Times New Roman"/>
          <w:sz w:val="24"/>
          <w:szCs w:val="24"/>
        </w:rPr>
        <w:t>cuanto.</w:t>
      </w:r>
    </w:p>
    <w:p w:rsidR="00F817D2" w:rsidRPr="006E437B" w:rsidRDefault="00F817D2" w:rsidP="00141629">
      <w:pPr>
        <w:pStyle w:val="Sinespaciado"/>
        <w:jc w:val="both"/>
        <w:rPr>
          <w:rFonts w:ascii="Times New Roman" w:hAnsi="Times New Roman" w:cs="Times New Roman"/>
          <w:sz w:val="24"/>
          <w:szCs w:val="24"/>
        </w:rPr>
      </w:pPr>
    </w:p>
    <w:p w:rsidR="00F817D2" w:rsidRPr="006E437B" w:rsidRDefault="00F817D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F817D2" w:rsidRPr="006E437B" w:rsidRDefault="00F817D2" w:rsidP="00141629">
      <w:pPr>
        <w:pStyle w:val="Sinespaciado"/>
        <w:jc w:val="both"/>
        <w:rPr>
          <w:rFonts w:ascii="Times New Roman" w:hAnsi="Times New Roman" w:cs="Times New Roman"/>
          <w:sz w:val="24"/>
          <w:szCs w:val="24"/>
        </w:rPr>
      </w:pPr>
    </w:p>
    <w:p w:rsidR="00FD44F9" w:rsidRPr="006E437B" w:rsidRDefault="00FD44F9"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Dip. Leticia Mejía García</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right="70"/>
        <w:jc w:val="center"/>
        <w:rPr>
          <w:rFonts w:ascii="Times New Roman" w:hAnsi="Times New Roman" w:cs="Times New Roman"/>
          <w:sz w:val="24"/>
          <w:szCs w:val="24"/>
        </w:rPr>
      </w:pPr>
      <w:r w:rsidRPr="006E437B">
        <w:rPr>
          <w:rFonts w:ascii="Times New Roman" w:hAnsi="Times New Roman" w:cs="Times New Roman"/>
          <w:b/>
          <w:sz w:val="24"/>
          <w:szCs w:val="24"/>
        </w:rPr>
        <w:t xml:space="preserve">“2026. Año del Humanismo Mexicano en el Estado de México” </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jc w:val="right"/>
        <w:rPr>
          <w:rFonts w:ascii="Times New Roman" w:hAnsi="Times New Roman" w:cs="Times New Roman"/>
          <w:sz w:val="24"/>
          <w:szCs w:val="24"/>
        </w:rPr>
      </w:pPr>
      <w:r w:rsidRPr="006E437B">
        <w:rPr>
          <w:rFonts w:ascii="Times New Roman" w:hAnsi="Times New Roman" w:cs="Times New Roman"/>
          <w:sz w:val="24"/>
          <w:szCs w:val="24"/>
        </w:rPr>
        <w:t xml:space="preserve">Toluca de Lerdo, México; a 7 de septiembre de 2026. </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DIPUTADO</w:t>
      </w: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VLADIMIR HERNÁNDEZ VILLEGAS</w:t>
      </w: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PRESIDENTE DE LA DIRECTIVA DE LA</w:t>
      </w:r>
    </w:p>
    <w:p w:rsidR="00FD44F9" w:rsidRPr="006E437B" w:rsidRDefault="00FD44F9" w:rsidP="00141629">
      <w:pPr>
        <w:spacing w:after="0" w:line="240" w:lineRule="auto"/>
        <w:ind w:left="-5" w:right="2294"/>
        <w:rPr>
          <w:rFonts w:ascii="Times New Roman" w:hAnsi="Times New Roman" w:cs="Times New Roman"/>
          <w:sz w:val="24"/>
          <w:szCs w:val="24"/>
        </w:rPr>
      </w:pPr>
      <w:r w:rsidRPr="006E437B">
        <w:rPr>
          <w:rFonts w:ascii="Times New Roman" w:hAnsi="Times New Roman" w:cs="Times New Roman"/>
          <w:b/>
          <w:sz w:val="24"/>
          <w:szCs w:val="24"/>
        </w:rPr>
        <w:t>H. “LXII” LEGISLATURA DEL</w:t>
      </w: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ESTADO LIBRE Y SOBERANO DE MÉXICO</w:t>
      </w: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PRESENTE</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La suscrita Diputada integrante del Grupo Parlamentario del Partido Revolucionario Institucional, en ejercicio de las facultades que me confieren los artículos 51, fracción II y 61, fracción I de la Constitución Política del Estado Libre y Soberano de México, y 28, fracción I de la Ley Orgánica del Poder Legislativo del Estado Libre y Soberano de México, someto a la consideración de esa Honorable Legislatura por el digno conducto de Usted, Iniciativa de Decreto por el que se reforma la Constitución Política del Estado Libre y Soberano de México, conforme a la siguiente:</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pStyle w:val="Ttulo1"/>
        <w:keepNext w:val="0"/>
        <w:keepLines w:val="0"/>
        <w:spacing w:line="240" w:lineRule="auto"/>
        <w:ind w:left="11" w:right="68" w:hanging="11"/>
        <w:rPr>
          <w:rFonts w:ascii="Times New Roman" w:hAnsi="Times New Roman" w:cs="Times New Roman"/>
          <w:color w:val="auto"/>
          <w:szCs w:val="24"/>
        </w:rPr>
      </w:pPr>
      <w:r w:rsidRPr="006E437B">
        <w:rPr>
          <w:rFonts w:ascii="Times New Roman" w:hAnsi="Times New Roman" w:cs="Times New Roman"/>
          <w:color w:val="auto"/>
          <w:szCs w:val="24"/>
        </w:rPr>
        <w:t>EXPOSICIÓN DE MOTIVOS</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El Censo Agropecuario 2022 (CA) del Instituto Nacional de Estadística y Geografía (INEGI) ofrece información estadística de las actividades agrícolas, ganaderas y forestales, en torno a las características económicas, tecnológicas, ambientales y sociales de las unidades de producción del país, lo que favorece la definición de políticas públicas pertinentes, a partir de medidas legislativas y administrativas en beneficio de tan importante sector.</w:t>
      </w:r>
    </w:p>
    <w:p w:rsidR="00FD44F9" w:rsidRPr="006E437B" w:rsidRDefault="00FD44F9" w:rsidP="00141629">
      <w:pPr>
        <w:spacing w:after="0" w:line="240" w:lineRule="auto"/>
        <w:jc w:val="both"/>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De acuerdo con los “Resultados Definitivos” del mismo, el Estado de México cuenta con más de un millón 270 mil hectáreas (ha) de superficie con uso y vocación agropecuaria y aprovechamiento forestal y casi 475 mil unidades de producción agropecuaria y forestal; de la superficie agrícola, se reportaron 610 mil ha sembradas, casi el 85 por ciento, corresponde a cultivos de temporal.</w:t>
      </w:r>
    </w:p>
    <w:p w:rsidR="00FD44F9" w:rsidRPr="006E437B" w:rsidRDefault="00FD44F9" w:rsidP="00141629">
      <w:pPr>
        <w:spacing w:after="0" w:line="240" w:lineRule="auto"/>
        <w:jc w:val="both"/>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Entre los principales cultivos de nuestra entidad destaca el maíz, la avena, la papa y el jitomate, así como la alfalfa, el nopal, el aguacate y el agave. Además, el Estado tiene una importante vocación en la cría de bovinos, porcinos aves y ovinos, producto del trabajo de casi dos millones 800 mil personas que conforman la mano de obra, de los cuales, poco más de la mitad es de carácter permanente, casi el 30 por ciento es adulto mayor y cerca de la mitad se consideran indígenas.</w:t>
      </w:r>
    </w:p>
    <w:p w:rsidR="00FD44F9" w:rsidRPr="006E437B" w:rsidRDefault="00FD44F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Así también, el CA documentó los principales problemas de las unidades de producción agropecuaria para realizar su actividad, destacando que, casi el 95% reportó alto costo de insumos y servicios, más del 40% pérdida de fertilidad del suelo, más del 35% inseguridad y con porcentajes menores, dificultades de transportación, falta de mano de obra y dificultades para el almacenamiento, aunado a que el acceso a crédito y aseguramientos de las unidades de producción agropecuaria continúan siendo muy bajos, con niveles apenas cercanos al uno por ciento.</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Por si fuera poco, las unidades de producción deben realizar múltiples acciones que, si bien protegen al medio ambiente, también implican erogaciones que merman su rentabilidad tales como la separación de empaques de insecticidas, herbicidas y fertilizantes, disminución del consumo de agua y energía eléctrica, prevención de incendios y el combate a plagas y enfermedades.</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Adicionalmente, la inflación afecta significativamente la capacidad adquisitiva de la población. De acuerdo con el Índice Nacional de Precios al Consumidor (INPC) del INEGI de diciembre 2018 a mayo 2026, se ha verificado un incremento en ese rubro del 41.26%.</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Es importante considerar que la inflación puede ser subyacente y no subyacente. La primera mide la canasta básica, excluyendo bienes y servicios con precios más volátiles; por su parte la segunda contempla los precios de productos cuyo costo se ve afectado como factores externos como el clima y tarifas gubernamentales, tales como los energéticos: gasolina, electricidad y gas, así como productos agropecuarios.</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Así, en el periodo referido y de acuerdo con la información disponible en el portal del INEGI se observa que, mientras que el objetivo de inflación ha sido del 3%, los diversos indicadores fluctúan de manera muy diversa a lo largo del periodo, destacando por ejemplo inflación general del 7.37% en noviembre de 2021 y 8.70 en agosto de 2022, así como índices porcentuales elevados en el rubro agropecuarios como los registrados en febrero de 2022 alcanzando 16.17% y 13.72, en julio de 2024.</w:t>
      </w:r>
    </w:p>
    <w:p w:rsidR="00FD44F9" w:rsidRPr="006E437B" w:rsidRDefault="00FD44F9" w:rsidP="00141629">
      <w:pPr>
        <w:spacing w:after="0" w:line="240" w:lineRule="auto"/>
        <w:ind w:left="-5" w:right="5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7"/>
      </w:tblGrid>
      <w:tr w:rsidR="006E437B" w:rsidRPr="006E437B" w:rsidTr="00BC695E">
        <w:trPr>
          <w:jc w:val="center"/>
        </w:trPr>
        <w:tc>
          <w:tcPr>
            <w:tcW w:w="8707" w:type="dxa"/>
          </w:tcPr>
          <w:p w:rsidR="00006B91" w:rsidRPr="006E437B" w:rsidRDefault="00006B91" w:rsidP="00141629">
            <w:pPr>
              <w:spacing w:line="240" w:lineRule="auto"/>
              <w:ind w:right="59"/>
              <w:rPr>
                <w:rFonts w:ascii="Times New Roman" w:hAnsi="Times New Roman" w:cs="Times New Roman"/>
                <w:sz w:val="10"/>
                <w:szCs w:val="24"/>
              </w:rPr>
            </w:pPr>
          </w:p>
          <w:p w:rsidR="00006B91" w:rsidRPr="006E437B" w:rsidRDefault="00006B91" w:rsidP="00006B91">
            <w:pPr>
              <w:spacing w:line="240" w:lineRule="auto"/>
              <w:ind w:right="59"/>
              <w:jc w:val="center"/>
              <w:rPr>
                <w:rFonts w:ascii="Times New Roman" w:hAnsi="Times New Roman" w:cs="Times New Roman"/>
                <w:sz w:val="24"/>
                <w:szCs w:val="24"/>
              </w:rPr>
            </w:pPr>
            <w:r w:rsidRPr="006E437B">
              <w:rPr>
                <w:rFonts w:ascii="Times New Roman" w:hAnsi="Times New Roman" w:cs="Times New Roman"/>
                <w:noProof/>
                <w:sz w:val="24"/>
                <w:szCs w:val="24"/>
              </w:rPr>
              <w:drawing>
                <wp:inline distT="0" distB="0" distL="0" distR="0" wp14:anchorId="0209640B" wp14:editId="3D4F99B1">
                  <wp:extent cx="5354826" cy="2762356"/>
                  <wp:effectExtent l="0" t="0" r="0" b="0"/>
                  <wp:docPr id="229" name="Picture 229"/>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315"/>
                          <a:stretch>
                            <a:fillRect/>
                          </a:stretch>
                        </pic:blipFill>
                        <pic:spPr>
                          <a:xfrm>
                            <a:off x="0" y="0"/>
                            <a:ext cx="5404871" cy="2788172"/>
                          </a:xfrm>
                          <a:prstGeom prst="rect">
                            <a:avLst/>
                          </a:prstGeom>
                        </pic:spPr>
                      </pic:pic>
                    </a:graphicData>
                  </a:graphic>
                </wp:inline>
              </w:drawing>
            </w:r>
          </w:p>
          <w:p w:rsidR="00006B91" w:rsidRPr="006E437B" w:rsidRDefault="00006B91" w:rsidP="00141629">
            <w:pPr>
              <w:spacing w:line="240" w:lineRule="auto"/>
              <w:ind w:right="59"/>
              <w:rPr>
                <w:rFonts w:ascii="Times New Roman" w:hAnsi="Times New Roman" w:cs="Times New Roman"/>
                <w:sz w:val="12"/>
                <w:szCs w:val="24"/>
              </w:rPr>
            </w:pPr>
          </w:p>
        </w:tc>
      </w:tr>
    </w:tbl>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Como puede apreciarse los porcentajes de inflación varían de acuerdo con el rubro, sin embargo, tienen en común que todos impactan, directa o indirectamente en la economía de los mexiquenses y de manera muy particular, de los campesinos, quienes para desarrollar su actividad deben contar con insumos, maquinaria y combustibles, entre muchos otros elementos.</w:t>
      </w:r>
    </w:p>
    <w:p w:rsidR="00FD44F9" w:rsidRPr="006E437B" w:rsidRDefault="00FD44F9" w:rsidP="00141629">
      <w:pPr>
        <w:spacing w:after="0" w:line="240" w:lineRule="auto"/>
        <w:jc w:val="both"/>
        <w:rPr>
          <w:rFonts w:ascii="Times New Roman" w:hAnsi="Times New Roman" w:cs="Times New Roman"/>
          <w:sz w:val="24"/>
          <w:szCs w:val="24"/>
        </w:rPr>
      </w:pPr>
    </w:p>
    <w:p w:rsidR="00FD44F9" w:rsidRPr="006E437B" w:rsidRDefault="00FD44F9" w:rsidP="00141629">
      <w:pPr>
        <w:spacing w:after="0" w:line="240" w:lineRule="auto"/>
        <w:ind w:right="68"/>
        <w:jc w:val="both"/>
        <w:rPr>
          <w:rFonts w:ascii="Times New Roman" w:hAnsi="Times New Roman" w:cs="Times New Roman"/>
          <w:sz w:val="24"/>
          <w:szCs w:val="24"/>
        </w:rPr>
      </w:pPr>
      <w:r w:rsidRPr="006E437B">
        <w:rPr>
          <w:rFonts w:ascii="Times New Roman" w:hAnsi="Times New Roman" w:cs="Times New Roman"/>
          <w:sz w:val="24"/>
          <w:szCs w:val="24"/>
        </w:rPr>
        <w:t>En este orden de ideas, el Presupuesto de Egresos es el instrumento jurídico, de política económica y de política de gasto, en el cual se establece el ejercicio, control del gasto público y evaluación del desempeño de los entes públicos, de acuerdo con su naturaleza jurídica, con base en los objetivos, parámetros e indicadores de desempeño y programas derivados del Plan de Desarrollo del Estado de México (PDEM) durante el ejercicio fiscal correspondiente.</w:t>
      </w:r>
    </w:p>
    <w:p w:rsidR="00FD44F9" w:rsidRPr="006E437B" w:rsidRDefault="00FD44F9" w:rsidP="00141629">
      <w:pPr>
        <w:spacing w:after="0" w:line="240" w:lineRule="auto"/>
        <w:jc w:val="both"/>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Su distribución se realiza conforme a los sectores previstos en el PDEM: Desarrollo Social, Desarrollo Económico, Desarrollo Territorial, Seguridad y Gobierno, entre otros. A su vez, el sector Desarrollo Económico se integra con los sectores Económico, Empleo, Movilidad y Agropecuario.</w:t>
      </w:r>
    </w:p>
    <w:p w:rsidR="00FD44F9" w:rsidRPr="006E437B" w:rsidRDefault="00FD44F9" w:rsidP="00141629">
      <w:pPr>
        <w:spacing w:after="0" w:line="240" w:lineRule="auto"/>
        <w:jc w:val="both"/>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A este último le fue asignado, para el Ejercicio Fiscal del Año 2026, un monto superior a los 4 mil 200 millones de pesos, resultado de sumar los presupuestos de la Secretaría del Campo (SECAMPO), del Instituto de Investigación y Capacitación Agropecuaria, Acuícola y Forestal del Estado de México (ICAMEX) y la Protectora de Bosques del Estado de México (PROBOSQUE), organismos sectorizados a la dependencia referida, instancias que, en su conjunto son responsables de instrumentar las políticas públicas del sector agropecuario.</w:t>
      </w:r>
    </w:p>
    <w:p w:rsidR="00FD44F9" w:rsidRPr="006E437B" w:rsidRDefault="00FD44F9" w:rsidP="00141629">
      <w:pPr>
        <w:spacing w:after="0" w:line="240" w:lineRule="auto"/>
        <w:jc w:val="both"/>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En este sentido, el presupuesto del referido sector, en torno al cual, se centra la presente Iniciativa ha tenido, durante los últimos años, la dinámica que a continuación se indica:</w:t>
      </w:r>
    </w:p>
    <w:p w:rsidR="00FD44F9" w:rsidRPr="006E437B" w:rsidRDefault="00FD44F9" w:rsidP="00141629">
      <w:pPr>
        <w:spacing w:after="0" w:line="240" w:lineRule="auto"/>
        <w:rPr>
          <w:rFonts w:ascii="Times New Roman" w:hAnsi="Times New Roman" w:cs="Times New Roman"/>
          <w:sz w:val="24"/>
          <w:szCs w:val="24"/>
        </w:rPr>
      </w:pPr>
    </w:p>
    <w:tbl>
      <w:tblPr>
        <w:tblStyle w:val="TableGrid"/>
        <w:tblW w:w="9493" w:type="dxa"/>
        <w:tblInd w:w="-44" w:type="dxa"/>
        <w:tblCellMar>
          <w:top w:w="127" w:type="dxa"/>
          <w:left w:w="210" w:type="dxa"/>
          <w:right w:w="115" w:type="dxa"/>
        </w:tblCellMar>
        <w:tblLook w:val="04A0" w:firstRow="1" w:lastRow="0" w:firstColumn="1" w:lastColumn="0" w:noHBand="0" w:noVBand="1"/>
      </w:tblPr>
      <w:tblGrid>
        <w:gridCol w:w="992"/>
        <w:gridCol w:w="1927"/>
        <w:gridCol w:w="1666"/>
        <w:gridCol w:w="1876"/>
        <w:gridCol w:w="1928"/>
        <w:gridCol w:w="1104"/>
      </w:tblGrid>
      <w:tr w:rsidR="00FD44F9" w:rsidRPr="006E437B" w:rsidTr="00FD44F9">
        <w:trPr>
          <w:trHeight w:val="407"/>
        </w:trPr>
        <w:tc>
          <w:tcPr>
            <w:tcW w:w="1110" w:type="dxa"/>
            <w:tcBorders>
              <w:top w:val="single" w:sz="4" w:space="0" w:color="000000"/>
              <w:left w:val="single" w:sz="4" w:space="0" w:color="000000"/>
              <w:bottom w:val="single" w:sz="4" w:space="0" w:color="000000"/>
              <w:right w:val="nil"/>
            </w:tcBorders>
            <w:shd w:val="clear" w:color="auto" w:fill="A6A6A6"/>
          </w:tcPr>
          <w:p w:rsidR="00FD44F9" w:rsidRPr="006E437B" w:rsidRDefault="00FD44F9" w:rsidP="00141629">
            <w:pPr>
              <w:spacing w:line="240" w:lineRule="auto"/>
              <w:rPr>
                <w:rFonts w:ascii="Times New Roman" w:hAnsi="Times New Roman" w:cs="Times New Roman"/>
                <w:sz w:val="24"/>
                <w:szCs w:val="24"/>
              </w:rPr>
            </w:pPr>
          </w:p>
        </w:tc>
        <w:tc>
          <w:tcPr>
            <w:tcW w:w="7254" w:type="dxa"/>
            <w:gridSpan w:val="4"/>
            <w:tcBorders>
              <w:top w:val="single" w:sz="4" w:space="0" w:color="000000"/>
              <w:left w:val="nil"/>
              <w:bottom w:val="single" w:sz="4" w:space="0" w:color="000000"/>
              <w:right w:val="nil"/>
            </w:tcBorders>
            <w:shd w:val="clear" w:color="auto" w:fill="A6A6A6"/>
          </w:tcPr>
          <w:p w:rsidR="00FD44F9" w:rsidRPr="006E437B" w:rsidRDefault="00FD44F9" w:rsidP="00141629">
            <w:pPr>
              <w:spacing w:line="240" w:lineRule="auto"/>
              <w:ind w:right="85"/>
              <w:jc w:val="center"/>
              <w:rPr>
                <w:rFonts w:ascii="Times New Roman" w:hAnsi="Times New Roman" w:cs="Times New Roman"/>
                <w:sz w:val="24"/>
                <w:szCs w:val="24"/>
              </w:rPr>
            </w:pPr>
            <w:r w:rsidRPr="006E437B">
              <w:rPr>
                <w:rFonts w:ascii="Times New Roman" w:hAnsi="Times New Roman" w:cs="Times New Roman"/>
                <w:b/>
                <w:sz w:val="24"/>
                <w:szCs w:val="24"/>
              </w:rPr>
              <w:t xml:space="preserve">PRESUPUESTO SECTOR AGROPECUARIO </w:t>
            </w:r>
          </w:p>
        </w:tc>
        <w:tc>
          <w:tcPr>
            <w:tcW w:w="1129" w:type="dxa"/>
            <w:tcBorders>
              <w:top w:val="single" w:sz="4" w:space="0" w:color="000000"/>
              <w:left w:val="nil"/>
              <w:bottom w:val="single" w:sz="4" w:space="0" w:color="000000"/>
              <w:right w:val="single" w:sz="4" w:space="0" w:color="000000"/>
            </w:tcBorders>
            <w:shd w:val="clear" w:color="auto" w:fill="A6A6A6"/>
          </w:tcPr>
          <w:p w:rsidR="00FD44F9" w:rsidRPr="006E437B" w:rsidRDefault="00FD44F9" w:rsidP="00141629">
            <w:pPr>
              <w:spacing w:line="240" w:lineRule="auto"/>
              <w:rPr>
                <w:rFonts w:ascii="Times New Roman" w:hAnsi="Times New Roman" w:cs="Times New Roman"/>
                <w:sz w:val="24"/>
                <w:szCs w:val="24"/>
              </w:rPr>
            </w:pPr>
          </w:p>
        </w:tc>
      </w:tr>
      <w:tr w:rsidR="00FD44F9" w:rsidRPr="006E437B" w:rsidTr="00FD44F9">
        <w:trPr>
          <w:trHeight w:val="404"/>
        </w:trPr>
        <w:tc>
          <w:tcPr>
            <w:tcW w:w="1110" w:type="dxa"/>
            <w:tcBorders>
              <w:top w:val="single" w:sz="4" w:space="0" w:color="000000"/>
              <w:left w:val="single" w:sz="4" w:space="0" w:color="000000"/>
              <w:bottom w:val="single" w:sz="4" w:space="0" w:color="000000"/>
              <w:right w:val="single" w:sz="4" w:space="0" w:color="000000"/>
            </w:tcBorders>
            <w:shd w:val="clear" w:color="auto" w:fill="BFBFBF"/>
          </w:tcPr>
          <w:p w:rsidR="00FD44F9" w:rsidRPr="006E437B" w:rsidRDefault="00FD44F9" w:rsidP="00141629">
            <w:pPr>
              <w:spacing w:line="240" w:lineRule="auto"/>
              <w:ind w:right="97"/>
              <w:jc w:val="center"/>
              <w:rPr>
                <w:rFonts w:ascii="Times New Roman" w:hAnsi="Times New Roman" w:cs="Times New Roman"/>
                <w:sz w:val="24"/>
                <w:szCs w:val="24"/>
              </w:rPr>
            </w:pPr>
            <w:r w:rsidRPr="006E437B">
              <w:rPr>
                <w:rFonts w:ascii="Times New Roman" w:hAnsi="Times New Roman" w:cs="Times New Roman"/>
                <w:b/>
                <w:sz w:val="24"/>
                <w:szCs w:val="24"/>
              </w:rPr>
              <w:t xml:space="preserve">AÑO </w:t>
            </w:r>
          </w:p>
        </w:tc>
        <w:tc>
          <w:tcPr>
            <w:tcW w:w="1815" w:type="dxa"/>
            <w:tcBorders>
              <w:top w:val="single" w:sz="4" w:space="0" w:color="000000"/>
              <w:left w:val="single" w:sz="4" w:space="0" w:color="000000"/>
              <w:bottom w:val="single" w:sz="4" w:space="0" w:color="000000"/>
              <w:right w:val="single" w:sz="4" w:space="0" w:color="000000"/>
            </w:tcBorders>
            <w:shd w:val="clear" w:color="auto" w:fill="BFBFBF"/>
          </w:tcPr>
          <w:p w:rsidR="00FD44F9" w:rsidRPr="006E437B" w:rsidRDefault="00FD44F9" w:rsidP="00141629">
            <w:pPr>
              <w:spacing w:line="240" w:lineRule="auto"/>
              <w:ind w:right="99"/>
              <w:jc w:val="center"/>
              <w:rPr>
                <w:rFonts w:ascii="Times New Roman" w:hAnsi="Times New Roman" w:cs="Times New Roman"/>
                <w:sz w:val="24"/>
                <w:szCs w:val="24"/>
              </w:rPr>
            </w:pPr>
            <w:r w:rsidRPr="006E437B">
              <w:rPr>
                <w:rFonts w:ascii="Times New Roman" w:hAnsi="Times New Roman" w:cs="Times New Roman"/>
                <w:b/>
                <w:sz w:val="24"/>
                <w:szCs w:val="24"/>
              </w:rPr>
              <w:t xml:space="preserve">SECAMPO </w:t>
            </w:r>
          </w:p>
        </w:tc>
        <w:tc>
          <w:tcPr>
            <w:tcW w:w="1812" w:type="dxa"/>
            <w:tcBorders>
              <w:top w:val="single" w:sz="4" w:space="0" w:color="000000"/>
              <w:left w:val="single" w:sz="4" w:space="0" w:color="000000"/>
              <w:bottom w:val="single" w:sz="4" w:space="0" w:color="000000"/>
              <w:right w:val="single" w:sz="4" w:space="0" w:color="000000"/>
            </w:tcBorders>
            <w:shd w:val="clear" w:color="auto" w:fill="BFBFBF"/>
          </w:tcPr>
          <w:p w:rsidR="00FD44F9" w:rsidRPr="006E437B" w:rsidRDefault="00FD44F9" w:rsidP="00141629">
            <w:pPr>
              <w:spacing w:line="240" w:lineRule="auto"/>
              <w:ind w:right="99"/>
              <w:jc w:val="center"/>
              <w:rPr>
                <w:rFonts w:ascii="Times New Roman" w:hAnsi="Times New Roman" w:cs="Times New Roman"/>
                <w:sz w:val="24"/>
                <w:szCs w:val="24"/>
              </w:rPr>
            </w:pPr>
            <w:r w:rsidRPr="006E437B">
              <w:rPr>
                <w:rFonts w:ascii="Times New Roman" w:hAnsi="Times New Roman" w:cs="Times New Roman"/>
                <w:b/>
                <w:sz w:val="24"/>
                <w:szCs w:val="24"/>
              </w:rPr>
              <w:t xml:space="preserve">ICAMEX </w:t>
            </w:r>
          </w:p>
        </w:tc>
        <w:tc>
          <w:tcPr>
            <w:tcW w:w="1814" w:type="dxa"/>
            <w:tcBorders>
              <w:top w:val="single" w:sz="4" w:space="0" w:color="000000"/>
              <w:left w:val="single" w:sz="4" w:space="0" w:color="000000"/>
              <w:bottom w:val="single" w:sz="4" w:space="0" w:color="000000"/>
              <w:right w:val="single" w:sz="4" w:space="0" w:color="000000"/>
            </w:tcBorders>
            <w:shd w:val="clear" w:color="auto" w:fill="BFBFBF"/>
          </w:tcPr>
          <w:p w:rsidR="00FD44F9" w:rsidRPr="006E437B" w:rsidRDefault="00FD44F9" w:rsidP="00141629">
            <w:pPr>
              <w:spacing w:line="240" w:lineRule="auto"/>
              <w:ind w:left="44"/>
              <w:rPr>
                <w:rFonts w:ascii="Times New Roman" w:hAnsi="Times New Roman" w:cs="Times New Roman"/>
                <w:sz w:val="24"/>
                <w:szCs w:val="24"/>
              </w:rPr>
            </w:pPr>
            <w:r w:rsidRPr="006E437B">
              <w:rPr>
                <w:rFonts w:ascii="Times New Roman" w:hAnsi="Times New Roman" w:cs="Times New Roman"/>
                <w:b/>
                <w:sz w:val="24"/>
                <w:szCs w:val="24"/>
              </w:rPr>
              <w:t xml:space="preserve">PROBOSQUE </w:t>
            </w:r>
          </w:p>
        </w:tc>
        <w:tc>
          <w:tcPr>
            <w:tcW w:w="1814" w:type="dxa"/>
            <w:tcBorders>
              <w:top w:val="single" w:sz="4" w:space="0" w:color="000000"/>
              <w:left w:val="single" w:sz="4" w:space="0" w:color="000000"/>
              <w:bottom w:val="single" w:sz="4" w:space="0" w:color="000000"/>
              <w:right w:val="single" w:sz="4" w:space="0" w:color="000000"/>
            </w:tcBorders>
            <w:shd w:val="clear" w:color="auto" w:fill="BFBFBF"/>
          </w:tcPr>
          <w:p w:rsidR="00FD44F9" w:rsidRPr="006E437B" w:rsidRDefault="00FD44F9" w:rsidP="00141629">
            <w:pPr>
              <w:spacing w:line="240" w:lineRule="auto"/>
              <w:ind w:right="103"/>
              <w:jc w:val="center"/>
              <w:rPr>
                <w:rFonts w:ascii="Times New Roman" w:hAnsi="Times New Roman" w:cs="Times New Roman"/>
                <w:sz w:val="24"/>
                <w:szCs w:val="24"/>
              </w:rPr>
            </w:pPr>
            <w:r w:rsidRPr="006E437B">
              <w:rPr>
                <w:rFonts w:ascii="Times New Roman" w:hAnsi="Times New Roman" w:cs="Times New Roman"/>
                <w:b/>
                <w:sz w:val="24"/>
                <w:szCs w:val="24"/>
              </w:rPr>
              <w:t xml:space="preserve">TOTAL </w:t>
            </w:r>
          </w:p>
        </w:tc>
        <w:tc>
          <w:tcPr>
            <w:tcW w:w="1129" w:type="dxa"/>
            <w:tcBorders>
              <w:top w:val="single" w:sz="4" w:space="0" w:color="000000"/>
              <w:left w:val="single" w:sz="4" w:space="0" w:color="000000"/>
              <w:bottom w:val="single" w:sz="4" w:space="0" w:color="000000"/>
              <w:right w:val="single" w:sz="4" w:space="0" w:color="000000"/>
            </w:tcBorders>
            <w:shd w:val="clear" w:color="auto" w:fill="BFBFBF"/>
          </w:tcPr>
          <w:p w:rsidR="00FD44F9" w:rsidRPr="006E437B" w:rsidRDefault="00FD44F9" w:rsidP="00141629">
            <w:pPr>
              <w:spacing w:line="240" w:lineRule="auto"/>
              <w:ind w:right="96"/>
              <w:jc w:val="center"/>
              <w:rPr>
                <w:rFonts w:ascii="Times New Roman" w:hAnsi="Times New Roman" w:cs="Times New Roman"/>
                <w:sz w:val="24"/>
                <w:szCs w:val="24"/>
              </w:rPr>
            </w:pPr>
            <w:r w:rsidRPr="006E437B">
              <w:rPr>
                <w:rFonts w:ascii="Times New Roman" w:hAnsi="Times New Roman" w:cs="Times New Roman"/>
                <w:b/>
                <w:sz w:val="24"/>
                <w:szCs w:val="24"/>
              </w:rPr>
              <w:t xml:space="preserve">Δ% </w:t>
            </w:r>
          </w:p>
        </w:tc>
      </w:tr>
      <w:tr w:rsidR="00FD44F9" w:rsidRPr="006E437B" w:rsidTr="00FD44F9">
        <w:trPr>
          <w:trHeight w:val="410"/>
        </w:trPr>
        <w:tc>
          <w:tcPr>
            <w:tcW w:w="1110"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2026 </w:t>
            </w:r>
          </w:p>
        </w:tc>
        <w:tc>
          <w:tcPr>
            <w:tcW w:w="1815"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1"/>
              <w:jc w:val="center"/>
              <w:rPr>
                <w:rFonts w:ascii="Times New Roman" w:hAnsi="Times New Roman" w:cs="Times New Roman"/>
                <w:sz w:val="24"/>
                <w:szCs w:val="24"/>
              </w:rPr>
            </w:pPr>
            <w:r w:rsidRPr="006E437B">
              <w:rPr>
                <w:rFonts w:ascii="Times New Roman" w:hAnsi="Times New Roman" w:cs="Times New Roman"/>
                <w:sz w:val="24"/>
                <w:szCs w:val="24"/>
              </w:rPr>
              <w:t xml:space="preserve">$3,418,957,761 </w:t>
            </w:r>
          </w:p>
        </w:tc>
        <w:tc>
          <w:tcPr>
            <w:tcW w:w="1812"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sz w:val="24"/>
                <w:szCs w:val="24"/>
              </w:rPr>
              <w:t xml:space="preserve">$93,013,653 </w:t>
            </w:r>
          </w:p>
        </w:tc>
        <w:tc>
          <w:tcPr>
            <w:tcW w:w="1814"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sz w:val="24"/>
                <w:szCs w:val="24"/>
              </w:rPr>
              <w:t xml:space="preserve">$712,519,247 </w:t>
            </w:r>
          </w:p>
        </w:tc>
        <w:tc>
          <w:tcPr>
            <w:tcW w:w="1814"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b/>
                <w:sz w:val="24"/>
                <w:szCs w:val="24"/>
              </w:rPr>
              <w:t xml:space="preserve">$4,224,490,661 </w:t>
            </w:r>
          </w:p>
        </w:tc>
        <w:tc>
          <w:tcPr>
            <w:tcW w:w="1129"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5"/>
              <w:jc w:val="center"/>
              <w:rPr>
                <w:rFonts w:ascii="Times New Roman" w:hAnsi="Times New Roman" w:cs="Times New Roman"/>
                <w:sz w:val="24"/>
                <w:szCs w:val="24"/>
              </w:rPr>
            </w:pPr>
            <w:r w:rsidRPr="006E437B">
              <w:rPr>
                <w:rFonts w:ascii="Times New Roman" w:hAnsi="Times New Roman" w:cs="Times New Roman"/>
                <w:b/>
                <w:sz w:val="24"/>
                <w:szCs w:val="24"/>
              </w:rPr>
              <w:t xml:space="preserve">+11.87 </w:t>
            </w:r>
          </w:p>
        </w:tc>
      </w:tr>
      <w:tr w:rsidR="00FD44F9" w:rsidRPr="006E437B" w:rsidTr="00FD44F9">
        <w:trPr>
          <w:trHeight w:val="403"/>
        </w:trPr>
        <w:tc>
          <w:tcPr>
            <w:tcW w:w="1110"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2025 </w:t>
            </w:r>
          </w:p>
        </w:tc>
        <w:tc>
          <w:tcPr>
            <w:tcW w:w="1815"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1"/>
              <w:jc w:val="center"/>
              <w:rPr>
                <w:rFonts w:ascii="Times New Roman" w:hAnsi="Times New Roman" w:cs="Times New Roman"/>
                <w:sz w:val="24"/>
                <w:szCs w:val="24"/>
              </w:rPr>
            </w:pPr>
            <w:r w:rsidRPr="006E437B">
              <w:rPr>
                <w:rFonts w:ascii="Times New Roman" w:hAnsi="Times New Roman" w:cs="Times New Roman"/>
                <w:sz w:val="24"/>
                <w:szCs w:val="24"/>
              </w:rPr>
              <w:t xml:space="preserve">$3,021,791,599 </w:t>
            </w:r>
          </w:p>
        </w:tc>
        <w:tc>
          <w:tcPr>
            <w:tcW w:w="1812"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sz w:val="24"/>
                <w:szCs w:val="24"/>
              </w:rPr>
              <w:t xml:space="preserve">$91,871,499 </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sz w:val="24"/>
                <w:szCs w:val="24"/>
              </w:rPr>
              <w:t xml:space="preserve">$662,466,000 </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b/>
                <w:sz w:val="24"/>
                <w:szCs w:val="24"/>
              </w:rPr>
              <w:t xml:space="preserve">$3,776,129,098 </w:t>
            </w:r>
          </w:p>
        </w:tc>
        <w:tc>
          <w:tcPr>
            <w:tcW w:w="1129"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5"/>
              <w:jc w:val="center"/>
              <w:rPr>
                <w:rFonts w:ascii="Times New Roman" w:hAnsi="Times New Roman" w:cs="Times New Roman"/>
                <w:sz w:val="24"/>
                <w:szCs w:val="24"/>
              </w:rPr>
            </w:pPr>
            <w:r w:rsidRPr="006E437B">
              <w:rPr>
                <w:rFonts w:ascii="Times New Roman" w:hAnsi="Times New Roman" w:cs="Times New Roman"/>
                <w:b/>
                <w:sz w:val="24"/>
                <w:szCs w:val="24"/>
              </w:rPr>
              <w:t xml:space="preserve">+1.79 </w:t>
            </w:r>
          </w:p>
        </w:tc>
      </w:tr>
      <w:tr w:rsidR="00FD44F9" w:rsidRPr="006E437B" w:rsidTr="00FD44F9">
        <w:trPr>
          <w:trHeight w:val="410"/>
        </w:trPr>
        <w:tc>
          <w:tcPr>
            <w:tcW w:w="1110"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2024 </w:t>
            </w:r>
          </w:p>
        </w:tc>
        <w:tc>
          <w:tcPr>
            <w:tcW w:w="1815"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1"/>
              <w:jc w:val="center"/>
              <w:rPr>
                <w:rFonts w:ascii="Times New Roman" w:hAnsi="Times New Roman" w:cs="Times New Roman"/>
                <w:sz w:val="24"/>
                <w:szCs w:val="24"/>
              </w:rPr>
            </w:pPr>
            <w:r w:rsidRPr="006E437B">
              <w:rPr>
                <w:rFonts w:ascii="Times New Roman" w:hAnsi="Times New Roman" w:cs="Times New Roman"/>
                <w:sz w:val="24"/>
                <w:szCs w:val="24"/>
              </w:rPr>
              <w:t xml:space="preserve">$2,968,134,693 </w:t>
            </w:r>
          </w:p>
        </w:tc>
        <w:tc>
          <w:tcPr>
            <w:tcW w:w="1812"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sz w:val="24"/>
                <w:szCs w:val="24"/>
              </w:rPr>
              <w:t xml:space="preserve">$89,349,727 </w:t>
            </w:r>
          </w:p>
        </w:tc>
        <w:tc>
          <w:tcPr>
            <w:tcW w:w="1814"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sz w:val="24"/>
                <w:szCs w:val="24"/>
              </w:rPr>
              <w:t xml:space="preserve">$652,366,818 </w:t>
            </w:r>
          </w:p>
        </w:tc>
        <w:tc>
          <w:tcPr>
            <w:tcW w:w="1814"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b/>
                <w:sz w:val="24"/>
                <w:szCs w:val="24"/>
              </w:rPr>
              <w:t xml:space="preserve">$3,709,851,238 </w:t>
            </w:r>
          </w:p>
        </w:tc>
        <w:tc>
          <w:tcPr>
            <w:tcW w:w="1129"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5"/>
              <w:jc w:val="center"/>
              <w:rPr>
                <w:rFonts w:ascii="Times New Roman" w:hAnsi="Times New Roman" w:cs="Times New Roman"/>
                <w:sz w:val="24"/>
                <w:szCs w:val="24"/>
              </w:rPr>
            </w:pPr>
            <w:r w:rsidRPr="006E437B">
              <w:rPr>
                <w:rFonts w:ascii="Times New Roman" w:hAnsi="Times New Roman" w:cs="Times New Roman"/>
                <w:b/>
                <w:sz w:val="24"/>
                <w:szCs w:val="24"/>
              </w:rPr>
              <w:t xml:space="preserve">+12.11 </w:t>
            </w:r>
          </w:p>
        </w:tc>
      </w:tr>
      <w:tr w:rsidR="00FD44F9" w:rsidRPr="006E437B" w:rsidTr="00FD44F9">
        <w:trPr>
          <w:trHeight w:val="403"/>
        </w:trPr>
        <w:tc>
          <w:tcPr>
            <w:tcW w:w="1110"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2023 </w:t>
            </w:r>
          </w:p>
        </w:tc>
        <w:tc>
          <w:tcPr>
            <w:tcW w:w="1815"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1"/>
              <w:jc w:val="center"/>
              <w:rPr>
                <w:rFonts w:ascii="Times New Roman" w:hAnsi="Times New Roman" w:cs="Times New Roman"/>
                <w:sz w:val="24"/>
                <w:szCs w:val="24"/>
              </w:rPr>
            </w:pPr>
            <w:r w:rsidRPr="006E437B">
              <w:rPr>
                <w:rFonts w:ascii="Times New Roman" w:hAnsi="Times New Roman" w:cs="Times New Roman"/>
                <w:sz w:val="24"/>
                <w:szCs w:val="24"/>
              </w:rPr>
              <w:t xml:space="preserve">$2,584,602,431 </w:t>
            </w:r>
          </w:p>
        </w:tc>
        <w:tc>
          <w:tcPr>
            <w:tcW w:w="1812"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sz w:val="24"/>
                <w:szCs w:val="24"/>
              </w:rPr>
              <w:t xml:space="preserve">$83,787,298 </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sz w:val="24"/>
                <w:szCs w:val="24"/>
              </w:rPr>
              <w:t xml:space="preserve">$640,834,115 </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b/>
                <w:sz w:val="24"/>
                <w:szCs w:val="24"/>
              </w:rPr>
              <w:t xml:space="preserve">$3,309,223,844 </w:t>
            </w:r>
          </w:p>
        </w:tc>
        <w:tc>
          <w:tcPr>
            <w:tcW w:w="1129"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5"/>
              <w:jc w:val="center"/>
              <w:rPr>
                <w:rFonts w:ascii="Times New Roman" w:hAnsi="Times New Roman" w:cs="Times New Roman"/>
                <w:sz w:val="24"/>
                <w:szCs w:val="24"/>
              </w:rPr>
            </w:pPr>
            <w:r w:rsidRPr="006E437B">
              <w:rPr>
                <w:rFonts w:ascii="Times New Roman" w:hAnsi="Times New Roman" w:cs="Times New Roman"/>
                <w:b/>
                <w:sz w:val="24"/>
                <w:szCs w:val="24"/>
              </w:rPr>
              <w:t xml:space="preserve">+25.92 </w:t>
            </w:r>
          </w:p>
        </w:tc>
      </w:tr>
      <w:tr w:rsidR="00FD44F9" w:rsidRPr="006E437B" w:rsidTr="00FD44F9">
        <w:trPr>
          <w:trHeight w:val="411"/>
        </w:trPr>
        <w:tc>
          <w:tcPr>
            <w:tcW w:w="1110"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2022 </w:t>
            </w:r>
          </w:p>
        </w:tc>
        <w:tc>
          <w:tcPr>
            <w:tcW w:w="1815"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1"/>
              <w:jc w:val="center"/>
              <w:rPr>
                <w:rFonts w:ascii="Times New Roman" w:hAnsi="Times New Roman" w:cs="Times New Roman"/>
                <w:sz w:val="24"/>
                <w:szCs w:val="24"/>
              </w:rPr>
            </w:pPr>
            <w:r w:rsidRPr="006E437B">
              <w:rPr>
                <w:rFonts w:ascii="Times New Roman" w:hAnsi="Times New Roman" w:cs="Times New Roman"/>
                <w:sz w:val="24"/>
                <w:szCs w:val="24"/>
              </w:rPr>
              <w:t xml:space="preserve">$2,011,668,709 </w:t>
            </w:r>
          </w:p>
        </w:tc>
        <w:tc>
          <w:tcPr>
            <w:tcW w:w="1812"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sz w:val="24"/>
                <w:szCs w:val="24"/>
              </w:rPr>
              <w:t xml:space="preserve">$60,268,333 </w:t>
            </w:r>
          </w:p>
        </w:tc>
        <w:tc>
          <w:tcPr>
            <w:tcW w:w="1814"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sz w:val="24"/>
                <w:szCs w:val="24"/>
              </w:rPr>
              <w:t xml:space="preserve">$556,057,614 </w:t>
            </w:r>
          </w:p>
        </w:tc>
        <w:tc>
          <w:tcPr>
            <w:tcW w:w="1814"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b/>
                <w:sz w:val="24"/>
                <w:szCs w:val="24"/>
              </w:rPr>
              <w:t xml:space="preserve">$2,627,994,656 </w:t>
            </w:r>
          </w:p>
        </w:tc>
        <w:tc>
          <w:tcPr>
            <w:tcW w:w="1129" w:type="dxa"/>
            <w:tcBorders>
              <w:top w:val="single" w:sz="4" w:space="0" w:color="000000"/>
              <w:left w:val="single" w:sz="4" w:space="0" w:color="000000"/>
              <w:bottom w:val="single" w:sz="4" w:space="0" w:color="000000"/>
              <w:right w:val="single" w:sz="4" w:space="0" w:color="000000"/>
            </w:tcBorders>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-14.14 </w:t>
            </w:r>
          </w:p>
        </w:tc>
      </w:tr>
      <w:tr w:rsidR="00FD44F9" w:rsidRPr="006E437B" w:rsidTr="00FD44F9">
        <w:trPr>
          <w:trHeight w:val="406"/>
        </w:trPr>
        <w:tc>
          <w:tcPr>
            <w:tcW w:w="1110"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b/>
                <w:sz w:val="24"/>
                <w:szCs w:val="24"/>
              </w:rPr>
              <w:t xml:space="preserve">2021 </w:t>
            </w:r>
          </w:p>
        </w:tc>
        <w:tc>
          <w:tcPr>
            <w:tcW w:w="1815"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1"/>
              <w:jc w:val="center"/>
              <w:rPr>
                <w:rFonts w:ascii="Times New Roman" w:hAnsi="Times New Roman" w:cs="Times New Roman"/>
                <w:sz w:val="24"/>
                <w:szCs w:val="24"/>
              </w:rPr>
            </w:pPr>
            <w:r w:rsidRPr="006E437B">
              <w:rPr>
                <w:rFonts w:ascii="Times New Roman" w:hAnsi="Times New Roman" w:cs="Times New Roman"/>
                <w:sz w:val="24"/>
                <w:szCs w:val="24"/>
              </w:rPr>
              <w:t xml:space="preserve">$2,502,726,531 </w:t>
            </w:r>
          </w:p>
        </w:tc>
        <w:tc>
          <w:tcPr>
            <w:tcW w:w="1812"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8"/>
              <w:jc w:val="center"/>
              <w:rPr>
                <w:rFonts w:ascii="Times New Roman" w:hAnsi="Times New Roman" w:cs="Times New Roman"/>
                <w:sz w:val="24"/>
                <w:szCs w:val="24"/>
              </w:rPr>
            </w:pPr>
            <w:r w:rsidRPr="006E437B">
              <w:rPr>
                <w:rFonts w:ascii="Times New Roman" w:hAnsi="Times New Roman" w:cs="Times New Roman"/>
                <w:sz w:val="24"/>
                <w:szCs w:val="24"/>
              </w:rPr>
              <w:t xml:space="preserve">$48,892,382 </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sz w:val="24"/>
                <w:szCs w:val="24"/>
              </w:rPr>
              <w:t xml:space="preserve">$509,210,117 </w:t>
            </w:r>
          </w:p>
        </w:tc>
        <w:tc>
          <w:tcPr>
            <w:tcW w:w="1814"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102"/>
              <w:jc w:val="center"/>
              <w:rPr>
                <w:rFonts w:ascii="Times New Roman" w:hAnsi="Times New Roman" w:cs="Times New Roman"/>
                <w:sz w:val="24"/>
                <w:szCs w:val="24"/>
              </w:rPr>
            </w:pPr>
            <w:r w:rsidRPr="006E437B">
              <w:rPr>
                <w:rFonts w:ascii="Times New Roman" w:hAnsi="Times New Roman" w:cs="Times New Roman"/>
                <w:b/>
                <w:sz w:val="24"/>
                <w:szCs w:val="24"/>
              </w:rPr>
              <w:t xml:space="preserve">$3,060,829,030 </w:t>
            </w:r>
          </w:p>
        </w:tc>
        <w:tc>
          <w:tcPr>
            <w:tcW w:w="1129" w:type="dxa"/>
            <w:tcBorders>
              <w:top w:val="single" w:sz="4" w:space="0" w:color="000000"/>
              <w:left w:val="single" w:sz="4" w:space="0" w:color="000000"/>
              <w:bottom w:val="single" w:sz="4" w:space="0" w:color="000000"/>
              <w:right w:val="single" w:sz="4" w:space="0" w:color="000000"/>
            </w:tcBorders>
            <w:shd w:val="clear" w:color="auto" w:fill="F2F2F2"/>
          </w:tcPr>
          <w:p w:rsidR="00FD44F9" w:rsidRPr="006E437B" w:rsidRDefault="00FD44F9" w:rsidP="00141629">
            <w:pPr>
              <w:spacing w:line="240" w:lineRule="auto"/>
              <w:ind w:right="95"/>
              <w:jc w:val="center"/>
              <w:rPr>
                <w:rFonts w:ascii="Times New Roman" w:hAnsi="Times New Roman" w:cs="Times New Roman"/>
                <w:sz w:val="24"/>
                <w:szCs w:val="24"/>
              </w:rPr>
            </w:pPr>
            <w:r w:rsidRPr="006E437B">
              <w:rPr>
                <w:rFonts w:ascii="Times New Roman" w:hAnsi="Times New Roman" w:cs="Times New Roman"/>
                <w:b/>
                <w:sz w:val="24"/>
                <w:szCs w:val="24"/>
              </w:rPr>
              <w:t xml:space="preserve">---* </w:t>
            </w:r>
          </w:p>
        </w:tc>
      </w:tr>
    </w:tbl>
    <w:p w:rsidR="00FD44F9" w:rsidRPr="006E437B" w:rsidRDefault="00FD44F9" w:rsidP="00141629">
      <w:pPr>
        <w:spacing w:after="0" w:line="240" w:lineRule="auto"/>
        <w:ind w:right="113"/>
        <w:rPr>
          <w:rFonts w:ascii="Times New Roman" w:hAnsi="Times New Roman" w:cs="Times New Roman"/>
          <w:b/>
          <w:sz w:val="24"/>
          <w:szCs w:val="24"/>
        </w:rPr>
      </w:pPr>
    </w:p>
    <w:p w:rsidR="00FD44F9" w:rsidRPr="006E437B" w:rsidRDefault="00FD44F9" w:rsidP="00141629">
      <w:pPr>
        <w:spacing w:after="0" w:line="240" w:lineRule="auto"/>
        <w:ind w:right="113"/>
        <w:jc w:val="both"/>
        <w:rPr>
          <w:rFonts w:ascii="Times New Roman" w:hAnsi="Times New Roman" w:cs="Times New Roman"/>
          <w:sz w:val="20"/>
          <w:szCs w:val="24"/>
        </w:rPr>
      </w:pPr>
      <w:r w:rsidRPr="006E437B">
        <w:rPr>
          <w:rFonts w:ascii="Times New Roman" w:hAnsi="Times New Roman" w:cs="Times New Roman"/>
          <w:b/>
          <w:sz w:val="20"/>
          <w:szCs w:val="24"/>
        </w:rPr>
        <w:t>*</w:t>
      </w:r>
      <w:r w:rsidRPr="006E437B">
        <w:rPr>
          <w:rFonts w:ascii="Times New Roman" w:hAnsi="Times New Roman" w:cs="Times New Roman"/>
          <w:sz w:val="20"/>
          <w:szCs w:val="24"/>
        </w:rPr>
        <w:t xml:space="preserve"> Mediante Decreto 191 de la “LX” Legislatura, publicado en Gaceta el 20 de septiembre de 2020, se determinó el cambio de denominación de la entonces Secretaría de Desarrollo Agropecuario (SEDAGRO) por Secretaría del Campo (SECAMPO), así como la sectorización de la Protectora de Bosques del Estado de México (PROBOSQUE) a dicha dependencia; por lo que, a la fecha de publicación del Presupuesto de Egresos del Ejercicio Fiscal del Año 2020, el 23 de diciembre de 2019, el presupuesto de ese organismo, que ascendió a la cantidad de $528,174,494 era parte del sector medio ambiente y no así, del sector agropecuario, cuyo presupuesto sectorizado alcanzó $2,549,059,570, resultado de sumar los presupuestos de la entonces SEDAGRO e ICAMEX. </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Resulta evidente que la variación porcentual anual del presupuesto del sector agropecuario dista de ser uniforme, lo que dificulta la continuidad de las acciones y programas de desarrollo social implementados por la dependencia y organismos involucrados, en perjuicio de los beneficiarios de esos programas.</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La importancia del sector primario para el sostenimiento de la economía del Estado y del país amerita que los diferentes actores de los ámbitos público y privado afrontemos de manera decidida los diversos retos del mismo. Gracias a los campesinos es posible que nuestras mesas tengan los alimentos que todos los días consumen nuestras familias.</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Por ello, la presente Iniciativa tiene el propósito de garantizar que el presupuesto anual para el campo sea suficiente para favorecer el desarrollo de las actividades agropecuarias, minimizando los efectos negativos que los efectos inflacionarios puedan tener en los productores del campo, permitiéndoles desarrollar su actividad con mejores elementos para que esa actividad sea rentable.</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Al efecto, se propone incorporar un precepto constitucional mediante el cual se garantice que el presupuesto de egresos de cada Ejercicio Fiscal, correspondiente al sector agropecuario se incremente en al menos un diez por ciento respecto al del año inmediato anterior lo que favorecerá la eficiente atención del mismo y su desarrollo integral.</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se somete a la consideración de esta Legislatura, la presente Iniciativa, para que, de estimarla correcta se apruebe en sus términos.</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rPr>
          <w:rFonts w:ascii="Times New Roman" w:hAnsi="Times New Roman" w:cs="Times New Roman"/>
          <w:sz w:val="24"/>
          <w:szCs w:val="24"/>
        </w:rPr>
      </w:pPr>
      <w:r w:rsidRPr="006E437B">
        <w:rPr>
          <w:rFonts w:ascii="Times New Roman" w:hAnsi="Times New Roman" w:cs="Times New Roman"/>
          <w:sz w:val="24"/>
          <w:szCs w:val="24"/>
        </w:rPr>
        <w:t xml:space="preserve">Reitero a Usted, la seguridad de mi atenta y distinguida consideración. </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right="67"/>
        <w:jc w:val="center"/>
        <w:rPr>
          <w:rFonts w:ascii="Times New Roman" w:hAnsi="Times New Roman" w:cs="Times New Roman"/>
          <w:sz w:val="24"/>
          <w:szCs w:val="24"/>
        </w:rPr>
      </w:pPr>
      <w:r w:rsidRPr="006E437B">
        <w:rPr>
          <w:rFonts w:ascii="Times New Roman" w:hAnsi="Times New Roman" w:cs="Times New Roman"/>
          <w:b/>
          <w:sz w:val="24"/>
          <w:szCs w:val="24"/>
        </w:rPr>
        <w:t xml:space="preserve">ATENTAMENTE </w:t>
      </w:r>
    </w:p>
    <w:p w:rsidR="00FD44F9" w:rsidRPr="006E437B" w:rsidRDefault="00FD44F9" w:rsidP="00141629">
      <w:pPr>
        <w:spacing w:after="0" w:line="240" w:lineRule="auto"/>
        <w:jc w:val="center"/>
        <w:rPr>
          <w:rFonts w:ascii="Times New Roman" w:hAnsi="Times New Roman" w:cs="Times New Roman"/>
          <w:sz w:val="24"/>
          <w:szCs w:val="24"/>
        </w:rPr>
      </w:pPr>
    </w:p>
    <w:p w:rsidR="00FD44F9" w:rsidRPr="006E437B" w:rsidRDefault="00FD44F9"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DIPUTADA LETICIA MEJÍA GARCÍA</w:t>
      </w:r>
    </w:p>
    <w:p w:rsidR="00FD44F9" w:rsidRPr="006E437B" w:rsidRDefault="00FD44F9" w:rsidP="00141629">
      <w:pPr>
        <w:pStyle w:val="Ttulo1"/>
        <w:keepNext w:val="0"/>
        <w:keepLines w:val="0"/>
        <w:spacing w:line="240" w:lineRule="auto"/>
        <w:ind w:left="11" w:right="68" w:hanging="11"/>
        <w:rPr>
          <w:rFonts w:ascii="Times New Roman" w:hAnsi="Times New Roman" w:cs="Times New Roman"/>
          <w:b/>
          <w:color w:val="auto"/>
          <w:szCs w:val="24"/>
        </w:rPr>
      </w:pPr>
    </w:p>
    <w:p w:rsidR="00FD44F9" w:rsidRPr="006E437B" w:rsidRDefault="00FD44F9" w:rsidP="00FB585F">
      <w:pPr>
        <w:pStyle w:val="Ttulo1"/>
        <w:keepNext w:val="0"/>
        <w:keepLines w:val="0"/>
        <w:spacing w:line="240" w:lineRule="auto"/>
        <w:ind w:left="11" w:right="68" w:hanging="11"/>
        <w:jc w:val="left"/>
        <w:rPr>
          <w:rFonts w:ascii="Times New Roman" w:hAnsi="Times New Roman" w:cs="Times New Roman"/>
          <w:color w:val="auto"/>
          <w:szCs w:val="24"/>
        </w:rPr>
      </w:pPr>
    </w:p>
    <w:p w:rsidR="00FD44F9" w:rsidRPr="006E437B" w:rsidRDefault="00FD44F9" w:rsidP="00FB585F">
      <w:pPr>
        <w:spacing w:after="0" w:line="240" w:lineRule="auto"/>
        <w:rPr>
          <w:rFonts w:ascii="Times New Roman" w:hAnsi="Times New Roman" w:cs="Times New Roman"/>
          <w:sz w:val="24"/>
          <w:szCs w:val="24"/>
        </w:rPr>
      </w:pPr>
    </w:p>
    <w:p w:rsidR="00FD44F9" w:rsidRPr="006E437B" w:rsidRDefault="00FD44F9" w:rsidP="00141629">
      <w:pPr>
        <w:pStyle w:val="Ttulo1"/>
        <w:keepNext w:val="0"/>
        <w:keepLines w:val="0"/>
        <w:spacing w:line="240" w:lineRule="auto"/>
        <w:ind w:left="11" w:right="68" w:hanging="11"/>
        <w:rPr>
          <w:rFonts w:ascii="Times New Roman" w:hAnsi="Times New Roman" w:cs="Times New Roman"/>
          <w:color w:val="auto"/>
          <w:szCs w:val="24"/>
        </w:rPr>
      </w:pPr>
      <w:r w:rsidRPr="006E437B">
        <w:rPr>
          <w:rFonts w:ascii="Times New Roman" w:hAnsi="Times New Roman" w:cs="Times New Roman"/>
          <w:color w:val="auto"/>
          <w:szCs w:val="24"/>
        </w:rPr>
        <w:t>PROYECTO DE DECRETO</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DECRETO NÚMERO:</w:t>
      </w:r>
    </w:p>
    <w:p w:rsidR="00FD44F9" w:rsidRPr="006E437B" w:rsidRDefault="00FD44F9" w:rsidP="00141629">
      <w:pPr>
        <w:spacing w:after="0" w:line="240" w:lineRule="auto"/>
        <w:ind w:left="-5" w:right="2294"/>
        <w:rPr>
          <w:rFonts w:ascii="Times New Roman" w:hAnsi="Times New Roman" w:cs="Times New Roman"/>
          <w:b/>
          <w:sz w:val="24"/>
          <w:szCs w:val="24"/>
        </w:rPr>
      </w:pPr>
      <w:r w:rsidRPr="006E437B">
        <w:rPr>
          <w:rFonts w:ascii="Times New Roman" w:hAnsi="Times New Roman" w:cs="Times New Roman"/>
          <w:b/>
          <w:sz w:val="24"/>
          <w:szCs w:val="24"/>
        </w:rPr>
        <w:t>LA “LXII” LEGISLATURA DEL ESTADO DE MÉXICO</w:t>
      </w:r>
    </w:p>
    <w:p w:rsidR="00FD44F9" w:rsidRPr="006E437B" w:rsidRDefault="00FD44F9" w:rsidP="00141629">
      <w:pPr>
        <w:spacing w:after="0" w:line="240" w:lineRule="auto"/>
        <w:ind w:left="-5" w:right="2294"/>
        <w:rPr>
          <w:rFonts w:ascii="Times New Roman" w:hAnsi="Times New Roman" w:cs="Times New Roman"/>
          <w:sz w:val="24"/>
          <w:szCs w:val="24"/>
        </w:rPr>
      </w:pPr>
      <w:r w:rsidRPr="006E437B">
        <w:rPr>
          <w:rFonts w:ascii="Times New Roman" w:hAnsi="Times New Roman" w:cs="Times New Roman"/>
          <w:b/>
          <w:sz w:val="24"/>
          <w:szCs w:val="24"/>
        </w:rPr>
        <w:t>DECRETA:</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b/>
          <w:sz w:val="24"/>
          <w:szCs w:val="24"/>
        </w:rPr>
        <w:t>ARTÍCULO ÚNICO.</w:t>
      </w:r>
      <w:r w:rsidRPr="006E437B">
        <w:rPr>
          <w:rFonts w:ascii="Times New Roman" w:hAnsi="Times New Roman" w:cs="Times New Roman"/>
          <w:sz w:val="24"/>
          <w:szCs w:val="24"/>
        </w:rPr>
        <w:t xml:space="preserve"> Se reforma el párrafo décimo séptimo del artículo 5º de la Constitución Política del Estado Libre y Soberano de México, para quedar como sigue:</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 xml:space="preserve">Artículo 5. </w:t>
      </w: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ind w:left="-5" w:right="59"/>
        <w:rPr>
          <w:rFonts w:ascii="Times New Roman" w:hAnsi="Times New Roman" w:cs="Times New Roman"/>
          <w:sz w:val="24"/>
          <w:szCs w:val="24"/>
        </w:rPr>
      </w:pP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 xml:space="preserve">El Estado garantizará, en los términos que fije la ley, la entrega de un jornal seguro, justo y permanente a personas trabajadoras del campo que cultiven sus tierras con árboles frutales, maderables y especies que requieren ser procesadas; así como un apoyo anual directo y fertilizantes gratuitos a personas productoras de pequeña escala, y un apoyo anual directo a personas pescadoras de pequeña escala. </w:t>
      </w:r>
      <w:r w:rsidRPr="006E437B">
        <w:rPr>
          <w:rFonts w:ascii="Times New Roman" w:hAnsi="Times New Roman" w:cs="Times New Roman"/>
          <w:b/>
          <w:sz w:val="24"/>
          <w:szCs w:val="24"/>
        </w:rPr>
        <w:t>Para la eficiente atención del sector agropecuario y con el propósito de favorecer el desarrollo integral del mismo, el presupuesto de egresos de cada Ejercicio Fiscal, correspondiente a ese sector se incrementará al menos un diez por ciento respecto al del año inmediato anterior.</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b/>
          <w:sz w:val="24"/>
          <w:szCs w:val="24"/>
        </w:rPr>
        <w:t>I.</w:t>
      </w:r>
      <w:r w:rsidRPr="006E437B">
        <w:rPr>
          <w:rFonts w:ascii="Times New Roman" w:hAnsi="Times New Roman" w:cs="Times New Roman"/>
          <w:sz w:val="24"/>
          <w:szCs w:val="24"/>
        </w:rPr>
        <w:t xml:space="preserve"> a </w:t>
      </w:r>
      <w:r w:rsidRPr="006E437B">
        <w:rPr>
          <w:rFonts w:ascii="Times New Roman" w:hAnsi="Times New Roman" w:cs="Times New Roman"/>
          <w:b/>
          <w:sz w:val="24"/>
          <w:szCs w:val="24"/>
        </w:rPr>
        <w:t>IX.</w:t>
      </w:r>
      <w:r w:rsidRPr="006E437B">
        <w:rPr>
          <w:rFonts w:ascii="Times New Roman" w:hAnsi="Times New Roman" w:cs="Times New Roman"/>
          <w:sz w:val="24"/>
          <w:szCs w:val="24"/>
        </w:rPr>
        <w:t xml:space="preserve"> …</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spacing w:after="0" w:line="240" w:lineRule="auto"/>
        <w:ind w:left="-5"/>
        <w:rPr>
          <w:rFonts w:ascii="Times New Roman" w:hAnsi="Times New Roman" w:cs="Times New Roman"/>
          <w:sz w:val="24"/>
          <w:szCs w:val="24"/>
        </w:rPr>
      </w:pPr>
      <w:r w:rsidRPr="006E437B">
        <w:rPr>
          <w:rFonts w:ascii="Times New Roman" w:hAnsi="Times New Roman" w:cs="Times New Roman"/>
          <w:sz w:val="24"/>
          <w:szCs w:val="24"/>
        </w:rPr>
        <w:t>…</w:t>
      </w:r>
    </w:p>
    <w:p w:rsidR="00FD44F9" w:rsidRPr="006E437B" w:rsidRDefault="00FD44F9" w:rsidP="00141629">
      <w:pPr>
        <w:spacing w:after="0" w:line="240" w:lineRule="auto"/>
        <w:rPr>
          <w:rFonts w:ascii="Times New Roman" w:hAnsi="Times New Roman" w:cs="Times New Roman"/>
          <w:sz w:val="24"/>
          <w:szCs w:val="24"/>
        </w:rPr>
      </w:pPr>
    </w:p>
    <w:p w:rsidR="00FD44F9" w:rsidRPr="006E437B" w:rsidRDefault="00FD44F9" w:rsidP="00141629">
      <w:pPr>
        <w:pStyle w:val="Ttulo1"/>
        <w:keepNext w:val="0"/>
        <w:keepLines w:val="0"/>
        <w:spacing w:line="240" w:lineRule="auto"/>
        <w:ind w:left="11" w:right="68" w:hanging="11"/>
        <w:rPr>
          <w:rFonts w:ascii="Times New Roman" w:hAnsi="Times New Roman" w:cs="Times New Roman"/>
          <w:color w:val="auto"/>
          <w:szCs w:val="24"/>
        </w:rPr>
      </w:pPr>
      <w:r w:rsidRPr="006E437B">
        <w:rPr>
          <w:rFonts w:ascii="Times New Roman" w:hAnsi="Times New Roman" w:cs="Times New Roman"/>
          <w:color w:val="auto"/>
          <w:szCs w:val="24"/>
        </w:rPr>
        <w:t>TRANSITORIOS</w:t>
      </w:r>
    </w:p>
    <w:p w:rsidR="00FD44F9" w:rsidRPr="006E437B" w:rsidRDefault="00FD44F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FD44F9" w:rsidRPr="006E437B" w:rsidRDefault="00FD44F9" w:rsidP="00141629">
      <w:pPr>
        <w:spacing w:after="0" w:line="240" w:lineRule="auto"/>
        <w:ind w:left="-5"/>
        <w:jc w:val="both"/>
        <w:rPr>
          <w:rFonts w:ascii="Times New Roman" w:hAnsi="Times New Roman" w:cs="Times New Roman"/>
          <w:sz w:val="24"/>
          <w:szCs w:val="24"/>
        </w:rPr>
      </w:pPr>
      <w:r w:rsidRPr="006E437B">
        <w:rPr>
          <w:rFonts w:ascii="Times New Roman" w:hAnsi="Times New Roman" w:cs="Times New Roman"/>
          <w:b/>
          <w:sz w:val="24"/>
          <w:szCs w:val="24"/>
        </w:rPr>
        <w:t>PRIMERO.</w:t>
      </w:r>
      <w:r w:rsidRPr="006E437B">
        <w:rPr>
          <w:rFonts w:ascii="Times New Roman" w:hAnsi="Times New Roman" w:cs="Times New Roman"/>
          <w:sz w:val="24"/>
          <w:szCs w:val="24"/>
        </w:rPr>
        <w:t xml:space="preserve"> Publíquese el presente Decreto en el Periódico Oficial “Gaceta del Gobierno”.</w:t>
      </w:r>
    </w:p>
    <w:p w:rsidR="00FD44F9" w:rsidRPr="006E437B" w:rsidRDefault="00FD44F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b/>
          <w:sz w:val="24"/>
          <w:szCs w:val="24"/>
        </w:rPr>
        <w:t>SEGUNDO.</w:t>
      </w:r>
      <w:r w:rsidRPr="006E437B">
        <w:rPr>
          <w:rFonts w:ascii="Times New Roman" w:hAnsi="Times New Roman" w:cs="Times New Roman"/>
          <w:sz w:val="24"/>
          <w:szCs w:val="24"/>
        </w:rPr>
        <w:t xml:space="preserve"> El presente Decreto entrará en vigor el día de su publicación en el Periódico Oficial “Gaceta del Gobierno”.</w:t>
      </w:r>
    </w:p>
    <w:p w:rsidR="00FD44F9" w:rsidRPr="006E437B" w:rsidRDefault="00FD44F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Lo tendrá entendido la Gobernadora del Estado, haciendo que se publique y se cumpla.</w:t>
      </w:r>
    </w:p>
    <w:p w:rsidR="00FD44F9" w:rsidRPr="006E437B" w:rsidRDefault="00FD44F9"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FD44F9" w:rsidRPr="006E437B" w:rsidRDefault="00FD44F9" w:rsidP="00141629">
      <w:pPr>
        <w:spacing w:after="0" w:line="240" w:lineRule="auto"/>
        <w:ind w:left="-5" w:right="59"/>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de Lerdo, Capital del Estado de México, a los                  días del mes de                   del año dos mil veintiséis.</w:t>
      </w:r>
    </w:p>
    <w:p w:rsidR="00F817D2" w:rsidRPr="006E437B" w:rsidRDefault="00F817D2" w:rsidP="00141629">
      <w:pPr>
        <w:pStyle w:val="Sinespaciado"/>
        <w:jc w:val="both"/>
        <w:rPr>
          <w:rFonts w:ascii="Times New Roman" w:hAnsi="Times New Roman" w:cs="Times New Roman"/>
          <w:sz w:val="24"/>
          <w:szCs w:val="24"/>
        </w:rPr>
      </w:pPr>
    </w:p>
    <w:p w:rsidR="00F817D2" w:rsidRPr="006E437B" w:rsidRDefault="00F817D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F817D2" w:rsidRPr="006E437B" w:rsidRDefault="00F817D2" w:rsidP="00141629">
      <w:pPr>
        <w:pStyle w:val="Sinespaciado"/>
        <w:jc w:val="both"/>
        <w:rPr>
          <w:rFonts w:ascii="Times New Roman" w:hAnsi="Times New Roman" w:cs="Times New Roman"/>
          <w:sz w:val="24"/>
          <w:szCs w:val="24"/>
        </w:rPr>
      </w:pPr>
    </w:p>
    <w:p w:rsidR="004C6F5E" w:rsidRPr="006E437B" w:rsidRDefault="004C6F5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HERNANDEZ VILLEGAS. Muchas gracias diputada.</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Se registra la Iniciativa y se remite a las Comisiones Legislativas de Gobernación y Puntos Constitucionales</w:t>
      </w:r>
      <w:r w:rsidR="00D20343"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D20343" w:rsidRPr="006E437B">
        <w:rPr>
          <w:rFonts w:ascii="Times New Roman" w:hAnsi="Times New Roman" w:cs="Times New Roman"/>
          <w:sz w:val="24"/>
          <w:szCs w:val="24"/>
        </w:rPr>
        <w:t xml:space="preserve">de </w:t>
      </w:r>
      <w:r w:rsidRPr="006E437B">
        <w:rPr>
          <w:rFonts w:ascii="Times New Roman" w:hAnsi="Times New Roman" w:cs="Times New Roman"/>
          <w:sz w:val="24"/>
          <w:szCs w:val="24"/>
        </w:rPr>
        <w:t>Planeación y Gasto Público y de Finanzas Públicas para su estudio y dictamen.</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En términos del punto 14, la diputada Emma Laura Alvarez Villavicencio</w:t>
      </w:r>
      <w:r w:rsidR="00D20343" w:rsidRPr="006E437B">
        <w:rPr>
          <w:rFonts w:ascii="Times New Roman" w:hAnsi="Times New Roman" w:cs="Times New Roman"/>
          <w:sz w:val="24"/>
          <w:szCs w:val="24"/>
        </w:rPr>
        <w:t>,</w:t>
      </w:r>
      <w:r w:rsidRPr="006E437B">
        <w:rPr>
          <w:rFonts w:ascii="Times New Roman" w:hAnsi="Times New Roman" w:cs="Times New Roman"/>
          <w:sz w:val="24"/>
          <w:szCs w:val="24"/>
        </w:rPr>
        <w:t xml:space="preserve"> leerá la Iniciativa con Proyecto de Decreto por el que se reforma la fracción XXII del artículo 290 del Código Penal del Estado de México en materia de robo de combustible que ofrecen las unidades económicas, presentada por la diputada Emma Laura Alvarez Villavicencio y el diputado Pablo Fernández de Cevallos, en nombre del Grupo Parlamentario del Partido Acción Nacional.</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Adelante diputada.</w:t>
      </w:r>
    </w:p>
    <w:p w:rsidR="00A04D76" w:rsidRPr="006E437B" w:rsidRDefault="004C6F5E"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EMMA LAURA ALVAREZ VILLAVICENCIO. Con su venia señor Presidente</w:t>
      </w:r>
      <w:r w:rsidR="00A04D76" w:rsidRPr="006E437B">
        <w:rPr>
          <w:rFonts w:ascii="Times New Roman" w:hAnsi="Times New Roman" w:cs="Times New Roman"/>
          <w:sz w:val="24"/>
          <w:szCs w:val="24"/>
        </w:rPr>
        <w:t>, c</w:t>
      </w:r>
      <w:r w:rsidRPr="006E437B">
        <w:rPr>
          <w:rFonts w:ascii="Times New Roman" w:hAnsi="Times New Roman" w:cs="Times New Roman"/>
          <w:sz w:val="24"/>
          <w:szCs w:val="24"/>
        </w:rPr>
        <w:t>ompañeras y compañeros diputados</w:t>
      </w:r>
      <w:r w:rsidR="00A04D76" w:rsidRPr="006E437B">
        <w:rPr>
          <w:rFonts w:ascii="Times New Roman" w:hAnsi="Times New Roman" w:cs="Times New Roman"/>
          <w:sz w:val="24"/>
          <w:szCs w:val="24"/>
        </w:rPr>
        <w:t>.</w:t>
      </w:r>
    </w:p>
    <w:p w:rsidR="004C6F5E" w:rsidRPr="006E437B" w:rsidRDefault="00A04D7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Saludo </w:t>
      </w:r>
      <w:r w:rsidR="004C6F5E" w:rsidRPr="006E437B">
        <w:rPr>
          <w:rFonts w:ascii="Times New Roman" w:hAnsi="Times New Roman" w:cs="Times New Roman"/>
          <w:sz w:val="24"/>
          <w:szCs w:val="24"/>
        </w:rPr>
        <w:t>con mucho gusto a las familias mexiquenses que nos siguen a través de las plataformas digitales y a los medios de comunicación que hoy nos acompañan.</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Hablar de la seguridad en el Estado de México no es s</w:t>
      </w:r>
      <w:r w:rsidR="00A04D76" w:rsidRPr="006E437B">
        <w:rPr>
          <w:rFonts w:ascii="Times New Roman" w:hAnsi="Times New Roman" w:cs="Times New Roman"/>
          <w:sz w:val="24"/>
          <w:szCs w:val="24"/>
        </w:rPr>
        <w:t>ó</w:t>
      </w:r>
      <w:r w:rsidRPr="006E437B">
        <w:rPr>
          <w:rFonts w:ascii="Times New Roman" w:hAnsi="Times New Roman" w:cs="Times New Roman"/>
          <w:sz w:val="24"/>
          <w:szCs w:val="24"/>
        </w:rPr>
        <w:t>lo hablar de cifras, de estadísticas frías o de carpetas de investigación, para Acción Nacional</w:t>
      </w:r>
      <w:r w:rsidR="00A04D76" w:rsidRPr="006E437B">
        <w:rPr>
          <w:rFonts w:ascii="Times New Roman" w:hAnsi="Times New Roman" w:cs="Times New Roman"/>
          <w:sz w:val="24"/>
          <w:szCs w:val="24"/>
        </w:rPr>
        <w:t>,</w:t>
      </w:r>
      <w:r w:rsidRPr="006E437B">
        <w:rPr>
          <w:rFonts w:ascii="Times New Roman" w:hAnsi="Times New Roman" w:cs="Times New Roman"/>
          <w:sz w:val="24"/>
          <w:szCs w:val="24"/>
        </w:rPr>
        <w:t xml:space="preserve"> la persona humana y su dignidad son el centro de toda acción política y además, pública, no podemos permanecer indiferentes ni en silencio ante una conducta delictiva que se ha normalizado y que hoy destruye patrimonios, contamina nuestro entorno y lo más doloroso, arrebatando vidas humanas de trabajadoras y trabajadores mexiquenses.</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Hemos visto con indignación en redes sociales y en medios de comunicación cómo se difunden videos virales de automovilistas que acuden a cargar combustible y al momento del cobro aceleran para darse a la fuga, lo que algunos catalogan con ligereza, como una travesura o una disputa mercantil es en realidad un delito de alta peligrosidad en nuestra </w:t>
      </w:r>
      <w:r w:rsidR="00903F5D" w:rsidRPr="006E437B">
        <w:rPr>
          <w:rFonts w:ascii="Times New Roman" w:hAnsi="Times New Roman" w:cs="Times New Roman"/>
          <w:sz w:val="24"/>
          <w:szCs w:val="24"/>
        </w:rPr>
        <w:t>Entidad</w:t>
      </w:r>
      <w:r w:rsidRPr="006E437B">
        <w:rPr>
          <w:rFonts w:ascii="Times New Roman" w:hAnsi="Times New Roman" w:cs="Times New Roman"/>
          <w:sz w:val="24"/>
          <w:szCs w:val="24"/>
        </w:rPr>
        <w:t>.</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No estamos hablando de hipótesis los medios informativos han dado cuenta de desgarradoras tragedias</w:t>
      </w:r>
      <w:r w:rsidR="00903F5D" w:rsidRPr="006E437B">
        <w:rPr>
          <w:rFonts w:ascii="Times New Roman" w:hAnsi="Times New Roman" w:cs="Times New Roman"/>
          <w:sz w:val="24"/>
          <w:szCs w:val="24"/>
        </w:rPr>
        <w:t>,</w:t>
      </w:r>
      <w:r w:rsidRPr="006E437B">
        <w:rPr>
          <w:rFonts w:ascii="Times New Roman" w:hAnsi="Times New Roman" w:cs="Times New Roman"/>
          <w:sz w:val="24"/>
          <w:szCs w:val="24"/>
        </w:rPr>
        <w:t xml:space="preserve"> como recordemos con dolor, eventos ocurridos en nuestras propias carreteras, como sobre la México-Toluca, donde un trabajador perdió la vida arrollado por un sujeto que huyó para no pagar unos cuantos litros de combustible, arrancar a alta velocidad con la boquilla de llenado colocada genera el desprendimiento violento de las mangueras de estaciones de servicio, este impacto rompe las válvulas de seguridad, liberando decenas de litros de gasolina altamente volátiles sobre el suelo y el aire</w:t>
      </w:r>
      <w:r w:rsidR="00C84B82"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C84B82" w:rsidRPr="006E437B">
        <w:rPr>
          <w:rFonts w:ascii="Times New Roman" w:hAnsi="Times New Roman" w:cs="Times New Roman"/>
          <w:sz w:val="24"/>
          <w:szCs w:val="24"/>
        </w:rPr>
        <w:t xml:space="preserve">Hablamos </w:t>
      </w:r>
      <w:r w:rsidRPr="006E437B">
        <w:rPr>
          <w:rFonts w:ascii="Times New Roman" w:hAnsi="Times New Roman" w:cs="Times New Roman"/>
          <w:sz w:val="24"/>
          <w:szCs w:val="24"/>
        </w:rPr>
        <w:t xml:space="preserve">de un riesgo inminente en zonas urbanas </w:t>
      </w:r>
      <w:r w:rsidR="00C84B82" w:rsidRPr="006E437B">
        <w:rPr>
          <w:rFonts w:ascii="Times New Roman" w:hAnsi="Times New Roman" w:cs="Times New Roman"/>
          <w:sz w:val="24"/>
          <w:szCs w:val="24"/>
        </w:rPr>
        <w:t>que,</w:t>
      </w:r>
      <w:r w:rsidRPr="006E437B">
        <w:rPr>
          <w:rFonts w:ascii="Times New Roman" w:hAnsi="Times New Roman" w:cs="Times New Roman"/>
          <w:sz w:val="24"/>
          <w:szCs w:val="24"/>
        </w:rPr>
        <w:t xml:space="preserve"> además, la gravedad de la contaminación de mantos acuíferos y suelos por derrames de químicos altamente nocivos para el medio ambiente y la salud pública.</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Compañeras y compañeros legisladores, el apoderamiento ilícito de combustible ya constituye un delito de robo básico conforme al artículo 287 de nuestro Código Penal, sin embargo, la técnica jurídica, la protección ambiental y la responsabilidad humanista de las familias mexiquenses nos exigen sancionar con absoluta firmeza, por ello, con estricto apego al principio de nuestra Constitución, proponemos reformar la fracción XXII del artículo 290 del Código Penal del Estado de México, proteger las estaciones de servicio es defender la economía formal, proteger nuestro medio ambiente de desastres prevenibles y desde Acción Nacional</w:t>
      </w:r>
      <w:r w:rsidR="00890892" w:rsidRPr="006E437B">
        <w:rPr>
          <w:rFonts w:ascii="Times New Roman" w:hAnsi="Times New Roman" w:cs="Times New Roman"/>
          <w:sz w:val="24"/>
          <w:szCs w:val="24"/>
        </w:rPr>
        <w:t>,</w:t>
      </w:r>
      <w:r w:rsidRPr="006E437B">
        <w:rPr>
          <w:rFonts w:ascii="Times New Roman" w:hAnsi="Times New Roman" w:cs="Times New Roman"/>
          <w:sz w:val="24"/>
          <w:szCs w:val="24"/>
        </w:rPr>
        <w:t xml:space="preserve"> reafirmamos nuestro compromiso leyes estrictas, justicia humana y absoluta protección para las familias y los trabajadores de nuestro Estado de México.</w:t>
      </w:r>
    </w:p>
    <w:p w:rsidR="00890892" w:rsidRPr="006E437B" w:rsidRDefault="004C6F5E" w:rsidP="00141629">
      <w:pPr>
        <w:pStyle w:val="Sinespaciado"/>
        <w:ind w:firstLine="708"/>
        <w:jc w:val="both"/>
        <w:rPr>
          <w:rFonts w:ascii="Times New Roman" w:eastAsia="Times New Roman" w:hAnsi="Times New Roman" w:cs="Times New Roman"/>
          <w:sz w:val="24"/>
          <w:szCs w:val="24"/>
          <w:lang w:eastAsia="es-MX"/>
        </w:rPr>
      </w:pPr>
      <w:r w:rsidRPr="006E437B">
        <w:rPr>
          <w:rFonts w:ascii="Times New Roman" w:hAnsi="Times New Roman" w:cs="Times New Roman"/>
          <w:sz w:val="24"/>
          <w:szCs w:val="24"/>
        </w:rPr>
        <w:t>Señor Presidente, solicito que de manera íntegra el texto</w:t>
      </w:r>
      <w:r w:rsidR="00A62CD2" w:rsidRPr="006E437B">
        <w:rPr>
          <w:rFonts w:ascii="Times New Roman" w:hAnsi="Times New Roman" w:cs="Times New Roman"/>
          <w:sz w:val="24"/>
          <w:szCs w:val="24"/>
        </w:rPr>
        <w:t xml:space="preserve"> de la iniciativa</w:t>
      </w:r>
      <w:r w:rsidR="00890892" w:rsidRPr="006E437B">
        <w:rPr>
          <w:rFonts w:ascii="Times New Roman" w:hAnsi="Times New Roman" w:cs="Times New Roman"/>
          <w:sz w:val="24"/>
          <w:szCs w:val="24"/>
        </w:rPr>
        <w:t>,</w:t>
      </w:r>
      <w:r w:rsidR="00A62CD2" w:rsidRPr="006E437B">
        <w:rPr>
          <w:rFonts w:ascii="Times New Roman" w:hAnsi="Times New Roman" w:cs="Times New Roman"/>
          <w:sz w:val="24"/>
          <w:szCs w:val="24"/>
        </w:rPr>
        <w:t xml:space="preserve"> </w:t>
      </w:r>
      <w:r w:rsidR="00C032B0" w:rsidRPr="006E437B">
        <w:rPr>
          <w:rFonts w:ascii="Times New Roman" w:eastAsia="Times New Roman" w:hAnsi="Times New Roman" w:cs="Times New Roman"/>
          <w:sz w:val="24"/>
          <w:szCs w:val="24"/>
          <w:lang w:eastAsia="es-MX"/>
        </w:rPr>
        <w:t xml:space="preserve">sea insertado en el </w:t>
      </w:r>
      <w:r w:rsidR="00890892" w:rsidRPr="006E437B">
        <w:rPr>
          <w:rFonts w:ascii="Times New Roman" w:eastAsia="Times New Roman" w:hAnsi="Times New Roman" w:cs="Times New Roman"/>
          <w:sz w:val="24"/>
          <w:szCs w:val="24"/>
          <w:lang w:eastAsia="es-MX"/>
        </w:rPr>
        <w:t xml:space="preserve">Diario </w:t>
      </w:r>
      <w:r w:rsidR="00C032B0" w:rsidRPr="006E437B">
        <w:rPr>
          <w:rFonts w:ascii="Times New Roman" w:eastAsia="Times New Roman" w:hAnsi="Times New Roman" w:cs="Times New Roman"/>
          <w:sz w:val="24"/>
          <w:szCs w:val="24"/>
          <w:lang w:eastAsia="es-MX"/>
        </w:rPr>
        <w:t xml:space="preserve">de los </w:t>
      </w:r>
      <w:r w:rsidR="00890892" w:rsidRPr="006E437B">
        <w:rPr>
          <w:rFonts w:ascii="Times New Roman" w:eastAsia="Times New Roman" w:hAnsi="Times New Roman" w:cs="Times New Roman"/>
          <w:sz w:val="24"/>
          <w:szCs w:val="24"/>
          <w:lang w:eastAsia="es-MX"/>
        </w:rPr>
        <w:t>Debates</w:t>
      </w:r>
      <w:r w:rsidR="00C032B0" w:rsidRPr="006E437B">
        <w:rPr>
          <w:rFonts w:ascii="Times New Roman" w:eastAsia="Times New Roman" w:hAnsi="Times New Roman" w:cs="Times New Roman"/>
          <w:sz w:val="24"/>
          <w:szCs w:val="24"/>
          <w:lang w:eastAsia="es-MX"/>
        </w:rPr>
        <w:t>.</w:t>
      </w:r>
    </w:p>
    <w:p w:rsidR="00C032B0" w:rsidRPr="006E437B" w:rsidRDefault="00C032B0" w:rsidP="00141629">
      <w:pPr>
        <w:pStyle w:val="Sinespaciado"/>
        <w:ind w:firstLine="708"/>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Es cuanto</w:t>
      </w:r>
      <w:r w:rsidR="00F817D2" w:rsidRPr="006E437B">
        <w:rPr>
          <w:rFonts w:ascii="Times New Roman" w:eastAsia="Times New Roman" w:hAnsi="Times New Roman" w:cs="Times New Roman"/>
          <w:sz w:val="24"/>
          <w:szCs w:val="24"/>
          <w:lang w:eastAsia="es-MX"/>
        </w:rPr>
        <w:t>,</w:t>
      </w:r>
      <w:r w:rsidRPr="006E437B">
        <w:rPr>
          <w:rFonts w:ascii="Times New Roman" w:eastAsia="Times New Roman" w:hAnsi="Times New Roman" w:cs="Times New Roman"/>
          <w:sz w:val="24"/>
          <w:szCs w:val="24"/>
          <w:lang w:eastAsia="es-MX"/>
        </w:rPr>
        <w:t xml:space="preserve"> muchas gracias.</w:t>
      </w:r>
    </w:p>
    <w:p w:rsidR="00F817D2" w:rsidRPr="006E437B" w:rsidRDefault="00F817D2" w:rsidP="00141629">
      <w:pPr>
        <w:pStyle w:val="Sinespaciado"/>
        <w:jc w:val="both"/>
        <w:rPr>
          <w:rFonts w:ascii="Times New Roman" w:hAnsi="Times New Roman" w:cs="Times New Roman"/>
          <w:sz w:val="24"/>
          <w:szCs w:val="24"/>
        </w:rPr>
      </w:pPr>
    </w:p>
    <w:p w:rsidR="00F817D2" w:rsidRPr="006E437B" w:rsidRDefault="00F817D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F817D2" w:rsidRPr="006E437B" w:rsidRDefault="00F817D2" w:rsidP="00141629">
      <w:pPr>
        <w:pStyle w:val="Sinespaciado"/>
        <w:jc w:val="both"/>
        <w:rPr>
          <w:rFonts w:ascii="Times New Roman" w:hAnsi="Times New Roman" w:cs="Times New Roman"/>
          <w:sz w:val="24"/>
          <w:szCs w:val="24"/>
        </w:rPr>
      </w:pPr>
    </w:p>
    <w:p w:rsidR="00AD250D" w:rsidRPr="006E437B" w:rsidRDefault="00AD250D" w:rsidP="00141629">
      <w:pPr>
        <w:spacing w:after="0" w:line="240" w:lineRule="auto"/>
        <w:ind w:right="49"/>
        <w:jc w:val="center"/>
        <w:rPr>
          <w:rFonts w:ascii="Times New Roman" w:hAnsi="Times New Roman" w:cs="Times New Roman"/>
          <w:b/>
          <w:sz w:val="24"/>
          <w:szCs w:val="24"/>
        </w:rPr>
      </w:pPr>
      <w:bookmarkStart w:id="7" w:name="_Hlk242189608"/>
      <w:r w:rsidRPr="006E437B">
        <w:rPr>
          <w:rFonts w:ascii="Times New Roman" w:hAnsi="Times New Roman" w:cs="Times New Roman"/>
          <w:b/>
          <w:sz w:val="24"/>
          <w:szCs w:val="24"/>
        </w:rPr>
        <w:t>Dip. Emma Laura Alvarez Villavicencio</w:t>
      </w:r>
    </w:p>
    <w:p w:rsidR="00AD250D" w:rsidRPr="006E437B" w:rsidRDefault="00AD250D" w:rsidP="00141629">
      <w:pPr>
        <w:spacing w:after="0" w:line="240" w:lineRule="auto"/>
        <w:ind w:right="49"/>
        <w:jc w:val="center"/>
        <w:rPr>
          <w:rFonts w:ascii="Times New Roman" w:hAnsi="Times New Roman" w:cs="Times New Roman"/>
          <w:b/>
          <w:sz w:val="24"/>
          <w:szCs w:val="24"/>
        </w:rPr>
      </w:pPr>
      <w:r w:rsidRPr="006E437B">
        <w:rPr>
          <w:rFonts w:ascii="Times New Roman" w:hAnsi="Times New Roman" w:cs="Times New Roman"/>
          <w:b/>
          <w:sz w:val="24"/>
          <w:szCs w:val="24"/>
        </w:rPr>
        <w:t>Diputada Local</w:t>
      </w:r>
    </w:p>
    <w:p w:rsidR="00AD250D" w:rsidRPr="006E437B" w:rsidRDefault="00AD250D" w:rsidP="00141629">
      <w:pPr>
        <w:spacing w:after="0" w:line="240" w:lineRule="auto"/>
        <w:ind w:right="49"/>
        <w:jc w:val="center"/>
        <w:rPr>
          <w:rFonts w:ascii="Times New Roman" w:hAnsi="Times New Roman" w:cs="Times New Roman"/>
          <w:b/>
          <w:sz w:val="24"/>
          <w:szCs w:val="24"/>
        </w:rPr>
      </w:pPr>
      <w:r w:rsidRPr="006E437B">
        <w:rPr>
          <w:rFonts w:ascii="Times New Roman" w:hAnsi="Times New Roman" w:cs="Times New Roman"/>
          <w:b/>
          <w:sz w:val="24"/>
          <w:szCs w:val="24"/>
        </w:rPr>
        <w:t>Grupo Parlamentario PAN</w:t>
      </w:r>
    </w:p>
    <w:p w:rsidR="00AD250D" w:rsidRPr="006E437B" w:rsidRDefault="00AD250D" w:rsidP="00141629">
      <w:pPr>
        <w:spacing w:after="0" w:line="240" w:lineRule="auto"/>
        <w:ind w:right="49"/>
        <w:jc w:val="right"/>
        <w:rPr>
          <w:rFonts w:ascii="Times New Roman" w:hAnsi="Times New Roman" w:cs="Times New Roman"/>
          <w:sz w:val="24"/>
          <w:szCs w:val="24"/>
        </w:rPr>
      </w:pPr>
    </w:p>
    <w:p w:rsidR="00AD250D" w:rsidRPr="006E437B" w:rsidRDefault="00AD250D" w:rsidP="00141629">
      <w:pPr>
        <w:spacing w:after="0" w:line="240" w:lineRule="auto"/>
        <w:ind w:right="49"/>
        <w:jc w:val="center"/>
        <w:rPr>
          <w:rFonts w:ascii="Times New Roman" w:hAnsi="Times New Roman" w:cs="Times New Roman"/>
          <w:b/>
          <w:sz w:val="24"/>
          <w:szCs w:val="24"/>
        </w:rPr>
      </w:pPr>
      <w:r w:rsidRPr="006E437B">
        <w:rPr>
          <w:rFonts w:ascii="Times New Roman" w:hAnsi="Times New Roman" w:cs="Times New Roman"/>
          <w:b/>
          <w:sz w:val="24"/>
          <w:szCs w:val="24"/>
        </w:rPr>
        <w:t>“2026. Año del Humanismo Mexicano en el Estado de México”</w:t>
      </w:r>
    </w:p>
    <w:p w:rsidR="00AD250D" w:rsidRPr="006E437B" w:rsidRDefault="00AD250D" w:rsidP="00141629">
      <w:pPr>
        <w:spacing w:after="0" w:line="240" w:lineRule="auto"/>
        <w:ind w:right="49"/>
        <w:jc w:val="center"/>
        <w:rPr>
          <w:rFonts w:ascii="Times New Roman" w:hAnsi="Times New Roman" w:cs="Times New Roman"/>
          <w:sz w:val="24"/>
          <w:szCs w:val="24"/>
        </w:rPr>
      </w:pPr>
    </w:p>
    <w:p w:rsidR="00AD250D" w:rsidRPr="006E437B" w:rsidRDefault="00AD250D" w:rsidP="00141629">
      <w:pPr>
        <w:spacing w:after="0" w:line="240" w:lineRule="auto"/>
        <w:ind w:right="49"/>
        <w:jc w:val="right"/>
        <w:rPr>
          <w:rFonts w:ascii="Times New Roman" w:hAnsi="Times New Roman" w:cs="Times New Roman"/>
          <w:sz w:val="24"/>
          <w:szCs w:val="24"/>
        </w:rPr>
      </w:pPr>
      <w:r w:rsidRPr="006E437B">
        <w:rPr>
          <w:rFonts w:ascii="Times New Roman" w:hAnsi="Times New Roman" w:cs="Times New Roman"/>
          <w:sz w:val="24"/>
          <w:szCs w:val="24"/>
        </w:rPr>
        <w:t>Toluca de Lerdo México; 10 de septiembre de 2026</w:t>
      </w:r>
    </w:p>
    <w:p w:rsidR="00AD250D" w:rsidRPr="006E437B" w:rsidRDefault="00AD250D" w:rsidP="00141629">
      <w:pPr>
        <w:spacing w:after="0" w:line="240" w:lineRule="auto"/>
        <w:ind w:right="49"/>
        <w:jc w:val="right"/>
        <w:rPr>
          <w:rFonts w:ascii="Times New Roman" w:hAnsi="Times New Roman" w:cs="Times New Roman"/>
          <w:sz w:val="24"/>
          <w:szCs w:val="24"/>
        </w:rPr>
      </w:pPr>
    </w:p>
    <w:p w:rsidR="00AD250D" w:rsidRPr="006E437B" w:rsidRDefault="00AD250D"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b/>
          <w:sz w:val="24"/>
          <w:szCs w:val="24"/>
        </w:rPr>
        <w:t xml:space="preserve">DIP. VLADIMIR HERNANDEZ VILLEGAS </w:t>
      </w:r>
    </w:p>
    <w:p w:rsidR="00AD250D" w:rsidRPr="006E437B" w:rsidRDefault="00AD250D"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b/>
          <w:sz w:val="24"/>
          <w:szCs w:val="24"/>
        </w:rPr>
        <w:t>PRESIDENTE DE LA MESA DIRECTIVA DE LA H. LXII LEGISLATURA</w:t>
      </w:r>
    </w:p>
    <w:p w:rsidR="00AD250D" w:rsidRPr="006E437B" w:rsidRDefault="00AD250D"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b/>
          <w:sz w:val="24"/>
          <w:szCs w:val="24"/>
        </w:rPr>
        <w:t>DEL ESTADO LIBRE Y SOBERANO DE MÉXICO</w:t>
      </w:r>
    </w:p>
    <w:p w:rsidR="00AD250D" w:rsidRPr="006E437B" w:rsidRDefault="00AD250D" w:rsidP="00141629">
      <w:pPr>
        <w:spacing w:after="0" w:line="240" w:lineRule="auto"/>
        <w:ind w:right="49"/>
        <w:rPr>
          <w:rFonts w:ascii="Times New Roman" w:hAnsi="Times New Roman" w:cs="Times New Roman"/>
          <w:b/>
          <w:sz w:val="24"/>
          <w:szCs w:val="24"/>
        </w:rPr>
      </w:pPr>
      <w:r w:rsidRPr="006E437B">
        <w:rPr>
          <w:rFonts w:ascii="Times New Roman" w:hAnsi="Times New Roman" w:cs="Times New Roman"/>
          <w:b/>
          <w:sz w:val="24"/>
          <w:szCs w:val="24"/>
        </w:rPr>
        <w:t>P R E S E N T E</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Los que suscriben</w:t>
      </w:r>
      <w:r w:rsidRPr="006E437B">
        <w:rPr>
          <w:rFonts w:ascii="Times New Roman" w:hAnsi="Times New Roman" w:cs="Times New Roman"/>
          <w:b/>
          <w:sz w:val="24"/>
          <w:szCs w:val="24"/>
        </w:rPr>
        <w:t xml:space="preserve"> Diputada Emma Laura Alvarez Villavicencio y el Diputado Pablo Fernández De Cevallos González, </w:t>
      </w:r>
      <w:r w:rsidRPr="006E437B">
        <w:rPr>
          <w:rFonts w:ascii="Times New Roman" w:hAnsi="Times New Roman" w:cs="Times New Roman"/>
          <w:sz w:val="24"/>
          <w:szCs w:val="24"/>
        </w:rPr>
        <w:t xml:space="preserve">a nombre del Grupo Parlamentario del Partido Acción Nacional, de conformidad con lo establecido en los artículos 1° párrafo tercero de la Constitución Política de los Estados Unidos Mexicanos; Artículo 5 párrafo séptimo y 61 de la Constitución Política del Estado Libre y Soberano de México; 28 fracción I de la Ley Orgánica del Poder Legislativo del Estado Libre y Soberano de México y 68 del Reglamento del Poder Legislativo del Estado Libre y Soberano de México, me permito someter a la consideración de esta H. Legislatura, </w:t>
      </w:r>
      <w:r w:rsidRPr="006E437B">
        <w:rPr>
          <w:rFonts w:ascii="Times New Roman" w:hAnsi="Times New Roman" w:cs="Times New Roman"/>
          <w:b/>
          <w:sz w:val="24"/>
          <w:szCs w:val="24"/>
        </w:rPr>
        <w:t>Iniciativa con Proyecto de Decreto por el que se reforma la fracción XXII del artículo 290 del Código Penal del Estado de México</w:t>
      </w:r>
      <w:r w:rsidRPr="006E437B">
        <w:rPr>
          <w:rFonts w:ascii="Times New Roman" w:hAnsi="Times New Roman" w:cs="Times New Roman"/>
          <w:sz w:val="24"/>
          <w:szCs w:val="24"/>
        </w:rPr>
        <w:t>, en materia de robo de combustible que ofrecen las unidades económicas, al tenor de la siguiente:</w:t>
      </w:r>
    </w:p>
    <w:p w:rsidR="00AD250D" w:rsidRPr="006E437B" w:rsidRDefault="00AD250D" w:rsidP="00141629">
      <w:pPr>
        <w:spacing w:after="0" w:line="240" w:lineRule="auto"/>
        <w:ind w:right="49"/>
        <w:jc w:val="center"/>
        <w:rPr>
          <w:rFonts w:ascii="Times New Roman" w:hAnsi="Times New Roman" w:cs="Times New Roman"/>
          <w:sz w:val="24"/>
          <w:szCs w:val="24"/>
        </w:rPr>
      </w:pPr>
    </w:p>
    <w:p w:rsidR="00AD250D" w:rsidRPr="006E437B" w:rsidRDefault="00AD250D" w:rsidP="00141629">
      <w:pPr>
        <w:pStyle w:val="Ttulo1"/>
        <w:keepNext w:val="0"/>
        <w:keepLines w:val="0"/>
        <w:spacing w:line="240" w:lineRule="auto"/>
        <w:ind w:left="0" w:right="49" w:firstLine="0"/>
        <w:rPr>
          <w:rFonts w:ascii="Times New Roman" w:hAnsi="Times New Roman" w:cs="Times New Roman"/>
          <w:color w:val="auto"/>
          <w:szCs w:val="24"/>
        </w:rPr>
      </w:pPr>
      <w:r w:rsidRPr="006E437B">
        <w:rPr>
          <w:rFonts w:ascii="Times New Roman" w:hAnsi="Times New Roman" w:cs="Times New Roman"/>
          <w:color w:val="auto"/>
          <w:szCs w:val="24"/>
        </w:rPr>
        <w:t>EXPOSICIÓN DE MOTIVOS</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Para Acción Nacional, la protección a las unidades económicas y el fortalecimiento de la seguridad jurídica representan pilares fundamentales del desarrollo y la paz social en el Estado de México.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 xml:space="preserve">Desde la perspectiva humanista y de fomento económico que abandera el PAN, respaldar a las micro, pequeñas y medianas empresas </w:t>
      </w:r>
      <w:r w:rsidRPr="006E437B">
        <w:rPr>
          <w:rFonts w:ascii="Times New Roman" w:hAnsi="Times New Roman" w:cs="Times New Roman"/>
          <w:b/>
          <w:sz w:val="24"/>
          <w:szCs w:val="24"/>
        </w:rPr>
        <w:t xml:space="preserve">así como a las miles de familias de trabajadores despachadores que enfrentan pérdidas injustas en su ingreso por el apoderamiento ilícito de combustibles e insumos </w:t>
      </w:r>
      <w:r w:rsidRPr="006E437B">
        <w:rPr>
          <w:rFonts w:ascii="Times New Roman" w:hAnsi="Times New Roman" w:cs="Times New Roman"/>
          <w:sz w:val="24"/>
          <w:szCs w:val="24"/>
        </w:rPr>
        <w:t>no es solo un compromiso con el sector productivo, sino un deber ético con la justicia social, la integridad física de las personas en los centros de abasto y el combate frontal a la impunidad mediante leyes modernas, eficientes y rigurosas.</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Las estaciones de servicio y expendio de combustibles constituyen unidades económicas esenciales para la movilidad, el transporte público, la logística de mercancías y el dinamismo productivo en los 125 municipios del Estado de México.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De acuerdo con la Ley de Competitividad y Ordenamiento Comercial del Estado de México, una unidad económica comprende el conjunto de acciones y recursos empleados para la producción de bienes o la prestación de servicios indispensables para la sociedad.</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En este contexto, las estaciones de servicio no solo comercializan un insumo de primera necesidad, sino que generan empleos formales en la entidad, particularmente para miles de trabajadoras y trabajadores despachadores cuya subsistencia depende directamente de la estabilidad y seguridad en sus centros de trabajo.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La gasolina en México cobra auge a partir de 1940, tras la expropiación petrolera del 18 de marzo 1938, el surgimiento de PEMEX, y la primera gasolina que se denominó MEXOLINA, con un octanaje</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 xml:space="preserve"> del 70%, la cual 10 años después fue sustituida por otra de mejor calidad que fue la SUPERMEXOLINA de 80% octanos, a la que le siguieron GASOLMEX de 90% octanos y PEMEX de 100 octanos. En 1973 aparecieron en el mercado las gasolinas NOVA de 81 % octanos y la EXTRA de 94% octanos, que sustituyeron a las anteriores. En la década de los años ochenta surgieron las gasolinas MAGNA y PREMUM. Actualmente con la reforma energética del año 2013, se liberó el mercado de las gasolinas, con la apertura de diferentes marcas, haciendo la competencia a PEMEX, entre otras Gulf oil corporation, Shell, Total, Texaco, ExxonMobil.</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En los últimos años, de manera acentuada en las zonas metropolitanas del Valle de Toluca y del Valle de México, se ha incrementado un patrón delictivo que atenta gravemente contra el patrimonio de los establecimientos y la seguridad de las personas. Esta conducta consiste en que conductores acuden a las estaciones de servicio, solicitan el abastecimiento de combustible en el tanque de sus vehículos y, una vez suministrado el producto, emprenden una huida intempestiva y a alta velocidad a bordo de la propia unidad para evitar realizar el pago correspondiente.</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 xml:space="preserve">Este fenómeno, conocido en el sector como apoderamiento con evasión vehicular, no constituye un mero </w:t>
      </w:r>
      <w:r w:rsidRPr="006E437B">
        <w:rPr>
          <w:rFonts w:ascii="Times New Roman" w:hAnsi="Times New Roman" w:cs="Times New Roman"/>
          <w:b/>
          <w:sz w:val="24"/>
          <w:szCs w:val="24"/>
        </w:rPr>
        <w:t>"incumplimiento de pago de carácter mercantil"</w:t>
      </w:r>
      <w:r w:rsidRPr="006E437B">
        <w:rPr>
          <w:rFonts w:ascii="Times New Roman" w:hAnsi="Times New Roman" w:cs="Times New Roman"/>
          <w:sz w:val="24"/>
          <w:szCs w:val="24"/>
        </w:rPr>
        <w:t>, sino un delito de robo con alto grado de peligrosidad social, que conlleva las siguientes afectaciones:</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b/>
          <w:sz w:val="24"/>
          <w:szCs w:val="24"/>
        </w:rPr>
        <w:t>Quebranto Patrimonial:</w:t>
      </w:r>
      <w:r w:rsidRPr="006E437B">
        <w:rPr>
          <w:rFonts w:ascii="Times New Roman" w:hAnsi="Times New Roman" w:cs="Times New Roman"/>
          <w:sz w:val="24"/>
          <w:szCs w:val="24"/>
        </w:rPr>
        <w:t xml:space="preserve"> Genera pérdidas directas a las unidades económicas y, de manera ruinosa e injusta, a las y los trabajadores despachadores, a quienes en ocasiones se les pretende responsabilizar por los montos no cobrados, impactando directamente su economía familiar.</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pStyle w:val="Default"/>
        <w:jc w:val="both"/>
        <w:rPr>
          <w:rFonts w:ascii="Times New Roman" w:hAnsi="Times New Roman" w:cs="Times New Roman"/>
          <w:color w:val="auto"/>
          <w:sz w:val="20"/>
        </w:rPr>
      </w:pPr>
      <w:r w:rsidRPr="006E437B">
        <w:rPr>
          <w:rFonts w:ascii="Times New Roman" w:hAnsi="Times New Roman" w:cs="Times New Roman"/>
          <w:color w:val="auto"/>
          <w:sz w:val="20"/>
          <w:vertAlign w:val="superscript"/>
        </w:rPr>
        <w:t>1</w:t>
      </w:r>
      <w:r w:rsidRPr="006E437B">
        <w:rPr>
          <w:rFonts w:ascii="Times New Roman" w:hAnsi="Times New Roman" w:cs="Times New Roman"/>
          <w:color w:val="auto"/>
          <w:sz w:val="20"/>
        </w:rPr>
        <w:t xml:space="preserve"> El término octanaje hace referencia a la capacidad de resistencia que tiene la gasolina a la detonación durante el proceso de comprensión que ocurre en el interior de los cilindros de los motores de los vehículos.</w:t>
      </w:r>
    </w:p>
    <w:p w:rsidR="00AD250D" w:rsidRPr="006E437B" w:rsidRDefault="00AD250D" w:rsidP="00141629">
      <w:pPr>
        <w:spacing w:after="0" w:line="240" w:lineRule="auto"/>
        <w:ind w:right="49"/>
        <w:jc w:val="both"/>
        <w:rPr>
          <w:rFonts w:ascii="Times New Roman" w:hAnsi="Times New Roman" w:cs="Times New Roman"/>
          <w:sz w:val="20"/>
          <w:szCs w:val="24"/>
        </w:rPr>
      </w:pPr>
      <w:r w:rsidRPr="006E437B">
        <w:rPr>
          <w:rFonts w:ascii="Times New Roman" w:hAnsi="Times New Roman" w:cs="Times New Roman"/>
          <w:sz w:val="20"/>
          <w:szCs w:val="24"/>
        </w:rPr>
        <w:t>Por lo tanto, cuanto más elevado sea el octanaje de una gasolina, mayor capacidad tendrá para soportar la compresión que se produce en el interior de los cilindros, la combustión se producirá con mayor suavidad y de una manera más eficiente. https://helloauto.com/glorario/octanaje.</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b/>
          <w:sz w:val="24"/>
          <w:szCs w:val="24"/>
        </w:rPr>
        <w:t>Riesgo Físico y de Protección Civil:</w:t>
      </w:r>
      <w:r w:rsidRPr="006E437B">
        <w:rPr>
          <w:rFonts w:ascii="Times New Roman" w:hAnsi="Times New Roman" w:cs="Times New Roman"/>
          <w:sz w:val="24"/>
          <w:szCs w:val="24"/>
        </w:rPr>
        <w:t xml:space="preserve"> La huida intempestiva en zonas de abastecimiento de hidrocarburos incrementa potencialmente el riesgo de deflagración o incendio por el desprendimiento violento de mangueras de las bombas despachadoras, además de poner en peligro inminente la vida e integridad física de los empleados, otros usuarios y peatones por atropellamiento o colisiones en la vía pública.</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b/>
          <w:sz w:val="24"/>
          <w:szCs w:val="24"/>
        </w:rPr>
        <w:t>Impunidad por Carencia de Claridad Técnica:</w:t>
      </w:r>
      <w:r w:rsidRPr="006E437B">
        <w:rPr>
          <w:rFonts w:ascii="Times New Roman" w:hAnsi="Times New Roman" w:cs="Times New Roman"/>
          <w:sz w:val="24"/>
          <w:szCs w:val="24"/>
        </w:rPr>
        <w:t xml:space="preserve"> Ante la falta de una especificación clara en la norma penal, en ocasiones las autoridades de procuración de justicia catalogan erróneamente el hecho como una controversia civil o un robo simple, obstaculizando la integración de las carpetas de investigación a pesar de contar con registros en cámaras de videovigilancia.</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 xml:space="preserve">Para Acción Nacional es fundamental actuar con estricto rigor jurídico y técnica penal, el apoderamiento ilícito de un bien mueble </w:t>
      </w:r>
      <w:r w:rsidRPr="006E437B">
        <w:rPr>
          <w:rFonts w:ascii="Times New Roman" w:hAnsi="Times New Roman" w:cs="Times New Roman"/>
          <w:b/>
          <w:sz w:val="24"/>
          <w:szCs w:val="24"/>
        </w:rPr>
        <w:t xml:space="preserve">como lo es el combustible una vez depositado en el contenedor del vehículo </w:t>
      </w:r>
      <w:r w:rsidRPr="006E437B">
        <w:rPr>
          <w:rFonts w:ascii="Times New Roman" w:hAnsi="Times New Roman" w:cs="Times New Roman"/>
          <w:sz w:val="24"/>
          <w:szCs w:val="24"/>
        </w:rPr>
        <w:t>encuadra de origen en el tipo básico del delito de Robo previsto en el Artículo 287 del Código Penal del Estado de México.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b/>
          <w:sz w:val="24"/>
          <w:szCs w:val="24"/>
        </w:rPr>
      </w:pPr>
      <w:r w:rsidRPr="006E437B">
        <w:rPr>
          <w:rFonts w:ascii="Times New Roman" w:hAnsi="Times New Roman" w:cs="Times New Roman"/>
          <w:sz w:val="24"/>
          <w:szCs w:val="24"/>
        </w:rPr>
        <w:t xml:space="preserve">Por ello, la solución jurídicamente adecuada no radica en la creación de tipos penales redundantes o en la falsa equiparación del combustible a fluidos intangibles (como la energía eléctrica), </w:t>
      </w:r>
      <w:r w:rsidRPr="006E437B">
        <w:rPr>
          <w:rFonts w:ascii="Times New Roman" w:hAnsi="Times New Roman" w:cs="Times New Roman"/>
          <w:b/>
          <w:sz w:val="24"/>
          <w:szCs w:val="24"/>
        </w:rPr>
        <w:t>sino en sancionar con severidad la circunstancia agravante de la conducta.</w:t>
      </w:r>
    </w:p>
    <w:p w:rsidR="006F2A9D" w:rsidRPr="006E437B" w:rsidRDefault="006F2A9D" w:rsidP="00141629">
      <w:pPr>
        <w:spacing w:after="0" w:line="240" w:lineRule="auto"/>
        <w:ind w:right="49"/>
        <w:jc w:val="both"/>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 xml:space="preserve">El Artículo 290 de nuestro Código Penal prevé las circunstancias que agravan la penalidad en el delito de robo. En su fracción XXII, tipifica el robo cometido contra una </w:t>
      </w:r>
      <w:r w:rsidRPr="006E437B">
        <w:rPr>
          <w:rFonts w:ascii="Times New Roman" w:hAnsi="Times New Roman" w:cs="Times New Roman"/>
          <w:b/>
          <w:i/>
          <w:sz w:val="24"/>
          <w:szCs w:val="24"/>
        </w:rPr>
        <w:t>"unidad económica"</w:t>
      </w:r>
      <w:r w:rsidRPr="006E437B">
        <w:rPr>
          <w:rFonts w:ascii="Times New Roman" w:hAnsi="Times New Roman" w:cs="Times New Roman"/>
          <w:sz w:val="24"/>
          <w:szCs w:val="24"/>
        </w:rPr>
        <w:t xml:space="preserve"> imponiendo penas de 5 a 10 años de prisión.</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 xml:space="preserve">Mediante la presente iniciativa, proponemos </w:t>
      </w:r>
      <w:r w:rsidRPr="006E437B">
        <w:rPr>
          <w:rFonts w:ascii="Times New Roman" w:hAnsi="Times New Roman" w:cs="Times New Roman"/>
          <w:b/>
          <w:sz w:val="24"/>
          <w:szCs w:val="24"/>
        </w:rPr>
        <w:t>reformar la fracción XXII del artículo 290 para precisar con absoluta claridad taxativa</w:t>
      </w:r>
      <w:r w:rsidRPr="006E437B">
        <w:rPr>
          <w:rFonts w:ascii="Times New Roman" w:hAnsi="Times New Roman" w:cs="Times New Roman"/>
          <w:sz w:val="24"/>
          <w:szCs w:val="24"/>
        </w:rPr>
        <w:t xml:space="preserve"> que dicha pena agravada aplicará a quien, habiéndose abastecido de insumos o servicios en una unidad económica, evite el pago dándose a la fuga a bordo de un vehículo.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 xml:space="preserve">Garantizamos así la Taxatividad </w:t>
      </w:r>
      <w:r w:rsidRPr="006E437B">
        <w:rPr>
          <w:rFonts w:ascii="Times New Roman" w:hAnsi="Times New Roman" w:cs="Times New Roman"/>
          <w:b/>
          <w:sz w:val="24"/>
          <w:szCs w:val="24"/>
        </w:rPr>
        <w:t>(Art. 14 Constitucional)</w:t>
      </w:r>
      <w:r w:rsidRPr="006E437B">
        <w:rPr>
          <w:rFonts w:ascii="Times New Roman" w:hAnsi="Times New Roman" w:cs="Times New Roman"/>
          <w:sz w:val="24"/>
          <w:szCs w:val="24"/>
        </w:rPr>
        <w:t>: Describiendo la conducta objetiva de evasión a bordo de vehículo sin ambigüedades técnicas, sancionado con penas de cinco a diez años de prisión a quienes pongan en riesgo la vida de los trabajadores y el patrimonio comercial mediante este modus operandi.</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y fundado, nos permito someter a la consideración de esta Soberanía el siguiente proyecto de:</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se pone a consideración de la “LXII” Legislatura, la presente iniciativa, para efecto de que, si se encuentra procedente, se admita a trámite, para su análisis, discusión y en su caso aprobación el siguiente:</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pStyle w:val="Ttulo1"/>
        <w:keepNext w:val="0"/>
        <w:keepLines w:val="0"/>
        <w:spacing w:line="240" w:lineRule="auto"/>
        <w:ind w:left="0" w:right="51" w:firstLine="0"/>
        <w:rPr>
          <w:rFonts w:ascii="Times New Roman" w:hAnsi="Times New Roman" w:cs="Times New Roman"/>
          <w:color w:val="auto"/>
          <w:szCs w:val="24"/>
        </w:rPr>
      </w:pPr>
      <w:r w:rsidRPr="006E437B">
        <w:rPr>
          <w:rFonts w:ascii="Times New Roman" w:hAnsi="Times New Roman" w:cs="Times New Roman"/>
          <w:color w:val="auto"/>
          <w:szCs w:val="24"/>
        </w:rPr>
        <w:t xml:space="preserve">A T E N T A M E N T E </w:t>
      </w:r>
    </w:p>
    <w:p w:rsidR="00AD250D" w:rsidRPr="006E437B" w:rsidRDefault="00AD250D" w:rsidP="00141629">
      <w:pPr>
        <w:spacing w:after="0" w:line="240" w:lineRule="auto"/>
        <w:ind w:right="49"/>
        <w:rPr>
          <w:rFonts w:ascii="Times New Roman" w:hAnsi="Times New Roman" w:cs="Times New Roman"/>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AD250D" w:rsidRPr="006E437B" w:rsidTr="00723FF5">
        <w:trPr>
          <w:jc w:val="center"/>
        </w:trPr>
        <w:tc>
          <w:tcPr>
            <w:tcW w:w="4697" w:type="dxa"/>
          </w:tcPr>
          <w:p w:rsidR="00AD250D" w:rsidRPr="006E437B" w:rsidRDefault="00AD250D" w:rsidP="00141629">
            <w:pPr>
              <w:spacing w:line="240" w:lineRule="auto"/>
              <w:ind w:right="49"/>
              <w:jc w:val="center"/>
              <w:rPr>
                <w:rFonts w:ascii="Times New Roman" w:hAnsi="Times New Roman" w:cs="Times New Roman"/>
                <w:b/>
                <w:sz w:val="24"/>
                <w:szCs w:val="24"/>
              </w:rPr>
            </w:pPr>
            <w:r w:rsidRPr="006E437B">
              <w:rPr>
                <w:rFonts w:ascii="Times New Roman" w:hAnsi="Times New Roman" w:cs="Times New Roman"/>
                <w:b/>
                <w:sz w:val="24"/>
                <w:szCs w:val="24"/>
              </w:rPr>
              <w:t>DIP. EMMA LAURA ALVAREZ VILLAVICENCIO</w:t>
            </w:r>
          </w:p>
        </w:tc>
        <w:tc>
          <w:tcPr>
            <w:tcW w:w="4698" w:type="dxa"/>
          </w:tcPr>
          <w:p w:rsidR="00AD250D" w:rsidRPr="006E437B" w:rsidRDefault="00AD250D" w:rsidP="00141629">
            <w:pPr>
              <w:spacing w:line="240" w:lineRule="auto"/>
              <w:ind w:right="49"/>
              <w:jc w:val="center"/>
              <w:rPr>
                <w:rFonts w:ascii="Times New Roman" w:hAnsi="Times New Roman" w:cs="Times New Roman"/>
                <w:b/>
                <w:sz w:val="24"/>
                <w:szCs w:val="24"/>
              </w:rPr>
            </w:pPr>
            <w:r w:rsidRPr="006E437B">
              <w:rPr>
                <w:rFonts w:ascii="Times New Roman" w:hAnsi="Times New Roman" w:cs="Times New Roman"/>
                <w:b/>
                <w:sz w:val="24"/>
                <w:szCs w:val="24"/>
              </w:rPr>
              <w:t>DIP. PABLO FERNÁNDEZ DE CEVALLOS</w:t>
            </w:r>
          </w:p>
        </w:tc>
      </w:tr>
    </w:tbl>
    <w:p w:rsidR="00AD250D" w:rsidRPr="006E437B" w:rsidRDefault="00AD250D" w:rsidP="00141629">
      <w:pPr>
        <w:spacing w:after="0" w:line="240" w:lineRule="auto"/>
        <w:ind w:right="49"/>
        <w:jc w:val="center"/>
        <w:rPr>
          <w:rFonts w:ascii="Times New Roman" w:hAnsi="Times New Roman" w:cs="Times New Roman"/>
          <w:b/>
          <w:sz w:val="24"/>
          <w:szCs w:val="24"/>
        </w:rPr>
      </w:pPr>
    </w:p>
    <w:p w:rsidR="00AD250D" w:rsidRPr="006E437B" w:rsidRDefault="00AD250D" w:rsidP="00141629">
      <w:pPr>
        <w:pStyle w:val="Ttulo1"/>
        <w:keepNext w:val="0"/>
        <w:keepLines w:val="0"/>
        <w:spacing w:line="240" w:lineRule="auto"/>
        <w:ind w:left="0" w:right="51" w:firstLine="0"/>
        <w:rPr>
          <w:rFonts w:ascii="Times New Roman" w:hAnsi="Times New Roman" w:cs="Times New Roman"/>
          <w:color w:val="auto"/>
          <w:szCs w:val="24"/>
        </w:rPr>
      </w:pPr>
      <w:r w:rsidRPr="006E437B">
        <w:rPr>
          <w:rFonts w:ascii="Times New Roman" w:hAnsi="Times New Roman" w:cs="Times New Roman"/>
          <w:color w:val="auto"/>
          <w:szCs w:val="24"/>
        </w:rPr>
        <w:t>GRUPO PARLAMENTARIO DEL PARTIDO ACCIÓN NACIONAL</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b/>
          <w:sz w:val="24"/>
          <w:szCs w:val="24"/>
        </w:rPr>
        <w:t>DECRETO NUMERO:</w:t>
      </w:r>
    </w:p>
    <w:p w:rsidR="00AD250D" w:rsidRPr="006E437B" w:rsidRDefault="00AD250D" w:rsidP="00141629">
      <w:pPr>
        <w:spacing w:after="0" w:line="240" w:lineRule="auto"/>
        <w:ind w:right="49"/>
        <w:rPr>
          <w:rFonts w:ascii="Times New Roman" w:hAnsi="Times New Roman" w:cs="Times New Roman"/>
          <w:b/>
          <w:sz w:val="24"/>
          <w:szCs w:val="24"/>
        </w:rPr>
      </w:pPr>
      <w:r w:rsidRPr="006E437B">
        <w:rPr>
          <w:rFonts w:ascii="Times New Roman" w:hAnsi="Times New Roman" w:cs="Times New Roman"/>
          <w:b/>
          <w:sz w:val="24"/>
          <w:szCs w:val="24"/>
        </w:rPr>
        <w:t>LA H. LXII LEGISLATURA</w:t>
      </w:r>
    </w:p>
    <w:p w:rsidR="00AD250D" w:rsidRPr="006E437B" w:rsidRDefault="00AD250D"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b/>
          <w:sz w:val="24"/>
          <w:szCs w:val="24"/>
        </w:rPr>
        <w:t>DEL ESTADO DE MÉXICO.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pStyle w:val="Ttulo1"/>
        <w:keepNext w:val="0"/>
        <w:keepLines w:val="0"/>
        <w:spacing w:line="240" w:lineRule="auto"/>
        <w:ind w:left="0" w:right="51" w:firstLine="0"/>
        <w:rPr>
          <w:rFonts w:ascii="Times New Roman" w:hAnsi="Times New Roman" w:cs="Times New Roman"/>
          <w:color w:val="auto"/>
          <w:szCs w:val="24"/>
        </w:rPr>
      </w:pPr>
      <w:r w:rsidRPr="006E437B">
        <w:rPr>
          <w:rFonts w:ascii="Times New Roman" w:hAnsi="Times New Roman" w:cs="Times New Roman"/>
          <w:color w:val="auto"/>
          <w:szCs w:val="24"/>
        </w:rPr>
        <w:t>DECRETA</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b/>
          <w:sz w:val="24"/>
          <w:szCs w:val="24"/>
        </w:rPr>
      </w:pPr>
      <w:r w:rsidRPr="006E437B">
        <w:rPr>
          <w:rFonts w:ascii="Times New Roman" w:hAnsi="Times New Roman" w:cs="Times New Roman"/>
          <w:b/>
          <w:sz w:val="24"/>
          <w:szCs w:val="24"/>
        </w:rPr>
        <w:t xml:space="preserve">ARTÍCULO ÚNICO. SE REFORMA LA FRACCIÓN XXII DEL ARTÍCULO 290 DEL CÓDIGO PENAL DEL ESTADO DE MÉXICO, </w:t>
      </w:r>
      <w:r w:rsidRPr="006E437B">
        <w:rPr>
          <w:rFonts w:ascii="Times New Roman" w:hAnsi="Times New Roman" w:cs="Times New Roman"/>
          <w:sz w:val="24"/>
          <w:szCs w:val="24"/>
        </w:rPr>
        <w:t>para quedar de la siguiente manera:</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b/>
          <w:sz w:val="24"/>
          <w:szCs w:val="24"/>
        </w:rPr>
        <w:t>Artículo 290.-</w:t>
      </w:r>
      <w:r w:rsidRPr="006E437B">
        <w:rPr>
          <w:rFonts w:ascii="Times New Roman" w:hAnsi="Times New Roman" w:cs="Times New Roman"/>
          <w:sz w:val="24"/>
          <w:szCs w:val="24"/>
        </w:rPr>
        <w:t xml:space="preserve"> Son circunstancias que agravan la penalidad en el delito de robo y se sancionarán además de las penas señaladas en el artículo anterior con las siguientes:</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rPr>
          <w:rFonts w:ascii="Times New Roman" w:hAnsi="Times New Roman" w:cs="Times New Roman"/>
          <w:sz w:val="24"/>
          <w:szCs w:val="24"/>
        </w:rPr>
      </w:pPr>
      <w:r w:rsidRPr="006E437B">
        <w:rPr>
          <w:rFonts w:ascii="Times New Roman" w:hAnsi="Times New Roman" w:cs="Times New Roman"/>
          <w:b/>
          <w:sz w:val="24"/>
          <w:szCs w:val="24"/>
        </w:rPr>
        <w:t xml:space="preserve">I. </w:t>
      </w:r>
      <w:r w:rsidRPr="006E437B">
        <w:rPr>
          <w:rFonts w:ascii="Times New Roman" w:hAnsi="Times New Roman" w:cs="Times New Roman"/>
          <w:sz w:val="24"/>
          <w:szCs w:val="24"/>
        </w:rPr>
        <w:t xml:space="preserve">a </w:t>
      </w:r>
      <w:r w:rsidRPr="006E437B">
        <w:rPr>
          <w:rFonts w:ascii="Times New Roman" w:hAnsi="Times New Roman" w:cs="Times New Roman"/>
          <w:b/>
          <w:sz w:val="24"/>
          <w:szCs w:val="24"/>
        </w:rPr>
        <w:t>XXI. ...</w:t>
      </w:r>
    </w:p>
    <w:p w:rsidR="00AD250D" w:rsidRPr="006E437B" w:rsidRDefault="00AD250D" w:rsidP="00141629">
      <w:pPr>
        <w:spacing w:after="0" w:line="240" w:lineRule="auto"/>
        <w:ind w:right="49"/>
        <w:rPr>
          <w:rFonts w:ascii="Times New Roman" w:hAnsi="Times New Roman" w:cs="Times New Roman"/>
          <w:b/>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b/>
          <w:sz w:val="24"/>
          <w:szCs w:val="24"/>
        </w:rPr>
        <w:t>XXII.</w:t>
      </w:r>
      <w:r w:rsidRPr="006E437B">
        <w:rPr>
          <w:rFonts w:ascii="Times New Roman" w:hAnsi="Times New Roman" w:cs="Times New Roman"/>
          <w:sz w:val="24"/>
          <w:szCs w:val="24"/>
        </w:rPr>
        <w:t xml:space="preserve"> Cuando se cometa contra una unidad económica, </w:t>
      </w:r>
      <w:r w:rsidRPr="006E437B">
        <w:rPr>
          <w:rFonts w:ascii="Times New Roman" w:hAnsi="Times New Roman" w:cs="Times New Roman"/>
          <w:b/>
          <w:sz w:val="24"/>
          <w:szCs w:val="24"/>
        </w:rPr>
        <w:t>o cuando habiéndose abastecido o recibido insumos, productos o servicios en la misma, el sujeto activo evite el pago correspondiente o se dé a la fuga a bordo de un vehículo</w:t>
      </w:r>
      <w:r w:rsidRPr="006E437B">
        <w:rPr>
          <w:rFonts w:ascii="Times New Roman" w:hAnsi="Times New Roman" w:cs="Times New Roman"/>
          <w:sz w:val="24"/>
          <w:szCs w:val="24"/>
        </w:rPr>
        <w:t>, se impondrán de cinco a diez años de prisión y de uno a tres veces el valor de lo robado sin exceder mil quinientos días multa, sin perjuicio de las penas que correspondan por la comisión de otros delitos.</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center"/>
        <w:rPr>
          <w:rFonts w:ascii="Times New Roman" w:hAnsi="Times New Roman" w:cs="Times New Roman"/>
          <w:sz w:val="24"/>
          <w:szCs w:val="24"/>
        </w:rPr>
      </w:pPr>
      <w:r w:rsidRPr="006E437B">
        <w:rPr>
          <w:rFonts w:ascii="Times New Roman" w:hAnsi="Times New Roman" w:cs="Times New Roman"/>
          <w:b/>
          <w:sz w:val="24"/>
          <w:szCs w:val="24"/>
        </w:rPr>
        <w:t>TRANSITORIOS</w:t>
      </w:r>
    </w:p>
    <w:p w:rsidR="00AD250D" w:rsidRPr="006E437B" w:rsidRDefault="00AD250D" w:rsidP="00141629">
      <w:pPr>
        <w:spacing w:after="0" w:line="240" w:lineRule="auto"/>
        <w:ind w:right="49"/>
        <w:rPr>
          <w:rFonts w:ascii="Times New Roman" w:hAnsi="Times New Roman" w:cs="Times New Roman"/>
          <w:b/>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b/>
          <w:sz w:val="24"/>
          <w:szCs w:val="24"/>
        </w:rPr>
        <w:t xml:space="preserve">PRIMERO. </w:t>
      </w:r>
      <w:r w:rsidRPr="006E437B">
        <w:rPr>
          <w:rFonts w:ascii="Times New Roman" w:hAnsi="Times New Roman" w:cs="Times New Roman"/>
          <w:sz w:val="24"/>
          <w:szCs w:val="24"/>
        </w:rPr>
        <w:t>Publíquese el presente Decreto en el Periódico Oficial “Gaceta del Gobierno”.</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rPr>
          <w:rFonts w:ascii="Times New Roman" w:hAnsi="Times New Roman" w:cs="Times New Roman"/>
          <w:b/>
          <w:sz w:val="24"/>
          <w:szCs w:val="24"/>
        </w:rPr>
      </w:pPr>
      <w:r w:rsidRPr="006E437B">
        <w:rPr>
          <w:rFonts w:ascii="Times New Roman" w:hAnsi="Times New Roman" w:cs="Times New Roman"/>
          <w:b/>
          <w:sz w:val="24"/>
          <w:szCs w:val="24"/>
        </w:rPr>
        <w:t xml:space="preserve">SEGUNDO. </w:t>
      </w:r>
      <w:r w:rsidRPr="006E437B">
        <w:rPr>
          <w:rFonts w:ascii="Times New Roman" w:hAnsi="Times New Roman" w:cs="Times New Roman"/>
          <w:sz w:val="24"/>
          <w:szCs w:val="24"/>
        </w:rPr>
        <w:t>El presente Decreto entrará en vigor al día siguiente de su publicación.</w:t>
      </w:r>
    </w:p>
    <w:p w:rsidR="00AD250D" w:rsidRPr="006E437B" w:rsidRDefault="00AD250D" w:rsidP="00141629">
      <w:pPr>
        <w:spacing w:after="0" w:line="240" w:lineRule="auto"/>
        <w:ind w:right="49"/>
        <w:rPr>
          <w:rFonts w:ascii="Times New Roman" w:hAnsi="Times New Roman" w:cs="Times New Roman"/>
          <w:sz w:val="24"/>
          <w:szCs w:val="24"/>
        </w:rPr>
      </w:pPr>
    </w:p>
    <w:p w:rsidR="00AD250D" w:rsidRPr="006E437B" w:rsidRDefault="00AD250D" w:rsidP="00141629">
      <w:pPr>
        <w:spacing w:after="0" w:line="240" w:lineRule="auto"/>
        <w:ind w:right="49"/>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de Lerdo, capital del Estado de México, a        días del mes de septiembre del año dos mil veintiséis.</w:t>
      </w:r>
      <w:bookmarkEnd w:id="7"/>
    </w:p>
    <w:p w:rsidR="00F817D2" w:rsidRPr="006E437B" w:rsidRDefault="00F817D2" w:rsidP="00141629">
      <w:pPr>
        <w:pStyle w:val="Sinespaciado"/>
        <w:jc w:val="both"/>
        <w:rPr>
          <w:rFonts w:ascii="Times New Roman" w:hAnsi="Times New Roman" w:cs="Times New Roman"/>
          <w:sz w:val="24"/>
          <w:szCs w:val="24"/>
        </w:rPr>
      </w:pPr>
    </w:p>
    <w:p w:rsidR="00F817D2" w:rsidRPr="006E437B" w:rsidRDefault="00F817D2"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F817D2" w:rsidRPr="006E437B" w:rsidRDefault="00F817D2" w:rsidP="00141629">
      <w:pPr>
        <w:pStyle w:val="Sinespaciado"/>
        <w:jc w:val="both"/>
        <w:rPr>
          <w:rFonts w:ascii="Times New Roman" w:hAnsi="Times New Roman" w:cs="Times New Roman"/>
          <w:sz w:val="24"/>
          <w:szCs w:val="24"/>
        </w:rPr>
      </w:pPr>
    </w:p>
    <w:p w:rsidR="00C032B0" w:rsidRPr="006E437B" w:rsidRDefault="00C032B0" w:rsidP="00141629">
      <w:pPr>
        <w:pStyle w:val="Sinespaciado"/>
        <w:jc w:val="both"/>
        <w:rPr>
          <w:rFonts w:ascii="Times New Roman" w:eastAsia="Times New Roman" w:hAnsi="Times New Roman" w:cs="Times New Roman"/>
          <w:sz w:val="24"/>
          <w:szCs w:val="24"/>
          <w:lang w:eastAsia="es-MX"/>
        </w:rPr>
      </w:pPr>
      <w:r w:rsidRPr="006E437B">
        <w:rPr>
          <w:rFonts w:ascii="Times New Roman" w:hAnsi="Times New Roman" w:cs="Times New Roman"/>
          <w:sz w:val="24"/>
          <w:szCs w:val="24"/>
        </w:rPr>
        <w:t>PRESIDENTE DIP. VLADIMIR HERNÁNDEZ VILLEGAS.</w:t>
      </w:r>
      <w:r w:rsidRPr="006E437B">
        <w:rPr>
          <w:rFonts w:ascii="Times New Roman" w:eastAsia="Times New Roman" w:hAnsi="Times New Roman" w:cs="Times New Roman"/>
          <w:sz w:val="24"/>
          <w:szCs w:val="24"/>
          <w:lang w:eastAsia="es-MX"/>
        </w:rPr>
        <w:t xml:space="preserve"> Muchas gracias diputada.</w:t>
      </w:r>
    </w:p>
    <w:p w:rsidR="00890892" w:rsidRPr="006E437B" w:rsidRDefault="00C032B0" w:rsidP="00141629">
      <w:pPr>
        <w:pStyle w:val="Sinespaciad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ab/>
        <w:t>Se registra la Iniciativa y se remite a la Comisión Legislativa de Procuración y Administración de Justicia</w:t>
      </w:r>
      <w:r w:rsidR="00933037" w:rsidRPr="006E437B">
        <w:rPr>
          <w:rFonts w:ascii="Times New Roman" w:eastAsia="Times New Roman" w:hAnsi="Times New Roman" w:cs="Times New Roman"/>
          <w:sz w:val="24"/>
          <w:szCs w:val="24"/>
          <w:lang w:eastAsia="es-MX"/>
        </w:rPr>
        <w:t>,</w:t>
      </w:r>
      <w:r w:rsidRPr="006E437B">
        <w:rPr>
          <w:rFonts w:ascii="Times New Roman" w:eastAsia="Times New Roman" w:hAnsi="Times New Roman" w:cs="Times New Roman"/>
          <w:sz w:val="24"/>
          <w:szCs w:val="24"/>
          <w:lang w:eastAsia="es-MX"/>
        </w:rPr>
        <w:t xml:space="preserve"> para su estudio y dictamen</w:t>
      </w:r>
      <w:r w:rsidR="00890892" w:rsidRPr="006E437B">
        <w:rPr>
          <w:rFonts w:ascii="Times New Roman" w:eastAsia="Times New Roman" w:hAnsi="Times New Roman" w:cs="Times New Roman"/>
          <w:sz w:val="24"/>
          <w:szCs w:val="24"/>
          <w:lang w:eastAsia="es-MX"/>
        </w:rPr>
        <w:t>.</w:t>
      </w:r>
    </w:p>
    <w:p w:rsidR="00C032B0" w:rsidRPr="006E437B" w:rsidRDefault="00890892" w:rsidP="00141629">
      <w:pPr>
        <w:pStyle w:val="Sinespaciado"/>
        <w:ind w:firstLine="708"/>
        <w:jc w:val="both"/>
        <w:rPr>
          <w:rFonts w:ascii="Times New Roman" w:hAnsi="Times New Roman" w:cs="Times New Roman"/>
          <w:sz w:val="24"/>
          <w:szCs w:val="24"/>
        </w:rPr>
      </w:pPr>
      <w:r w:rsidRPr="006E437B">
        <w:rPr>
          <w:rFonts w:ascii="Times New Roman" w:eastAsia="Times New Roman" w:hAnsi="Times New Roman" w:cs="Times New Roman"/>
          <w:sz w:val="24"/>
          <w:szCs w:val="24"/>
          <w:lang w:eastAsia="es-MX"/>
        </w:rPr>
        <w:t xml:space="preserve">De </w:t>
      </w:r>
      <w:r w:rsidR="00C032B0" w:rsidRPr="006E437B">
        <w:rPr>
          <w:rFonts w:ascii="Times New Roman" w:eastAsia="Times New Roman" w:hAnsi="Times New Roman" w:cs="Times New Roman"/>
          <w:sz w:val="24"/>
          <w:szCs w:val="24"/>
          <w:lang w:eastAsia="es-MX"/>
        </w:rPr>
        <w:t>conformidad con el punto 15</w:t>
      </w:r>
      <w:r w:rsidRPr="006E437B">
        <w:rPr>
          <w:rFonts w:ascii="Times New Roman" w:eastAsia="Times New Roman" w:hAnsi="Times New Roman" w:cs="Times New Roman"/>
          <w:sz w:val="24"/>
          <w:szCs w:val="24"/>
          <w:lang w:eastAsia="es-MX"/>
        </w:rPr>
        <w:t>,</w:t>
      </w:r>
      <w:r w:rsidR="00C032B0" w:rsidRPr="006E437B">
        <w:rPr>
          <w:rFonts w:ascii="Times New Roman" w:eastAsia="Times New Roman" w:hAnsi="Times New Roman" w:cs="Times New Roman"/>
          <w:sz w:val="24"/>
          <w:szCs w:val="24"/>
          <w:lang w:eastAsia="es-MX"/>
        </w:rPr>
        <w:t xml:space="preserve"> la diputada Krishna Karina Romero Velázquez</w:t>
      </w:r>
      <w:r w:rsidRPr="006E437B">
        <w:rPr>
          <w:rFonts w:ascii="Times New Roman" w:eastAsia="Times New Roman" w:hAnsi="Times New Roman" w:cs="Times New Roman"/>
          <w:sz w:val="24"/>
          <w:szCs w:val="24"/>
          <w:lang w:eastAsia="es-MX"/>
        </w:rPr>
        <w:t>,</w:t>
      </w:r>
      <w:r w:rsidR="00C032B0" w:rsidRPr="006E437B">
        <w:rPr>
          <w:rFonts w:ascii="Times New Roman" w:eastAsia="Times New Roman" w:hAnsi="Times New Roman" w:cs="Times New Roman"/>
          <w:sz w:val="24"/>
          <w:szCs w:val="24"/>
          <w:lang w:eastAsia="es-MX"/>
        </w:rPr>
        <w:t xml:space="preserve"> leerá la Iniciativa con Proyecto de Decreto por el que se reforman y adicionan diversas disposiciones de la Ley que regula el uso de Tecnologías de la Información y Comunicación para la Seguridad Pública del Estado de México y de la Ley de Seguridad del Estado de México en materia de cámaras corporales para la actuación policial</w:t>
      </w:r>
      <w:r w:rsidR="004E658D" w:rsidRPr="006E437B">
        <w:rPr>
          <w:rFonts w:ascii="Times New Roman" w:eastAsia="Times New Roman" w:hAnsi="Times New Roman" w:cs="Times New Roman"/>
          <w:sz w:val="24"/>
          <w:szCs w:val="24"/>
          <w:lang w:eastAsia="es-MX"/>
        </w:rPr>
        <w:t>,</w:t>
      </w:r>
      <w:r w:rsidR="00C032B0" w:rsidRPr="006E437B">
        <w:rPr>
          <w:rFonts w:ascii="Times New Roman" w:eastAsia="Times New Roman" w:hAnsi="Times New Roman" w:cs="Times New Roman"/>
          <w:sz w:val="24"/>
          <w:szCs w:val="24"/>
          <w:lang w:eastAsia="es-MX"/>
        </w:rPr>
        <w:t xml:space="preserve"> presentada por la diputada Krishna Karina Romero Velázquez y el diputado Pablo Fernández de Cevallos González, en nombre del Grupo Parlamentario del Partido Acción Nacional</w:t>
      </w:r>
      <w:r w:rsidR="004E658D" w:rsidRPr="006E437B">
        <w:rPr>
          <w:rFonts w:ascii="Times New Roman" w:eastAsia="Times New Roman" w:hAnsi="Times New Roman" w:cs="Times New Roman"/>
          <w:sz w:val="24"/>
          <w:szCs w:val="24"/>
          <w:lang w:eastAsia="es-MX"/>
        </w:rPr>
        <w:t>, a</w:t>
      </w:r>
      <w:r w:rsidR="00C032B0" w:rsidRPr="006E437B">
        <w:rPr>
          <w:rFonts w:ascii="Times New Roman" w:eastAsia="Times New Roman" w:hAnsi="Times New Roman" w:cs="Times New Roman"/>
          <w:sz w:val="24"/>
          <w:szCs w:val="24"/>
          <w:lang w:eastAsia="es-MX"/>
        </w:rPr>
        <w:t>delante diputada.</w:t>
      </w:r>
    </w:p>
    <w:p w:rsidR="004E658D" w:rsidRPr="006E437B" w:rsidRDefault="00C032B0" w:rsidP="00141629">
      <w:pPr>
        <w:pStyle w:val="Sinespaciad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DIP</w:t>
      </w:r>
      <w:r w:rsidR="00423D4A" w:rsidRPr="006E437B">
        <w:rPr>
          <w:rFonts w:ascii="Times New Roman" w:eastAsia="Times New Roman" w:hAnsi="Times New Roman" w:cs="Times New Roman"/>
          <w:sz w:val="24"/>
          <w:szCs w:val="24"/>
          <w:lang w:eastAsia="es-MX"/>
        </w:rPr>
        <w:t>.</w:t>
      </w:r>
      <w:r w:rsidRPr="006E437B">
        <w:rPr>
          <w:rFonts w:ascii="Times New Roman" w:eastAsia="Times New Roman" w:hAnsi="Times New Roman" w:cs="Times New Roman"/>
          <w:sz w:val="24"/>
          <w:szCs w:val="24"/>
          <w:lang w:eastAsia="es-MX"/>
        </w:rPr>
        <w:t xml:space="preserve"> KRISHNA ROMERO VELÁZQUEZ. Muchas gracias </w:t>
      </w:r>
      <w:r w:rsidR="004E658D" w:rsidRPr="006E437B">
        <w:rPr>
          <w:rFonts w:ascii="Times New Roman" w:eastAsia="Times New Roman" w:hAnsi="Times New Roman" w:cs="Times New Roman"/>
          <w:sz w:val="24"/>
          <w:szCs w:val="24"/>
          <w:lang w:eastAsia="es-MX"/>
        </w:rPr>
        <w:t xml:space="preserve">Presidente, </w:t>
      </w:r>
      <w:r w:rsidRPr="006E437B">
        <w:rPr>
          <w:rFonts w:ascii="Times New Roman" w:eastAsia="Times New Roman" w:hAnsi="Times New Roman" w:cs="Times New Roman"/>
          <w:sz w:val="24"/>
          <w:szCs w:val="24"/>
          <w:lang w:eastAsia="es-MX"/>
        </w:rPr>
        <w:t>con su venia.</w:t>
      </w:r>
    </w:p>
    <w:p w:rsidR="001052C7" w:rsidRPr="006E437B" w:rsidRDefault="00C032B0" w:rsidP="00141629">
      <w:pPr>
        <w:pStyle w:val="Sinespaciado"/>
        <w:ind w:firstLine="708"/>
        <w:jc w:val="both"/>
        <w:rPr>
          <w:rFonts w:ascii="Times New Roman" w:hAnsi="Times New Roman" w:cs="Times New Roman"/>
          <w:sz w:val="24"/>
          <w:szCs w:val="24"/>
          <w:lang w:eastAsia="es-MX"/>
        </w:rPr>
      </w:pPr>
      <w:r w:rsidRPr="006E437B">
        <w:rPr>
          <w:rFonts w:ascii="Times New Roman" w:hAnsi="Times New Roman" w:cs="Times New Roman"/>
          <w:sz w:val="24"/>
          <w:szCs w:val="24"/>
          <w:lang w:eastAsia="es-MX"/>
        </w:rPr>
        <w:t>La seguridad pública representa una de las responsabilidades más importantes del Estado</w:t>
      </w:r>
      <w:r w:rsidR="001052C7" w:rsidRPr="006E437B">
        <w:rPr>
          <w:rFonts w:ascii="Times New Roman" w:hAnsi="Times New Roman" w:cs="Times New Roman"/>
          <w:sz w:val="24"/>
          <w:szCs w:val="24"/>
          <w:lang w:eastAsia="es-MX"/>
        </w:rPr>
        <w:t>.</w:t>
      </w:r>
      <w:r w:rsidRPr="006E437B">
        <w:rPr>
          <w:rFonts w:ascii="Times New Roman" w:hAnsi="Times New Roman" w:cs="Times New Roman"/>
          <w:sz w:val="24"/>
          <w:szCs w:val="24"/>
          <w:lang w:eastAsia="es-MX"/>
        </w:rPr>
        <w:t xml:space="preserve"> </w:t>
      </w:r>
      <w:r w:rsidR="001052C7" w:rsidRPr="006E437B">
        <w:rPr>
          <w:rFonts w:ascii="Times New Roman" w:hAnsi="Times New Roman" w:cs="Times New Roman"/>
          <w:sz w:val="24"/>
          <w:szCs w:val="24"/>
          <w:lang w:eastAsia="es-MX"/>
        </w:rPr>
        <w:t xml:space="preserve">Nuestra </w:t>
      </w:r>
      <w:r w:rsidRPr="006E437B">
        <w:rPr>
          <w:rFonts w:ascii="Times New Roman" w:hAnsi="Times New Roman" w:cs="Times New Roman"/>
          <w:sz w:val="24"/>
          <w:szCs w:val="24"/>
          <w:lang w:eastAsia="es-MX"/>
        </w:rPr>
        <w:t>Constitución Federal</w:t>
      </w:r>
      <w:r w:rsidR="001052C7" w:rsidRPr="006E437B">
        <w:rPr>
          <w:rFonts w:ascii="Times New Roman" w:hAnsi="Times New Roman" w:cs="Times New Roman"/>
          <w:sz w:val="24"/>
          <w:szCs w:val="24"/>
          <w:lang w:eastAsia="es-MX"/>
        </w:rPr>
        <w:t>;</w:t>
      </w:r>
      <w:r w:rsidRPr="006E437B">
        <w:rPr>
          <w:rFonts w:ascii="Times New Roman" w:hAnsi="Times New Roman" w:cs="Times New Roman"/>
          <w:sz w:val="24"/>
          <w:szCs w:val="24"/>
          <w:lang w:eastAsia="es-MX"/>
        </w:rPr>
        <w:t xml:space="preserve"> así como nuestra Constitución del Estado de México, </w:t>
      </w:r>
      <w:r w:rsidR="001052C7" w:rsidRPr="006E437B">
        <w:rPr>
          <w:rFonts w:ascii="Times New Roman" w:hAnsi="Times New Roman" w:cs="Times New Roman"/>
          <w:sz w:val="24"/>
          <w:szCs w:val="24"/>
          <w:lang w:eastAsia="es-MX"/>
        </w:rPr>
        <w:t xml:space="preserve">Establecen </w:t>
      </w:r>
      <w:r w:rsidRPr="006E437B">
        <w:rPr>
          <w:rFonts w:ascii="Times New Roman" w:hAnsi="Times New Roman" w:cs="Times New Roman"/>
          <w:sz w:val="24"/>
          <w:szCs w:val="24"/>
          <w:lang w:eastAsia="es-MX"/>
        </w:rPr>
        <w:t>que la seguridad pública tiene como finalidad proteger la vida, las libertades, la integridad y el patrimonio de las personas</w:t>
      </w:r>
      <w:r w:rsidR="001052C7" w:rsidRPr="006E437B">
        <w:rPr>
          <w:rFonts w:ascii="Times New Roman" w:hAnsi="Times New Roman" w:cs="Times New Roman"/>
          <w:sz w:val="24"/>
          <w:szCs w:val="24"/>
          <w:lang w:eastAsia="es-MX"/>
        </w:rPr>
        <w:t>;</w:t>
      </w:r>
      <w:r w:rsidRPr="006E437B">
        <w:rPr>
          <w:rFonts w:ascii="Times New Roman" w:hAnsi="Times New Roman" w:cs="Times New Roman"/>
          <w:sz w:val="24"/>
          <w:szCs w:val="24"/>
          <w:lang w:eastAsia="es-MX"/>
        </w:rPr>
        <w:t xml:space="preserve"> así como preservar el orden público y la paz social</w:t>
      </w:r>
      <w:r w:rsidR="001052C7" w:rsidRPr="006E437B">
        <w:rPr>
          <w:rFonts w:ascii="Times New Roman" w:hAnsi="Times New Roman" w:cs="Times New Roman"/>
          <w:sz w:val="24"/>
          <w:szCs w:val="24"/>
          <w:lang w:eastAsia="es-MX"/>
        </w:rPr>
        <w:t>;</w:t>
      </w:r>
      <w:r w:rsidRPr="006E437B">
        <w:rPr>
          <w:rFonts w:ascii="Times New Roman" w:hAnsi="Times New Roman" w:cs="Times New Roman"/>
          <w:sz w:val="24"/>
          <w:szCs w:val="24"/>
          <w:lang w:eastAsia="es-MX"/>
        </w:rPr>
        <w:t xml:space="preserve"> pero para las familias mexiquenses</w:t>
      </w:r>
      <w:r w:rsidR="001052C7" w:rsidRPr="006E437B">
        <w:rPr>
          <w:rFonts w:ascii="Times New Roman" w:hAnsi="Times New Roman" w:cs="Times New Roman"/>
          <w:sz w:val="24"/>
          <w:szCs w:val="24"/>
          <w:lang w:eastAsia="es-MX"/>
        </w:rPr>
        <w:t>,</w:t>
      </w:r>
      <w:r w:rsidRPr="006E437B">
        <w:rPr>
          <w:rFonts w:ascii="Times New Roman" w:hAnsi="Times New Roman" w:cs="Times New Roman"/>
          <w:sz w:val="24"/>
          <w:szCs w:val="24"/>
          <w:lang w:eastAsia="es-MX"/>
        </w:rPr>
        <w:t xml:space="preserve"> la seguridad significa algo mucho más cercano, es salir de casa y regresar con bien, caminar por nuestras calles sin miedo, utilizar el transporte público con tranquilidad y saber que cuando necesitemos ayuda</w:t>
      </w:r>
      <w:r w:rsidR="001052C7" w:rsidRPr="006E437B">
        <w:rPr>
          <w:rFonts w:ascii="Times New Roman" w:hAnsi="Times New Roman" w:cs="Times New Roman"/>
          <w:sz w:val="24"/>
          <w:szCs w:val="24"/>
          <w:lang w:eastAsia="es-MX"/>
        </w:rPr>
        <w:t>,</w:t>
      </w:r>
      <w:r w:rsidRPr="006E437B">
        <w:rPr>
          <w:rFonts w:ascii="Times New Roman" w:hAnsi="Times New Roman" w:cs="Times New Roman"/>
          <w:sz w:val="24"/>
          <w:szCs w:val="24"/>
          <w:lang w:eastAsia="es-MX"/>
        </w:rPr>
        <w:t xml:space="preserve"> habrá una autoridad preparada para protegernos.</w:t>
      </w:r>
    </w:p>
    <w:p w:rsidR="00EF7A61" w:rsidRPr="006E437B" w:rsidRDefault="00C032B0"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lang w:eastAsia="es-MX"/>
        </w:rPr>
        <w:t xml:space="preserve">Desafortunadamente, las cifras muestran que todavía existe una distancia importante entre lo que establece la Ley y lo que viven millones de personas. De acuerdo con la Encuesta Nacional de Seguridad Pública Urbana del (INEGI) en junio de 2026, el 59.8 por ciento de las personas adultas manifestó sentirse insegura en la ciudad donde vive, prácticamente estamos hablando de </w:t>
      </w:r>
      <w:r w:rsidR="00997AE5" w:rsidRPr="006E437B">
        <w:rPr>
          <w:rFonts w:ascii="Times New Roman" w:hAnsi="Times New Roman" w:cs="Times New Roman"/>
          <w:sz w:val="24"/>
          <w:szCs w:val="24"/>
          <w:lang w:eastAsia="es-MX"/>
        </w:rPr>
        <w:t>6</w:t>
      </w:r>
      <w:r w:rsidRPr="006E437B">
        <w:rPr>
          <w:rFonts w:ascii="Times New Roman" w:hAnsi="Times New Roman" w:cs="Times New Roman"/>
          <w:sz w:val="24"/>
          <w:szCs w:val="24"/>
          <w:lang w:eastAsia="es-MX"/>
        </w:rPr>
        <w:t xml:space="preserve"> de cada </w:t>
      </w:r>
      <w:r w:rsidR="00997AE5" w:rsidRPr="006E437B">
        <w:rPr>
          <w:rFonts w:ascii="Times New Roman" w:hAnsi="Times New Roman" w:cs="Times New Roman"/>
          <w:sz w:val="24"/>
          <w:szCs w:val="24"/>
          <w:lang w:eastAsia="es-MX"/>
        </w:rPr>
        <w:t>10</w:t>
      </w:r>
      <w:r w:rsidRPr="006E437B">
        <w:rPr>
          <w:rFonts w:ascii="Times New Roman" w:hAnsi="Times New Roman" w:cs="Times New Roman"/>
          <w:sz w:val="24"/>
          <w:szCs w:val="24"/>
          <w:lang w:eastAsia="es-MX"/>
        </w:rPr>
        <w:t xml:space="preserve"> personas. </w:t>
      </w:r>
      <w:r w:rsidRPr="006E437B">
        <w:rPr>
          <w:rFonts w:ascii="Times New Roman" w:hAnsi="Times New Roman" w:cs="Times New Roman"/>
          <w:sz w:val="24"/>
          <w:szCs w:val="24"/>
        </w:rPr>
        <w:t>Además, el 63.4</w:t>
      </w:r>
      <w:r w:rsidR="00997AE5" w:rsidRPr="006E437B">
        <w:rPr>
          <w:rFonts w:ascii="Times New Roman" w:hAnsi="Times New Roman" w:cs="Times New Roman"/>
          <w:sz w:val="24"/>
          <w:szCs w:val="24"/>
        </w:rPr>
        <w:t xml:space="preserve">% </w:t>
      </w:r>
      <w:r w:rsidRPr="006E437B">
        <w:rPr>
          <w:rFonts w:ascii="Times New Roman" w:hAnsi="Times New Roman" w:cs="Times New Roman"/>
          <w:sz w:val="24"/>
          <w:szCs w:val="24"/>
        </w:rPr>
        <w:t>se siente inseguro en la calle y el 62.4</w:t>
      </w:r>
      <w:r w:rsidR="00997AE5" w:rsidRPr="006E437B">
        <w:rPr>
          <w:rFonts w:ascii="Times New Roman" w:hAnsi="Times New Roman" w:cs="Times New Roman"/>
          <w:sz w:val="24"/>
          <w:szCs w:val="24"/>
        </w:rPr>
        <w:t xml:space="preserve">% </w:t>
      </w:r>
      <w:r w:rsidRPr="006E437B">
        <w:rPr>
          <w:rFonts w:ascii="Times New Roman" w:hAnsi="Times New Roman" w:cs="Times New Roman"/>
          <w:sz w:val="24"/>
          <w:szCs w:val="24"/>
        </w:rPr>
        <w:t>en el transporte público. La inseguridad no solamente se refleja en estadísticas</w:t>
      </w:r>
      <w:r w:rsidR="00997AE5" w:rsidRPr="006E437B">
        <w:rPr>
          <w:rFonts w:ascii="Times New Roman" w:hAnsi="Times New Roman" w:cs="Times New Roman"/>
          <w:sz w:val="24"/>
          <w:szCs w:val="24"/>
        </w:rPr>
        <w:t>;</w:t>
      </w:r>
      <w:r w:rsidRPr="006E437B">
        <w:rPr>
          <w:rFonts w:ascii="Times New Roman" w:hAnsi="Times New Roman" w:cs="Times New Roman"/>
          <w:sz w:val="24"/>
          <w:szCs w:val="24"/>
        </w:rPr>
        <w:t xml:space="preserve"> también modifica nuestra manera de vivir</w:t>
      </w:r>
      <w:r w:rsidR="00EF7A61" w:rsidRPr="006E437B">
        <w:rPr>
          <w:rFonts w:ascii="Times New Roman" w:hAnsi="Times New Roman" w:cs="Times New Roman"/>
          <w:sz w:val="24"/>
          <w:szCs w:val="24"/>
        </w:rPr>
        <w:t>;</w:t>
      </w:r>
      <w:r w:rsidRPr="006E437B">
        <w:rPr>
          <w:rFonts w:ascii="Times New Roman" w:hAnsi="Times New Roman" w:cs="Times New Roman"/>
          <w:sz w:val="24"/>
          <w:szCs w:val="24"/>
        </w:rPr>
        <w:t xml:space="preserve"> el 42</w:t>
      </w:r>
      <w:r w:rsidR="00EF7A61" w:rsidRPr="006E437B">
        <w:rPr>
          <w:rFonts w:ascii="Times New Roman" w:hAnsi="Times New Roman" w:cs="Times New Roman"/>
          <w:sz w:val="24"/>
          <w:szCs w:val="24"/>
        </w:rPr>
        <w:t xml:space="preserve">% </w:t>
      </w:r>
      <w:r w:rsidRPr="006E437B">
        <w:rPr>
          <w:rFonts w:ascii="Times New Roman" w:hAnsi="Times New Roman" w:cs="Times New Roman"/>
          <w:sz w:val="24"/>
          <w:szCs w:val="24"/>
        </w:rPr>
        <w:t>de la población cambió el hábito de llevar objetos de valor por temor a la delincuencia y el 32.8</w:t>
      </w:r>
      <w:r w:rsidR="00EF7A61" w:rsidRPr="006E437B">
        <w:rPr>
          <w:rFonts w:ascii="Times New Roman" w:hAnsi="Times New Roman" w:cs="Times New Roman"/>
          <w:sz w:val="24"/>
          <w:szCs w:val="24"/>
        </w:rPr>
        <w:t xml:space="preserve">% </w:t>
      </w:r>
      <w:r w:rsidRPr="006E437B">
        <w:rPr>
          <w:rFonts w:ascii="Times New Roman" w:hAnsi="Times New Roman" w:cs="Times New Roman"/>
          <w:sz w:val="24"/>
          <w:szCs w:val="24"/>
        </w:rPr>
        <w:t>modificó prácticas relacionadas con permitir que las personas menores de edad salgan de su hogar, a ello se suma otro desafío muchos delitos ni siquiera llegan al conocimiento de las autoridades</w:t>
      </w:r>
      <w:r w:rsidR="00EF7A61" w:rsidRPr="006E437B">
        <w:rPr>
          <w:rFonts w:ascii="Times New Roman" w:hAnsi="Times New Roman" w:cs="Times New Roman"/>
          <w:sz w:val="24"/>
          <w:szCs w:val="24"/>
        </w:rPr>
        <w:t>.</w:t>
      </w:r>
    </w:p>
    <w:p w:rsidR="00DF77AC" w:rsidRPr="006E437B" w:rsidRDefault="00EF7A6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La ENVIPE </w:t>
      </w:r>
      <w:r w:rsidR="00C032B0" w:rsidRPr="006E437B">
        <w:rPr>
          <w:rFonts w:ascii="Times New Roman" w:hAnsi="Times New Roman" w:cs="Times New Roman"/>
          <w:sz w:val="24"/>
          <w:szCs w:val="24"/>
        </w:rPr>
        <w:t>2025 estimó una cifra negra nacional de 93</w:t>
      </w:r>
      <w:r w:rsidR="006257F7" w:rsidRPr="006E437B">
        <w:rPr>
          <w:rFonts w:ascii="Times New Roman" w:hAnsi="Times New Roman" w:cs="Times New Roman"/>
          <w:sz w:val="24"/>
          <w:szCs w:val="24"/>
        </w:rPr>
        <w:t>.2%,</w:t>
      </w:r>
      <w:r w:rsidR="00C032B0" w:rsidRPr="006E437B">
        <w:rPr>
          <w:rFonts w:ascii="Times New Roman" w:hAnsi="Times New Roman" w:cs="Times New Roman"/>
          <w:sz w:val="24"/>
          <w:szCs w:val="24"/>
        </w:rPr>
        <w:t xml:space="preserve"> por eso hablar de seguridad también significa hablar de confianza porque cuando una persona no confía en sus instituciones, difícilmente denuncia, solicita ayuda o colabora con las autoridades y precisamente en la relación entre ciudadanía e instituciones policiales</w:t>
      </w:r>
      <w:r w:rsidR="006257F7" w:rsidRPr="006E437B">
        <w:rPr>
          <w:rFonts w:ascii="Times New Roman" w:hAnsi="Times New Roman" w:cs="Times New Roman"/>
          <w:sz w:val="24"/>
          <w:szCs w:val="24"/>
        </w:rPr>
        <w:t>,</w:t>
      </w:r>
      <w:r w:rsidR="00C032B0" w:rsidRPr="006E437B">
        <w:rPr>
          <w:rFonts w:ascii="Times New Roman" w:hAnsi="Times New Roman" w:cs="Times New Roman"/>
          <w:sz w:val="24"/>
          <w:szCs w:val="24"/>
        </w:rPr>
        <w:t xml:space="preserve"> tenemos un reto muy importante que atender, de acuerdo con la </w:t>
      </w:r>
      <w:r w:rsidRPr="006E437B">
        <w:rPr>
          <w:rFonts w:ascii="Times New Roman" w:hAnsi="Times New Roman" w:cs="Times New Roman"/>
          <w:sz w:val="24"/>
          <w:szCs w:val="24"/>
        </w:rPr>
        <w:t xml:space="preserve">ENVIPE </w:t>
      </w:r>
      <w:r w:rsidR="00C032B0" w:rsidRPr="006E437B">
        <w:rPr>
          <w:rFonts w:ascii="Times New Roman" w:hAnsi="Times New Roman" w:cs="Times New Roman"/>
          <w:sz w:val="24"/>
          <w:szCs w:val="24"/>
        </w:rPr>
        <w:t>2025 para el Estado de México, entre la población que identificó a estas autoridades 81.7</w:t>
      </w:r>
      <w:r w:rsidR="006257F7" w:rsidRPr="006E437B">
        <w:rPr>
          <w:rFonts w:ascii="Times New Roman" w:hAnsi="Times New Roman" w:cs="Times New Roman"/>
          <w:sz w:val="24"/>
          <w:szCs w:val="24"/>
        </w:rPr>
        <w:t xml:space="preserve">% </w:t>
      </w:r>
      <w:r w:rsidR="00C032B0" w:rsidRPr="006E437B">
        <w:rPr>
          <w:rFonts w:ascii="Times New Roman" w:hAnsi="Times New Roman" w:cs="Times New Roman"/>
          <w:sz w:val="24"/>
          <w:szCs w:val="24"/>
        </w:rPr>
        <w:t>consideró corrupta a la policía de tránsito el 74.2</w:t>
      </w:r>
      <w:r w:rsidR="006257F7" w:rsidRPr="006E437B">
        <w:rPr>
          <w:rFonts w:ascii="Times New Roman" w:hAnsi="Times New Roman" w:cs="Times New Roman"/>
          <w:sz w:val="24"/>
          <w:szCs w:val="24"/>
        </w:rPr>
        <w:t xml:space="preserve">% </w:t>
      </w:r>
      <w:r w:rsidR="00C032B0" w:rsidRPr="006E437B">
        <w:rPr>
          <w:rFonts w:ascii="Times New Roman" w:hAnsi="Times New Roman" w:cs="Times New Roman"/>
          <w:sz w:val="24"/>
          <w:szCs w:val="24"/>
        </w:rPr>
        <w:t>a la policía preventiva municipal y 74</w:t>
      </w:r>
      <w:r w:rsidR="006257F7" w:rsidRPr="006E437B">
        <w:rPr>
          <w:rFonts w:ascii="Times New Roman" w:hAnsi="Times New Roman" w:cs="Times New Roman"/>
          <w:sz w:val="24"/>
          <w:szCs w:val="24"/>
        </w:rPr>
        <w:t xml:space="preserve">% </w:t>
      </w:r>
      <w:r w:rsidR="00C032B0" w:rsidRPr="006E437B">
        <w:rPr>
          <w:rFonts w:ascii="Times New Roman" w:hAnsi="Times New Roman" w:cs="Times New Roman"/>
          <w:sz w:val="24"/>
          <w:szCs w:val="24"/>
        </w:rPr>
        <w:t xml:space="preserve">consideran corrupta a la </w:t>
      </w:r>
      <w:r w:rsidR="00A81240" w:rsidRPr="006E437B">
        <w:rPr>
          <w:rFonts w:ascii="Times New Roman" w:hAnsi="Times New Roman" w:cs="Times New Roman"/>
          <w:sz w:val="24"/>
          <w:szCs w:val="24"/>
        </w:rPr>
        <w:t>Policía Estatal,</w:t>
      </w:r>
      <w:r w:rsidR="00C032B0" w:rsidRPr="006E437B">
        <w:rPr>
          <w:rFonts w:ascii="Times New Roman" w:hAnsi="Times New Roman" w:cs="Times New Roman"/>
          <w:sz w:val="24"/>
          <w:szCs w:val="24"/>
        </w:rPr>
        <w:t xml:space="preserve"> estas cifras no significan que todos nuestros policías sean corruptos, no podemos ni debemos generalizar</w:t>
      </w:r>
      <w:r w:rsidR="00DF77AC" w:rsidRPr="006E437B">
        <w:rPr>
          <w:rFonts w:ascii="Times New Roman" w:hAnsi="Times New Roman" w:cs="Times New Roman"/>
          <w:sz w:val="24"/>
          <w:szCs w:val="24"/>
        </w:rPr>
        <w:t>,</w:t>
      </w:r>
      <w:r w:rsidR="00C032B0" w:rsidRPr="006E437B">
        <w:rPr>
          <w:rFonts w:ascii="Times New Roman" w:hAnsi="Times New Roman" w:cs="Times New Roman"/>
          <w:sz w:val="24"/>
          <w:szCs w:val="24"/>
        </w:rPr>
        <w:t xml:space="preserve"> miles de mujeres y de hombres policías cumplen todos los días con su deber, atienden emergencias, auxilian a víctimas, participan en operativos y muchas veces tienen apenas unos cuantos segundos para tomar decisiones difíciles para proteger la vida y la integridad de los mexiquenses.</w:t>
      </w:r>
    </w:p>
    <w:p w:rsidR="009E26CB" w:rsidRPr="006E437B" w:rsidRDefault="00C032B0" w:rsidP="00141629">
      <w:pPr>
        <w:pStyle w:val="Sinespaciado"/>
        <w:ind w:firstLine="708"/>
        <w:jc w:val="both"/>
        <w:rPr>
          <w:rFonts w:ascii="Times New Roman" w:eastAsia="Times New Roman" w:hAnsi="Times New Roman" w:cs="Times New Roman"/>
          <w:sz w:val="24"/>
          <w:szCs w:val="24"/>
          <w:lang w:eastAsia="es-MX"/>
        </w:rPr>
      </w:pPr>
      <w:r w:rsidRPr="006E437B">
        <w:rPr>
          <w:rFonts w:ascii="Times New Roman" w:hAnsi="Times New Roman" w:cs="Times New Roman"/>
          <w:sz w:val="24"/>
          <w:szCs w:val="24"/>
        </w:rPr>
        <w:t>Por eso necesitamos proteger los dos lados de una intervención policial al ciudadano que puede ser víctima de una extorsión, un abuso de autoridad o una actuación indebida</w:t>
      </w:r>
      <w:r w:rsidR="00DF77AC"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también al buen policía que cumple con la ley y que puede enfrentar una acusación que no corresponde con lo</w:t>
      </w:r>
      <w:r w:rsidR="002751B9" w:rsidRPr="006E437B">
        <w:rPr>
          <w:rFonts w:ascii="Times New Roman" w:hAnsi="Times New Roman" w:cs="Times New Roman"/>
          <w:sz w:val="24"/>
          <w:szCs w:val="24"/>
        </w:rPr>
        <w:t xml:space="preserve"> que realmente s</w:t>
      </w:r>
      <w:r w:rsidR="009E26CB" w:rsidRPr="006E437B">
        <w:rPr>
          <w:rFonts w:ascii="Times New Roman" w:hAnsi="Times New Roman" w:cs="Times New Roman"/>
          <w:sz w:val="24"/>
          <w:szCs w:val="24"/>
        </w:rPr>
        <w:t>ucedió.</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En razón de lo anterior; la presente iniciativa, tiene por objeto fortalecer el marco jurídico de la </w:t>
      </w:r>
      <w:r w:rsidR="00C43B6F" w:rsidRPr="006E437B">
        <w:rPr>
          <w:rFonts w:ascii="Times New Roman" w:hAnsi="Times New Roman" w:cs="Times New Roman"/>
          <w:sz w:val="24"/>
          <w:szCs w:val="24"/>
        </w:rPr>
        <w:t xml:space="preserve">Entidad </w:t>
      </w:r>
      <w:r w:rsidRPr="006E437B">
        <w:rPr>
          <w:rFonts w:ascii="Times New Roman" w:hAnsi="Times New Roman" w:cs="Times New Roman"/>
          <w:sz w:val="24"/>
          <w:szCs w:val="24"/>
        </w:rPr>
        <w:t xml:space="preserve">para incorporar y regular progresivamente el uso de cámaras corporales por parte de las instituciones policiales, estatales y municipales, con la finalidad de prevenir e inhibir posibles actos de corrupción, de extorsión, de abuso de autoridad y otras conductas indebidas. </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As</w:t>
      </w:r>
      <w:r w:rsidR="00C43B6F" w:rsidRPr="006E437B">
        <w:rPr>
          <w:rFonts w:ascii="Times New Roman" w:hAnsi="Times New Roman" w:cs="Times New Roman"/>
          <w:sz w:val="24"/>
          <w:szCs w:val="24"/>
        </w:rPr>
        <w:t>i</w:t>
      </w:r>
      <w:r w:rsidRPr="006E437B">
        <w:rPr>
          <w:rFonts w:ascii="Times New Roman" w:hAnsi="Times New Roman" w:cs="Times New Roman"/>
          <w:sz w:val="24"/>
          <w:szCs w:val="24"/>
        </w:rPr>
        <w:t xml:space="preserve">mismo, tiene como finalidad proteger y respaldar a los buenos policías, brindándoles una herramienta que permita documentar objetivamente su actuación y demostrar que procedieron conforme a la ley. </w:t>
      </w:r>
    </w:p>
    <w:p w:rsidR="00052EB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Dicho de manera sencilla, si un ciudadano denuncia un abuso, que existe evidencia para investigar y si un policía es acusado injustamente, que también exista evidencia para conocer la verdad, el uso de cámaras corporales no es una experiencia aislada, existen antecedentes internacionales y nacionales</w:t>
      </w:r>
      <w:r w:rsidR="00052EBB" w:rsidRPr="006E437B">
        <w:rPr>
          <w:rFonts w:ascii="Times New Roman" w:hAnsi="Times New Roman" w:cs="Times New Roman"/>
          <w:sz w:val="24"/>
          <w:szCs w:val="24"/>
        </w:rPr>
        <w:t>;</w:t>
      </w:r>
      <w:r w:rsidRPr="006E437B">
        <w:rPr>
          <w:rFonts w:ascii="Times New Roman" w:hAnsi="Times New Roman" w:cs="Times New Roman"/>
          <w:sz w:val="24"/>
          <w:szCs w:val="24"/>
        </w:rPr>
        <w:t xml:space="preserve"> incluso, en marzo de 2026, Nuevo León incorporó en su legislación disposiciones para priorizar su utilización</w:t>
      </w:r>
      <w:r w:rsidR="00052EBB" w:rsidRPr="006E437B">
        <w:rPr>
          <w:rFonts w:ascii="Times New Roman" w:hAnsi="Times New Roman" w:cs="Times New Roman"/>
          <w:sz w:val="24"/>
          <w:szCs w:val="24"/>
        </w:rPr>
        <w:t>,</w:t>
      </w:r>
      <w:r w:rsidRPr="006E437B">
        <w:rPr>
          <w:rFonts w:ascii="Times New Roman" w:hAnsi="Times New Roman" w:cs="Times New Roman"/>
          <w:sz w:val="24"/>
          <w:szCs w:val="24"/>
        </w:rPr>
        <w:t xml:space="preserve"> para el Estado de México; tampoco empieza desde cero, desde el 2022 existe un manual para el uso de cámaras corporales en la Unidad de Asuntos Internos y desde 2023 un protocolo para su utilización en determinadas actividades del Centro de Control de Confianza.</w:t>
      </w:r>
    </w:p>
    <w:p w:rsidR="009E26CB" w:rsidRPr="006E437B" w:rsidRDefault="009E26C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Nuestras propias instituciones ya han reconocido la utilidad de esta tecnología, lo que proponemos ahora</w:t>
      </w:r>
      <w:r w:rsidR="002E77C3" w:rsidRPr="006E437B">
        <w:rPr>
          <w:rFonts w:ascii="Times New Roman" w:hAnsi="Times New Roman" w:cs="Times New Roman"/>
          <w:sz w:val="24"/>
          <w:szCs w:val="24"/>
        </w:rPr>
        <w:t>,</w:t>
      </w:r>
      <w:r w:rsidRPr="006E437B">
        <w:rPr>
          <w:rFonts w:ascii="Times New Roman" w:hAnsi="Times New Roman" w:cs="Times New Roman"/>
          <w:sz w:val="24"/>
          <w:szCs w:val="24"/>
        </w:rPr>
        <w:t xml:space="preserve"> es dar el siguiente paso, pasar del protocolo a la ley y en el Grupo Parlamentario del Partido Acción Naciona</w:t>
      </w:r>
      <w:r w:rsidR="002E77C3" w:rsidRPr="006E437B">
        <w:rPr>
          <w:rFonts w:ascii="Times New Roman" w:hAnsi="Times New Roman" w:cs="Times New Roman"/>
          <w:sz w:val="24"/>
          <w:szCs w:val="24"/>
        </w:rPr>
        <w:t>l</w:t>
      </w:r>
      <w:r w:rsidR="00052EBB" w:rsidRPr="006E437B">
        <w:rPr>
          <w:rFonts w:ascii="Times New Roman" w:hAnsi="Times New Roman" w:cs="Times New Roman"/>
          <w:sz w:val="24"/>
          <w:szCs w:val="24"/>
        </w:rPr>
        <w:t>,</w:t>
      </w:r>
      <w:r w:rsidRPr="006E437B">
        <w:rPr>
          <w:rFonts w:ascii="Times New Roman" w:hAnsi="Times New Roman" w:cs="Times New Roman"/>
          <w:sz w:val="24"/>
          <w:szCs w:val="24"/>
        </w:rPr>
        <w:t xml:space="preserve"> consideramos que una Cámara corporal no va a resolver por sí sola el problema de la inseguridad</w:t>
      </w:r>
      <w:r w:rsidR="002060F7"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2060F7" w:rsidRPr="006E437B">
        <w:rPr>
          <w:rFonts w:ascii="Times New Roman" w:hAnsi="Times New Roman" w:cs="Times New Roman"/>
          <w:sz w:val="24"/>
          <w:szCs w:val="24"/>
        </w:rPr>
        <w:t>p</w:t>
      </w:r>
      <w:r w:rsidRPr="006E437B">
        <w:rPr>
          <w:rFonts w:ascii="Times New Roman" w:hAnsi="Times New Roman" w:cs="Times New Roman"/>
          <w:sz w:val="24"/>
          <w:szCs w:val="24"/>
        </w:rPr>
        <w:t>or supuesto que no Sustituye la capacitación, la profesionalización, las mejores condiciones laborales para nuestros policías, controles internos eficaces, ni una estrategia integral de seguridad pública</w:t>
      </w:r>
      <w:r w:rsidR="002060F7"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correctamente regulada, sí puede ayudar a prevenir conductas indebidas, generar evidencia, esclarecer los hechos, proteger a nuestros buenos policías y fortalecer la confianza de la ciudadanía en sus instituciones.</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 cuanto</w:t>
      </w:r>
      <w:r w:rsidR="002060F7" w:rsidRPr="006E437B">
        <w:rPr>
          <w:rFonts w:ascii="Times New Roman" w:hAnsi="Times New Roman" w:cs="Times New Roman"/>
          <w:sz w:val="24"/>
          <w:szCs w:val="24"/>
        </w:rPr>
        <w:t>,</w:t>
      </w:r>
      <w:r w:rsidRPr="006E437B">
        <w:rPr>
          <w:rFonts w:ascii="Times New Roman" w:hAnsi="Times New Roman" w:cs="Times New Roman"/>
          <w:sz w:val="24"/>
          <w:szCs w:val="24"/>
        </w:rPr>
        <w:t xml:space="preserve"> muchas gracias Presidente.</w:t>
      </w:r>
    </w:p>
    <w:p w:rsidR="00423D4A" w:rsidRPr="006E437B" w:rsidRDefault="00423D4A" w:rsidP="00141629">
      <w:pPr>
        <w:pStyle w:val="Sinespaciado"/>
        <w:jc w:val="both"/>
        <w:rPr>
          <w:rFonts w:ascii="Times New Roman" w:hAnsi="Times New Roman" w:cs="Times New Roman"/>
          <w:sz w:val="24"/>
          <w:szCs w:val="24"/>
        </w:rPr>
      </w:pPr>
    </w:p>
    <w:p w:rsidR="00423D4A" w:rsidRPr="006E437B" w:rsidRDefault="00423D4A"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423D4A" w:rsidRPr="006E437B" w:rsidRDefault="00423D4A" w:rsidP="00141629">
      <w:pPr>
        <w:pStyle w:val="Sinespaciado"/>
        <w:jc w:val="both"/>
        <w:rPr>
          <w:rFonts w:ascii="Times New Roman" w:hAnsi="Times New Roman" w:cs="Times New Roman"/>
          <w:sz w:val="24"/>
          <w:szCs w:val="24"/>
        </w:rPr>
      </w:pPr>
    </w:p>
    <w:p w:rsidR="004A7ECA" w:rsidRPr="006E437B" w:rsidRDefault="004A7ECA" w:rsidP="00141629">
      <w:pPr>
        <w:pStyle w:val="NormalWeb"/>
        <w:spacing w:before="0" w:beforeAutospacing="0" w:after="0" w:afterAutospacing="0"/>
        <w:jc w:val="center"/>
        <w:rPr>
          <w:b/>
        </w:rPr>
      </w:pPr>
      <w:bookmarkStart w:id="8" w:name="_Hlk85342040"/>
      <w:r w:rsidRPr="006E437B">
        <w:rPr>
          <w:b/>
        </w:rPr>
        <w:t>Grupo Parlamentario del Partido Acción Nacional</w:t>
      </w:r>
    </w:p>
    <w:p w:rsidR="004A7ECA" w:rsidRPr="006E437B" w:rsidRDefault="004A7ECA" w:rsidP="00141629">
      <w:pPr>
        <w:pStyle w:val="NormalWeb"/>
        <w:spacing w:before="0" w:beforeAutospacing="0" w:after="0" w:afterAutospacing="0"/>
        <w:jc w:val="center"/>
      </w:pPr>
    </w:p>
    <w:p w:rsidR="004A7ECA" w:rsidRPr="006E437B" w:rsidRDefault="004A7ECA"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“2026. Año del Humanismo Mexicano en el Estado de México”</w:t>
      </w:r>
    </w:p>
    <w:p w:rsidR="004A7ECA" w:rsidRPr="006E437B" w:rsidRDefault="004A7ECA" w:rsidP="00141629">
      <w:pPr>
        <w:pStyle w:val="Sinespaciado"/>
        <w:jc w:val="center"/>
        <w:rPr>
          <w:rFonts w:ascii="Times New Roman" w:hAnsi="Times New Roman" w:cs="Times New Roman"/>
          <w:b/>
          <w:sz w:val="24"/>
          <w:szCs w:val="24"/>
          <w:lang w:val="es-ES"/>
        </w:rPr>
      </w:pPr>
    </w:p>
    <w:p w:rsidR="004A7ECA" w:rsidRPr="006E437B" w:rsidRDefault="004A7ECA" w:rsidP="00141629">
      <w:pPr>
        <w:pStyle w:val="Sinespaciado"/>
        <w:jc w:val="right"/>
        <w:rPr>
          <w:rFonts w:ascii="Times New Roman" w:hAnsi="Times New Roman" w:cs="Times New Roman"/>
          <w:b/>
          <w:sz w:val="24"/>
          <w:szCs w:val="24"/>
          <w:lang w:val="es-ES"/>
        </w:rPr>
      </w:pPr>
      <w:r w:rsidRPr="006E437B">
        <w:rPr>
          <w:rFonts w:ascii="Times New Roman" w:hAnsi="Times New Roman" w:cs="Times New Roman"/>
          <w:b/>
          <w:sz w:val="24"/>
          <w:szCs w:val="24"/>
          <w:lang w:val="es-ES"/>
        </w:rPr>
        <w:t xml:space="preserve">Toluca de Lerdo, Capital del Estado de México, </w:t>
      </w:r>
    </w:p>
    <w:p w:rsidR="004A7ECA" w:rsidRPr="006E437B" w:rsidRDefault="004A7ECA" w:rsidP="00141629">
      <w:pPr>
        <w:pStyle w:val="Sinespaciado"/>
        <w:jc w:val="right"/>
        <w:rPr>
          <w:rFonts w:ascii="Times New Roman" w:hAnsi="Times New Roman" w:cs="Times New Roman"/>
          <w:b/>
          <w:sz w:val="24"/>
          <w:szCs w:val="24"/>
          <w:lang w:val="es-ES"/>
        </w:rPr>
      </w:pPr>
      <w:r w:rsidRPr="006E437B">
        <w:rPr>
          <w:rFonts w:ascii="Times New Roman" w:hAnsi="Times New Roman" w:cs="Times New Roman"/>
          <w:b/>
          <w:sz w:val="24"/>
          <w:szCs w:val="24"/>
          <w:lang w:val="es-ES"/>
        </w:rPr>
        <w:t>09 de septiembre del 2026.</w:t>
      </w:r>
    </w:p>
    <w:p w:rsidR="004A7ECA" w:rsidRPr="006E437B" w:rsidRDefault="004A7ECA" w:rsidP="00141629">
      <w:pPr>
        <w:pStyle w:val="Sinespaciado"/>
        <w:jc w:val="right"/>
        <w:rPr>
          <w:rFonts w:ascii="Times New Roman" w:hAnsi="Times New Roman" w:cs="Times New Roman"/>
          <w:b/>
          <w:sz w:val="24"/>
          <w:szCs w:val="24"/>
          <w:lang w:val="es-ES"/>
        </w:rPr>
      </w:pPr>
    </w:p>
    <w:p w:rsidR="004A7ECA" w:rsidRPr="006E437B" w:rsidRDefault="004A7ECA" w:rsidP="00141629">
      <w:pPr>
        <w:pStyle w:val="Sinespaciado"/>
        <w:rPr>
          <w:rFonts w:ascii="Times New Roman" w:hAnsi="Times New Roman" w:cs="Times New Roman"/>
          <w:b/>
          <w:bCs/>
          <w:sz w:val="24"/>
          <w:szCs w:val="24"/>
        </w:rPr>
      </w:pPr>
      <w:r w:rsidRPr="006E437B">
        <w:rPr>
          <w:rFonts w:ascii="Times New Roman" w:hAnsi="Times New Roman" w:cs="Times New Roman"/>
          <w:b/>
          <w:sz w:val="24"/>
          <w:szCs w:val="24"/>
        </w:rPr>
        <w:t xml:space="preserve">DIPUTADO </w:t>
      </w:r>
      <w:r w:rsidRPr="006E437B">
        <w:rPr>
          <w:rFonts w:ascii="Times New Roman" w:hAnsi="Times New Roman" w:cs="Times New Roman"/>
          <w:b/>
          <w:bCs/>
          <w:sz w:val="24"/>
          <w:szCs w:val="24"/>
        </w:rPr>
        <w:t>VLADIMIR HERNÁNDEZ VILLEGAS</w:t>
      </w:r>
    </w:p>
    <w:p w:rsidR="004A7ECA" w:rsidRPr="006E437B" w:rsidRDefault="004A7ECA"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PRESIDENTE DE LA MESA DIRECTIVA DE LA</w:t>
      </w:r>
    </w:p>
    <w:p w:rsidR="004A7ECA" w:rsidRPr="006E437B" w:rsidRDefault="004A7ECA" w:rsidP="00141629">
      <w:pPr>
        <w:pStyle w:val="Sinespaciado"/>
        <w:rPr>
          <w:rFonts w:ascii="Times New Roman" w:hAnsi="Times New Roman" w:cs="Times New Roman"/>
          <w:b/>
          <w:sz w:val="24"/>
          <w:szCs w:val="24"/>
        </w:rPr>
      </w:pPr>
      <w:r w:rsidRPr="006E437B">
        <w:rPr>
          <w:rFonts w:ascii="Times New Roman" w:hAnsi="Times New Roman" w:cs="Times New Roman"/>
          <w:b/>
          <w:sz w:val="24"/>
          <w:szCs w:val="24"/>
        </w:rPr>
        <w:t>LXII LEGISLATURA DEL ESTADO LIBRE Y</w:t>
      </w:r>
    </w:p>
    <w:p w:rsidR="004A7ECA" w:rsidRPr="006E437B" w:rsidRDefault="004A7ECA" w:rsidP="00141629">
      <w:pPr>
        <w:pStyle w:val="Sinespaciado"/>
        <w:rPr>
          <w:rFonts w:ascii="Times New Roman" w:hAnsi="Times New Roman" w:cs="Times New Roman"/>
          <w:b/>
          <w:sz w:val="24"/>
          <w:szCs w:val="24"/>
          <w:lang w:val="pt-BR"/>
        </w:rPr>
      </w:pPr>
      <w:r w:rsidRPr="006E437B">
        <w:rPr>
          <w:rFonts w:ascii="Times New Roman" w:hAnsi="Times New Roman" w:cs="Times New Roman"/>
          <w:b/>
          <w:sz w:val="24"/>
          <w:szCs w:val="24"/>
          <w:lang w:val="pt-BR"/>
        </w:rPr>
        <w:t>SOBERANO DE MÉXICO</w:t>
      </w:r>
    </w:p>
    <w:p w:rsidR="004A7ECA" w:rsidRPr="006E437B" w:rsidRDefault="004A7ECA" w:rsidP="00141629">
      <w:pPr>
        <w:pStyle w:val="Sinespaciado"/>
        <w:rPr>
          <w:rFonts w:ascii="Times New Roman" w:hAnsi="Times New Roman" w:cs="Times New Roman"/>
          <w:b/>
          <w:sz w:val="24"/>
          <w:szCs w:val="24"/>
          <w:lang w:val="pt-BR"/>
        </w:rPr>
      </w:pPr>
      <w:r w:rsidRPr="006E437B">
        <w:rPr>
          <w:rFonts w:ascii="Times New Roman" w:hAnsi="Times New Roman" w:cs="Times New Roman"/>
          <w:b/>
          <w:sz w:val="24"/>
          <w:szCs w:val="24"/>
          <w:lang w:val="pt-BR"/>
        </w:rPr>
        <w:t>P R E S E N T E.</w:t>
      </w:r>
    </w:p>
    <w:p w:rsidR="004A7ECA" w:rsidRPr="006E437B" w:rsidRDefault="004A7ECA" w:rsidP="00141629">
      <w:pPr>
        <w:pStyle w:val="Sinespaciado"/>
        <w:rPr>
          <w:rFonts w:ascii="Times New Roman" w:hAnsi="Times New Roman" w:cs="Times New Roman"/>
          <w:b/>
          <w:sz w:val="24"/>
          <w:szCs w:val="24"/>
          <w:lang w:val="pt-BR"/>
        </w:rPr>
      </w:pPr>
    </w:p>
    <w:p w:rsidR="004A7ECA" w:rsidRPr="006E437B" w:rsidRDefault="004A7ECA" w:rsidP="00141629">
      <w:pPr>
        <w:pStyle w:val="NormalWeb"/>
        <w:shd w:val="clear" w:color="auto" w:fill="FFFFFF"/>
        <w:spacing w:before="0" w:beforeAutospacing="0" w:after="0" w:afterAutospacing="0"/>
        <w:jc w:val="both"/>
        <w:rPr>
          <w:shd w:val="clear" w:color="auto" w:fill="FFFFFF"/>
        </w:rPr>
      </w:pPr>
      <w:bookmarkStart w:id="9" w:name="_Hlk177980751"/>
      <w:r w:rsidRPr="006E437B">
        <w:rPr>
          <w:shd w:val="clear" w:color="auto" w:fill="FFFFFF"/>
        </w:rPr>
        <w:t xml:space="preserve">Quienes suscriben, Diputados </w:t>
      </w:r>
      <w:r w:rsidRPr="006E437B">
        <w:rPr>
          <w:b/>
          <w:bCs/>
          <w:lang w:val="es-ES"/>
        </w:rPr>
        <w:t>Krishna Karina Romero Velázquez</w:t>
      </w:r>
      <w:bookmarkEnd w:id="9"/>
      <w:r w:rsidRPr="006E437B">
        <w:rPr>
          <w:b/>
          <w:bCs/>
          <w:lang w:val="es-ES"/>
        </w:rPr>
        <w:t xml:space="preserve"> y Pablo Fernández de Cevallos González</w:t>
      </w:r>
      <w:r w:rsidRPr="006E437B">
        <w:rPr>
          <w:shd w:val="clear" w:color="auto" w:fill="FFFFFF"/>
        </w:rPr>
        <w:t xml:space="preserve">,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6E437B">
        <w:rPr>
          <w:b/>
          <w:bCs/>
          <w:shd w:val="clear" w:color="auto" w:fill="FFFFFF"/>
        </w:rPr>
        <w:t>Iniciativa con Proyecto de Decreto por el que se reforman y adicionan diversas disposiciones de la Ley que Regula el uso de Tecnologías de la Información y Comunicación para la Seguridad Pública del Estado de México y de la Ley de Seguridad del Estado de México, en materia de Cámaras Corporales para la Actuación Policial</w:t>
      </w:r>
      <w:r w:rsidRPr="006E437B">
        <w:rPr>
          <w:shd w:val="clear" w:color="auto" w:fill="FFFFFF"/>
        </w:rPr>
        <w:t>, con sustento en la siguiente:</w:t>
      </w:r>
    </w:p>
    <w:p w:rsidR="004A7ECA" w:rsidRPr="006E437B" w:rsidRDefault="004A7ECA" w:rsidP="00141629">
      <w:pPr>
        <w:pStyle w:val="NormalWeb"/>
        <w:shd w:val="clear" w:color="auto" w:fill="FFFFFF"/>
        <w:spacing w:before="0" w:beforeAutospacing="0" w:after="0" w:afterAutospacing="0"/>
        <w:jc w:val="both"/>
        <w:rPr>
          <w:shd w:val="clear" w:color="auto" w:fill="FFFFFF"/>
        </w:rPr>
      </w:pPr>
    </w:p>
    <w:p w:rsidR="004A7ECA" w:rsidRPr="006E437B" w:rsidRDefault="004A7ECA" w:rsidP="00141629">
      <w:pPr>
        <w:pStyle w:val="Sinespaciado"/>
        <w:jc w:val="center"/>
        <w:rPr>
          <w:rFonts w:ascii="Times New Roman" w:hAnsi="Times New Roman" w:cs="Times New Roman"/>
          <w:b/>
          <w:bCs/>
          <w:sz w:val="24"/>
          <w:szCs w:val="24"/>
        </w:rPr>
      </w:pPr>
      <w:r w:rsidRPr="006E437B">
        <w:rPr>
          <w:rFonts w:ascii="Times New Roman" w:hAnsi="Times New Roman" w:cs="Times New Roman"/>
          <w:b/>
          <w:bCs/>
          <w:sz w:val="24"/>
          <w:szCs w:val="24"/>
        </w:rPr>
        <w:t>Exposición De Motivos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La seguridad pública de acuerdo con el artículo 21 de la Constitución Política de los Estados Unidos Mexicanos, constituye una función esencial del Estado, a cargo de la Federación, las entidades federativas y los Municipios, cuyos fines son salvaguardar la vida, las libertades, la integridad y el patrimonio de las personas, así como contribuir a la generación y preservación del orden público y la paz social.</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 xml:space="preserve">El </w:t>
      </w:r>
      <w:bookmarkStart w:id="10" w:name="_Hlk239320483"/>
      <w:r w:rsidRPr="006E437B">
        <w:rPr>
          <w:rFonts w:ascii="Times New Roman" w:eastAsia="Times New Roman" w:hAnsi="Times New Roman" w:cs="Times New Roman"/>
          <w:bCs/>
          <w:sz w:val="24"/>
          <w:szCs w:val="24"/>
          <w:lang w:eastAsia="es-MX"/>
        </w:rPr>
        <w:t>Programa de las Naciones Unidas para el Desarrollo</w:t>
      </w:r>
      <w:bookmarkEnd w:id="10"/>
      <w:r w:rsidRPr="006E437B">
        <w:rPr>
          <w:rFonts w:ascii="Times New Roman" w:eastAsia="Times New Roman" w:hAnsi="Times New Roman" w:cs="Times New Roman"/>
          <w:bCs/>
          <w:sz w:val="24"/>
          <w:szCs w:val="24"/>
          <w:lang w:eastAsia="es-MX"/>
        </w:rPr>
        <w:t>, define a la seguridad ciudadana, como el proceso de establecer, fortalecer y proteger el orden civil democrático, eliminando las amenazas de violencia en la población y permitiendo una coexistencia segura y pacífica.</w:t>
      </w:r>
      <w:r w:rsidRPr="006E437B">
        <w:rPr>
          <w:rFonts w:ascii="Times New Roman" w:eastAsia="Times New Roman" w:hAnsi="Times New Roman" w:cs="Times New Roman"/>
          <w:bCs/>
          <w:sz w:val="24"/>
          <w:szCs w:val="24"/>
          <w:vertAlign w:val="superscript"/>
          <w:lang w:eastAsia="es-MX"/>
        </w:rPr>
        <w:t>1</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Para las y los mexicanos,</w:t>
      </w:r>
      <w:r w:rsidRPr="006E437B">
        <w:rPr>
          <w:rFonts w:ascii="Times New Roman" w:hAnsi="Times New Roman" w:cs="Times New Roman"/>
          <w:sz w:val="24"/>
          <w:szCs w:val="24"/>
        </w:rPr>
        <w:t xml:space="preserve"> </w:t>
      </w:r>
      <w:r w:rsidRPr="006E437B">
        <w:rPr>
          <w:rFonts w:ascii="Times New Roman" w:eastAsia="Times New Roman" w:hAnsi="Times New Roman" w:cs="Times New Roman"/>
          <w:bCs/>
          <w:sz w:val="24"/>
          <w:szCs w:val="24"/>
          <w:lang w:eastAsia="es-MX"/>
        </w:rPr>
        <w:t>más allá de su definición jurídica, la seguridad representa la posibilidad de salir de casa y regresar con bien; caminar por una calle sin miedo; utilizar el transporte público con tranquilidad; abrir un negocio cada mañana; llevar a sus hijas e hijos a la escuela y saber que, cuando exista una emergencia, habrá una autoridad preparada para proteger su vida, su integridad y su patrimonio.</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Sin embargo, entre el mandato constitucional y la realidad que viven millones de mexicanas y mexicanos persiste una brecha que no podemos ignorar, aunque nuestro marco jurídico reconoce la seguridad como una función esencial del Estado y coloca en el centro la protección de la vida, las libertades, la integridad y el patrimonio, para más de la mitad de la población del país esa protección todavía no se percibe plenamente en las calles, en el transporte público, en sus comunidades ni en los espacios donde desarrolla su vida cotidiana.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1</w:t>
      </w:r>
      <w:r w:rsidRPr="006E437B">
        <w:rPr>
          <w:rFonts w:ascii="Times New Roman" w:eastAsia="Times New Roman" w:hAnsi="Times New Roman" w:cs="Times New Roman"/>
          <w:bCs/>
          <w:sz w:val="20"/>
          <w:szCs w:val="24"/>
          <w:lang w:eastAsia="es-MX"/>
        </w:rPr>
        <w:t xml:space="preserve"> Programa de las Naciones Unidas para el Desarrollo (PNUD), Seguridad Ciudadana, disponible en la pág. web. – </w:t>
      </w:r>
      <w:hyperlink r:id="rId316" w:history="1">
        <w:r w:rsidRPr="006E437B">
          <w:rPr>
            <w:rStyle w:val="Hipervnculo"/>
            <w:rFonts w:ascii="Times New Roman" w:eastAsia="Times New Roman" w:hAnsi="Times New Roman" w:cs="Times New Roman"/>
            <w:bCs/>
            <w:color w:val="auto"/>
            <w:sz w:val="20"/>
            <w:szCs w:val="24"/>
            <w:lang w:eastAsia="es-MX"/>
          </w:rPr>
          <w:t>https://www.undp.org/es/publicaciones/sinopsis-seguridad-ciudadana</w:t>
        </w:r>
      </w:hyperlink>
      <w:r w:rsidRPr="006E437B">
        <w:rPr>
          <w:rFonts w:ascii="Times New Roman" w:eastAsia="Times New Roman" w:hAnsi="Times New Roman" w:cs="Times New Roman"/>
          <w:bCs/>
          <w:sz w:val="20"/>
          <w:szCs w:val="24"/>
          <w:lang w:eastAsia="es-MX"/>
        </w:rPr>
        <w:t>, consultada el 18-08-2026.</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Los datos oficiales permiten dimensionar esta realidad, información oficial del Secretariado Ejecutivo del Sistema Nacional de Seguridad Pública, señala que durante 2025 se registraron poco más de dos millones de presuntos delitos del fuero común en nuestro país. Esto significa que, en promedio, se inició una carpeta de investigación por un presunto delito cada 16 segundos; más de 225 cada hora y alrededor de 5 mil 400 cada día, detrás de cada registro existe una víctima, una familia afectada o una persona cuya vida, integridad, libertad o patrimonio pudo haber resultado vulnerado.</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Asimismo, de acuerdo con la Encuesta Nacional de Seguridad Pública Urbana (ENSU), correspondiente al segundo trimestre de 2026, durante junio de ese año 59.8% de la población de 18 años y más residente en las áreas urbanas consideradas por la encuesta manifestó que, en términos de delincuencia, vivir en su ciudad era inseguro.</w:t>
      </w:r>
      <w:r w:rsidRPr="006E437B">
        <w:rPr>
          <w:rFonts w:ascii="Times New Roman" w:eastAsia="Times New Roman" w:hAnsi="Times New Roman" w:cs="Times New Roman"/>
          <w:bCs/>
          <w:sz w:val="24"/>
          <w:szCs w:val="24"/>
          <w:vertAlign w:val="superscript"/>
          <w:lang w:eastAsia="es-MX"/>
        </w:rPr>
        <w:t>2</w:t>
      </w:r>
      <w:r w:rsidRPr="006E437B">
        <w:rPr>
          <w:rFonts w:ascii="Times New Roman" w:eastAsia="Times New Roman" w:hAnsi="Times New Roman" w:cs="Times New Roman"/>
          <w:bCs/>
          <w:sz w:val="24"/>
          <w:szCs w:val="24"/>
          <w:lang w:eastAsia="es-MX"/>
        </w:rPr>
        <w:t xml:space="preserve"> Dicho de otra manera, prácticamente seis de cada diez personas adultas en nuestro país viven con una percepción de inseguridad en el lugar donde deberían sentirse protegidas.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Además, los resultados de la ENSU permiten, advertir que el temor a la delincuencia se manifiesta precisamente en aquellos lugares donde las personas desarrollan su vida cotidiana, dado que el 70.3% de la población manifestó sentirse insegura en los cajeros automáticos localizados en la vía pública; 63.4% en la calle; 62.4% en el transporte público; y 56.3% en las carreteras.</w:t>
      </w:r>
      <w:r w:rsidRPr="006E437B">
        <w:rPr>
          <w:rFonts w:ascii="Times New Roman" w:eastAsia="Times New Roman" w:hAnsi="Times New Roman" w:cs="Times New Roman"/>
          <w:bCs/>
          <w:sz w:val="24"/>
          <w:szCs w:val="24"/>
          <w:vertAlign w:val="superscript"/>
          <w:lang w:eastAsia="es-MX"/>
        </w:rPr>
        <w:t>3</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 xml:space="preserve">La inseguridad, por tanto, no solamente se percibe, también modifica la vida de las personas, pues el 42% de la población modificó el hábito de llevar objetos de valor por temor a la delincuencia; 38.2% cambió prácticas relacionadas con permitir que las personas menores de edad de su hogar salieran solas; y 35.9% modificó la costumbre de caminar de noche en los alrededores de su vivienda. </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A ello se suma que, durante el primer semestre del 2026, el 31% por ciento de los hogares considerados por la ENSU tuvo al menos una víctima de robo, extorsión o fraude, lo que representó aproximadamente 6 millones 218 mil 941 hogares dentro del universo de estimación de la encuesta. Esta realidad adquiere una dimensión todavía mayor cuando se considera la cifra negra, los delitos nunca llegan formalmente al conocimiento de las autoridades, ya que de acuerdo con la ENVIPE 2025, el 93.2% de los delitos no se denuncian.</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Ante este contexto, para garantizar la seguridad pública se requiere construir instituciones capaces de generar confianza en la ciudadanía, actuar con profesionalismo, respetar los derechos humanos y responder con eficacia, legalidad y transparencia frente a una emergencia. La confianza constituye un elemento indispensable de cualquier política de seguridad, porque de ella depende, en buena medida, que una persona se acerque a una autoridad, denuncie un delito, solicite auxilio, aporte información o colabore con las instituciones encargadas de protegerla.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2</w:t>
      </w:r>
      <w:r w:rsidRPr="006E437B">
        <w:rPr>
          <w:rFonts w:ascii="Times New Roman" w:eastAsia="Times New Roman" w:hAnsi="Times New Roman" w:cs="Times New Roman"/>
          <w:bCs/>
          <w:sz w:val="20"/>
          <w:szCs w:val="24"/>
          <w:lang w:eastAsia="es-MX"/>
        </w:rPr>
        <w:t xml:space="preserve"> Encuesta Nacional de Seguridad Pública Urbana (ENSU) Segundo Trimestre 2026, disponible en: </w:t>
      </w:r>
      <w:hyperlink r:id="rId317" w:history="1">
        <w:r w:rsidRPr="006E437B">
          <w:rPr>
            <w:rStyle w:val="Hipervnculo"/>
            <w:rFonts w:ascii="Times New Roman" w:eastAsia="Times New Roman" w:hAnsi="Times New Roman" w:cs="Times New Roman"/>
            <w:bCs/>
            <w:color w:val="auto"/>
            <w:sz w:val="20"/>
            <w:szCs w:val="24"/>
            <w:lang w:eastAsia="es-MX"/>
          </w:rPr>
          <w:t>https://www.inegi.org.mx/contenidos/programas/ensu/doc/ensu2026_junio_presentacion_ejecutiva.pdf</w:t>
        </w:r>
      </w:hyperlink>
      <w:r w:rsidRPr="006E437B">
        <w:rPr>
          <w:rFonts w:ascii="Times New Roman" w:eastAsia="Times New Roman" w:hAnsi="Times New Roman" w:cs="Times New Roman"/>
          <w:bCs/>
          <w:sz w:val="20"/>
          <w:szCs w:val="24"/>
          <w:lang w:eastAsia="es-MX"/>
        </w:rPr>
        <w:t>, consultada el 19-08-2026.</w:t>
      </w: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3</w:t>
      </w:r>
      <w:r w:rsidRPr="006E437B">
        <w:rPr>
          <w:rFonts w:ascii="Times New Roman" w:eastAsia="Times New Roman" w:hAnsi="Times New Roman" w:cs="Times New Roman"/>
          <w:bCs/>
          <w:sz w:val="20"/>
          <w:szCs w:val="24"/>
          <w:lang w:eastAsia="es-MX"/>
        </w:rPr>
        <w:t xml:space="preserve"> Ibidem.</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este sentido, las instituciones policiales ocupan una posición particularmente relevante, son las y los policías quienes realizan labores de prevención y proximidad; atienden emergencias; acuden al lugar donde probablemente se ha cometido un delito; tienen contacto directo con víctimas y testigos; participan en operativos; practican detenciones dentro de los supuestos constitucionales y legales; intervienen en la preservación inicial de determinados indicios y, en situaciones de especial complejidad, deben tomar decisiones en cuestión de segundos para proteger la vida y la integridad de las personas.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Para una parte importante de la ciudadanía, la o el policía que responde a una llamada de emergencia constituye el primer contacto directo con el Estado frente a una situación de peligro. De la legalidad, profesionalismo y eficacia con que se desarrolle esa intervención puede depender no solamente la atención inmediata de una emergencia, sino también la confianza que una persona conserve en sus instituciones.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Sin embargo, los indicadores oficiales muestran que en la relación entre ciudadanía e instituciones policiales persisten importantes desafíos. La ENVIPE 2025 permite advertir diferencias relevantes en los niveles de confianza que la población del Estado de México manifiesta respecto de las distintas autoridades de seguridad pública, procuración e impartición de justicia.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A ello se agrega la percepción ciudadana sobre corrupción, según datos de la ENVIPE 2025 para el Estado de México, entre la población de 18 años y más que identificó a cada autoridad, el 81.7% consideró corrupta a la Policía de Tránsito; el 74.2% manifestó esa percepción respecto de la Policía Preventiva Municipal y el 74.0% respecto de la Policía Estatal.</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Por su parte, la Encuesta Nacional de Calidad e Impacto Gubernamental (ENCIG) 2025, del INEGI, indica que el 63.5% de las personas que tuvieron contacto con autoridades de seguridad pública experimentó al menos un acto de corrupción. Esto significa que más de seis de cada diez personas que interactuaron con estas autoridades enfrentaron alguna práctica de corrupción, situación que debilita la confianza de la ciudadanía en quienes tienen la responsabilidad de protegerla.</w:t>
      </w:r>
      <w:r w:rsidRPr="006E437B">
        <w:rPr>
          <w:rFonts w:ascii="Times New Roman" w:eastAsia="Times New Roman" w:hAnsi="Times New Roman" w:cs="Times New Roman"/>
          <w:bCs/>
          <w:sz w:val="24"/>
          <w:szCs w:val="24"/>
          <w:vertAlign w:val="superscript"/>
          <w:lang w:eastAsia="es-MX"/>
        </w:rPr>
        <w:t>4</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 xml:space="preserve">Esta problemática también encuentra expresión en el espacio público, de manera recurrente, ciudadanos, automovilistas y transportistas utilizan las redes sociales para denunciar presuntos actos de extorsión, solicitudes indebidas de dinero —comúnmente conocidas como “moches”— y operativos que consideran de carácter recaudatorio, particularmente en municipios de la Zona Metropolitana del Valle de México. </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Sin embargo, la existencia de conductas indebidas atribuibles a determinados elementos no debe traducirse en una acusación generalizada contra quienes integran las instituciones policiales. Miles de mujeres y hombres policías desempeñan diariamente una función compleja y de riesgo y, en muchas ocasiones, deben tomar decisiones en cuestión de segundos para proteger la vida y la integridad de las personas. Precisamente por ello, así como la ciudadanía requiere herramientas que permitan prevenir, documentar y esclarecer posibles abusos, las y los policías que actúan conforme a derecho también necesitan instrumentos que respalden objetivamente su actuación frente a señalamientos o acusaciones infundadas.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4</w:t>
      </w:r>
      <w:r w:rsidRPr="006E437B">
        <w:rPr>
          <w:rFonts w:ascii="Times New Roman" w:eastAsia="Times New Roman" w:hAnsi="Times New Roman" w:cs="Times New Roman"/>
          <w:bCs/>
          <w:sz w:val="20"/>
          <w:szCs w:val="24"/>
          <w:lang w:eastAsia="es-MX"/>
        </w:rPr>
        <w:t xml:space="preserve"> Encuesta Nacional de Calidad e Impacto Gubernamental (ENCIG) 2025, INEGI, disponible en la pág. Web. – </w:t>
      </w:r>
      <w:hyperlink r:id="rId318" w:history="1">
        <w:r w:rsidRPr="006E437B">
          <w:rPr>
            <w:rStyle w:val="Hipervnculo"/>
            <w:rFonts w:ascii="Times New Roman" w:eastAsia="Times New Roman" w:hAnsi="Times New Roman" w:cs="Times New Roman"/>
            <w:bCs/>
            <w:color w:val="auto"/>
            <w:sz w:val="20"/>
            <w:szCs w:val="24"/>
            <w:lang w:eastAsia="es-MX"/>
          </w:rPr>
          <w:t>https://www.inegi.org.mx/programas/encig/2025/</w:t>
        </w:r>
      </w:hyperlink>
      <w:r w:rsidRPr="006E437B">
        <w:rPr>
          <w:rFonts w:ascii="Times New Roman" w:eastAsia="Times New Roman" w:hAnsi="Times New Roman" w:cs="Times New Roman"/>
          <w:bCs/>
          <w:sz w:val="20"/>
          <w:szCs w:val="24"/>
          <w:lang w:eastAsia="es-MX"/>
        </w:rPr>
        <w:t>, consultada el día 22-08-2026.</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este contexto, el desarrollo tecnológico ofrece herramientas que pueden contribuir al fortalecimiento de las instituciones de seguridad pública, entre ellas se encuentran las cámaras corporales, conocidas internacionalmente como body-worn cameras o bodycams, dispositivos tecnológicos portátiles incorporados, adaptados o vinculados al uniforme o equipamiento policial, con capacidad para captar y almacenar imágenes y sonidos relacionados con determinadas intervenciones realizadas en ejercicio de las funciones de seguridad pública.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Su incorporación responde a una finalidad jurídicamente relevante: contar con un registro audiovisual que pueda complementar los informes, testimonios y otros elementos disponibles para reconstruir determinadas actuaciones policiales, sin sustituir los procedimientos legales ni las reglas aplicables a la obtención, preservación y valoración de la evidencia.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este sentido, la presente iniciativa tiene por objeto fortalecer el marco jurídico del Estado de México para incorporar y regular el uso de cámaras corporales por parte de las y los integrantes de las instituciones policiales, con la finalidad de prevenir e inhibir posibles actos de corrupción, extorsión, abuso de autoridad y otras conductas indebidas, aportando mayores elementos para su investigación y esclarecimiento cuando lleguen a presentarse.</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 xml:space="preserve">De igual forma, la presente reforma también busca proteger y respaldar a las y los buenos policías que todos los días cumplen con su deber, brindándoles una herramienta que permita documentar objetivamente su actuación y acreditar que procedieron conforme a la ley frente a señalamientos o acusaciones infundadas. </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El uso de cámaras corporales no constituye una experiencia aislada ni una propuesta ajena a la evolución de las instituciones de seguridad pública. En el ámbito internacional, Inglaterra y Gales cuentan con un marco jurídico aplicable al uso de cámaras corporales o Body Worn Video (BWV), sustentado en la Protection of Freedoms Act 2012 y el Surveillance Camera Code of Practice. Este modelo establece que su utilización debe responder a una finalidad legítima, ser necesaria y proporcional, respetar la privacidad y sujetarse a reglas sobre conservación, acceso, seguridad e integridad de las grabaciones.</w:t>
      </w:r>
      <w:r w:rsidRPr="006E437B">
        <w:rPr>
          <w:rFonts w:ascii="Times New Roman" w:eastAsia="Times New Roman" w:hAnsi="Times New Roman" w:cs="Times New Roman"/>
          <w:bCs/>
          <w:sz w:val="24"/>
          <w:szCs w:val="24"/>
          <w:vertAlign w:val="superscript"/>
          <w:lang w:eastAsia="es-MX"/>
        </w:rPr>
        <w:t>5</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vertAlign w:val="superscript"/>
          <w:lang w:eastAsia="es-MX"/>
        </w:rPr>
      </w:pPr>
      <w:r w:rsidRPr="006E437B">
        <w:rPr>
          <w:rFonts w:ascii="Times New Roman" w:eastAsia="Times New Roman" w:hAnsi="Times New Roman" w:cs="Times New Roman"/>
          <w:bCs/>
          <w:sz w:val="24"/>
          <w:szCs w:val="24"/>
          <w:lang w:eastAsia="es-MX"/>
        </w:rPr>
        <w:t>Por su parte, Escocia ha establecido reglas específicas para el uso de las grabaciones obtenidas mediante cámaras corporales en investigaciones y procedimientos penales. Las directrices de la Lord Advocate prevén que estos dispositivos pueden documentar interacciones policiales, manifestaciones de víctimas, testigos o personas sospechosas, así como las circunstancias y evidencia existentes en el lugar de los hechos; además, disponen que las grabaciones relevantes sean identificadas y puestas a disposición de la fiscalía. Esta experiencia demuestra que las cámaras corporales pueden funcionar tanto como mecanismo de transparencia como herramienta para preservar evidencia y esclarecer objetivamente una intervención policial.</w:t>
      </w:r>
      <w:r w:rsidRPr="006E437B">
        <w:rPr>
          <w:rFonts w:ascii="Times New Roman" w:eastAsia="Times New Roman" w:hAnsi="Times New Roman" w:cs="Times New Roman"/>
          <w:bCs/>
          <w:sz w:val="24"/>
          <w:szCs w:val="24"/>
          <w:vertAlign w:val="superscript"/>
          <w:lang w:eastAsia="es-MX"/>
        </w:rPr>
        <w:t>6</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5</w:t>
      </w:r>
      <w:r w:rsidRPr="006E437B">
        <w:rPr>
          <w:rFonts w:ascii="Times New Roman" w:eastAsia="Times New Roman" w:hAnsi="Times New Roman" w:cs="Times New Roman"/>
          <w:bCs/>
          <w:sz w:val="20"/>
          <w:szCs w:val="24"/>
          <w:lang w:eastAsia="es-MX"/>
        </w:rPr>
        <w:t xml:space="preserve"> Reino Unido, Protection of Freedoms Act 2012 y Surveillance Camera Code Of Practice, normativa aplicable a sistemas de videovigilancia, incluido el Body Worn Video (BWV). Gobierno del Reino Unido. Consulta: </w:t>
      </w:r>
      <w:hyperlink r:id="rId319" w:history="1">
        <w:r w:rsidRPr="006E437B">
          <w:rPr>
            <w:rStyle w:val="Hipervnculo"/>
            <w:rFonts w:ascii="Times New Roman" w:eastAsia="Times New Roman" w:hAnsi="Times New Roman" w:cs="Times New Roman"/>
            <w:bCs/>
            <w:color w:val="auto"/>
            <w:sz w:val="20"/>
            <w:szCs w:val="24"/>
            <w:lang w:eastAsia="es-MX"/>
          </w:rPr>
          <w:t>https://www.gov.uk/government/publications/surveillance-camera-code-of-practice-guidance-for-local-authorities/surveillance-camera-code-of-practice-a-guide-for-local-authorities-accessible</w:t>
        </w:r>
      </w:hyperlink>
      <w:r w:rsidRPr="006E437B">
        <w:rPr>
          <w:rFonts w:ascii="Times New Roman" w:eastAsia="Times New Roman" w:hAnsi="Times New Roman" w:cs="Times New Roman"/>
          <w:bCs/>
          <w:sz w:val="20"/>
          <w:szCs w:val="24"/>
          <w:lang w:eastAsia="es-MX"/>
        </w:rPr>
        <w:t>, consultada el día 22-08-2026</w:t>
      </w: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6</w:t>
      </w:r>
      <w:r w:rsidRPr="006E437B">
        <w:rPr>
          <w:rFonts w:ascii="Times New Roman" w:eastAsia="Times New Roman" w:hAnsi="Times New Roman" w:cs="Times New Roman"/>
          <w:bCs/>
          <w:sz w:val="20"/>
          <w:szCs w:val="24"/>
          <w:lang w:eastAsia="es-MX"/>
        </w:rPr>
        <w:t xml:space="preserve"> Crown Office and Procurator Fiscal Service, Escocia, Lord Avocate´s Guidelines on the Provision of Body Worn Video Evidence to the Procurator Fiscal in Criminal Cases, 2025, actualización 2026. Consulta: </w:t>
      </w:r>
      <w:hyperlink r:id="rId320" w:history="1">
        <w:r w:rsidRPr="006E437B">
          <w:rPr>
            <w:rStyle w:val="Hipervnculo"/>
            <w:rFonts w:ascii="Times New Roman" w:eastAsia="Times New Roman" w:hAnsi="Times New Roman" w:cs="Times New Roman"/>
            <w:bCs/>
            <w:color w:val="auto"/>
            <w:sz w:val="20"/>
            <w:szCs w:val="24"/>
            <w:lang w:eastAsia="es-MX"/>
          </w:rPr>
          <w:t>https://www.copfs.gov.uk/publications/lord-advocate-s-guidelines-bocy-worn-video-bwv/html/</w:t>
        </w:r>
      </w:hyperlink>
      <w:r w:rsidRPr="006E437B">
        <w:rPr>
          <w:rFonts w:ascii="Times New Roman" w:eastAsia="Times New Roman" w:hAnsi="Times New Roman" w:cs="Times New Roman"/>
          <w:bCs/>
          <w:sz w:val="20"/>
          <w:szCs w:val="24"/>
          <w:lang w:eastAsia="es-MX"/>
        </w:rPr>
        <w:t>, consultada el día 25-08-2026</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México, distintas entidades y municipios han avanzado en su incorporación como parte de estrategias orientadas a fortalecer la profesionalización policial, la transparencia, la supervisión de las intervenciones y la generación de evidencia objetiva.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Un referente reciente se encuentra en el Estado de Nuevo León, en marzo de 2026 fueron publicadas reformas a su legislación en materia de seguridad pública mediante las cuales se priorizó el uso de cámaras corporales por parte de elementos policiales.</w:t>
      </w:r>
      <w:r w:rsidRPr="006E437B">
        <w:rPr>
          <w:rFonts w:ascii="Times New Roman" w:eastAsia="Times New Roman" w:hAnsi="Times New Roman" w:cs="Times New Roman"/>
          <w:bCs/>
          <w:sz w:val="24"/>
          <w:szCs w:val="24"/>
          <w:vertAlign w:val="superscript"/>
          <w:lang w:eastAsia="es-MX"/>
        </w:rPr>
        <w:t>7</w:t>
      </w:r>
      <w:r w:rsidRPr="006E437B">
        <w:rPr>
          <w:rFonts w:ascii="Times New Roman" w:eastAsia="Times New Roman" w:hAnsi="Times New Roman" w:cs="Times New Roman"/>
          <w:bCs/>
          <w:sz w:val="24"/>
          <w:szCs w:val="24"/>
          <w:lang w:eastAsia="es-MX"/>
        </w:rPr>
        <w:t xml:space="preserve"> Asimismo, la Secretaría de Seguridad de dicha entidad ha establecido disposiciones para el tratamiento de las imágenes, audio y video obtenidos mediante estos dispositivos, señalando entre sus finalidades documentar las actuaciones policiales, registrar hechos relacionados con la probable comisión de delitos o faltas administrativas, preservar evidencia y fortalecer los mecanismos de control, supervisión, transparencia y rendición de cuentas.</w:t>
      </w:r>
      <w:r w:rsidRPr="006E437B">
        <w:rPr>
          <w:rFonts w:ascii="Times New Roman" w:eastAsia="Times New Roman" w:hAnsi="Times New Roman" w:cs="Times New Roman"/>
          <w:bCs/>
          <w:sz w:val="24"/>
          <w:szCs w:val="24"/>
          <w:vertAlign w:val="superscript"/>
          <w:lang w:eastAsia="es-MX"/>
        </w:rPr>
        <w:t>8</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el ámbito municipal también existen experiencias recientes. En abril de 2026, el Ayuntamiento de Tijuana, Baja California, inició formalmente la utilización de cámaras corporales por elementos de su Policía Municipal, con la adquisición de 400 dispositivos destinados a distintas secciones operativas. De acuerdo con la propia autoridad municipal, su implementación busca fortalecer la transparencia y mejorar los procesos de supervisión y actuación policial durante las intervenciones con la ciudadanía.</w:t>
      </w:r>
      <w:r w:rsidRPr="006E437B">
        <w:rPr>
          <w:rFonts w:ascii="Times New Roman" w:eastAsia="Times New Roman" w:hAnsi="Times New Roman" w:cs="Times New Roman"/>
          <w:bCs/>
          <w:sz w:val="24"/>
          <w:szCs w:val="24"/>
          <w:vertAlign w:val="superscript"/>
          <w:lang w:eastAsia="es-MX"/>
        </w:rPr>
        <w:t>9</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el Estado de México, además, el uso de cámaras corporales no parte de cero. Existen antecedentes administrativos que demuestran que las propias instituciones estatales han reconocido la utilidad de esta tecnología. El 28 de junio de 2022 se publicó en el Periódico Oficial “Gaceta del Gobierno” el Manual de Políticas y Procedimiento para el Uso de Cámaras Corporales (Body Cam) de la Unidad de Asuntos Internos, instrumento que establece disposiciones relacionadas con la asignación, utilización, activación, cuidado, supervisión, almacenamiento y consulta de las grabaciones generadas mediante estos dispositivos.</w:t>
      </w:r>
      <w:r w:rsidRPr="006E437B">
        <w:rPr>
          <w:rFonts w:ascii="Times New Roman" w:eastAsia="Times New Roman" w:hAnsi="Times New Roman" w:cs="Times New Roman"/>
          <w:bCs/>
          <w:sz w:val="24"/>
          <w:szCs w:val="24"/>
          <w:vertAlign w:val="superscript"/>
          <w:lang w:eastAsia="es-MX"/>
        </w:rPr>
        <w:t>10</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El referido Manual reconoce entre los objetivos de las cámaras corporales documentar incidentes, preservar evidencia, registrar interacciones con la ciudadanía, prevenir conductas contrarias a la normatividad y generar información susceptible de ser utilizada para capacitación y mejoramiento institucional. Sin embargo, su ámbito de aplicación se encuentra circunscrito fundamentalmente al personal de la Unidad de Asuntos Internos, por lo que constituye un antecedente relevante, pero de alcance administrativo y limitado respecto del universo de instituciones y elementos policiales que operan en la entidad.</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7</w:t>
      </w:r>
      <w:r w:rsidRPr="006E437B">
        <w:rPr>
          <w:rFonts w:ascii="Times New Roman" w:eastAsia="Times New Roman" w:hAnsi="Times New Roman" w:cs="Times New Roman"/>
          <w:bCs/>
          <w:sz w:val="20"/>
          <w:szCs w:val="24"/>
          <w:lang w:eastAsia="es-MX"/>
        </w:rPr>
        <w:t xml:space="preserve"> Fortalece Nuevo León su estrategia de seguridad, Boletín, Gobierno de Nuevo León 24-03-26, disponible en la pág.: </w:t>
      </w:r>
      <w:hyperlink r:id="rId321" w:history="1">
        <w:r w:rsidRPr="006E437B">
          <w:rPr>
            <w:rStyle w:val="Hipervnculo"/>
            <w:rFonts w:ascii="Times New Roman" w:eastAsia="Times New Roman" w:hAnsi="Times New Roman" w:cs="Times New Roman"/>
            <w:bCs/>
            <w:color w:val="auto"/>
            <w:sz w:val="20"/>
            <w:szCs w:val="24"/>
            <w:lang w:eastAsia="es-MX"/>
          </w:rPr>
          <w:t>https://www.hcnl.gob.mx/trabajo_legislativo/leyes/pdf/DECRETO%20191.pdf</w:t>
        </w:r>
      </w:hyperlink>
      <w:r w:rsidRPr="006E437B">
        <w:rPr>
          <w:rFonts w:ascii="Times New Roman" w:eastAsia="Times New Roman" w:hAnsi="Times New Roman" w:cs="Times New Roman"/>
          <w:bCs/>
          <w:sz w:val="20"/>
          <w:szCs w:val="24"/>
          <w:lang w:eastAsia="es-MX"/>
        </w:rPr>
        <w:t>, consultada el 24-08-2026.</w:t>
      </w:r>
    </w:p>
    <w:p w:rsidR="004A7ECA" w:rsidRPr="006E437B" w:rsidRDefault="004A7ECA" w:rsidP="00141629">
      <w:pPr>
        <w:spacing w:after="0" w:line="240" w:lineRule="auto"/>
        <w:jc w:val="both"/>
        <w:rPr>
          <w:rFonts w:ascii="Times New Roman" w:eastAsia="Times New Roman" w:hAnsi="Times New Roman" w:cs="Times New Roman"/>
          <w:bCs/>
          <w:sz w:val="20"/>
          <w:szCs w:val="20"/>
          <w:lang w:eastAsia="es-MX"/>
        </w:rPr>
      </w:pPr>
      <w:r w:rsidRPr="006E437B">
        <w:rPr>
          <w:rFonts w:ascii="Times New Roman" w:eastAsia="Times New Roman" w:hAnsi="Times New Roman" w:cs="Times New Roman"/>
          <w:bCs/>
          <w:sz w:val="20"/>
          <w:szCs w:val="20"/>
          <w:vertAlign w:val="superscript"/>
          <w:lang w:eastAsia="es-MX"/>
        </w:rPr>
        <w:t>8</w:t>
      </w:r>
      <w:r w:rsidRPr="006E437B">
        <w:rPr>
          <w:rFonts w:ascii="Times New Roman" w:eastAsia="Times New Roman" w:hAnsi="Times New Roman" w:cs="Times New Roman"/>
          <w:bCs/>
          <w:sz w:val="20"/>
          <w:szCs w:val="20"/>
          <w:lang w:eastAsia="es-MX"/>
        </w:rPr>
        <w:t xml:space="preserve"> Secretaría de Seguridad del Estado de Nuevo León. (2026). Aviso de Privacidad Integral Cámara de Solapa o Cámara Corporal (Body Cam). Disponible en: </w:t>
      </w:r>
      <w:hyperlink r:id="rId322" w:history="1">
        <w:r w:rsidRPr="006E437B">
          <w:rPr>
            <w:rStyle w:val="Hipervnculo"/>
            <w:rFonts w:ascii="Times New Roman" w:eastAsia="Times New Roman" w:hAnsi="Times New Roman" w:cs="Times New Roman"/>
            <w:bCs/>
            <w:color w:val="auto"/>
            <w:sz w:val="20"/>
            <w:szCs w:val="20"/>
            <w:lang w:eastAsia="es-MX"/>
          </w:rPr>
          <w:t>https://www.nl.gob.mx/es/publicaciones/aviso-privacidad-integral-camara-solapa-o-corporal-body-cam-secretaria-seguridad</w:t>
        </w:r>
      </w:hyperlink>
      <w:r w:rsidRPr="006E437B">
        <w:rPr>
          <w:rFonts w:ascii="Times New Roman" w:eastAsia="Times New Roman" w:hAnsi="Times New Roman" w:cs="Times New Roman"/>
          <w:bCs/>
          <w:sz w:val="20"/>
          <w:szCs w:val="20"/>
          <w:lang w:eastAsia="es-MX"/>
        </w:rPr>
        <w:t>, consultada el 24-08-2026.</w:t>
      </w: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9</w:t>
      </w:r>
      <w:r w:rsidRPr="006E437B">
        <w:rPr>
          <w:rFonts w:ascii="Times New Roman" w:eastAsia="Times New Roman" w:hAnsi="Times New Roman" w:cs="Times New Roman"/>
          <w:bCs/>
          <w:sz w:val="20"/>
          <w:szCs w:val="24"/>
          <w:lang w:eastAsia="es-MX"/>
        </w:rPr>
        <w:t xml:space="preserve"> Ayuntamiento de Tijuana, Baja California. (2026, 24 de abril). Entrega Ismael Burgueño cámaras corporales a elementos de la policía municipal de Tijuana. Comunicado oficial. Disponible en: </w:t>
      </w:r>
      <w:hyperlink r:id="rId323" w:history="1">
        <w:r w:rsidRPr="006E437B">
          <w:rPr>
            <w:rStyle w:val="Hipervnculo"/>
            <w:rFonts w:ascii="Times New Roman" w:eastAsia="Times New Roman" w:hAnsi="Times New Roman" w:cs="Times New Roman"/>
            <w:bCs/>
            <w:color w:val="auto"/>
            <w:sz w:val="20"/>
            <w:szCs w:val="24"/>
            <w:lang w:eastAsia="es-MX"/>
          </w:rPr>
          <w:t>https://www.tijuana.gob.mx/</w:t>
        </w:r>
      </w:hyperlink>
      <w:r w:rsidRPr="006E437B">
        <w:rPr>
          <w:rFonts w:ascii="Times New Roman" w:eastAsia="Times New Roman" w:hAnsi="Times New Roman" w:cs="Times New Roman"/>
          <w:bCs/>
          <w:sz w:val="20"/>
          <w:szCs w:val="24"/>
          <w:lang w:eastAsia="es-MX"/>
        </w:rPr>
        <w:t>, consultada el 28-08-2026.</w:t>
      </w:r>
    </w:p>
    <w:p w:rsidR="004A7ECA" w:rsidRPr="006E437B" w:rsidRDefault="004A7ECA" w:rsidP="00141629">
      <w:pPr>
        <w:spacing w:after="0" w:line="240" w:lineRule="auto"/>
        <w:jc w:val="both"/>
        <w:rPr>
          <w:rFonts w:ascii="Times New Roman" w:eastAsia="Times New Roman" w:hAnsi="Times New Roman" w:cs="Times New Roman"/>
          <w:bCs/>
          <w:sz w:val="20"/>
          <w:szCs w:val="24"/>
          <w:lang w:eastAsia="es-MX"/>
        </w:rPr>
      </w:pPr>
      <w:r w:rsidRPr="006E437B">
        <w:rPr>
          <w:rFonts w:ascii="Times New Roman" w:eastAsia="Times New Roman" w:hAnsi="Times New Roman" w:cs="Times New Roman"/>
          <w:bCs/>
          <w:sz w:val="20"/>
          <w:szCs w:val="24"/>
          <w:vertAlign w:val="superscript"/>
          <w:lang w:eastAsia="es-MX"/>
        </w:rPr>
        <w:t>10</w:t>
      </w:r>
      <w:r w:rsidRPr="006E437B">
        <w:rPr>
          <w:rFonts w:ascii="Times New Roman" w:eastAsia="Times New Roman" w:hAnsi="Times New Roman" w:cs="Times New Roman"/>
          <w:bCs/>
          <w:sz w:val="20"/>
          <w:szCs w:val="24"/>
          <w:lang w:eastAsia="es-MX"/>
        </w:rPr>
        <w:t xml:space="preserve"> Manual de Políticas y Procedimiento para el Uso de Cámaras Corporales (Body Cam), Unidad de Asuntos Internos. Periódico Oficial “Gaceta del Gobierno”, disponible en la pág. Web: </w:t>
      </w:r>
      <w:hyperlink r:id="rId324" w:history="1">
        <w:r w:rsidRPr="006E437B">
          <w:rPr>
            <w:rStyle w:val="Hipervnculo"/>
            <w:rFonts w:ascii="Times New Roman" w:eastAsia="Times New Roman" w:hAnsi="Times New Roman" w:cs="Times New Roman"/>
            <w:bCs/>
            <w:color w:val="auto"/>
            <w:sz w:val="20"/>
            <w:szCs w:val="24"/>
            <w:lang w:eastAsia="es-MX"/>
          </w:rPr>
          <w:t>https://legislacion.edomex.gob.mx/sites/legislacion.edomex.gob.mx/files/files/pdf/gct/2022/junio/jun281/jun281a.pdf</w:t>
        </w:r>
      </w:hyperlink>
      <w:r w:rsidRPr="006E437B">
        <w:rPr>
          <w:rFonts w:ascii="Times New Roman" w:eastAsia="Times New Roman" w:hAnsi="Times New Roman" w:cs="Times New Roman"/>
          <w:bCs/>
          <w:sz w:val="20"/>
          <w:szCs w:val="24"/>
          <w:lang w:eastAsia="es-MX"/>
        </w:rPr>
        <w:t>, consultada el 28-08-2026</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A ello se suma que, el 24 de octubre de 2023, fue publicado en la “Gaceta del Gobierno” el Protocolo de Actuación para el Uso de Cámaras Corporales en la Verificación de Entorno Socioeconómico, aplicable a determinadas actividades desarrolladas por el Centro de Control de Confianza del Estado de México. Ambos instrumentos permiten advertir que el Estado de México ya reconoce institucionalmente la utilidad de las cámaras corporales y cuenta con experiencia administrativa en su utilización.</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La utilización de cámaras corporales por elementos policiales trasciende la operación interna de una institución, pues puede implicar la captación de imágenes y sonidos de ciudadanos, víctimas, testigos y personas detenidas, así como documentar intervenciones, detenciones, uso de la fuerza o hechos posiblemente constitutivos de delito. Por ello, su utilización requiere reglas claras que otorguen certeza sobre su activación, preservación de las grabaciones, protección de datos personales y utilización de la información generada.</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En este sentido, resulta necesario dar un paso adicional: transitar de manuales y protocolos aplicables a determinadas áreas hacia un marco de rango legal que permita avanzar progresivamente hacia un modelo de cámaras corporales para las instituciones policiales del Estado y de los municipios del Estado de México. El propósito es establecer un piso jurídico común que otorgue certeza tanto a la ciudadanía como a las y los policías, definiendo desde la ley sus finalidades, principios, supuestos básicos de activación, deberes de preservación y garantías mínimas para la protección de los derechos de las personas, dejando a los protocolos la regulación de los aspectos técnicos y operativos.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Para ello, se propone reformar la Ley que Regula el Uso de Tecnologías de la Información y Comunicación para la Seguridad Pública del Estado de México y, de manera complementaria, la Ley de Seguridad del Estado de México, estableciendo las bases para una implementación progresiva y sujeta a disponibilidad presupuestaria en las instituciones policiales estatales y municipales, incluyendo a los elementos que desempeñen funciones de seguridad pública, prevención, proximidad y tránsito.</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La seguridad pública requiere instituciones fuertes, pero también instituciones confiables. Requiere policías profesionales, pero también policías protegidos. Requiere mecanismos para investigar y sancionar a quien abuse de su autoridad, pero también herramientas capaces de demostrar cuándo un elemento actuó correctamente.</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Porque detrás de una intervención policial pueden existir dos personas que necesitan certeza: un ciudadano que merece saber que la autoridad actuará conforme a la ley y un policía que merece contar con elementos objetivos para demostrar que cumplió con su deber.</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Las cámaras corporales no sustituirán la capacitación, la profesionalización, mejores condiciones laborales, controles internos eficaces ni una política integral de seguridad pública. Pero correctamente reguladas pueden convertirse en una herramienta adicional para recuperar confianza, generar evidencia y acercar nuevamente a las instituciones con las y los mexiquenses.</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r w:rsidRPr="006E437B">
        <w:rPr>
          <w:rFonts w:ascii="Times New Roman" w:eastAsia="Times New Roman" w:hAnsi="Times New Roman" w:cs="Times New Roman"/>
          <w:bCs/>
          <w:sz w:val="24"/>
          <w:szCs w:val="24"/>
          <w:lang w:eastAsia="es-MX"/>
        </w:rPr>
        <w:t>Por lo anteriormente expuesto, fundamentado y motivado se somete a la consideración de ésta H. Soberanía, el siguiente:</w:t>
      </w:r>
    </w:p>
    <w:p w:rsidR="004A7ECA" w:rsidRPr="006E437B" w:rsidRDefault="004A7ECA" w:rsidP="00141629">
      <w:pPr>
        <w:spacing w:after="0" w:line="240" w:lineRule="auto"/>
        <w:jc w:val="both"/>
        <w:rPr>
          <w:rFonts w:ascii="Times New Roman" w:eastAsia="Times New Roman" w:hAnsi="Times New Roman" w:cs="Times New Roman"/>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center"/>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PROYECTO DE DECRETO</w:t>
      </w:r>
    </w:p>
    <w:p w:rsidR="004A7ECA" w:rsidRPr="006E437B" w:rsidRDefault="004A7ECA" w:rsidP="00141629">
      <w:pPr>
        <w:spacing w:after="0" w:line="240" w:lineRule="auto"/>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DECRETO NÚMERO__</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LA H. “LXII” LEGISLATURA DEL ESTADO DE MÉXICO</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DECRETA:</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ARTÍCULO PRIMERO.</w:t>
      </w:r>
      <w:r w:rsidRPr="006E437B">
        <w:rPr>
          <w:rFonts w:ascii="Times New Roman" w:hAnsi="Times New Roman" w:cs="Times New Roman"/>
          <w:sz w:val="24"/>
          <w:szCs w:val="24"/>
        </w:rPr>
        <w:t xml:space="preserve"> </w:t>
      </w:r>
      <w:r w:rsidRPr="006E437B">
        <w:rPr>
          <w:rFonts w:ascii="Times New Roman" w:eastAsia="Times New Roman" w:hAnsi="Times New Roman" w:cs="Times New Roman"/>
          <w:sz w:val="24"/>
          <w:szCs w:val="24"/>
          <w:lang w:eastAsia="es-MX"/>
        </w:rPr>
        <w:t>Se adiciona la fracción XXI al artículo 2 y un CAPÍTULO IV BIS denominado “De Las Cámaras Corporales”, integrado por los artículos 21 Bis, 21 Ter, 21 Quáter, 21 Quinquies, 21 Sexies y 21 Septies, a la Ley que Regula el Uso de Tecnologías de la Información y Comunicación para la Seguridad Pública del Estado de México, para quedar como sigue:</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 </w:t>
      </w:r>
      <w:r w:rsidRPr="006E437B">
        <w:rPr>
          <w:rFonts w:ascii="Times New Roman" w:eastAsia="Times New Roman" w:hAnsi="Times New Roman" w:cs="Times New Roman"/>
          <w:sz w:val="24"/>
          <w:szCs w:val="24"/>
          <w:lang w:eastAsia="es-MX"/>
        </w:rPr>
        <w:t>Para los efectos de esta Ley, se entenderá por:</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I. a XX. …</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XXI. Cámara Corporal: Dispositivo tecnológico portátil incorporado, adaptado o vinculado al uniforme o equipo de las personas integrantes de las Instituciones Policiales, con capacidad para captar y almacenar imágenes y sonidos relacionados con el ejercicio de sus funciones.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pStyle w:val="Sinespaciado"/>
        <w:jc w:val="center"/>
        <w:rPr>
          <w:rFonts w:ascii="Times New Roman" w:hAnsi="Times New Roman" w:cs="Times New Roman"/>
          <w:b/>
          <w:bCs/>
          <w:sz w:val="24"/>
          <w:szCs w:val="24"/>
          <w:lang w:eastAsia="es-MX"/>
        </w:rPr>
      </w:pPr>
      <w:r w:rsidRPr="006E437B">
        <w:rPr>
          <w:rFonts w:ascii="Times New Roman" w:hAnsi="Times New Roman" w:cs="Times New Roman"/>
          <w:b/>
          <w:bCs/>
          <w:sz w:val="24"/>
          <w:szCs w:val="24"/>
          <w:lang w:eastAsia="es-MX"/>
        </w:rPr>
        <w:t>CAPÍTULO IV BIS</w:t>
      </w:r>
    </w:p>
    <w:p w:rsidR="004A7ECA" w:rsidRPr="006E437B" w:rsidRDefault="004A7ECA" w:rsidP="00141629">
      <w:pPr>
        <w:pStyle w:val="Sinespaciado"/>
        <w:jc w:val="center"/>
        <w:rPr>
          <w:rFonts w:ascii="Times New Roman" w:hAnsi="Times New Roman" w:cs="Times New Roman"/>
          <w:b/>
          <w:bCs/>
          <w:sz w:val="24"/>
          <w:szCs w:val="24"/>
          <w:lang w:eastAsia="es-MX"/>
        </w:rPr>
      </w:pPr>
    </w:p>
    <w:p w:rsidR="004A7ECA" w:rsidRPr="006E437B" w:rsidRDefault="004A7ECA" w:rsidP="00141629">
      <w:pPr>
        <w:pStyle w:val="Sinespaciado"/>
        <w:jc w:val="center"/>
        <w:rPr>
          <w:rFonts w:ascii="Times New Roman" w:hAnsi="Times New Roman" w:cs="Times New Roman"/>
          <w:b/>
          <w:bCs/>
          <w:sz w:val="24"/>
          <w:szCs w:val="24"/>
          <w:lang w:eastAsia="es-MX"/>
        </w:rPr>
      </w:pPr>
      <w:r w:rsidRPr="006E437B">
        <w:rPr>
          <w:rFonts w:ascii="Times New Roman" w:hAnsi="Times New Roman" w:cs="Times New Roman"/>
          <w:b/>
          <w:bCs/>
          <w:sz w:val="24"/>
          <w:szCs w:val="24"/>
          <w:lang w:eastAsia="es-MX"/>
        </w:rPr>
        <w:t>DE LAS CÁMARAS CORPORALES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21 Bis. </w:t>
      </w:r>
      <w:r w:rsidRPr="006E437B">
        <w:rPr>
          <w:rFonts w:ascii="Times New Roman" w:eastAsia="Times New Roman" w:hAnsi="Times New Roman" w:cs="Times New Roman"/>
          <w:sz w:val="24"/>
          <w:szCs w:val="24"/>
          <w:lang w:eastAsia="es-MX"/>
        </w:rPr>
        <w:t>Las instituciones policiales del Estado y de los municipios implementarán progresivamente, conforme a su disponibilidad presupuestaria, capacidad operativa y planeación institucional, el uso de cámaras corporales por parte de sus integrantes.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Para su implementación se priorizarán las funciones que, por su naturaleza, impliquen mayor interacción directa con la ciudadanía, particularmente las relacionadas con prevención, proximidad, tránsito, operativos, inspecciones, detenciones y aquellas en las que exista una mayor probabilidad de uso de la fuerza, de conformidad con los protocolos y demás disposiciones aplicables.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 asignación de una cámara corporal deberá acompañarse de la capacitación necesaria para su utilización adecuada.</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21 Ter. </w:t>
      </w:r>
      <w:r w:rsidRPr="006E437B">
        <w:rPr>
          <w:rFonts w:ascii="Times New Roman" w:eastAsia="Times New Roman" w:hAnsi="Times New Roman" w:cs="Times New Roman"/>
          <w:sz w:val="24"/>
          <w:szCs w:val="24"/>
          <w:lang w:eastAsia="es-MX"/>
        </w:rPr>
        <w:t>Las personas integrantes de las instituciones policiales a quienes les haya sido formalmente asignada una cámara corporal deberán activarla, conforme a los protocolos aplicables, cuando:</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Realicen una detención;</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Practiquen inspecciones o revisiones legalmente procedentes;</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Participen en persecuciones;</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Se presente o sea razonablemente previsible el uso de la fuerza;</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Brinden la atención inicial a hechos probablemente constitutivos de delito;</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Participen en operativos policiales en los que resulte procedente su utilización;</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jc w:val="both"/>
        <w:rPr>
          <w:rFonts w:ascii="Times New Roman" w:hAnsi="Times New Roman" w:cs="Times New Roman"/>
          <w:sz w:val="24"/>
          <w:szCs w:val="24"/>
          <w:lang w:eastAsia="es-MX"/>
        </w:rPr>
      </w:pPr>
      <w:r w:rsidRPr="006E437B">
        <w:rPr>
          <w:rFonts w:ascii="Times New Roman" w:hAnsi="Times New Roman" w:cs="Times New Roman"/>
          <w:sz w:val="24"/>
          <w:szCs w:val="24"/>
          <w:lang w:eastAsia="es-MX"/>
        </w:rPr>
        <w:t>Ejecuten mandamientos ministeriales o judiciales cuando la naturaleza de la diligencia permita la utilización del dispositivo;</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Intervengan en hechos o circunstancias que razonablemente puedan representar un riesgo para la ciudadanía, terceras personas o para el propio elemento policial; y</w:t>
      </w:r>
    </w:p>
    <w:p w:rsidR="004A7ECA" w:rsidRPr="006E437B" w:rsidRDefault="004A7ECA" w:rsidP="00141629">
      <w:pPr>
        <w:pStyle w:val="Sinespaciado"/>
        <w:rPr>
          <w:rFonts w:ascii="Times New Roman" w:hAnsi="Times New Roman" w:cs="Times New Roman"/>
          <w:sz w:val="24"/>
          <w:szCs w:val="24"/>
          <w:lang w:eastAsia="es-MX"/>
        </w:rPr>
      </w:pPr>
    </w:p>
    <w:p w:rsidR="004A7ECA" w:rsidRPr="006E437B" w:rsidRDefault="004A7ECA" w:rsidP="00DA64DA">
      <w:pPr>
        <w:pStyle w:val="Sinespaciado"/>
        <w:numPr>
          <w:ilvl w:val="0"/>
          <w:numId w:val="25"/>
        </w:numPr>
        <w:rPr>
          <w:rFonts w:ascii="Times New Roman" w:hAnsi="Times New Roman" w:cs="Times New Roman"/>
          <w:sz w:val="24"/>
          <w:szCs w:val="24"/>
          <w:lang w:eastAsia="es-MX"/>
        </w:rPr>
      </w:pPr>
      <w:r w:rsidRPr="006E437B">
        <w:rPr>
          <w:rFonts w:ascii="Times New Roman" w:hAnsi="Times New Roman" w:cs="Times New Roman"/>
          <w:sz w:val="24"/>
          <w:szCs w:val="24"/>
          <w:lang w:eastAsia="es-MX"/>
        </w:rPr>
        <w:t>En los demás supuestos que establezcan los protocolos y disposiciones jurídicas aplicables.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Cuando las circunstancias lo permitan y ello no genere un riesgo para la seguridad de las personas o para el desarrollo de la intervención, el elemento policial procurará informar que la actuación está siendo registrada mediante cámara corporal.</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21 Quáter. </w:t>
      </w:r>
      <w:r w:rsidRPr="006E437B">
        <w:rPr>
          <w:rFonts w:ascii="Times New Roman" w:eastAsia="Times New Roman" w:hAnsi="Times New Roman" w:cs="Times New Roman"/>
          <w:sz w:val="24"/>
          <w:szCs w:val="24"/>
          <w:lang w:eastAsia="es-MX"/>
        </w:rPr>
        <w:t>Una vez iniciada la grabación, la cámara corporal deberá permanecer activa hasta que concluya la intervención que motivó su activación, salvo que exista una causa legal, material, técnica o de seguridad debidamente justificada que impida continuar con el registro.</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Las fallas técnicas no atribuibles a la persona usuaria no constituirán por sí mismas incumplimiento de las obligaciones previstas en este Capítulo.</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 falta injustificada de activación o la interrupción deliberada de la grabación podrá dar lugar a las responsabilidades administrativas o disciplinarias que correspondan.</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 falta de activación o la interrupción de la grabación no producirá, por sí misma, la invalidez automática de la intervención, detención o actuación policial, ni determinará automáticamente la exclusión de otros elementos de prueba, lo cual se resolverá conforme a las disposiciones jurídicas aplicables.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21 Quinquies. </w:t>
      </w:r>
      <w:r w:rsidRPr="006E437B">
        <w:rPr>
          <w:rFonts w:ascii="Times New Roman" w:eastAsia="Times New Roman" w:hAnsi="Times New Roman" w:cs="Times New Roman"/>
          <w:sz w:val="24"/>
          <w:szCs w:val="24"/>
          <w:lang w:eastAsia="es-MX"/>
        </w:rPr>
        <w:t>Las cámaras corporales únicamente podrán utilizarse para fines relacionados con la seguridad pública y el ejercicio de las funciones legalmente encomendadas a las instituciones policiales.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Queda prohibido utilizar estos dispositivos para fines personales, comerciales, político-electorales o ajenos al servicio, así como para realizar actos de acoso, discriminación o cualquier otra conducta contraria a derecho.</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 utilización de las cámaras corporales deberá observar los principios de legalidad, necesidad, proporcionalidad, responsabilidad, seguridad y respeto a los derechos humanos.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21 Sexies. </w:t>
      </w:r>
      <w:r w:rsidRPr="006E437B">
        <w:rPr>
          <w:rFonts w:ascii="Times New Roman" w:eastAsia="Times New Roman" w:hAnsi="Times New Roman" w:cs="Times New Roman"/>
          <w:sz w:val="24"/>
          <w:szCs w:val="24"/>
          <w:lang w:eastAsia="es-MX"/>
        </w:rPr>
        <w:t>El tratamiento de las imágenes, sonidos y demás información obtenida mediante cámaras corporales se sujetará a las disposiciones aplicables en materia de transparencia, acceso a la información, protección de datos personales, seguridad pública y, cuando corresponda, cadena de custodia.</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Las instituciones deberán establecer medidas que garanticen la integridad, autenticidad, inalterabilidad, seguridad, trazabilidad, almacenamiento y preservación de las grabaciones, así como controles para identificar los accesos y operaciones realizadas sobre éstas.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Queda prohibida la alteración, edición, eliminación, copia, extracción, difusión o utilización no autorizada de las grabaciones, incluyendo su publicación en redes sociales o plataformas digitales, sin perjuicio de los supuestos expresamente permitidos por las disposiciones jurídicas aplicables.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21 Septies. </w:t>
      </w:r>
      <w:r w:rsidRPr="006E437B">
        <w:rPr>
          <w:rFonts w:ascii="Times New Roman" w:eastAsia="Times New Roman" w:hAnsi="Times New Roman" w:cs="Times New Roman"/>
          <w:sz w:val="24"/>
          <w:szCs w:val="24"/>
          <w:lang w:eastAsia="es-MX"/>
        </w:rPr>
        <w:t>La utilización de cámaras corporales deberá realizarse con especial consideración a la privacidad, dignidad y protección de los datos personales de las personas registradas.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Los protocolos deberán establecer medidas reforzadas respecto de niñas, niños y adolescentes; víctimas de delitos sexuales; víctimas y testigos cuya identidad requiera protección; personas que reciban atención médica; así como respecto de grabaciones realizadas en domicilios o lugares en los que exista una expectativa reforzada de privacidad.</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El ingreso y grabación mediante cámaras corporales dentro de un domicilio únicamente procederá cuando la actuación policial dentro de éste sea jurídicamente válida y la utilización del dispositivo resulte necesaria conforme a la naturaleza de la intervención.</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Las instituciones policiales deberán evaluar periódicamente la implementación de las cámaras corporales mediante indicadores que permitan conocer, entre otros aspectos, su utilización, funcionamiento, cumplimiento de los protocolos y resultados institucionales, incorporando información estadística agregada al informe previsto en el artículo 42 de esta Ley, sin comprometer datos personales, investigaciones o información legalmente reservada.</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 xml:space="preserve">ARTÍCULO SEGUNDO. </w:t>
      </w:r>
      <w:r w:rsidRPr="006E437B">
        <w:rPr>
          <w:rFonts w:ascii="Times New Roman" w:eastAsia="Times New Roman" w:hAnsi="Times New Roman" w:cs="Times New Roman"/>
          <w:sz w:val="24"/>
          <w:szCs w:val="24"/>
          <w:lang w:eastAsia="es-MX"/>
        </w:rPr>
        <w:t>Se adiciona el inciso aq) al apartado B del artículo 100 de la Ley de Seguridad del Estado de México, para quedar como sigue:</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Artículo 100. </w:t>
      </w:r>
      <w:r w:rsidRPr="006E437B">
        <w:rPr>
          <w:rFonts w:ascii="Times New Roman" w:eastAsia="Times New Roman" w:hAnsi="Times New Roman" w:cs="Times New Roman"/>
          <w:b/>
          <w:sz w:val="24"/>
          <w:szCs w:val="24"/>
          <w:lang w:eastAsia="es-MX"/>
        </w:rPr>
        <w:t>…</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a) a ap) …</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aq</w:t>
      </w:r>
      <w:r w:rsidRPr="006E437B">
        <w:rPr>
          <w:rFonts w:ascii="Times New Roman" w:eastAsia="Times New Roman" w:hAnsi="Times New Roman" w:cs="Times New Roman"/>
          <w:sz w:val="24"/>
          <w:szCs w:val="24"/>
          <w:lang w:eastAsia="es-MX"/>
        </w:rPr>
        <w:t>) Portar, utilizar y activar la cámara corporal que, en su caso, les sea asignada formalmente por la Institución Policial, así como preservar el equipo y observar las disposiciones aplicables para el tratamiento de la información generada, de conformidad con la Ley que Regula el Uso de Tecnologías de la Información y Comunicación para la Seguridad Pública del Estado de México, los protocolos y demás disposiciones jurídicas aplicables.</w:t>
      </w: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p>
    <w:p w:rsidR="004A7ECA" w:rsidRPr="006E437B" w:rsidRDefault="004A7ECA" w:rsidP="00141629">
      <w:pPr>
        <w:spacing w:after="0" w:line="240" w:lineRule="auto"/>
        <w:jc w:val="center"/>
        <w:rPr>
          <w:rFonts w:ascii="Times New Roman" w:eastAsia="Times New Roman" w:hAnsi="Times New Roman" w:cs="Times New Roman"/>
          <w:b/>
          <w:bCs/>
          <w:sz w:val="24"/>
          <w:szCs w:val="24"/>
          <w:lang w:eastAsia="es-MX"/>
        </w:rPr>
      </w:pPr>
      <w:r w:rsidRPr="006E437B">
        <w:rPr>
          <w:rFonts w:ascii="Times New Roman" w:eastAsia="Times New Roman" w:hAnsi="Times New Roman" w:cs="Times New Roman"/>
          <w:b/>
          <w:bCs/>
          <w:sz w:val="24"/>
          <w:szCs w:val="24"/>
          <w:lang w:eastAsia="es-MX"/>
        </w:rPr>
        <w:t>ARTÍCULOS TRANSITORIOS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PRIMERO. </w:t>
      </w:r>
      <w:r w:rsidRPr="006E437B">
        <w:rPr>
          <w:rFonts w:ascii="Times New Roman" w:eastAsia="Times New Roman" w:hAnsi="Times New Roman" w:cs="Times New Roman"/>
          <w:sz w:val="24"/>
          <w:szCs w:val="24"/>
          <w:lang w:eastAsia="es-MX"/>
        </w:rPr>
        <w:t>Publíquese el presente Decreto en el Periódico Oficial “Gaceta del Gobierno”.</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SEGUNDO. </w:t>
      </w:r>
      <w:r w:rsidRPr="006E437B">
        <w:rPr>
          <w:rFonts w:ascii="Times New Roman" w:eastAsia="Times New Roman" w:hAnsi="Times New Roman" w:cs="Times New Roman"/>
          <w:sz w:val="24"/>
          <w:szCs w:val="24"/>
          <w:lang w:eastAsia="es-MX"/>
        </w:rPr>
        <w:t>El presente Decreto entrará en vigor a los noventa días naturales siguientes al de su publicación en el Periódico Oficial “Gaceta del Gobierno”.</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TERCERO. </w:t>
      </w:r>
      <w:r w:rsidRPr="006E437B">
        <w:rPr>
          <w:rFonts w:ascii="Times New Roman" w:eastAsia="Times New Roman" w:hAnsi="Times New Roman" w:cs="Times New Roman"/>
          <w:sz w:val="24"/>
          <w:szCs w:val="24"/>
          <w:lang w:eastAsia="es-MX"/>
        </w:rPr>
        <w:t>La Secretaría de Seguridad del Estado de México, en el ámbito de sus atribuciones y en coordinación con las instancias competentes, deberá emitir o adecuar, dentro de los ciento ochenta días naturales siguientes a la entrada en vigor del presente Decreto, los protocolos, lineamientos y demás disposiciones administrativas necesarias para su cumplimiento.</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CUARTO. </w:t>
      </w:r>
      <w:r w:rsidRPr="006E437B">
        <w:rPr>
          <w:rFonts w:ascii="Times New Roman" w:eastAsia="Times New Roman" w:hAnsi="Times New Roman" w:cs="Times New Roman"/>
          <w:sz w:val="24"/>
          <w:szCs w:val="24"/>
          <w:lang w:eastAsia="es-MX"/>
        </w:rPr>
        <w:t>Las instituciones policiales estatales y municipales implementarán progresivamente el uso de cámaras corporales de conformidad con su disponibilidad presupuestaria, capacidad operativa, planeación institucional y las disposiciones que se emitan para tal efecto.</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QUINTO. </w:t>
      </w:r>
      <w:r w:rsidRPr="006E437B">
        <w:rPr>
          <w:rFonts w:ascii="Times New Roman" w:eastAsia="Times New Roman" w:hAnsi="Times New Roman" w:cs="Times New Roman"/>
          <w:sz w:val="24"/>
          <w:szCs w:val="24"/>
          <w:lang w:eastAsia="es-MX"/>
        </w:rPr>
        <w:t>Para la implementación progresiva se priorizarán las funciones que impliquen mayor interacción directa con la ciudadanía, particularmente las relacionadas con prevención, proximidad, tránsito, operativos, inspecciones, detenciones y aquellas en las que exista una mayor probabilidad de uso de la fuerza.</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SEXTO. </w:t>
      </w:r>
      <w:r w:rsidRPr="006E437B">
        <w:rPr>
          <w:rFonts w:ascii="Times New Roman" w:eastAsia="Times New Roman" w:hAnsi="Times New Roman" w:cs="Times New Roman"/>
          <w:sz w:val="24"/>
          <w:szCs w:val="24"/>
          <w:lang w:eastAsia="es-MX"/>
        </w:rPr>
        <w:t>Las obligaciones individuales relativas a la portación, utilización y activación de cámaras corporales serán exigibles a las personas integrantes de las instituciones policiales únicamente cuando el dispositivo les haya sido formalmente asignado y hayan recibido la capacitación correspondiente.</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SÉPTIMO. </w:t>
      </w:r>
      <w:r w:rsidRPr="006E437B">
        <w:rPr>
          <w:rFonts w:ascii="Times New Roman" w:eastAsia="Times New Roman" w:hAnsi="Times New Roman" w:cs="Times New Roman"/>
          <w:sz w:val="24"/>
          <w:szCs w:val="24"/>
          <w:lang w:eastAsia="es-MX"/>
        </w:rPr>
        <w:t>Las erogaciones que, en su caso, se generen con motivo de la implementación del presente Decreto se realizarán con cargo a los presupuestos autorizados de las instituciones correspondientes, de acuerdo con la disponibilidad presupuestaria y las disposiciones aplicables.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OCTAVO. </w:t>
      </w:r>
      <w:r w:rsidRPr="006E437B">
        <w:rPr>
          <w:rFonts w:ascii="Times New Roman" w:eastAsia="Times New Roman" w:hAnsi="Times New Roman" w:cs="Times New Roman"/>
          <w:sz w:val="24"/>
          <w:szCs w:val="24"/>
          <w:lang w:eastAsia="es-MX"/>
        </w:rPr>
        <w:t>La Secretaría de Seguridad establecerá los criterios e indicadores generales para evaluar progresivamente la implementación y utilización de las cámaras corporales, sin perjuicio de las atribuciones que correspondan a los municipios.</w:t>
      </w:r>
    </w:p>
    <w:p w:rsidR="004A7ECA" w:rsidRPr="006E437B" w:rsidRDefault="004A7ECA" w:rsidP="00141629">
      <w:pPr>
        <w:spacing w:after="0" w:line="240" w:lineRule="auto"/>
        <w:jc w:val="both"/>
        <w:rPr>
          <w:rFonts w:ascii="Times New Roman" w:eastAsia="Times New Roman" w:hAnsi="Times New Roman" w:cs="Times New Roman"/>
          <w:b/>
          <w:bCs/>
          <w:sz w:val="24"/>
          <w:szCs w:val="24"/>
          <w:lang w:eastAsia="es-MX"/>
        </w:rPr>
      </w:pPr>
    </w:p>
    <w:p w:rsidR="004A7ECA" w:rsidRPr="006E437B" w:rsidRDefault="004A7ECA" w:rsidP="00141629">
      <w:pPr>
        <w:spacing w:after="0" w:line="240" w:lineRule="aut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b/>
          <w:bCs/>
          <w:sz w:val="24"/>
          <w:szCs w:val="24"/>
          <w:lang w:eastAsia="es-MX"/>
        </w:rPr>
        <w:t xml:space="preserve">NOVENO. </w:t>
      </w:r>
      <w:r w:rsidRPr="006E437B">
        <w:rPr>
          <w:rFonts w:ascii="Times New Roman" w:eastAsia="Times New Roman" w:hAnsi="Times New Roman" w:cs="Times New Roman"/>
          <w:sz w:val="24"/>
          <w:szCs w:val="24"/>
          <w:lang w:eastAsia="es-MX"/>
        </w:rPr>
        <w:t>Los manuales, protocolos, lineamientos y demás disposiciones administrativas vigentes en materia de cámaras corporales continuarán aplicándose en lo que no se opongan al presente Decreto, hasta en tanto sean modificados, sustituidos o abrogados.</w:t>
      </w:r>
    </w:p>
    <w:p w:rsidR="004A7ECA" w:rsidRPr="006E437B" w:rsidRDefault="004A7ECA" w:rsidP="00141629">
      <w:pPr>
        <w:spacing w:after="0" w:line="240" w:lineRule="auto"/>
        <w:jc w:val="both"/>
        <w:rPr>
          <w:rFonts w:ascii="Times New Roman" w:eastAsia="Arial" w:hAnsi="Times New Roman" w:cs="Times New Roman"/>
          <w:sz w:val="24"/>
          <w:szCs w:val="24"/>
          <w:lang w:eastAsia="es-MX"/>
        </w:rPr>
      </w:pPr>
    </w:p>
    <w:p w:rsidR="004A7ECA" w:rsidRPr="006E437B" w:rsidRDefault="004A7ECA"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la Ciudad de Toluca, Capital del Estado de México, a los 09 días del mes de septiembre del año dos mil veintiséis.</w:t>
      </w:r>
      <w:bookmarkEnd w:id="8"/>
    </w:p>
    <w:p w:rsidR="004A7ECA" w:rsidRPr="006E437B" w:rsidRDefault="004A7ECA" w:rsidP="00141629">
      <w:pPr>
        <w:spacing w:after="0" w:line="240" w:lineRule="auto"/>
        <w:rPr>
          <w:rFonts w:ascii="Times New Roman" w:eastAsia="Arial Unicode MS" w:hAnsi="Times New Roman" w:cs="Times New Roman"/>
          <w:b/>
          <w:sz w:val="24"/>
          <w:szCs w:val="24"/>
          <w:bdr w:val="ni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6E437B" w:rsidRPr="006E437B" w:rsidTr="004260D3">
        <w:tc>
          <w:tcPr>
            <w:tcW w:w="4697" w:type="dxa"/>
          </w:tcPr>
          <w:p w:rsidR="004260D3" w:rsidRPr="006E437B" w:rsidRDefault="004260D3" w:rsidP="00141629">
            <w:pPr>
              <w:spacing w:line="240" w:lineRule="auto"/>
              <w:rPr>
                <w:rFonts w:ascii="Times New Roman" w:eastAsia="Arial Unicode MS" w:hAnsi="Times New Roman" w:cs="Times New Roman"/>
                <w:sz w:val="24"/>
                <w:szCs w:val="24"/>
                <w:bdr w:val="nil"/>
              </w:rPr>
            </w:pPr>
            <w:r w:rsidRPr="006E437B">
              <w:rPr>
                <w:rFonts w:ascii="Times New Roman" w:eastAsia="Arial Unicode MS" w:hAnsi="Times New Roman" w:cs="Times New Roman"/>
                <w:b/>
                <w:sz w:val="24"/>
                <w:szCs w:val="24"/>
                <w:bdr w:val="nil"/>
              </w:rPr>
              <w:t>__________________________________</w:t>
            </w:r>
          </w:p>
        </w:tc>
        <w:tc>
          <w:tcPr>
            <w:tcW w:w="4698" w:type="dxa"/>
          </w:tcPr>
          <w:p w:rsidR="004260D3" w:rsidRPr="006E437B" w:rsidRDefault="004260D3" w:rsidP="004260D3">
            <w:pPr>
              <w:spacing w:line="240" w:lineRule="auto"/>
              <w:jc w:val="center"/>
              <w:rPr>
                <w:rFonts w:ascii="Times New Roman" w:eastAsia="Arial Unicode MS" w:hAnsi="Times New Roman" w:cs="Times New Roman"/>
                <w:sz w:val="24"/>
                <w:szCs w:val="24"/>
                <w:bdr w:val="nil"/>
              </w:rPr>
            </w:pPr>
            <w:r w:rsidRPr="006E437B">
              <w:rPr>
                <w:rFonts w:ascii="Times New Roman" w:eastAsia="Arial Unicode MS" w:hAnsi="Times New Roman" w:cs="Times New Roman"/>
                <w:b/>
                <w:sz w:val="24"/>
                <w:szCs w:val="24"/>
                <w:bdr w:val="nil"/>
              </w:rPr>
              <w:t>________________________________</w:t>
            </w:r>
          </w:p>
        </w:tc>
      </w:tr>
      <w:tr w:rsidR="004260D3" w:rsidRPr="006E437B" w:rsidTr="004260D3">
        <w:tc>
          <w:tcPr>
            <w:tcW w:w="4697" w:type="dxa"/>
          </w:tcPr>
          <w:p w:rsidR="004260D3" w:rsidRPr="006E437B" w:rsidRDefault="004260D3" w:rsidP="004260D3">
            <w:pPr>
              <w:spacing w:line="240" w:lineRule="auto"/>
              <w:jc w:val="center"/>
              <w:rPr>
                <w:rFonts w:ascii="Times New Roman" w:eastAsia="Arial Unicode MS" w:hAnsi="Times New Roman" w:cs="Times New Roman"/>
                <w:b/>
                <w:bCs/>
                <w:sz w:val="24"/>
                <w:szCs w:val="24"/>
                <w:bdr w:val="nil"/>
                <w:lang w:val="es-ES"/>
              </w:rPr>
            </w:pPr>
            <w:r w:rsidRPr="006E437B">
              <w:rPr>
                <w:rFonts w:ascii="Times New Roman" w:eastAsia="Arial Unicode MS" w:hAnsi="Times New Roman" w:cs="Times New Roman"/>
                <w:b/>
                <w:bCs/>
                <w:sz w:val="24"/>
                <w:szCs w:val="24"/>
                <w:bdr w:val="nil"/>
                <w:lang w:val="es-ES"/>
              </w:rPr>
              <w:t>Diputada Krishna Karina Romero Velázquez</w:t>
            </w:r>
          </w:p>
          <w:p w:rsidR="00D2342E" w:rsidRPr="006E437B" w:rsidRDefault="00D2342E" w:rsidP="004260D3">
            <w:pPr>
              <w:spacing w:line="240" w:lineRule="auto"/>
              <w:jc w:val="center"/>
              <w:rPr>
                <w:rFonts w:ascii="Times New Roman" w:eastAsia="Arial Unicode MS" w:hAnsi="Times New Roman" w:cs="Times New Roman"/>
                <w:b/>
                <w:sz w:val="24"/>
                <w:szCs w:val="24"/>
                <w:bdr w:val="nil"/>
              </w:rPr>
            </w:pPr>
          </w:p>
        </w:tc>
        <w:tc>
          <w:tcPr>
            <w:tcW w:w="4698" w:type="dxa"/>
          </w:tcPr>
          <w:p w:rsidR="00D2342E" w:rsidRPr="006E437B" w:rsidRDefault="00D2342E" w:rsidP="00D2342E">
            <w:pPr>
              <w:spacing w:line="240" w:lineRule="auto"/>
              <w:jc w:val="center"/>
              <w:rPr>
                <w:rFonts w:ascii="Times New Roman" w:eastAsia="Arial Unicode MS" w:hAnsi="Times New Roman" w:cs="Times New Roman"/>
                <w:b/>
                <w:bCs/>
                <w:sz w:val="24"/>
                <w:szCs w:val="24"/>
                <w:bdr w:val="nil"/>
              </w:rPr>
            </w:pPr>
            <w:r w:rsidRPr="006E437B">
              <w:rPr>
                <w:rFonts w:ascii="Times New Roman" w:eastAsia="Arial Unicode MS" w:hAnsi="Times New Roman" w:cs="Times New Roman"/>
                <w:b/>
                <w:bCs/>
                <w:sz w:val="24"/>
                <w:szCs w:val="24"/>
                <w:bdr w:val="nil"/>
              </w:rPr>
              <w:t>Diputado Pablo Fernández de Cevallos G.</w:t>
            </w:r>
          </w:p>
          <w:p w:rsidR="004260D3" w:rsidRPr="006E437B" w:rsidRDefault="004260D3" w:rsidP="00141629">
            <w:pPr>
              <w:spacing w:line="240" w:lineRule="auto"/>
              <w:rPr>
                <w:rFonts w:ascii="Times New Roman" w:eastAsia="Arial Unicode MS" w:hAnsi="Times New Roman" w:cs="Times New Roman"/>
                <w:b/>
                <w:sz w:val="24"/>
                <w:szCs w:val="24"/>
                <w:bdr w:val="nil"/>
              </w:rPr>
            </w:pPr>
          </w:p>
        </w:tc>
      </w:tr>
    </w:tbl>
    <w:p w:rsidR="004A7ECA" w:rsidRPr="006E437B" w:rsidRDefault="004A7ECA" w:rsidP="00141629">
      <w:pPr>
        <w:spacing w:after="0" w:line="240" w:lineRule="auto"/>
        <w:jc w:val="center"/>
        <w:rPr>
          <w:rFonts w:ascii="Times New Roman" w:hAnsi="Times New Roman" w:cs="Times New Roman"/>
          <w:sz w:val="24"/>
          <w:szCs w:val="24"/>
        </w:rPr>
      </w:pPr>
      <w:r w:rsidRPr="006E437B">
        <w:rPr>
          <w:rFonts w:ascii="Times New Roman" w:eastAsia="Arial Unicode MS" w:hAnsi="Times New Roman" w:cs="Times New Roman"/>
          <w:b/>
          <w:bCs/>
          <w:sz w:val="24"/>
          <w:szCs w:val="24"/>
          <w:bdr w:val="nil"/>
          <w:lang w:val="es-ES"/>
        </w:rPr>
        <w:t>Grupo Parlamentario del Partido Acción Nacional</w:t>
      </w:r>
    </w:p>
    <w:p w:rsidR="00423D4A" w:rsidRPr="006E437B" w:rsidRDefault="00423D4A" w:rsidP="00141629">
      <w:pPr>
        <w:pStyle w:val="Sinespaciado"/>
        <w:jc w:val="both"/>
        <w:rPr>
          <w:rFonts w:ascii="Times New Roman" w:hAnsi="Times New Roman" w:cs="Times New Roman"/>
          <w:sz w:val="24"/>
          <w:szCs w:val="24"/>
        </w:rPr>
      </w:pPr>
    </w:p>
    <w:p w:rsidR="00423D4A" w:rsidRPr="006E437B" w:rsidRDefault="00423D4A"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423D4A" w:rsidRPr="006E437B" w:rsidRDefault="00423D4A" w:rsidP="00141629">
      <w:pPr>
        <w:pStyle w:val="Sinespaciado"/>
        <w:jc w:val="both"/>
        <w:rPr>
          <w:rFonts w:ascii="Times New Roman" w:hAnsi="Times New Roman" w:cs="Times New Roman"/>
          <w:sz w:val="24"/>
          <w:szCs w:val="24"/>
        </w:rPr>
      </w:pP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diputada.</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registra la iniciativa y se remite a la Comisión Legislativa de Seguridad Pública y Tránsito y la Comisión Especial de Innovación, Gobierno Digital e Inteligencia Artificial para su estudio y dictamen.</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Para tramitar el punto 16, la diputada Maricela Beltrán Sánchez</w:t>
      </w:r>
      <w:r w:rsidR="002060F7" w:rsidRPr="006E437B">
        <w:rPr>
          <w:rFonts w:ascii="Times New Roman" w:hAnsi="Times New Roman" w:cs="Times New Roman"/>
          <w:sz w:val="24"/>
          <w:szCs w:val="24"/>
        </w:rPr>
        <w:t>,</w:t>
      </w:r>
      <w:r w:rsidRPr="006E437B">
        <w:rPr>
          <w:rFonts w:ascii="Times New Roman" w:hAnsi="Times New Roman" w:cs="Times New Roman"/>
          <w:sz w:val="24"/>
          <w:szCs w:val="24"/>
        </w:rPr>
        <w:t xml:space="preserve"> leerá la Iniciativa con Proyecto de Decreto por la que se expide la Ley de Participación Ciudadana para el Estado de México, se deroga el título décimo denominado del Testigo Social del Libro Primero del Código Administrativo del Estado de México, se reforma la fracción XII del artículo 3 y se adiciona el artículo 28 Bis de la Ley de Contratación Pública del Estado de México y Municipios, se adiciona un último párrafo al artículo 3 de la Ley Orgánica Municipal del Estado de México y se adiciona un último párrafo al artículo 2 del Código Electoral del Estado de México en materia de armonización legislativa, en materia de </w:t>
      </w:r>
      <w:r w:rsidR="00C06C0F" w:rsidRPr="006E437B">
        <w:rPr>
          <w:rFonts w:ascii="Times New Roman" w:hAnsi="Times New Roman" w:cs="Times New Roman"/>
          <w:sz w:val="24"/>
          <w:szCs w:val="24"/>
        </w:rPr>
        <w:t xml:space="preserve">Participación Ciudadana </w:t>
      </w:r>
      <w:r w:rsidRPr="006E437B">
        <w:rPr>
          <w:rFonts w:ascii="Times New Roman" w:hAnsi="Times New Roman" w:cs="Times New Roman"/>
          <w:sz w:val="24"/>
          <w:szCs w:val="24"/>
        </w:rPr>
        <w:t>y armonización legislativa, presentada por el Grupo Parlamentario de Movimiento Ciudadano</w:t>
      </w:r>
      <w:r w:rsidR="00C06C0F" w:rsidRPr="006E437B">
        <w:rPr>
          <w:rFonts w:ascii="Times New Roman" w:hAnsi="Times New Roman" w:cs="Times New Roman"/>
          <w:sz w:val="24"/>
          <w:szCs w:val="24"/>
        </w:rPr>
        <w:t>, a</w:t>
      </w:r>
      <w:r w:rsidRPr="006E437B">
        <w:rPr>
          <w:rFonts w:ascii="Times New Roman" w:hAnsi="Times New Roman" w:cs="Times New Roman"/>
          <w:sz w:val="24"/>
          <w:szCs w:val="24"/>
        </w:rPr>
        <w:t>delante diputada.</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MARICELA BELTRÁN SÁNCHEZ. Muchas gracias Presidente.</w:t>
      </w:r>
    </w:p>
    <w:p w:rsidR="009E26CB"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r>
      <w:r w:rsidR="00C06C0F" w:rsidRPr="006E437B">
        <w:rPr>
          <w:rFonts w:ascii="Times New Roman" w:hAnsi="Times New Roman" w:cs="Times New Roman"/>
          <w:sz w:val="24"/>
          <w:szCs w:val="24"/>
        </w:rPr>
        <w:t xml:space="preserve">Antes </w:t>
      </w:r>
      <w:r w:rsidRPr="006E437B">
        <w:rPr>
          <w:rFonts w:ascii="Times New Roman" w:hAnsi="Times New Roman" w:cs="Times New Roman"/>
          <w:sz w:val="24"/>
          <w:szCs w:val="24"/>
        </w:rPr>
        <w:t xml:space="preserve">de iniciar, recientemente el 21 de septiembre, celebramos nuevamente en el Estado de México </w:t>
      </w:r>
      <w:r w:rsidR="005511FD" w:rsidRPr="006E437B">
        <w:rPr>
          <w:rFonts w:ascii="Times New Roman" w:hAnsi="Times New Roman" w:cs="Times New Roman"/>
          <w:sz w:val="24"/>
          <w:szCs w:val="24"/>
        </w:rPr>
        <w:t xml:space="preserve">“El </w:t>
      </w:r>
      <w:r w:rsidRPr="006E437B">
        <w:rPr>
          <w:rFonts w:ascii="Times New Roman" w:hAnsi="Times New Roman" w:cs="Times New Roman"/>
          <w:sz w:val="24"/>
          <w:szCs w:val="24"/>
        </w:rPr>
        <w:t>Día de las Flores Amarillas</w:t>
      </w:r>
      <w:r w:rsidR="005511FD" w:rsidRPr="006E437B">
        <w:rPr>
          <w:rFonts w:ascii="Times New Roman" w:hAnsi="Times New Roman" w:cs="Times New Roman"/>
          <w:sz w:val="24"/>
          <w:szCs w:val="24"/>
        </w:rPr>
        <w:t>”</w:t>
      </w:r>
      <w:r w:rsidRPr="006E437B">
        <w:rPr>
          <w:rFonts w:ascii="Times New Roman" w:hAnsi="Times New Roman" w:cs="Times New Roman"/>
          <w:sz w:val="24"/>
          <w:szCs w:val="24"/>
        </w:rPr>
        <w:t>, un producto que nuestras floricultores y floricultores han cosechado con amor, con dedicación y la tierra florece en el Estado de México, recíbanlas con respeto, admiración y cariño en nombre de Villa Guerrero.</w:t>
      </w:r>
    </w:p>
    <w:p w:rsidR="002751B9" w:rsidRPr="006E437B" w:rsidRDefault="009E26CB"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Con su venia Presidente</w:t>
      </w:r>
      <w:r w:rsidR="00925A9F" w:rsidRPr="006E437B">
        <w:rPr>
          <w:rFonts w:ascii="Times New Roman" w:hAnsi="Times New Roman" w:cs="Times New Roman"/>
          <w:sz w:val="24"/>
          <w:szCs w:val="24"/>
        </w:rPr>
        <w:t>;</w:t>
      </w:r>
      <w:r w:rsidRPr="006E437B">
        <w:rPr>
          <w:rFonts w:ascii="Times New Roman" w:hAnsi="Times New Roman" w:cs="Times New Roman"/>
          <w:sz w:val="24"/>
          <w:szCs w:val="24"/>
        </w:rPr>
        <w:t xml:space="preserve"> así como de mis compañeras y compañeros de la Mesa Directiva. </w:t>
      </w:r>
    </w:p>
    <w:p w:rsidR="00DA6155" w:rsidRPr="006E437B" w:rsidRDefault="009E26C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Saludo con mucho gusto a las</w:t>
      </w:r>
      <w:r w:rsidR="000C56A6" w:rsidRPr="006E437B">
        <w:rPr>
          <w:rFonts w:ascii="Times New Roman" w:hAnsi="Times New Roman" w:cs="Times New Roman"/>
          <w:sz w:val="24"/>
          <w:szCs w:val="24"/>
        </w:rPr>
        <w:t xml:space="preserve"> les</w:t>
      </w:r>
      <w:r w:rsidRPr="006E437B">
        <w:rPr>
          <w:rFonts w:ascii="Times New Roman" w:hAnsi="Times New Roman" w:cs="Times New Roman"/>
          <w:sz w:val="24"/>
          <w:szCs w:val="24"/>
        </w:rPr>
        <w:t xml:space="preserve"> y los legisladores aquí presentes, a los</w:t>
      </w:r>
      <w:r w:rsidR="00BA65BA" w:rsidRPr="006E437B">
        <w:rPr>
          <w:rFonts w:ascii="Times New Roman" w:hAnsi="Times New Roman" w:cs="Times New Roman"/>
          <w:sz w:val="24"/>
          <w:szCs w:val="24"/>
        </w:rPr>
        <w:t xml:space="preserve"> </w:t>
      </w:r>
      <w:r w:rsidR="000C56A6" w:rsidRPr="006E437B">
        <w:rPr>
          <w:rFonts w:ascii="Times New Roman" w:hAnsi="Times New Roman" w:cs="Times New Roman"/>
          <w:sz w:val="24"/>
          <w:szCs w:val="24"/>
        </w:rPr>
        <w:t>medios de c</w:t>
      </w:r>
      <w:r w:rsidR="00DA6155" w:rsidRPr="006E437B">
        <w:rPr>
          <w:rFonts w:ascii="Times New Roman" w:hAnsi="Times New Roman" w:cs="Times New Roman"/>
          <w:sz w:val="24"/>
          <w:szCs w:val="24"/>
        </w:rPr>
        <w:t>omunicación que replica el contenido de estas Sesiones Deliberantes</w:t>
      </w:r>
      <w:r w:rsidR="00925A9F" w:rsidRPr="006E437B">
        <w:rPr>
          <w:rFonts w:ascii="Times New Roman" w:hAnsi="Times New Roman" w:cs="Times New Roman"/>
          <w:sz w:val="24"/>
          <w:szCs w:val="24"/>
        </w:rPr>
        <w:t>;</w:t>
      </w:r>
      <w:r w:rsidR="00DA6155" w:rsidRPr="006E437B">
        <w:rPr>
          <w:rFonts w:ascii="Times New Roman" w:hAnsi="Times New Roman" w:cs="Times New Roman"/>
          <w:sz w:val="24"/>
          <w:szCs w:val="24"/>
        </w:rPr>
        <w:t xml:space="preserve"> pero sobre todo extiendo un enorme saludo a las y los ciudadanos mexiquenses, porque esta Ley de Participación </w:t>
      </w:r>
      <w:r w:rsidR="00925A9F" w:rsidRPr="006E437B">
        <w:rPr>
          <w:rFonts w:ascii="Times New Roman" w:hAnsi="Times New Roman" w:cs="Times New Roman"/>
          <w:sz w:val="24"/>
          <w:szCs w:val="24"/>
        </w:rPr>
        <w:t xml:space="preserve">Ciudadana </w:t>
      </w:r>
      <w:r w:rsidR="00DA6155" w:rsidRPr="006E437B">
        <w:rPr>
          <w:rFonts w:ascii="Times New Roman" w:hAnsi="Times New Roman" w:cs="Times New Roman"/>
          <w:sz w:val="24"/>
          <w:szCs w:val="24"/>
        </w:rPr>
        <w:t>es para ellas y para ellos.</w:t>
      </w:r>
    </w:p>
    <w:p w:rsidR="00B76AFA" w:rsidRPr="006E437B" w:rsidRDefault="00DA615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 Inicio esta intervención diciendo </w:t>
      </w:r>
      <w:r w:rsidR="00925A9F" w:rsidRPr="006E437B">
        <w:rPr>
          <w:rFonts w:ascii="Times New Roman" w:hAnsi="Times New Roman" w:cs="Times New Roman"/>
          <w:sz w:val="24"/>
          <w:szCs w:val="24"/>
        </w:rPr>
        <w:t>que,</w:t>
      </w:r>
      <w:r w:rsidRPr="006E437B">
        <w:rPr>
          <w:rFonts w:ascii="Times New Roman" w:hAnsi="Times New Roman" w:cs="Times New Roman"/>
          <w:sz w:val="24"/>
          <w:szCs w:val="24"/>
        </w:rPr>
        <w:t xml:space="preserve"> en Movimiento Ciudadano, creemos que la democracia no es un evento de un día, es un ejercicio cotidiano</w:t>
      </w:r>
      <w:r w:rsidR="00B76AFA" w:rsidRPr="006E437B">
        <w:rPr>
          <w:rFonts w:ascii="Times New Roman" w:hAnsi="Times New Roman" w:cs="Times New Roman"/>
          <w:sz w:val="24"/>
          <w:szCs w:val="24"/>
        </w:rPr>
        <w:t>,</w:t>
      </w:r>
      <w:r w:rsidRPr="006E437B">
        <w:rPr>
          <w:rFonts w:ascii="Times New Roman" w:hAnsi="Times New Roman" w:cs="Times New Roman"/>
          <w:sz w:val="24"/>
          <w:szCs w:val="24"/>
        </w:rPr>
        <w:t xml:space="preserve"> las decisiones públicas, el dinero público y los espacios públicos le pertenecen a la gente y ya es hora de que las leyes del Estado de México reflejen esa realidad.</w:t>
      </w:r>
    </w:p>
    <w:p w:rsidR="00DA6155" w:rsidRPr="006E437B" w:rsidRDefault="00DA6155"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eso, hoy, en representación de la </w:t>
      </w:r>
      <w:r w:rsidR="00B76AFA" w:rsidRPr="006E437B">
        <w:rPr>
          <w:rFonts w:ascii="Times New Roman" w:hAnsi="Times New Roman" w:cs="Times New Roman"/>
          <w:sz w:val="24"/>
          <w:szCs w:val="24"/>
        </w:rPr>
        <w:t>Bancada Naranja</w:t>
      </w:r>
      <w:r w:rsidRPr="006E437B">
        <w:rPr>
          <w:rFonts w:ascii="Times New Roman" w:hAnsi="Times New Roman" w:cs="Times New Roman"/>
          <w:sz w:val="24"/>
          <w:szCs w:val="24"/>
        </w:rPr>
        <w:t>, vengo a esta tribuna a presentar una iniciativa que no nació de un escritorio y una oficina cerrada, sino de la pluralidad de las calles y del debate abierto.</w:t>
      </w:r>
    </w:p>
    <w:p w:rsidR="00DA6155" w:rsidRPr="006E437B" w:rsidRDefault="00DA615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Quiero reconocer profundamente a la academia, a los órganos ciudadanos y a todos los expertos que alzaron la voz en los diferentes foros realizados en el Estado de México, mismos que se han celebrado en este mismo Congreso</w:t>
      </w:r>
      <w:r w:rsidR="00F36D0C" w:rsidRPr="006E437B">
        <w:rPr>
          <w:rFonts w:ascii="Times New Roman" w:hAnsi="Times New Roman" w:cs="Times New Roman"/>
          <w:sz w:val="24"/>
          <w:szCs w:val="24"/>
        </w:rPr>
        <w:t>,</w:t>
      </w:r>
      <w:r w:rsidRPr="006E437B">
        <w:rPr>
          <w:rFonts w:ascii="Times New Roman" w:hAnsi="Times New Roman" w:cs="Times New Roman"/>
          <w:sz w:val="24"/>
          <w:szCs w:val="24"/>
        </w:rPr>
        <w:t xml:space="preserve"> las y los ciudadanos a lo largo del tiempo nos han exigido una ley que sea equitativa, inclusiva, intercultural y que hable en un lenguaje claro.</w:t>
      </w:r>
    </w:p>
    <w:p w:rsidR="00EF2B04" w:rsidRPr="006E437B" w:rsidRDefault="00DA615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Hoy</w:t>
      </w:r>
      <w:r w:rsidR="00F36D0C" w:rsidRPr="006E437B">
        <w:rPr>
          <w:rFonts w:ascii="Times New Roman" w:hAnsi="Times New Roman" w:cs="Times New Roman"/>
          <w:sz w:val="24"/>
          <w:szCs w:val="24"/>
        </w:rPr>
        <w:t>,</w:t>
      </w:r>
      <w:r w:rsidRPr="006E437B">
        <w:rPr>
          <w:rFonts w:ascii="Times New Roman" w:hAnsi="Times New Roman" w:cs="Times New Roman"/>
          <w:sz w:val="24"/>
          <w:szCs w:val="24"/>
        </w:rPr>
        <w:t xml:space="preserve"> con este proyecto buscamos atender sus demandas, derribar las barreras de la oscuridad administrativa, la demagogia y la burocracia</w:t>
      </w:r>
      <w:r w:rsidR="00F36D0C" w:rsidRPr="006E437B">
        <w:rPr>
          <w:rFonts w:ascii="Times New Roman" w:hAnsi="Times New Roman" w:cs="Times New Roman"/>
          <w:sz w:val="24"/>
          <w:szCs w:val="24"/>
        </w:rPr>
        <w:t>,</w:t>
      </w:r>
      <w:r w:rsidRPr="006E437B">
        <w:rPr>
          <w:rFonts w:ascii="Times New Roman" w:hAnsi="Times New Roman" w:cs="Times New Roman"/>
          <w:sz w:val="24"/>
          <w:szCs w:val="24"/>
        </w:rPr>
        <w:t xml:space="preserve"> preservar para realmente devolver el poder a la gente, de ella y ellos emana el mismo. Esta iniciativa para expedir la nueva Ley de Participación Ciudadana para el Estado de México, es un proyecto diseñado para darle fortaleza a la voz ciudadana y poner límites responsables al poder</w:t>
      </w:r>
      <w:r w:rsidR="00EF2B04" w:rsidRPr="006E437B">
        <w:rPr>
          <w:rFonts w:ascii="Times New Roman" w:hAnsi="Times New Roman" w:cs="Times New Roman"/>
          <w:sz w:val="24"/>
          <w:szCs w:val="24"/>
        </w:rPr>
        <w:t>.</w:t>
      </w:r>
    </w:p>
    <w:p w:rsidR="00DA6155" w:rsidRPr="006E437B" w:rsidRDefault="00EF2B04"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En </w:t>
      </w:r>
      <w:r w:rsidR="00DA6155" w:rsidRPr="006E437B">
        <w:rPr>
          <w:rFonts w:ascii="Times New Roman" w:hAnsi="Times New Roman" w:cs="Times New Roman"/>
          <w:sz w:val="24"/>
          <w:szCs w:val="24"/>
        </w:rPr>
        <w:t xml:space="preserve">la </w:t>
      </w:r>
      <w:r w:rsidRPr="006E437B">
        <w:rPr>
          <w:rFonts w:ascii="Times New Roman" w:hAnsi="Times New Roman" w:cs="Times New Roman"/>
          <w:sz w:val="24"/>
          <w:szCs w:val="24"/>
        </w:rPr>
        <w:t>Bancada Naranja</w:t>
      </w:r>
      <w:r w:rsidR="00DA6155" w:rsidRPr="006E437B">
        <w:rPr>
          <w:rFonts w:ascii="Times New Roman" w:hAnsi="Times New Roman" w:cs="Times New Roman"/>
          <w:sz w:val="24"/>
          <w:szCs w:val="24"/>
        </w:rPr>
        <w:t>, no venimos a proponer un catálogo de buenas intenciones, sino un arsenal de derechos garantizados.</w:t>
      </w:r>
    </w:p>
    <w:p w:rsidR="003769BC" w:rsidRPr="006E437B" w:rsidRDefault="00DA615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Por primera vez</w:t>
      </w:r>
      <w:r w:rsidR="00EF2B04" w:rsidRPr="006E437B">
        <w:rPr>
          <w:rFonts w:ascii="Times New Roman" w:hAnsi="Times New Roman" w:cs="Times New Roman"/>
          <w:sz w:val="24"/>
          <w:szCs w:val="24"/>
        </w:rPr>
        <w:t>,</w:t>
      </w:r>
      <w:r w:rsidRPr="006E437B">
        <w:rPr>
          <w:rFonts w:ascii="Times New Roman" w:hAnsi="Times New Roman" w:cs="Times New Roman"/>
          <w:sz w:val="24"/>
          <w:szCs w:val="24"/>
        </w:rPr>
        <w:t xml:space="preserve"> ordenamos esta forma sistemática y clara</w:t>
      </w:r>
      <w:r w:rsidR="00EF2B04" w:rsidRPr="006E437B">
        <w:rPr>
          <w:rFonts w:ascii="Times New Roman" w:hAnsi="Times New Roman" w:cs="Times New Roman"/>
          <w:sz w:val="24"/>
          <w:szCs w:val="24"/>
        </w:rPr>
        <w:t>,</w:t>
      </w:r>
      <w:r w:rsidRPr="006E437B">
        <w:rPr>
          <w:rFonts w:ascii="Times New Roman" w:hAnsi="Times New Roman" w:cs="Times New Roman"/>
          <w:sz w:val="24"/>
          <w:szCs w:val="24"/>
        </w:rPr>
        <w:t xml:space="preserve"> todos los mecanismos de participación, reconocemos y articulamos los grandes ejercicios constitucionales como la iniciativa ciudadana, la consulta popular y el referéndum</w:t>
      </w:r>
      <w:r w:rsidR="00CA6A2A"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también</w:t>
      </w:r>
      <w:r w:rsidR="00CA6A2A" w:rsidRPr="006E437B">
        <w:rPr>
          <w:rFonts w:ascii="Times New Roman" w:hAnsi="Times New Roman" w:cs="Times New Roman"/>
          <w:sz w:val="24"/>
          <w:szCs w:val="24"/>
        </w:rPr>
        <w:t>,</w:t>
      </w:r>
      <w:r w:rsidRPr="006E437B">
        <w:rPr>
          <w:rFonts w:ascii="Times New Roman" w:hAnsi="Times New Roman" w:cs="Times New Roman"/>
          <w:sz w:val="24"/>
          <w:szCs w:val="24"/>
        </w:rPr>
        <w:t xml:space="preserve"> bajamos la democracia a la calle</w:t>
      </w:r>
      <w:r w:rsidR="00CA6A2A" w:rsidRPr="006E437B">
        <w:rPr>
          <w:rFonts w:ascii="Times New Roman" w:hAnsi="Times New Roman" w:cs="Times New Roman"/>
          <w:sz w:val="24"/>
          <w:szCs w:val="24"/>
        </w:rPr>
        <w:t>,</w:t>
      </w:r>
      <w:r w:rsidRPr="006E437B">
        <w:rPr>
          <w:rFonts w:ascii="Times New Roman" w:hAnsi="Times New Roman" w:cs="Times New Roman"/>
          <w:sz w:val="24"/>
          <w:szCs w:val="24"/>
        </w:rPr>
        <w:t xml:space="preserve"> creando la consulta ciudadana para asuntos administrativos y consolidando los mecanismos de diálogo, deliberación y proximidad comunitaria. Esto significa darle verdadero peso jurídico a la audiencia pública, a la asamblea comunitaria, al cabildo abierto y al recorrido participativo</w:t>
      </w:r>
      <w:r w:rsidR="003769BC" w:rsidRPr="006E437B">
        <w:rPr>
          <w:rFonts w:ascii="Times New Roman" w:hAnsi="Times New Roman" w:cs="Times New Roman"/>
          <w:sz w:val="24"/>
          <w:szCs w:val="24"/>
        </w:rPr>
        <w:t>.</w:t>
      </w:r>
    </w:p>
    <w:p w:rsidR="001F1E3F" w:rsidRPr="006E437B" w:rsidRDefault="003769BC"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Proponemos </w:t>
      </w:r>
      <w:r w:rsidR="00DA6155" w:rsidRPr="006E437B">
        <w:rPr>
          <w:rFonts w:ascii="Times New Roman" w:hAnsi="Times New Roman" w:cs="Times New Roman"/>
          <w:sz w:val="24"/>
          <w:szCs w:val="24"/>
        </w:rPr>
        <w:t>construir desde abajo mediante la agenda ciudadana y la colaboración ciudadana, porque el combate a la corrupción</w:t>
      </w:r>
      <w:r w:rsidRPr="006E437B">
        <w:rPr>
          <w:rFonts w:ascii="Times New Roman" w:hAnsi="Times New Roman" w:cs="Times New Roman"/>
          <w:sz w:val="24"/>
          <w:szCs w:val="24"/>
        </w:rPr>
        <w:t>,</w:t>
      </w:r>
      <w:r w:rsidR="00DA6155" w:rsidRPr="006E437B">
        <w:rPr>
          <w:rFonts w:ascii="Times New Roman" w:hAnsi="Times New Roman" w:cs="Times New Roman"/>
          <w:sz w:val="24"/>
          <w:szCs w:val="24"/>
        </w:rPr>
        <w:t xml:space="preserve"> requiere ojos ciudadanos en contra de lo que Aristóteles llamaría gobiernos desviados, queremos blindar el control social con el observatorio ciudadano</w:t>
      </w:r>
      <w:r w:rsidRPr="006E437B">
        <w:rPr>
          <w:rFonts w:ascii="Times New Roman" w:hAnsi="Times New Roman" w:cs="Times New Roman"/>
          <w:sz w:val="24"/>
          <w:szCs w:val="24"/>
        </w:rPr>
        <w:t>,</w:t>
      </w:r>
      <w:r w:rsidR="00DA6155" w:rsidRPr="006E437B">
        <w:rPr>
          <w:rFonts w:ascii="Times New Roman" w:hAnsi="Times New Roman" w:cs="Times New Roman"/>
          <w:sz w:val="24"/>
          <w:szCs w:val="24"/>
        </w:rPr>
        <w:t xml:space="preserve"> la contr</w:t>
      </w:r>
      <w:r w:rsidRPr="006E437B">
        <w:rPr>
          <w:rFonts w:ascii="Times New Roman" w:hAnsi="Times New Roman" w:cs="Times New Roman"/>
          <w:sz w:val="24"/>
          <w:szCs w:val="24"/>
        </w:rPr>
        <w:t>aloría</w:t>
      </w:r>
      <w:r w:rsidR="00DA6155" w:rsidRPr="006E437B">
        <w:rPr>
          <w:rFonts w:ascii="Times New Roman" w:hAnsi="Times New Roman" w:cs="Times New Roman"/>
          <w:sz w:val="24"/>
          <w:szCs w:val="24"/>
        </w:rPr>
        <w:t xml:space="preserve"> social y de manera estratégica</w:t>
      </w:r>
      <w:r w:rsidRPr="006E437B">
        <w:rPr>
          <w:rFonts w:ascii="Times New Roman" w:hAnsi="Times New Roman" w:cs="Times New Roman"/>
          <w:sz w:val="24"/>
          <w:szCs w:val="24"/>
        </w:rPr>
        <w:t>,</w:t>
      </w:r>
      <w:r w:rsidR="00DA6155" w:rsidRPr="006E437B">
        <w:rPr>
          <w:rFonts w:ascii="Times New Roman" w:hAnsi="Times New Roman" w:cs="Times New Roman"/>
          <w:sz w:val="24"/>
          <w:szCs w:val="24"/>
        </w:rPr>
        <w:t xml:space="preserve"> rescatamos el testigo social para vigilar cada peso en las contrataciones públicas, más críticas</w:t>
      </w:r>
      <w:r w:rsidR="001F1E3F" w:rsidRPr="006E437B">
        <w:rPr>
          <w:rFonts w:ascii="Times New Roman" w:hAnsi="Times New Roman" w:cs="Times New Roman"/>
          <w:sz w:val="24"/>
          <w:szCs w:val="24"/>
        </w:rPr>
        <w:t>;</w:t>
      </w:r>
      <w:r w:rsidR="00DA6155" w:rsidRPr="006E437B">
        <w:rPr>
          <w:rFonts w:ascii="Times New Roman" w:hAnsi="Times New Roman" w:cs="Times New Roman"/>
          <w:sz w:val="24"/>
          <w:szCs w:val="24"/>
        </w:rPr>
        <w:t xml:space="preserve"> pero también buscamos fortalecer la democratización, el presupuesto, con un verdadero presupuesto participativo que ahora operar</w:t>
      </w:r>
      <w:r w:rsidR="001F1E3F" w:rsidRPr="006E437B">
        <w:rPr>
          <w:rFonts w:ascii="Times New Roman" w:hAnsi="Times New Roman" w:cs="Times New Roman"/>
          <w:sz w:val="24"/>
          <w:szCs w:val="24"/>
        </w:rPr>
        <w:t>á</w:t>
      </w:r>
      <w:r w:rsidR="00DA6155" w:rsidRPr="006E437B">
        <w:rPr>
          <w:rFonts w:ascii="Times New Roman" w:hAnsi="Times New Roman" w:cs="Times New Roman"/>
          <w:sz w:val="24"/>
          <w:szCs w:val="24"/>
        </w:rPr>
        <w:t xml:space="preserve"> bajo un modelo de </w:t>
      </w:r>
      <w:r w:rsidR="001F1E3F" w:rsidRPr="006E437B">
        <w:rPr>
          <w:rFonts w:ascii="Times New Roman" w:hAnsi="Times New Roman" w:cs="Times New Roman"/>
          <w:sz w:val="24"/>
          <w:szCs w:val="24"/>
        </w:rPr>
        <w:t>co</w:t>
      </w:r>
      <w:r w:rsidR="00DA6155" w:rsidRPr="006E437B">
        <w:rPr>
          <w:rFonts w:ascii="Times New Roman" w:hAnsi="Times New Roman" w:cs="Times New Roman"/>
          <w:sz w:val="24"/>
          <w:szCs w:val="24"/>
        </w:rPr>
        <w:t>inversión</w:t>
      </w:r>
      <w:r w:rsidR="00107D16" w:rsidRPr="006E437B">
        <w:rPr>
          <w:rFonts w:ascii="Times New Roman" w:hAnsi="Times New Roman" w:cs="Times New Roman"/>
          <w:sz w:val="24"/>
          <w:szCs w:val="24"/>
        </w:rPr>
        <w:t xml:space="preserve"> responsable</w:t>
      </w:r>
      <w:r w:rsidR="001F1E3F" w:rsidRPr="006E437B">
        <w:rPr>
          <w:rFonts w:ascii="Times New Roman" w:hAnsi="Times New Roman" w:cs="Times New Roman"/>
          <w:sz w:val="24"/>
          <w:szCs w:val="24"/>
        </w:rPr>
        <w:t>.</w:t>
      </w:r>
    </w:p>
    <w:p w:rsidR="000F6ED1" w:rsidRPr="006E437B" w:rsidRDefault="001F1E3F"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Acabamos </w:t>
      </w:r>
      <w:r w:rsidR="006C06C1" w:rsidRPr="006E437B">
        <w:rPr>
          <w:rFonts w:ascii="Times New Roman" w:hAnsi="Times New Roman" w:cs="Times New Roman"/>
          <w:sz w:val="24"/>
          <w:szCs w:val="24"/>
        </w:rPr>
        <w:t>con las decisiones cupulares</w:t>
      </w:r>
      <w:r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obligando a consultar a la gente a través de la evaluación ciudadana, de servicios públicos, la consulta legislativa y la consulta pública regulatoria y finalmente</w:t>
      </w:r>
      <w:r w:rsidR="000F6ED1"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empoderamos al ciudadano frente a los errores del gobierno con la solicitud de revisión ciudadana de decisiones administrativas generales</w:t>
      </w:r>
      <w:r w:rsidR="000F6ED1"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ese es el tamaño de esta </w:t>
      </w:r>
      <w:r w:rsidR="000F6ED1" w:rsidRPr="006E437B">
        <w:rPr>
          <w:rFonts w:ascii="Times New Roman" w:hAnsi="Times New Roman" w:cs="Times New Roman"/>
          <w:sz w:val="24"/>
          <w:szCs w:val="24"/>
        </w:rPr>
        <w:t>ley.</w:t>
      </w:r>
      <w:r w:rsidR="006C06C1" w:rsidRPr="006E437B">
        <w:rPr>
          <w:rFonts w:ascii="Times New Roman" w:hAnsi="Times New Roman" w:cs="Times New Roman"/>
          <w:sz w:val="24"/>
          <w:szCs w:val="24"/>
        </w:rPr>
        <w:t xml:space="preserve"> 18 herramientas al servicio de las y los mexiquenses; sin </w:t>
      </w:r>
      <w:r w:rsidR="000F6ED1" w:rsidRPr="006E437B">
        <w:rPr>
          <w:rFonts w:ascii="Times New Roman" w:hAnsi="Times New Roman" w:cs="Times New Roman"/>
          <w:sz w:val="24"/>
          <w:szCs w:val="24"/>
        </w:rPr>
        <w:t>embargo,</w:t>
      </w:r>
      <w:r w:rsidR="006C06C1" w:rsidRPr="006E437B">
        <w:rPr>
          <w:rFonts w:ascii="Times New Roman" w:hAnsi="Times New Roman" w:cs="Times New Roman"/>
          <w:sz w:val="24"/>
          <w:szCs w:val="24"/>
        </w:rPr>
        <w:t xml:space="preserve"> una buena iniciativa también debe ser un acto de responsabilidad–Estado reconociendo sus propios límites frente a otras agendas históricas</w:t>
      </w:r>
      <w:r w:rsidR="000F6ED1" w:rsidRPr="006E437B">
        <w:rPr>
          <w:rFonts w:ascii="Times New Roman" w:hAnsi="Times New Roman" w:cs="Times New Roman"/>
          <w:sz w:val="24"/>
          <w:szCs w:val="24"/>
        </w:rPr>
        <w:t>.</w:t>
      </w:r>
    </w:p>
    <w:p w:rsidR="006C06C1" w:rsidRPr="006E437B" w:rsidRDefault="000F6ED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w:t>
      </w:r>
      <w:r w:rsidR="006C06C1" w:rsidRPr="006E437B">
        <w:rPr>
          <w:rFonts w:ascii="Times New Roman" w:hAnsi="Times New Roman" w:cs="Times New Roman"/>
          <w:sz w:val="24"/>
          <w:szCs w:val="24"/>
        </w:rPr>
        <w:t>ello este proyecto de absolutamente respetuoso de la reciente reforma a nuestra Constitución Local, establecemos una cláusula de reserva estricta</w:t>
      </w:r>
      <w:r w:rsidR="00BA261E"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ninguno de estos mecanismos generales</w:t>
      </w:r>
      <w:r w:rsidR="00BA261E"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podrá utilizarse jamás para simular o sustituir la consulta previa</w:t>
      </w:r>
      <w:r w:rsidR="00BA261E"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libre, informada y culturalmente adecuada por los derechos que les corresponde a nuestros pueblos y comunidades indígenas y afromexicanas, somos respetuosos de su autonomía, de sus sistemas normativos y del régimen especial que los protege sin interferir en sus procesos</w:t>
      </w:r>
      <w:r w:rsidR="00BA261E"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mientras se consolida la Ley General en la materia.</w:t>
      </w:r>
    </w:p>
    <w:p w:rsidR="00270FF4" w:rsidRPr="006E437B" w:rsidRDefault="006C06C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 la misma manera</w:t>
      </w:r>
      <w:r w:rsidR="00BA261E" w:rsidRPr="006E437B">
        <w:rPr>
          <w:rFonts w:ascii="Times New Roman" w:hAnsi="Times New Roman" w:cs="Times New Roman"/>
          <w:sz w:val="24"/>
          <w:szCs w:val="24"/>
        </w:rPr>
        <w:t>,</w:t>
      </w:r>
      <w:r w:rsidRPr="006E437B">
        <w:rPr>
          <w:rFonts w:ascii="Times New Roman" w:hAnsi="Times New Roman" w:cs="Times New Roman"/>
          <w:sz w:val="24"/>
          <w:szCs w:val="24"/>
        </w:rPr>
        <w:t xml:space="preserve"> como oposición responsable</w:t>
      </w:r>
      <w:r w:rsidR="00BA261E" w:rsidRPr="006E437B">
        <w:rPr>
          <w:rFonts w:ascii="Times New Roman" w:hAnsi="Times New Roman" w:cs="Times New Roman"/>
          <w:sz w:val="24"/>
          <w:szCs w:val="24"/>
        </w:rPr>
        <w:t>,</w:t>
      </w:r>
      <w:r w:rsidRPr="006E437B">
        <w:rPr>
          <w:rFonts w:ascii="Times New Roman" w:hAnsi="Times New Roman" w:cs="Times New Roman"/>
          <w:sz w:val="24"/>
          <w:szCs w:val="24"/>
        </w:rPr>
        <w:t xml:space="preserve"> sabemos que las leyes deben generar estabilidad institucional y no zozobra, entendemos el momento político que vive nuestra Entidad; por ello</w:t>
      </w:r>
      <w:r w:rsidR="0054642D" w:rsidRPr="006E437B">
        <w:rPr>
          <w:rFonts w:ascii="Times New Roman" w:hAnsi="Times New Roman" w:cs="Times New Roman"/>
          <w:sz w:val="24"/>
          <w:szCs w:val="24"/>
        </w:rPr>
        <w:t>,</w:t>
      </w:r>
      <w:r w:rsidRPr="006E437B">
        <w:rPr>
          <w:rFonts w:ascii="Times New Roman" w:hAnsi="Times New Roman" w:cs="Times New Roman"/>
          <w:sz w:val="24"/>
          <w:szCs w:val="24"/>
        </w:rPr>
        <w:t xml:space="preserve"> nosotros siempre velaremos por garantizar una certeza jurídica</w:t>
      </w:r>
      <w:r w:rsidR="0054642D" w:rsidRPr="006E437B">
        <w:rPr>
          <w:rFonts w:ascii="Times New Roman" w:hAnsi="Times New Roman" w:cs="Times New Roman"/>
          <w:sz w:val="24"/>
          <w:szCs w:val="24"/>
        </w:rPr>
        <w:t>,</w:t>
      </w:r>
      <w:r w:rsidRPr="006E437B">
        <w:rPr>
          <w:rFonts w:ascii="Times New Roman" w:hAnsi="Times New Roman" w:cs="Times New Roman"/>
          <w:sz w:val="24"/>
          <w:szCs w:val="24"/>
        </w:rPr>
        <w:t xml:space="preserve"> hemos establecido en los artículos transitorios que todas las adecuaciones que toca</w:t>
      </w:r>
      <w:r w:rsidR="0054642D" w:rsidRPr="006E437B">
        <w:rPr>
          <w:rFonts w:ascii="Times New Roman" w:hAnsi="Times New Roman" w:cs="Times New Roman"/>
          <w:sz w:val="24"/>
          <w:szCs w:val="24"/>
        </w:rPr>
        <w:t>n</w:t>
      </w:r>
      <w:r w:rsidRPr="006E437B">
        <w:rPr>
          <w:rFonts w:ascii="Times New Roman" w:hAnsi="Times New Roman" w:cs="Times New Roman"/>
          <w:sz w:val="24"/>
          <w:szCs w:val="24"/>
        </w:rPr>
        <w:t xml:space="preserve"> la supletoriedad en el Código Electoral</w:t>
      </w:r>
      <w:r w:rsidR="0054642D" w:rsidRPr="006E437B">
        <w:rPr>
          <w:rFonts w:ascii="Times New Roman" w:hAnsi="Times New Roman" w:cs="Times New Roman"/>
          <w:sz w:val="24"/>
          <w:szCs w:val="24"/>
        </w:rPr>
        <w:t>,</w:t>
      </w:r>
      <w:r w:rsidRPr="006E437B">
        <w:rPr>
          <w:rFonts w:ascii="Times New Roman" w:hAnsi="Times New Roman" w:cs="Times New Roman"/>
          <w:sz w:val="24"/>
          <w:szCs w:val="24"/>
        </w:rPr>
        <w:t xml:space="preserve"> entrarán en vigor hasta el día siguiente en que concluya formalmente el </w:t>
      </w:r>
      <w:r w:rsidR="0054642D" w:rsidRPr="006E437B">
        <w:rPr>
          <w:rFonts w:ascii="Times New Roman" w:hAnsi="Times New Roman" w:cs="Times New Roman"/>
          <w:sz w:val="24"/>
          <w:szCs w:val="24"/>
        </w:rPr>
        <w:t xml:space="preserve">Proceso Electoral Ordinario </w:t>
      </w:r>
      <w:r w:rsidRPr="006E437B">
        <w:rPr>
          <w:rFonts w:ascii="Times New Roman" w:hAnsi="Times New Roman" w:cs="Times New Roman"/>
          <w:sz w:val="24"/>
          <w:szCs w:val="24"/>
        </w:rPr>
        <w:t>del año 2027</w:t>
      </w:r>
      <w:r w:rsidR="0054642D" w:rsidRPr="006E437B">
        <w:rPr>
          <w:rFonts w:ascii="Times New Roman" w:hAnsi="Times New Roman" w:cs="Times New Roman"/>
          <w:sz w:val="24"/>
          <w:szCs w:val="24"/>
        </w:rPr>
        <w:t>,</w:t>
      </w:r>
      <w:r w:rsidRPr="006E437B">
        <w:rPr>
          <w:rFonts w:ascii="Times New Roman" w:hAnsi="Times New Roman" w:cs="Times New Roman"/>
          <w:sz w:val="24"/>
          <w:szCs w:val="24"/>
        </w:rPr>
        <w:t xml:space="preserve"> no venimos alterar las reglas del juego</w:t>
      </w:r>
      <w:r w:rsidR="0054642D" w:rsidRPr="006E437B">
        <w:rPr>
          <w:rFonts w:ascii="Times New Roman" w:hAnsi="Times New Roman" w:cs="Times New Roman"/>
          <w:sz w:val="24"/>
          <w:szCs w:val="24"/>
        </w:rPr>
        <w:t>,</w:t>
      </w:r>
      <w:r w:rsidRPr="006E437B">
        <w:rPr>
          <w:rFonts w:ascii="Times New Roman" w:hAnsi="Times New Roman" w:cs="Times New Roman"/>
          <w:sz w:val="24"/>
          <w:szCs w:val="24"/>
        </w:rPr>
        <w:t xml:space="preserve"> a mitad de la contienda</w:t>
      </w:r>
      <w:r w:rsidR="0054642D" w:rsidRPr="006E437B">
        <w:rPr>
          <w:rFonts w:ascii="Times New Roman" w:hAnsi="Times New Roman" w:cs="Times New Roman"/>
          <w:sz w:val="24"/>
          <w:szCs w:val="24"/>
        </w:rPr>
        <w:t>,</w:t>
      </w:r>
      <w:r w:rsidRPr="006E437B">
        <w:rPr>
          <w:rFonts w:ascii="Times New Roman" w:hAnsi="Times New Roman" w:cs="Times New Roman"/>
          <w:sz w:val="24"/>
          <w:szCs w:val="24"/>
        </w:rPr>
        <w:t xml:space="preserve"> ni a vulnerar los principios rectores de nuestra democracia electoral</w:t>
      </w:r>
      <w:r w:rsidR="00270FF4" w:rsidRPr="006E437B">
        <w:rPr>
          <w:rFonts w:ascii="Times New Roman" w:hAnsi="Times New Roman" w:cs="Times New Roman"/>
          <w:sz w:val="24"/>
          <w:szCs w:val="24"/>
        </w:rPr>
        <w:t>.</w:t>
      </w:r>
    </w:p>
    <w:p w:rsidR="006C06C1" w:rsidRPr="006E437B" w:rsidRDefault="00270FF4"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Venimos </w:t>
      </w:r>
      <w:r w:rsidR="006C06C1" w:rsidRPr="006E437B">
        <w:rPr>
          <w:rFonts w:ascii="Times New Roman" w:hAnsi="Times New Roman" w:cs="Times New Roman"/>
          <w:sz w:val="24"/>
          <w:szCs w:val="24"/>
        </w:rPr>
        <w:t>a sembrar para el futuro sin ocultar el presente, los mecanismos de control que hoy proponemos son institucionales</w:t>
      </w:r>
      <w:r w:rsidR="00E10BD2"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ágiles</w:t>
      </w:r>
      <w:r w:rsidR="00E10BD2"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pero también viables</w:t>
      </w:r>
      <w:r w:rsidR="00E10BD2" w:rsidRPr="006E437B">
        <w:rPr>
          <w:rFonts w:ascii="Times New Roman" w:hAnsi="Times New Roman" w:cs="Times New Roman"/>
          <w:sz w:val="24"/>
          <w:szCs w:val="24"/>
        </w:rPr>
        <w:t>,</w:t>
      </w:r>
      <w:r w:rsidR="006C06C1" w:rsidRPr="006E437B">
        <w:rPr>
          <w:rFonts w:ascii="Times New Roman" w:hAnsi="Times New Roman" w:cs="Times New Roman"/>
          <w:sz w:val="24"/>
          <w:szCs w:val="24"/>
        </w:rPr>
        <w:t xml:space="preserve"> no buscan paralizar a la administración pública, buscan que el poder no se ejerza con opacidad, corrupción e irresponsabilidad solapada por los que gobiernan.</w:t>
      </w:r>
    </w:p>
    <w:p w:rsidR="006C06C1" w:rsidRPr="006E437B" w:rsidRDefault="006C06C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Un gobierno sin límites es un peligro para el Estado de México, con esta reforma de gran calado buscamos que eso cambie</w:t>
      </w:r>
      <w:r w:rsidR="00270FF4"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270FF4" w:rsidRPr="006E437B">
        <w:rPr>
          <w:rFonts w:ascii="Times New Roman" w:hAnsi="Times New Roman" w:cs="Times New Roman"/>
          <w:sz w:val="24"/>
          <w:szCs w:val="24"/>
        </w:rPr>
        <w:t xml:space="preserve">Hoy </w:t>
      </w:r>
      <w:r w:rsidRPr="006E437B">
        <w:rPr>
          <w:rFonts w:ascii="Times New Roman" w:hAnsi="Times New Roman" w:cs="Times New Roman"/>
          <w:sz w:val="24"/>
          <w:szCs w:val="24"/>
        </w:rPr>
        <w:t>la gente necesita y demanda un gobierno auditado, acompañado y exigido por su ciudadanía; por eso</w:t>
      </w:r>
      <w:r w:rsidR="00270FF4" w:rsidRPr="006E437B">
        <w:rPr>
          <w:rFonts w:ascii="Times New Roman" w:hAnsi="Times New Roman" w:cs="Times New Roman"/>
          <w:sz w:val="24"/>
          <w:szCs w:val="24"/>
        </w:rPr>
        <w:t>,</w:t>
      </w:r>
      <w:r w:rsidRPr="006E437B">
        <w:rPr>
          <w:rFonts w:ascii="Times New Roman" w:hAnsi="Times New Roman" w:cs="Times New Roman"/>
          <w:sz w:val="24"/>
          <w:szCs w:val="24"/>
        </w:rPr>
        <w:t xml:space="preserve"> también les decimos que desde la Presidencia de la Comisión de Participación de Ciudadano</w:t>
      </w:r>
      <w:r w:rsidR="00270FF4" w:rsidRPr="006E437B">
        <w:rPr>
          <w:rFonts w:ascii="Times New Roman" w:hAnsi="Times New Roman" w:cs="Times New Roman"/>
          <w:sz w:val="24"/>
          <w:szCs w:val="24"/>
        </w:rPr>
        <w:t>,</w:t>
      </w:r>
      <w:r w:rsidRPr="006E437B">
        <w:rPr>
          <w:rFonts w:ascii="Times New Roman" w:hAnsi="Times New Roman" w:cs="Times New Roman"/>
          <w:sz w:val="24"/>
          <w:szCs w:val="24"/>
        </w:rPr>
        <w:t xml:space="preserve"> vamos a mantener las puertas abiertas para que cualquier mexiquense interesado en sumar a este proyecto</w:t>
      </w:r>
      <w:r w:rsidR="00270FF4" w:rsidRPr="006E437B">
        <w:rPr>
          <w:rFonts w:ascii="Times New Roman" w:hAnsi="Times New Roman" w:cs="Times New Roman"/>
          <w:sz w:val="24"/>
          <w:szCs w:val="24"/>
        </w:rPr>
        <w:t>,</w:t>
      </w:r>
      <w:r w:rsidRPr="006E437B">
        <w:rPr>
          <w:rFonts w:ascii="Times New Roman" w:hAnsi="Times New Roman" w:cs="Times New Roman"/>
          <w:sz w:val="24"/>
          <w:szCs w:val="24"/>
        </w:rPr>
        <w:t xml:space="preserve"> lo pueda hacer por medio de un buzón que buscaremos habilitar en cuanto se dé turno de ley a este proyecto ciudadano.</w:t>
      </w:r>
    </w:p>
    <w:p w:rsidR="00487131" w:rsidRPr="006E437B" w:rsidRDefault="006C06C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Para concluir</w:t>
      </w:r>
      <w:r w:rsidR="007A34C0" w:rsidRPr="006E437B">
        <w:rPr>
          <w:rFonts w:ascii="Times New Roman" w:hAnsi="Times New Roman" w:cs="Times New Roman"/>
          <w:sz w:val="24"/>
          <w:szCs w:val="24"/>
        </w:rPr>
        <w:t>,</w:t>
      </w:r>
      <w:r w:rsidRPr="006E437B">
        <w:rPr>
          <w:rFonts w:ascii="Times New Roman" w:hAnsi="Times New Roman" w:cs="Times New Roman"/>
          <w:sz w:val="24"/>
          <w:szCs w:val="24"/>
        </w:rPr>
        <w:t xml:space="preserve"> durante décadas la vieja política nos vendió una idea muy pobre de la democracia, nos dijeron que nuestro poder como ciudadanos se limitaba a cruzar una boleta cada </w:t>
      </w:r>
      <w:r w:rsidR="007A34C0" w:rsidRPr="006E437B">
        <w:rPr>
          <w:rFonts w:ascii="Times New Roman" w:hAnsi="Times New Roman" w:cs="Times New Roman"/>
          <w:sz w:val="24"/>
          <w:szCs w:val="24"/>
        </w:rPr>
        <w:t>3</w:t>
      </w:r>
      <w:r w:rsidRPr="006E437B">
        <w:rPr>
          <w:rFonts w:ascii="Times New Roman" w:hAnsi="Times New Roman" w:cs="Times New Roman"/>
          <w:sz w:val="24"/>
          <w:szCs w:val="24"/>
        </w:rPr>
        <w:t xml:space="preserve"> o </w:t>
      </w:r>
      <w:r w:rsidR="007A34C0" w:rsidRPr="006E437B">
        <w:rPr>
          <w:rFonts w:ascii="Times New Roman" w:hAnsi="Times New Roman" w:cs="Times New Roman"/>
          <w:sz w:val="24"/>
          <w:szCs w:val="24"/>
        </w:rPr>
        <w:t>6</w:t>
      </w:r>
      <w:r w:rsidR="00F1244B" w:rsidRPr="006E437B">
        <w:rPr>
          <w:rFonts w:ascii="Times New Roman" w:hAnsi="Times New Roman" w:cs="Times New Roman"/>
          <w:sz w:val="24"/>
          <w:szCs w:val="24"/>
        </w:rPr>
        <w:t xml:space="preserve"> </w:t>
      </w:r>
      <w:r w:rsidR="00641A35" w:rsidRPr="006E437B">
        <w:rPr>
          <w:rFonts w:ascii="Times New Roman" w:hAnsi="Times New Roman" w:cs="Times New Roman"/>
          <w:sz w:val="24"/>
          <w:szCs w:val="24"/>
        </w:rPr>
        <w:t>años</w:t>
      </w:r>
      <w:r w:rsidR="00C05281" w:rsidRPr="006E437B">
        <w:rPr>
          <w:rFonts w:ascii="Times New Roman" w:hAnsi="Times New Roman" w:cs="Times New Roman"/>
          <w:sz w:val="24"/>
          <w:szCs w:val="24"/>
        </w:rPr>
        <w:t xml:space="preserve"> y que después de ese domingo debíamos irnos a casa a guardar silencio mientras otros tomaban las decisiones por nosotros</w:t>
      </w:r>
      <w:r w:rsidR="007A34C0" w:rsidRPr="006E437B">
        <w:rPr>
          <w:rFonts w:ascii="Times New Roman" w:hAnsi="Times New Roman" w:cs="Times New Roman"/>
          <w:sz w:val="24"/>
          <w:szCs w:val="24"/>
        </w:rPr>
        <w:t>;</w:t>
      </w:r>
      <w:r w:rsidR="00C05281" w:rsidRPr="006E437B">
        <w:rPr>
          <w:rFonts w:ascii="Times New Roman" w:hAnsi="Times New Roman" w:cs="Times New Roman"/>
          <w:sz w:val="24"/>
          <w:szCs w:val="24"/>
        </w:rPr>
        <w:t xml:space="preserve"> pero la participación</w:t>
      </w:r>
      <w:r w:rsidR="007A34C0" w:rsidRPr="006E437B">
        <w:rPr>
          <w:rFonts w:ascii="Times New Roman" w:hAnsi="Times New Roman" w:cs="Times New Roman"/>
          <w:sz w:val="24"/>
          <w:szCs w:val="24"/>
        </w:rPr>
        <w:t>,</w:t>
      </w:r>
      <w:r w:rsidR="00C05281" w:rsidRPr="006E437B">
        <w:rPr>
          <w:rFonts w:ascii="Times New Roman" w:hAnsi="Times New Roman" w:cs="Times New Roman"/>
          <w:sz w:val="24"/>
          <w:szCs w:val="24"/>
        </w:rPr>
        <w:t xml:space="preserve"> no se termina el día de la elección</w:t>
      </w:r>
      <w:r w:rsidR="007A34C0" w:rsidRPr="006E437B">
        <w:rPr>
          <w:rFonts w:ascii="Times New Roman" w:hAnsi="Times New Roman" w:cs="Times New Roman"/>
          <w:sz w:val="24"/>
          <w:szCs w:val="24"/>
        </w:rPr>
        <w:t xml:space="preserve">, </w:t>
      </w:r>
      <w:r w:rsidR="00C05281" w:rsidRPr="006E437B">
        <w:rPr>
          <w:rFonts w:ascii="Times New Roman" w:hAnsi="Times New Roman" w:cs="Times New Roman"/>
          <w:sz w:val="24"/>
          <w:szCs w:val="24"/>
        </w:rPr>
        <w:t>hoy Movimiento Ciudadano les decimos a las y los mexiquenses que nosotros somos esa alternativa que busca devolver el poder a ustedes hermanas y hermanos mexiquenses, con esta nueva Ley</w:t>
      </w:r>
      <w:r w:rsidR="007A34C0" w:rsidRPr="006E437B">
        <w:rPr>
          <w:rFonts w:ascii="Times New Roman" w:hAnsi="Times New Roman" w:cs="Times New Roman"/>
          <w:sz w:val="24"/>
          <w:szCs w:val="24"/>
        </w:rPr>
        <w:t>,</w:t>
      </w:r>
      <w:r w:rsidR="00C05281" w:rsidRPr="006E437B">
        <w:rPr>
          <w:rFonts w:ascii="Times New Roman" w:hAnsi="Times New Roman" w:cs="Times New Roman"/>
          <w:sz w:val="24"/>
          <w:szCs w:val="24"/>
        </w:rPr>
        <w:t xml:space="preserve"> queremos que ustedes le den vuelta a la página de 38 años de gobiernos cerrados</w:t>
      </w:r>
      <w:r w:rsidR="00487131" w:rsidRPr="006E437B">
        <w:rPr>
          <w:rFonts w:ascii="Times New Roman" w:hAnsi="Times New Roman" w:cs="Times New Roman"/>
          <w:sz w:val="24"/>
          <w:szCs w:val="24"/>
        </w:rPr>
        <w:t>,</w:t>
      </w:r>
      <w:r w:rsidR="00C05281" w:rsidRPr="006E437B">
        <w:rPr>
          <w:rFonts w:ascii="Times New Roman" w:hAnsi="Times New Roman" w:cs="Times New Roman"/>
          <w:sz w:val="24"/>
          <w:szCs w:val="24"/>
        </w:rPr>
        <w:t xml:space="preserve"> de autoridades indolentes y de procesos amañados</w:t>
      </w:r>
      <w:r w:rsidR="00487131" w:rsidRPr="006E437B">
        <w:rPr>
          <w:rFonts w:ascii="Times New Roman" w:hAnsi="Times New Roman" w:cs="Times New Roman"/>
          <w:sz w:val="24"/>
          <w:szCs w:val="24"/>
        </w:rPr>
        <w:t>.</w:t>
      </w:r>
    </w:p>
    <w:p w:rsidR="00487131" w:rsidRPr="006E437B" w:rsidRDefault="0048713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Movimiento </w:t>
      </w:r>
      <w:r w:rsidR="00C05281" w:rsidRPr="006E437B">
        <w:rPr>
          <w:rFonts w:ascii="Times New Roman" w:hAnsi="Times New Roman" w:cs="Times New Roman"/>
          <w:sz w:val="24"/>
          <w:szCs w:val="24"/>
        </w:rPr>
        <w:t>Ciudadano siempre pondrá a las personas en el centro de la toma de decisiones para que sean ellas y ellos quienes construyan juntos el Estado de México más transparente, participativo, democrático de nuestra historia.</w:t>
      </w:r>
    </w:p>
    <w:p w:rsidR="00C05281" w:rsidRPr="006E437B" w:rsidRDefault="00C0528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Es cuanto, muchas gracias.</w:t>
      </w:r>
    </w:p>
    <w:p w:rsidR="00423D4A" w:rsidRPr="006E437B" w:rsidRDefault="00423D4A" w:rsidP="00141629">
      <w:pPr>
        <w:pStyle w:val="Sinespaciado"/>
        <w:jc w:val="both"/>
        <w:rPr>
          <w:rFonts w:ascii="Times New Roman" w:eastAsia="Times New Roman" w:hAnsi="Times New Roman" w:cs="Times New Roman"/>
          <w:sz w:val="24"/>
          <w:szCs w:val="24"/>
          <w:lang w:eastAsia="es-419"/>
        </w:rPr>
      </w:pPr>
    </w:p>
    <w:p w:rsidR="00423D4A" w:rsidRPr="006E437B" w:rsidRDefault="00423D4A"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423D4A" w:rsidRPr="006E437B" w:rsidRDefault="00423D4A" w:rsidP="00141629">
      <w:pPr>
        <w:pStyle w:val="Sinespaciado"/>
        <w:jc w:val="both"/>
        <w:rPr>
          <w:rFonts w:ascii="Times New Roman" w:hAnsi="Times New Roman" w:cs="Times New Roman"/>
          <w:sz w:val="24"/>
          <w:szCs w:val="24"/>
        </w:rPr>
      </w:pPr>
    </w:p>
    <w:p w:rsidR="002E4234" w:rsidRPr="006E437B" w:rsidRDefault="002E4234" w:rsidP="00D117AC">
      <w:pPr>
        <w:spacing w:after="0" w:line="240" w:lineRule="auto"/>
        <w:jc w:val="center"/>
        <w:rPr>
          <w:rFonts w:ascii="Times New Roman" w:hAnsi="Times New Roman" w:cs="Times New Roman"/>
          <w:b/>
          <w:sz w:val="24"/>
          <w:szCs w:val="24"/>
        </w:rPr>
      </w:pPr>
      <w:bookmarkStart w:id="11" w:name="_Hlk242195901"/>
      <w:r w:rsidRPr="006E437B">
        <w:rPr>
          <w:rFonts w:ascii="Times New Roman" w:hAnsi="Times New Roman" w:cs="Times New Roman"/>
          <w:b/>
          <w:sz w:val="24"/>
          <w:szCs w:val="24"/>
        </w:rPr>
        <w:t>Bancada Naranja</w:t>
      </w:r>
    </w:p>
    <w:p w:rsidR="002E4234" w:rsidRPr="006E437B" w:rsidRDefault="002E4234" w:rsidP="00141629">
      <w:pPr>
        <w:spacing w:after="0" w:line="240" w:lineRule="auto"/>
        <w:jc w:val="right"/>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eastAsia="Times New Roman" w:hAnsi="Times New Roman" w:cs="Times New Roman"/>
          <w:b/>
          <w:sz w:val="24"/>
          <w:szCs w:val="24"/>
        </w:rPr>
      </w:pPr>
      <w:r w:rsidRPr="006E437B">
        <w:rPr>
          <w:rFonts w:ascii="Times New Roman" w:eastAsia="Times New Roman" w:hAnsi="Times New Roman" w:cs="Times New Roman"/>
          <w:b/>
          <w:sz w:val="24"/>
          <w:szCs w:val="24"/>
        </w:rPr>
        <w:t>“2026. Año del Humanismo Mexicano en el Estado de México”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right"/>
        <w:rPr>
          <w:rFonts w:ascii="Times New Roman" w:hAnsi="Times New Roman" w:cs="Times New Roman"/>
          <w:sz w:val="24"/>
          <w:szCs w:val="24"/>
        </w:rPr>
      </w:pPr>
      <w:r w:rsidRPr="006E437B">
        <w:rPr>
          <w:rFonts w:ascii="Times New Roman" w:hAnsi="Times New Roman" w:cs="Times New Roman"/>
          <w:sz w:val="24"/>
          <w:szCs w:val="24"/>
        </w:rPr>
        <w:t>Toluca de Lerdo, Estado de México, 23 de septiembre de 2026.</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pStyle w:val="Ttulo1"/>
        <w:keepNext w:val="0"/>
        <w:keepLines w:val="0"/>
        <w:spacing w:line="240" w:lineRule="auto"/>
        <w:ind w:left="0" w:firstLine="0"/>
        <w:jc w:val="both"/>
        <w:rPr>
          <w:rFonts w:ascii="Times New Roman" w:hAnsi="Times New Roman" w:cs="Times New Roman"/>
          <w:b/>
          <w:color w:val="auto"/>
          <w:szCs w:val="24"/>
        </w:rPr>
      </w:pPr>
      <w:r w:rsidRPr="006E437B">
        <w:rPr>
          <w:rFonts w:ascii="Times New Roman" w:hAnsi="Times New Roman" w:cs="Times New Roman"/>
          <w:b/>
          <w:color w:val="auto"/>
          <w:szCs w:val="24"/>
        </w:rPr>
        <w:t>DIPUTADO</w:t>
      </w:r>
    </w:p>
    <w:p w:rsidR="002E4234" w:rsidRPr="006E437B" w:rsidRDefault="002E4234" w:rsidP="00141629">
      <w:pPr>
        <w:pStyle w:val="Ttulo1"/>
        <w:keepNext w:val="0"/>
        <w:keepLines w:val="0"/>
        <w:spacing w:line="240" w:lineRule="auto"/>
        <w:ind w:left="0" w:firstLine="0"/>
        <w:jc w:val="both"/>
        <w:rPr>
          <w:rFonts w:ascii="Times New Roman" w:hAnsi="Times New Roman" w:cs="Times New Roman"/>
          <w:b/>
          <w:color w:val="auto"/>
          <w:szCs w:val="24"/>
        </w:rPr>
      </w:pPr>
      <w:r w:rsidRPr="006E437B">
        <w:rPr>
          <w:rFonts w:ascii="Times New Roman" w:hAnsi="Times New Roman" w:cs="Times New Roman"/>
          <w:b/>
          <w:color w:val="auto"/>
          <w:szCs w:val="24"/>
        </w:rPr>
        <w:t>VLADIMIR HERNÁNDEZ VILLEGAS</w:t>
      </w:r>
    </w:p>
    <w:p w:rsidR="002E4234" w:rsidRPr="006E437B" w:rsidRDefault="002E4234" w:rsidP="00141629">
      <w:pPr>
        <w:pStyle w:val="Ttulo1"/>
        <w:keepNext w:val="0"/>
        <w:keepLines w:val="0"/>
        <w:spacing w:line="240" w:lineRule="auto"/>
        <w:ind w:left="0" w:firstLine="0"/>
        <w:jc w:val="both"/>
        <w:rPr>
          <w:rFonts w:ascii="Times New Roman" w:hAnsi="Times New Roman" w:cs="Times New Roman"/>
          <w:b/>
          <w:color w:val="auto"/>
          <w:szCs w:val="24"/>
        </w:rPr>
      </w:pPr>
      <w:r w:rsidRPr="006E437B">
        <w:rPr>
          <w:rFonts w:ascii="Times New Roman" w:hAnsi="Times New Roman" w:cs="Times New Roman"/>
          <w:b/>
          <w:color w:val="auto"/>
          <w:szCs w:val="24"/>
        </w:rPr>
        <w:t>PRESIDENTE DE LA LXII LEGISLATURA</w:t>
      </w:r>
    </w:p>
    <w:p w:rsidR="002E4234" w:rsidRPr="006E437B" w:rsidRDefault="002E4234" w:rsidP="00141629">
      <w:pPr>
        <w:pStyle w:val="Ttulo1"/>
        <w:keepNext w:val="0"/>
        <w:keepLines w:val="0"/>
        <w:spacing w:line="240" w:lineRule="auto"/>
        <w:ind w:left="0" w:firstLine="0"/>
        <w:jc w:val="both"/>
        <w:rPr>
          <w:rFonts w:ascii="Times New Roman" w:hAnsi="Times New Roman" w:cs="Times New Roman"/>
          <w:b/>
          <w:color w:val="auto"/>
          <w:szCs w:val="24"/>
        </w:rPr>
      </w:pPr>
      <w:r w:rsidRPr="006E437B">
        <w:rPr>
          <w:rFonts w:ascii="Times New Roman" w:hAnsi="Times New Roman" w:cs="Times New Roman"/>
          <w:b/>
          <w:color w:val="auto"/>
          <w:szCs w:val="24"/>
        </w:rPr>
        <w:t>DEL ESTADO DE MÉXICO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Lilia Urbina Salazar, Juan Manuel Zepeda Hernández y Martín Zepeda Hernández integrantes del Grupo Parlamentario de Movimiento Ciudadano, sometemos a la consideración de esta Honorable Legislatura, la </w:t>
      </w:r>
      <w:r w:rsidRPr="006E437B">
        <w:rPr>
          <w:rFonts w:ascii="Times New Roman" w:hAnsi="Times New Roman" w:cs="Times New Roman"/>
          <w:b/>
          <w:sz w:val="24"/>
          <w:szCs w:val="24"/>
        </w:rPr>
        <w:t>Iniciativa con Proyecto de Decreto por el que se expide la Ley de Participación Ciudadana para el Estado de México; se deroga el Título Décimo denominado “Del Testigo Social” del Libro Primero del Código Administrativo del Estado de México; se reforma la fracción XII del artículo 3 y se adiciona el artículo 28 Bis de la Ley de Contratación Pública del Estado de México y Municipios; se adiciona un último párrafo al artículo 3 de la Ley Orgánica Municipal del Estado de México, y se adiciona un último párrafo al artículo 2 del Código Electoral del Estado de México, en materia de armonización legislativa en materia de participación ciudadana, conformidad con la siguiente: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pStyle w:val="Ttulo1"/>
        <w:keepNext w:val="0"/>
        <w:keepLines w:val="0"/>
        <w:spacing w:line="240" w:lineRule="auto"/>
        <w:ind w:left="0" w:firstLine="0"/>
        <w:rPr>
          <w:rFonts w:ascii="Times New Roman" w:hAnsi="Times New Roman" w:cs="Times New Roman"/>
          <w:color w:val="auto"/>
          <w:szCs w:val="24"/>
        </w:rPr>
      </w:pPr>
      <w:r w:rsidRPr="006E437B">
        <w:rPr>
          <w:rFonts w:ascii="Times New Roman" w:hAnsi="Times New Roman" w:cs="Times New Roman"/>
          <w:color w:val="auto"/>
          <w:szCs w:val="24"/>
          <w:u w:val="single" w:color="000000"/>
        </w:rPr>
        <w:t>EXPOSICION DE MOTIVOS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presente iniciativa que expide la Ley de Participación Ciudadana para el Estado de México, y armoniza la legislación estatal en la materia, busca proteger y fortalecer un de los factores reales de poder que ha sido delimitado por el gobierno en turno, la voz ciudadana. En Movimiento Ciudadano tenemos la férrea creencia de que toda decisión, política pública, o acción del gobierno sin importar del nivel que sea, nacional o subnacional deber ser avalado, supervisado e incluso sancionado por las y los ciudadano, ya que son ellas y ellos de quienes emana el poder de acuerdo a la concepción y de la democratización y en suma son ellas y ellos quienes se ven beneficiados o perjudicados por esas decisiones que muchas veces se construyen únicamente desde los escritos y no toman en cuenta la realidad de las y los gobernados.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proyecto se construye bajo seis decisiones de técnica legislativa, reconocimiento amplio del derecho a participar; diferenciación estricta entre mecanismos administrativos y mecanismos político-electorales; mínima intervención sobre el Código Electoral, la Ley Orgánica Municipal y los demás ordenamientos especializados; reserva constitucional del procedimiento especial de consulta de pueblos y comunidades indígenas y afromexicanas; aprovechamiento de estructuras existentes para evitar duplicidad burocrática; e integración del testigo social dentro de un sistema general de participación, vigilancia y trazabilidad ciudadana de las contrataciones públicas, preservando la especialidad de la legislación de contratación.</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democracia constitucional contemporánea no puede ser entendida exclusivamente como un procedimiento periódico para elegir representantes. El sufragio libre, auténtico y periódico continúa siendo el fundamento de la legitimidad de origen de los poderes públicos; sin embargo, la evolución del derecho internacional de los derechos humanos, del constitucionalismo democrático y de la administración pública ha consolidado una dimensión complementaria, las personas tienen derecho a intervenir, individual o colectivamente, en la discusión, formulación, ejecución, vigilancia y evaluación de las decisiones públicas que inciden en su vida y en el desarrollo de sus comunidades.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participación ciudadana no sustituye a las instituciones representativas ni desconoce las atribuciones constitucionales de los poderes públicos. Las complementa. Una democracia participativa constitucionalmente ordenada mejora la calidad de la información disponible para las autoridades, permite anticipar conflictos, incorpora conocimientos territoriales y comunitarios, fortalece la rendición de cuentas y genera canales institucionales para procesar demandas sociales.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Para el Grupo Parlamentario de Movimiento Ciudadano el reto legislativo consiste en evitar dos extremos, por una parte, una participación meramente simbólica, convocada cuando la decisión ya está tomada; por otra, una concepción ilimitada de la voluntad mayoritaria capaz de desplazar derechos humanos, competencias constitucionales o garantías de las minorías.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Desde esta perspectiva, la Ley de Participación Ciudadana para el Estado de México debe constituir un ordenamiento general de derechos, principios, procedimientos y garantías. No se propone convertir toda intervención social en un proceso electoral ni crear un organismo autónomo adicional. Se pretende, en cambio, ordenar mecanismos administrativos, deliberativos, presupuestarios, colaborativos y de vigilancia; articularlos con las figuras político-electorales ya existentes; y establecer una regla común de información, accesibilidad, respuesta fundada, trazabilidad y seguimiento.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Declaración Universal de Derechos Humanos de 1948 reconoció que toda persona tiene derecho a participar en el gobierno de su país directamente o por medio de representantes libremente escogidos. Su artículo 21 colocó, desde el inicio del sistema universal de derechos humanos, la participación directa y la representación como vías compatibles de intervención política (Organización de las Naciones Unidas [ONU], 1948). Este reconocimiento se complementa con las libertades de expresión, reunión y asociación, indispensables para que la participación sea auténtica.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Pacto Internacional de Derechos Civiles y Políticos desarrolló ese mandato en su artículo 25 al reconocer el derecho y la oportunidad de participar en la dirección de los asuntos públicos, directamente o por medio de representantes libremente elegidos. La expresión conjunta de “derecho” y “oportunidad” resulta jurídicamente relevante: el reconocimiento formal es insuficiente si las personas carecen de información, medios materiales, procedimientos accesibles o condiciones de igualdad para ejercerlo (ONU, 1966). México promulgó el Pacto en 1981, por lo que forma parte del parámetro de regularidad constitucional.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Observación general número 25 del Comité de Derechos Humanos precisó que la dirección de los asuntos públicos comprende el ejercicio de los poderes legislativo, ejecutivo y administrativo, así como la formulación y aplicación de políticas en los ámbitos nacional, regional y local. También destacó que la participación efectiva requiere libertad de expresión, reunión, asociación y acceso a información pública suficiente (Comité de Derechos Humanos, 1996).</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Las Directrices de las Naciones Unidas sobre la puesta en práctica efectiva del derecho a participar en la vida pública, elaboradas en 2018, consolidaron estándares especialmente útiles para el diseño legislativo. La participación debe ser previa y oportuna, informada, incluyente, segura, significativa, transparente y sujeta a rendición de cuentas. Una autoridad que consulta después de haber adoptado una decisión, que entrega información incompleta o que recibe opiniones sin explicar su tratamiento no satisface plenamente esos estándares de la Oficina del Alto Comisionado de las Naciones Unidas para los Derechos Humanos (OACNUDH, 2018).</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Agenda 2030 incorporó en su meta 16.7 el objetivo de garantizar decisiones inclusivas, participativas y representativas en todos los niveles. Aunque los Objetivos de Desarrollo Sostenible no sustituyen obligaciones constitucionales, muestran que la participación forma parte de la calidad institucional y de la gobernanza democrática (ONU, 2015).</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el sistema interamericano, el artículo 23 de la Convención Americana sobre Derechos Humanos reconoce el derecho y la oportunidad de participar en la dirección de los asuntos públicos, directamente o por medio de representantes libremente elegidos (Organización de los Estados Americanos, 1969). La Carta Democrática Interamericana agrega que la participación permanente, ética y responsable de la ciudadanía fortalece y profundiza la democracia representativa, y que promover distintas formas de participación es condición para el desarrollo democrático (OEA, 2001).</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Comisión Interamericana de Derechos Humanos ha sostenido que las políticas públicas con enfoque de derechos deben incorporar a las personas titulares de derechos en el diagnóstico, diseño, implementación, monitoreo y evaluación. Este enfoque abandona la idea de una ciudadanía únicamente receptora y reconoce su capacidad para producir conocimiento, supervisar programas y exigir explicaciones públicas (Comisión Interamericana de Derechos Humanos, 2018a). La CIDH también ha relacionado transparencia, participación y rendición de cuentas con la prevención de la corrupción y la protección de los derechos humanos (CIDH, 2018b).</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 los instrumentos universales e interamericanos se desprenden parámetros que deben incorporarse transversalmente al proyecto, reconocimiento de la participación como derecho; igualdad y ausencia de restricciones irrazonables; acceso oportuno a información; participación antes de que la decisión sea irreversible; medidas reforzadas de inclusión; deliberación efectiva; respuesta institucional; publicidad y trazabilidad; mecanismos de revisión; y compatibilidad con el orden constitucional.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participación significativa exige que las personas sepan, antes de intervenir, cuál es el objeto del ejercicio, qué autoridad decidirá, qué efectos puede producir el resultado y qué materias se encuentran excluidas. También requiere una obligación correlativa de la autoridad de explicar el tratamiento de las propuestas. El derecho a ser escuchado pierde contenido si el Estado no demuestra que escuchó, analizó y respondió.</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protección de derechos humanos constituye un límite infranqueable. Ninguna mayoría puede decidir legítimamente la supresión de derechos fundamentales, la discriminación de un grupo o la sustitución de competencias jurisdiccionales. El principio mayoritario debe operar dentro del constitucionalismo de derechos.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Constitución de 1917 construyó un régimen republicano, representativo, democrático y federal y consagró los principios de soberanía popular, sufragio, libertad de expresión, petición, asociación y municipio libre. Aunque su diseño original fue predominantemente representativo, dejó bases jurídicas que posteriormente permitieron ampliar la intervención directa de la ciudadanía (Constitución Política de los Estados Unidos Mexicanos, 1917).</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política de 1977 fue determinante para institucionalizar el pluralismo y ampliar la representación. Las reformas electorales de 1990 y 1996, por su parte, consolidaron autoridades electorales especializadas y un sistema de certeza, legalidad, independencia, imparcialidad y objetividad que después serviría de referencia para los mecanismos de democracia directa.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constitucional de derechos humanos de 10 de junio de 2011 modificó profundamente la forma de interpretar la participación. El artículo 1 estableció que todas las autoridades deben promover, respetar, proteger y garantizar los derechos reconocidos en la Constitución y en los tratados internacionales, conforme al principio pro persona (Diario Oficial de la Federación, 2011). Desde entonces, los artículos 23 de la Convención Americana y 25 del Pacto Internacional deben considerarse en la interpretación de los derechos políticos y de participación pública.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política de 9 de agosto de 2012 incorporó de manera expresa la iniciativa ciudadana y la consulta popular al artículo 35 constitucional, además de ampliar el régimen de candidaturas independientes (DOF, 2012). El cambio marcó un punto de inflexión, la ciudadanía dejó de ser sólo electora de quienes deciden y obtuvo instrumentos para activar el procedimiento legislativo y pronunciarse directamente sobre asuntos públicos determinados.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político-electoral de 2014 y la Ley Federal de Consulta Popular desarrollaron reglas sobre legitimación, verificación de apoyos, control de constitucionalidad, organización, cómputo y efectos. En 2019 se incorporó la revocación de mandato, posteriormente reglamentada a nivel federal. Esta evolución confirma que el orden constitucional mexicano admite mecanismos de intervención directa siempre que cuenten con reglas previas, límites materiales y tutela jurisdiccional.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Suprema Corte de Justicia de la Nación ha sostenido que la consulta popular es un derecho humano de participación política, pero que opera dentro de límites constitucionales y no puede utilizarse para condicionar el cumplimiento de deberes jurídicos indisponibles. El Tribunal Electoral del Poder Judicial de la Federación, por su parte, ha reconocido que los mecanismos de democracia directa mediante voto deben observar los principios constitucionales del sufragio y disponer de medios de impugnación efectivos (SCJN, 2020; TEPJF, 2010, 2016).</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Estado de México posee antecedentes tempranos de participación ciudadana. Los trabajos legislativos estatales han identificado el reconocimiento del derecho de iniciativa de la ciudadanía desde la Constitución local de 1861, antecedente que muestra que la participación directa en la formación de la ley forma parte de la tradición constitucional mexiquense.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1995 se reformó el artículo 14 de la Constitución local para establecer la figura del referéndum constitucional y legislativo y se expidió una ley reglamentaria específica. Aquel modelo tuvo importancia histórica porque permitió concebir a la ciudadanía como sujeto capaz de aprobar o rechazar disposiciones normativas. También reflejó limitaciones propias de su época, altos umbrales, mediación política del Ejecutivo y ausencia de una autoridad electoral permanente para organizar todos los aspectos del procedimiento.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2011 se fortalecieron mecanismos relacionados con la iniciativa ciudadana. En 2013 se incorporó en el artículo 29 de la Constitución mexiquense el derecho a votar en consultas populares sobre temas de trascendencia estatal. El diseño constitucional local estableció sujetos legitimados, un umbral ciudadano del dos por ciento de la lista nominal, un umbral de participación del cuarenta por ciento para efectos vinculantes, control previo de constitucionalidad y organización por el Instituto Electoral del Estado de México. En 2014 el Código Electoral desarrolló el procedimiento y abrogó la antigua ley reglamentaria del artículo 14.</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participación municipal se ha desarrollado mediante cabildos abiertos, consejos de participación ciudadana, autoridades auxiliares y procedimientos de planeación. La Ley Orgánica Municipal reconoce mecanismos de comunicación y colaboración con las comunidades; la legislación de planeación incorpora la participación de los sectores social y privado; y diversas leyes sectoriales contemplan consejos, comités y contralorías sociales. Esta pluralidad es valiosa, pero produce fragmentación normativa cuando no existen principios, definiciones y garantías transversales.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Censo de Población y Vivienda 2020 registró 16,992,418 habitantes en el Estado de México, lo que lo coloca como la entidad más poblada del país. La escala demográfica y la diversidad territorial municipios metropolitanos, rurales, industriales, agrícolas, conurbados y comunidades con distintos niveles de conectividad, justifican un modelo híbrido que combine procedimientos digitales y presenciales (INEGI, 2021).</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experiencia reciente de planeación muestra también una demanda institucional por mecanismos permanentes de interacción. El desafío no radica en demostrar que existe participación, sino en asegurar que ésta tenga reglas comunes, información suficiente, registro, respuesta y seguimiento.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Dentro de los antecedentes estatales de participación vinculada directamente con el ejercicio del gasto público debe destacarse la incorporación del Testigo Social al Código Administrativo del Estado de México mediante el Decreto número 147, publicado el 6 de septiembre de 2010.</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régimen vigente lo concibe expresamente como un mecanismo de participación ciudadana para involucrar a la sociedad civil en procedimientos de contratación pública relevantes por su complejidad, impacto o monto de recursos, con la finalidad de minimizar riesgos de opacidad y corrupción de acuerdo con lo determinado en el Código Administrativo del Estado de México, en los artículos. 1.42 a 1.73. Su existencia demuestra que el orden jurídico mexiquense ya reconoce una modalidad de participación no electoral orientada a la vigilancia del gasto; la presente iniciativa la sistematiza dentro de la futura ley general de participación, sin desnaturalizar las reglas técnicas de la contratación pública.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3 de junio de 2026 se publicó el Decreto número 330, por el que se reformó el artículo 17 de la Constitución Política del Estado Libre y Soberano de México. La reforma reconoció al Estado como pluricultural y multiétnico; reconoció a los pueblos y comunidades indígenas como sujetos de derecho público con personalidad jurídica y patrimonio propio; reforzó sus derechos de libre determinación, sistemas normativos, desarrollo, participación y consulta; y reconoció a los pueblos y comunidades afromexicanas dentro de la composición pluricultural del Estado.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nuevo artículo 17 reconoce expresamente el derecho de los pueblos y comunidades indígenas a ser consultados sobre medidas legislativas o administrativas que puedan causar afectaciones o impactos significativos en su vida o entorno, con la finalidad de obtener su consentimiento o alcanzar un acuerdo. También dispone que el Estado y los municipios celebren consultas y cooperen de buena fe por conducto de sus instituciones representativas. Los pueblos y comunidades afromexicanas gozan, en lo conducente, de los derechos previstos por el propio precepto.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Nuestra iniciativa adopta una decisión de técnica constitucional, no reglamentar dentro de esta Ley de Participación Ciudadana los sujetos, etapas, procedimientos, efectos ni medios de impugnación de ese derecho colectivo. El artículo Tercero Transitorio del Decreto 330 ordena armonizar las leyes estatales dentro de los ciento veinte días siguientes a la expedición de la Ley General de la materia por el Congreso de la Unión. Al 7 de agosto de 2026, el proceso federal seguía en fase de consulta sobre la propuesta de iniciativa de Ley General de Derechos de los Pueblos Indígenas y Afromexicanos, según publicaciones del Diario Oficial de la Federación de 29 de junio y 22 de julio de 2026.</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esa razón, el proyecto únicamente contiene una cláusula de reserva y salvaguarda que esta ningún mecanismo general de consulta ciudadana, audiencia, asamblea, parlamento abierto o encuesta podrá sustituir una consulta constitucionalmente exigible. La exclusión del procedimiento especial no suspende ni desconoce el derecho; simplemente evita anticipar una regulación que deberá armonizarse con la futura Ley General y con la legislación estatal especializada.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revisión conjunta de la Constitución estatal, el Código Electoral, la Ley Orgánica Municipal, la legislación de planeación, la Ley Orgánica del Poder Legislativo y los ordenamientos sectoriales permite identificar un conjunto amplio de figuras de participación, pero no un sistema general que las ordene. La dispersión genera diferencias conceptuales, incertidumbre sobre autoridades competentes, ausencia de criterios uniformes de accesibilidad, reglas desiguales de seguimiento y dificultades para identificar medios de defensa.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nueva ley debe resolver esta fragmentación sin absorber materias especializadas. La consulta popular y el referéndum deben permanecer en el Código Electoral; la iniciativa ciudadana debe conservar su procedimiento parlamentario; el cabildo abierto y los consejos de participación deben seguir vinculados a la Ley Orgánica Municipal; y las consultas constitucionalmente especiales deben permanecer fuera del régimen general de consulta ciudadana. La ley propuesta funcionará como un marco transversal de derechos, garantías y mecanismos administrativos.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tránsito de mecanismos aislados a un sistema integral permitirá que la ciudadanía conozca qué puede promover, ante qué autoridad, mediante qué requisitos, con qué efectos y cómo puede exigir una respuesta. La seguridad jurídica es una condición de la participación democrática, no un obstáculo para ella.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Los antecedentes internacionales, nacionales y estatales permiten afirmar que la participación ciudadana es un derecho humano, complementario de la democracia representativa y sujeto al orden constitucional. Su ejercicio requiere información, inclusión, accesibilidad, respuesta, trazabilidad y medios de defensa. El municipio debe ocupar una posición central por su cercanía territorial, sin que ello autorice a desconocer su autonomía. La tecnología puede ampliar cobertura, pero no puede convertirse en requisito excluyente.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Como se ha enunciado, el Estado de México cuenta con bases constitucionales suficientes y una historia normativa relevante, pero necesita articular sus mecanismos en un ordenamiento general. Este instrumento propone hacerlo con mínima intervención, gradualidad presupuestaria y respeto a los regímenes constitucionales y sectoriales especiales.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expedición de una Ley de Participación Ciudadana debe partir del parámetro de regularidad constitucional integrado por la Constitución federal, los tratados internacionales de derechos humanos, la Constitución local y la jurisprudencia aplicable.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artículo 1o federal obliga a todas las autoridades a promover, respetar, proteger y garantizar los derechos humanos y a interpretar las normas en el sentido más favorable a las personas. En materia de participación, esta obligación posee una dimensión positiva: el Estado debe crear procedimientos, información, condiciones de accesibilidad, plazos y vías de revisión que conviertan el derecho formal en una oportunidad real de incidencia.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artículo 35 de nuestra Carta Magna reconoce derechos políticos como votar, ser votado, iniciar leyes, participar en consultas populares y en procesos de revocación de mandato. Estos derechos representan la dimensión político-electoral de la participación y están sometidos a garantías reforzadas. Sin embargo, la Constitución no agota todas las modalidades posibles de interacción entre sociedad y gobierno. Las entidades federativas conservan competencias para regular mecanismos administrativos, deliberativos y comunitarios, dentro del marco de los artículos 115, 116 y 124 constitucionales.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Constitución mexiquense contiene una habilitación expresa. El artículo 61 faculta a la Legislatura para legislar en materia de participación ciudadana y para convocar consultas populares conforme a la Constitución y a la ley. Los artículos 14 y 29 regulan referéndum y consulta popular; el artículo 15 reconoce la intervención de organizaciones civiles; el artículo 29 contempla la iniciativa ciudadana y la participación comunitaria; y el artículo 139 sustenta la planeación democrática.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 esta arquitectura se desprende que una ley general es constitucionalmente viable, siempre que no altere por vía ordinaria los elementos reservados a la Constitución o a la legislación electoral especial.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ello, la iniciativa no modifica porcentajes, umbrales, autoridades o fechas de la consulta popular estatal; no redefine el referéndum; no transforma al Instituto Electoral en una autoridad general de participación administrativa; y no crea un órgano constitucional autónomo. Es una ley de desarrollo y articulación, no de sustitución constitucional.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técnica de mínima intervención legislativa implica reformar otros ordenamientos sólo cuando sea indispensable para evitar una contradicción o vacío insuperable. La nueva ley debe concentrar los principios generales y los mecanismos administrativos, mientras cada legislación especial conserva sus procedimientos. Esta solución protege la coherencia del sistema, reduce antinomias y evita duplicar competencias.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consulta popular y el referéndum permanecerán en los Libros Octavo y Noveno del Código Electoral. La Ley de Participación Ciudadana reconocerá esas figuras y remitirá a la Constitución y al Código. De igual forma, la iniciativa ciudadana conservará su regulación parlamentaria y el cabildo abierto seguirá sujeto a la Ley Orgánica Municipal. En materia de planeación y de mecanismos sectoriales, la ley general operará complementariamente respecto de accesibilidad, transparencia, respuesta y seguimiento.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Los mecanismos político-electorales son aquellos que implican ejercicio del sufragio o activación de procedimientos constitucionales directamente relacionados con derechos políticos. Los mecanismos administrativos y deliberativos incluyen audiencias, consultas ciudadanas no electorales, agendas, observatorios, contralorías sociales, recorridos, evaluación de servicios, colaboración y presupuesto participativo. El uso de urnas o de una plataforma de votación no convierte por sí mismo un ejercicio administrativo en elección constitucional.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Esta distinción tiene efectos en materia de autoridad organizadora, padrón, fiscalización, medios de impugnación y costo. Extender automáticamente la estructura electoral a los mecanismos administrativos sería jurídicamente innecesario y financieramente ineficiente.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Código Electoral regula la consulta popular y el referéndum, incluyendo convocatoria, verificación de apoyos, organización, cómputo, declaración de resultados y medios de impugnación. La ley propuesta no reproduce estas etapas. Se limita a establecer que los principios generales de accesibilidad, lenguaje ciudadano, protección de datos y máxima publicidad serán complementarios cuando resulten compatibles con la naturaleza electoral.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legislación electoral debe mantener la competencia del Instituto Electoral del Estado de México sobre los mecanismos que la Constitución le encomienda. El Instituto podrá prestar asistencia técnica a mecanismos administrativos mediante convenio, pero la ley no le asignará la organización cotidiana de audiencias, asambleas, observatorios o presupuestos participativos. Esta delimitación preserva su especialización y evita costos permanentes adicionales.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tutela judicial efectiva exige que los actos definitivos capaces de impedir el ejercicio de derechos político-electorales cuenten con medios de impugnación. La jurisprudencia 40/2010 del TEPJF reconoce la impugnabilidad de actos relacionados con referéndums y plebiscitos cuando se proyecta el derecho de voto. La revisión de las cláusulas de improcedencia del Código Electoral deberá realizarse mediante una reforma específica y mínima, sin duplicar en esta ley el sistema electoral de medios de defensa.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artículo 115 federal protege la autonomía municipal. La ley estatal puede establecer un piso común de derechos y garantías para los 125 municipios, pero no debe imponer una autoridad intermedia ni una estructura administrativa idéntica. Cada ayuntamiento conservará su potestad reglamentaria y podrá desarrollar modalidades adaptadas a su población, territorio y capacidad financiera.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cabildo abierto continuará regulándose por la Ley Orgánica Municipal. La nueva ley agregará estándares transversales como la convocatoria anticipada, información comprensible, inscripción abierta, accesibilidad física y comunicacional, registro de intervenciones, respuesta y seguimiento. Los consejos de participación ciudadana conservarán su naturaleza municipal y no quedarán subordinados al Consejo Estatal.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ley tampoco obligará a crear una nueva dirección municipal. Bastará con designar una unidad responsable dentro de la estructura existente. Esta decisión permite cumplir el derecho sin generar burocracia innecesaria y respeta la diversidad organizativa de los ayuntamientos.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al artículo 17 de la Constitución local publicada mediante Decreto 330 creó un régimen constitucional especial que debe ser respetado por esta ley. El precepto reconoce el derecho de consulta respecto de medidas legislativas o administrativas susceptibles de producir afectaciones o impactos significativos y ordena que las consultas se realicen conforme a principios y normas que garanticen el ejercicio efectivo de los derechos sustantivos de los pueblos indígenas. También reconoce, en lo conducente, derechos a los pueblos y comunidades afromexicanas.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propio Decreto 330 dispone en su artículo Tercero Transitorio que el Congreso del Estado armonizará las leyes correspondientes dentro de los ciento veinte días siguientes a la expedición de la Ley General de la materia por el Congreso de la Unión. El Diario Oficial de la Federación publicó el 29 de junio de 2026 la convocatoria y el protocolo para consultar la propuesta de iniciativa de Ley General de Derechos de los Pueblos Indígenas y Afromexicanos; posteriormente, el 22 de julio publicó las sedes de las asambleas regionales y mesas de trabajo. Esto acredita que, al cierre de este proyecto, la ley general se encontraba aún en proceso de construcción.</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consecuencia, la iniciativa excluye del ámbito regulatorio de esta ley el procedimiento especial de consulta indígena y afromexicana. No define impacto significativo, no fija etapas, plazos, autoridades, legitimación, consentimiento ni medios de impugnación. Conserva únicamente una cláusula de salvaguarda que prohíbe utilizar los mecanismos generales como sustitutos de la consulta constitucional. Esta solución evita invadir la futura distribución de competencias y reduce el riesgo de una antinomia posterior.</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reserva de materia no implica suspensión del derecho. Los artículos 2 federal y 17 local poseen eficacia normativa directa. Cuando una autoridad deba consultar conforme a la Constitución, deberá hacerlo con base en el régimen constitucional, convencional y especializado aplicable, aun cuando esta Ley de Participación Ciudadana no reglamente el procedimiento.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la revisión de constitucionalidad de la materia de consulta popular 1/2020, el Pleno de la Suprema Corte reconoció la consulta popular como un derecho humano de participación política y sostuvo que, entre interpretaciones razonables, debe preferirse aquella que maximice el acceso al derecho, sin desconocer los límites constitucionales. De este criterio se desprende el principio de facilitación donde las autoridades deben prevenir errores subsanables, orientar a las personas promoventes y evitar formalismos desproporcionados.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Corte también ha explicado que la participación directa complementa, pero no sustituye, la democracia representativa. Los resultados ciudadanos pueden incidir en decisiones públicas, pero no crean competencias no previstas ni permiten someter a votación el cumplimiento de obligaciones regladas. Por ello, el proyecto excluye de las consultas administrativas la ejecución de sentencias, la determinación individual de responsabilidades, la investigación de delitos, la protección de derechos humanos y otras obligaciones indisponibles.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claridad y neutralidad de las preguntas constituye otra garantía jurisprudencial. Una pregunta no debe contener información falsa, juicios de valor, asuntos inconexos, conceptos incomprensibles o formulaciones que induzcan una respuesta. La ley extiende este principio a las consultas ciudadanas no electorales y obliga a publicar información suficiente sobre antecedentes, impactos y alternativas.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tesis XLIX/2016 del TEPJF dispone que los mecanismos de democracia directa mediante voto deben observar los principios constitucionales del sufragio: certeza, legalidad, independencia, imparcialidad, máxima publicidad y objetividad. La jurisprudencia 40/2010, a su vez, reconoce tutela electoral para referéndums y plebiscitos cuando se afecta el derecho a votar.</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el juicio para la protección de los derechos político-electorales del ciudadano resuelto por la Sala Superior del Tribunal Electoral del Poder Judicial de la Federación, SUP-JDC-46/2019, la Sala Superior enfatizó que la denominación política de un ejercicio no basta para conferirle naturaleza electoral o efectos vinculantes. Debe existir fundamento legal, autoridad competente, objeto, etapas, requisitos, efectos y medio de defensa. Esta enseñanza se incorpora al proyecto mediante la prohibición de presentar encuestas, sondeos o foros como si fueran consultas populares vinculantes.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materia municipal, la jurisprudencia electoral ha señalado que los procedimientos de integración de autoridades u órganos auxiliares realizados mediante voto deben respetar principios electorales mínimos, aunque la organización corresponda a los ayuntamientos. La ley mantiene esta distinción y evita remitir indiscriminadamente todas las controversias municipales al Tribunal Electoral.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elaboración de una ley destinada a garantizar la participación ciudadana debe ser congruente con su propio objeto. Por ello, el proceso legislativo no puede agotarse en la revisión de normas, doctrina y jurisprudencia, sino que debe incorporar la experiencia de quienes intervienen cotidianamente en organizaciones vecinales, instituciones académicas, órganos ciudadanos, gobiernos municipales, espacios de rendición de cuentas y mecanismos de vigilancia social.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Esta dimensión adquirió especial relevancia con la celebración, el 28 de agosto de 2026, del Foro “Ley de Participación Ciudadana del Estado de México”, convocado en el Congreso mexiquense como espacio de deliberación para identificar los contenidos que debe reunir una legislación estatal en la materia.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el foro se planteó que la futura ley debe tener vocación municipal y democrática, ser equitativa, inclusiva, universal e intercultural, emplear lenguaje claro y accesible, reconocer la corresponsabilidad entre autoridades y ciudadanía y establecer mecanismos que permitan que las aportaciones sociales produzcan consecuencias institucionales. También se formularon propuestas relacionadas con capacitación de la población, educación cívica, fortalecimiento de comités y estructuras municipales y delegacionales, cabildos abiertos, sanciones por incumplimiento de las obligaciones de participación, uso de tecnologías y establecimiento de canales permanentes para recibir propuestas legislativas.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Estas aportaciones obligan a precisar un aspecto central del diseño normativo, como la efectividad de la participación no puede medirse únicamente por el número de consultas, foros o audiencias realizadas. Una participación jurídicamente significativa requiere que la intervención de las personas deje una huella institucional verificable.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autoridad debe registrar lo planteado, identificar al área competente, emitir una respuesta y permitir el seguimiento de los compromisos. En consecuencia, la iniciativa incorpora el principio de incidencia efectiva, entendido como la obligación de que cada mecanismo produzca los efectos previstos por la ley o por su convocatoria y, como mínimo, genere registro, respuesta y trazabilidad.</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demanda de mecanismos “vinculatorios” debe armonizarse con el principio de supremacía constitucional y con la distribución de competencias. Una ley ordinaria no puede convertir toda opinión mayoritaria en una orden capaz de sustituir las atribuciones constitucionales del Congreso, del Ejecutivo, de los ayuntamientos o de los órganos jurisdiccionales. Por ello, el proyecto distingue entre efectos vinculantes, de reconsideración obligatoria, de respuesta obligatoria, de incorporación a agenda, consultivos y de seguimiento.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vinculatoriedad estricta sólo existirá cuando derive expresamente de la Constitución o de una ley; en los demás casos se fortalece el deber de motivación y respuesta, evitando que la participación se reduzca a una práctica meramente testimonial.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esa misma lógica se incorpora la solicitud de revisión ciudadana de decisiones administrativas generales. Este instrumento no constituye un veto ciudadano ni suspende automáticamente una política pública. Su finalidad es permitir que, cuando exista un respaldo ciudadano suficiente, una autoridad deba reabrir públicamente el análisis de una política, programa o decisión administrativa general, exponer sus antecedentes, celebrar una audiencia y emitir una resolución reforzadamente fundada en la que determine si mantiene, modifica, sustituye o, dentro de sus atribuciones, deja sin efectos la medida. La figura genera incidencia sin alterar las competencias constitucionales.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Las intervenciones del foro también destacaron la necesidad de prever consecuencias frente a las personas servidoras públicas que incumplan las obligaciones derivadas de la participación. Esta propuesta requiere precisión por el principio de legalidad. No puede sancionarse a una autoridad simplemente por no aceptar una petición ciudadana, pues subsiste su deber de decidir conforme al orden jurídico, la planeación y las disponibilidades presupuestarias. Sí resulta jurídicamente sancionable obstaculizar injustificadamente un mecanismo, omitir una convocatoria obligatoria, alterar resultados, ocultar información, incumplir deliberadamente el deber de responder, ejercer represalias, manipular expedientes o reportar falsamente el cumplimiento de compromisos. El proyecto desarrolla las responsabilidades bajo esta lógica.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formación ciudadana constituye otro eje de la ampliación. Los mecanismos sólo pueden utilizarse plenamente cuando las personas conocen su existencia, requisitos, efectos y vías de seguimiento. En consecuencia, se crea un Programa Estatal de Cultura y Formación para la Participación Ciudadana, desarrollado mediante estructuras existentes y con la colaboración de municipios, instituciones públicas de educación superior y organismos especializados. El programa deberá abarcar derechos de participación, deliberación democrática, acceso a la información, elaboración de propuestas, seguimiento presupuestario, contraloría social, gobierno abierto y herramientas digitales.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Respecto de la propuesta de incorporar la participación ciudadana en los espacios educativos, la iniciativa adopta una fórmula respetuosa de la distribución constitucional de competencias. La presente ley no modifica planes y programas de estudio ni invade atribuciones de las autoridades educativas federales. Establece, en cambio, la posibilidad de promover actividades complementarias, simulaciones, parlamentos, consultas escolares, proyectos comunitarios y materiales de formación cívica, en coordinación con las autoridades educativas y conforme a la legislación especializada. De esta forma se impulsa la participación de niñas, niños, adolescentes y juventudes sin alterar el régimen educativo.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vocación municipal planteada en el foro se fortalece mediante una Red Municipal de Participación Ciudadana. La Red no crea una autoridad intermedia, un nuevo organismo ni una estructura remunerada. Su finalidad es coordinar a la Unidad Municipal con autoridades auxiliares, consejos de participación ciudadana, organizaciones, observatorios y demás instancias comunitarias, respetando la Ley Orgánica Municipal y la autonomía reglamentaria de cada ayuntamiento. Con ello se evitan duplicidades y se mejora la canalización territorial de las propuestas.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materia de cabildo abierto se establece un mecanismo de trazabilidad. Toda propuesta formulada formalmente durante una sesión deberá recibir un folio, identificar el área responsable y contar con una respuesta inicial dentro de un plazo legal. El objetivo no es trasladar la decisión del cabildo a quienes intervienen con voz, sino impedir que la participación concluya al término de la sesión sin constancia de atención posterior.</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Asimismo, se incorpora un Buzón Permanente de Participación Legislativa, presencial y digital, para recibir propuestas, observaciones y diagnósticos relacionados con asuntos de competencia del Congreso. El Buzón no sustituye la iniciativa ciudadana ni los procedimientos parlamentarios formales. Su función es abrir un canal permanente, otorgar folio, canalizar cada planteamiento y hacer visible su estado de atención. Cuando una promoción pueda tramitarse mediante un mecanismo jurídico específico, la Legislatura deberá orientar a la persona promovente.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tecnología se concibe como instrumento de ampliación y no de exclusión. La Plataforma Estatal evoluciona hacia un sistema de trazabilidad en el que cada expediente pueda consultarse por estados de atención recibido, en análisis, admitido, en deliberación, resuelto, en ejecución, cumplido o cerrado, con identificación de responsables, plazos y documentos públicos. Al mismo tiempo, se preservan canales presenciales, itinerantes y comunitarios para que la brecha digital no se convierta en una barrera de acceso.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lenguaje ciudadano se incorpora como principio rector. Las convocatorias, informes de resultados, respuestas y documentos técnicos esenciales deberán contar con versiones comprensibles que expliquen qué se decide, quién puede participar, cómo hacerlo, qué efectos tendrá el mecanismo, qué resultado obtuvo y qué acciones posteriores deberá realizar la autoridad. La precisión jurídica no es incompatible con la claridad; por el contrario, la comprensión de las reglas constituye una condición para el ejercicio efectivo del derecho.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Finalmente, la incorporación de la interculturalidad como principio general no modifica la reserva normativa establecida respecto de la consulta a pueblos y comunidades indígenas y afromexicanas. La interculturalidad orientará los mecanismos generales, la comunicación pública y las medidas de inclusión, pero los procedimientos especiales de consulta constitucional continuarán excluidos de esta ley y sujetos a los artículos 2o. federal y 17 local, al Decreto número 330 y a la legislación general y estatal especializada que resulte aplicable.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participación ciudadana adquiere una dimensión especialmente relevante cuando se proyecta sobre la contratación pública. En estos procedimientos confluyen decisiones técnicas, presupuestarias y administrativas mediante las cuales el Estado y los municipios transforman recursos públicos en bienes, servicios, infraestructura y proyectos. La posibilidad de incorporar observación social especializada fortalece la publicidad, la integridad, la prevención de conflictos de interés y la detección oportuna de irregularidades, sin sustituir las responsabilidades de las autoridades contratantes ni de los órganos de control.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Estado de México cuenta desde 2010 con la figura del Testigo Social. El Título Décimo del Libro Primero del Código Administrativo, artículos 1.42 a 1.73, lo define como un mecanismo de participación ciudadana y regula su registro, obligaciones, contratación, intervención en los procedimientos, emisión de testimonio e infracciones. El régimen vigente reconoce su derecho a voz, su deber de informar irregularidades, su participación desde la revisión de bases hasta la formalización contractual y la obligación de emitir un testimonio público con recomendaciones. El Reglamento del Título Décimo, publicado el 10 de junio de 2011, desarrolla el registro, la actuación, las cuotas, el expediente y la integración del Comité de Registro.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ubicación histórica de la figura dentro del Código Administrativo fue funcional para su creación, pero su naturaleza sustantiva es inequívocamente participativa. Trasladar su régimen general a la Ley de Participación Ciudadana permite ordenar el sistema sin convertir esta ley en un ordenamiento de adquisiciones.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ley de participación regulará la naturaleza del Testigo Social, registro, independencia, designación, derechos, obligaciones, testimonio, publicidad, respuesta institucional, seguimiento y responsabilidad; mientras que la Ley de Contratación Pública, el Libro Décimo Segundo del Código Administrativo y la legislación de asociaciones público privadas conservarán la regulación técnica de los procedimientos, modalidades, comités, evaluación, adjudicación, ejecución y responsabilidades contractuales.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Existe, además, un antecedente formal de reordenamiento normativo. En 2020 el Poder Ejecutivo sometió a análisis regulatorio un proyecto que proponía derogar el Título Décimo del Libro Primero del Código Administrativo y redistribuir la figura del Testigo Social en la legislación especializada de contratación pública, obra y asociaciones público privadas. Aunque aquella propuesta no se convirtió en derecho vigente, confirma que la ubicación del Testigo Social no constituye una reserva material del Código Administrativo y que su traslado puede realizarse mediante una armonización legislativa expresa, siempre que se eviten remisiones rotas y se preserve la continuidad de los procedimientos en curso.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También debe considerarse la iniciativa presentada el 29 de octubre de 2025 por integrantes del Grupo Parlamentario de Movimiento Ciudadano de la LXII Legislatura, que propuso reformar los artículos 1.49, 1.50 y 1.51 del Código Administrativo para sustituir al órgano garante de transparencia en la integración del registro por la Secretaría de la Contraloría, profesionalizar la figura mediante capacitación y examen de conocimientos y ampliar la vigencia del registro a cuatro años. La presente iniciativa recupera esos objetivos de continuidad institucional y profesionalización, pero los inserta dentro de una reforma sistemática de participación ciudadana.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nuevo diseño conserva la participación conjunta de la Universidad Autónoma del Estado de México y la Secretaría de la Contraloría en el registro, a través de un Comité de Registro de Testigos Sociales sin personalidad jurídica ni patrimonio propios. Esta fórmula combina conocimiento técnico, autonomía académica y capacidad institucional de control. El registro tendrá vigencia de cuatro años y podrá renovarse conforme al desempeño, previa acreditación de los requisitos de integridad, experiencia, capacitación y evaluación de conocimientos previstos en la ley y los lineamientos.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introduce una segunda innovación, que es la coexistencia de participación obligatoria y facultativa. El Testigo Social deberá intervenir en procedimientos que rebasen los umbrales objetivos que el Comité publique anualmente en Unidades de Medida y Actualización, así como en aquellos que la Secretaría de la Contraloría determine de alto riesgo o especial impacto conforme a criterios públicos. En los demás casos, las unidades contratantes podrán solicitar su intervención. De esta manera se evita que la vigilancia dependa exclusivamente de la voluntad de la autoridad contratante y, al mismo tiempo, se mantiene proporcionalidad respecto de procedimientos de menor entidad.</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ciudadanía podrá activar una vía de solicitud de atestiguamiento social. Cualquier persona, organización, observatorio o contraloría social podrá pedir fundadamente a la Secretaría de la Contraloría que determine la intervención de un Testigo Social en una contratación relevante. La solicitud no suspenderá el procedimiento por sí misma y deberá resolverse con criterios de riesgo, impacto, monto, complejidad y antecedentes. Este instrumento incorpora incidencia ciudadana sin permitir que una petición no verificada paralice el funcionamiento administrativo.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Para proteger la independencia, la unidad contratante no seleccionará discrecionalmente a la persona Testigo Social. La designación se realizará desde el registro mediante criterios públicos de especialidad, rotación, disponibilidad, carga de trabajo y ausencia de conflicto de interés. La contraprestación seguirá a cargo de la entidad contratante y se sujetará a cuotas públicas; sin embargo, el pago no podrá condicionarse al sentido favorable o desfavorable del testimonio, ni podrá utilizarse el contrato para reducir las facultades legales de observación.</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intervención se amplía con un enfoque de trazabilidad. El Testigo Social podrá observar los actos preparatorios directamente vinculados con la contratación, la revisión de convocatoria y bases, las juntas de aclaraciones, visitas, presentación y apertura de propuestas, evaluación, fallo y formalización. En contrataciones de especial impacto podrá extender su observación a hitos de ejecución, entrega o recepción expresamente determinados, sin asumir funciones de supervisión técnica, residencia de obra, fiscalización o administración contractual.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testimonio social deja de concebirse como un documento que simplemente se publica al cierre. La unidad contratante deberá responderlo dentro de un plazo legal, identificando las recomendaciones aceptadas, rechazadas o canalizadas, las medidas correctivas y la autoridad responsable. Tanto el testimonio como la respuesta y su seguimiento se incorporarán a la Plataforma Estatal de Participación Ciudadana. Con ello se aplica al gasto público el principio de incidencia efectiva incorporado a esta iniciativa: observación, recomendación, respuesta y trazabilidad.</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responsabilidad por la legalidad de la contratación permanecerá en las personas servidoras públicas facultadas. El Testigo Social no valida, autoriza ni convalida el procedimiento; tampoco sustituye a la Secretaría de la Contraloría, a los órganos internos de control, al Órgano Superior de Fiscalización, al Tribunal de Justicia Administrativa ni a las autoridades penales. La independencia de responsabilidades, ya reconocida por el régimen vigente, se mantiene como garantía para impedir que la presencia de un observador social sea utilizada como eximente institucional.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Desde la perspectiva presupuestaria, el traslado no parte de cero, el régimen vigente ya contempla cuotas a cargo de las unidades contratantes y una estructura de registro.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reforma no crea un organismo autónomo ni un nuevo ente con patrimonio propio. Los costos incrementales provendrán principalmente de la profesionalización, la ampliación de supuestos obligatorios, la trazabilidad digital y la respuesta institucional. Tales costos deberán integrarse desde la planeación de la contratación y estarán sujetos a transparencia y disciplina financiera. La transición conservará temporalmente registros, cuotas y reglas reglamentarias existentes para impedir un vacío operativo.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reubicación del Testigo Social dentro de la Ley de Participación Ciudadana responde, por tanto, a una lógica de sistematización y fortalecimiento. No se disminuye la especialidad de la contratación pública; se reconoce que la vigilancia ciudadana del gasto forma parte del derecho más amplio de intervenir, observar y exigir rendición de cuentas en los asuntos públicos. Este diseño enlaza al Testigo Social con la contraloría social, los observatorios ciudadanos, la Plataforma y el principio de incidencia efectiva, formando un continuo institucional de prevención, vigilancia y seguimiento.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Presupuesto de Egresos del Gobierno del Estado de México para 2026 se encuentra dentro de un marco financiero aproximado de 410,341.6 millones de pesos, monto coincidente con los ingresos totales autorizados para el ejercicio. Por su parte, al Instituto Electoral del Estado de México le fueron asignados 1,764,459,768 pesos para 2026, incluyendo prerrogativas de financiamiento público a partidos políticos. Estas cifras sirven como referencia de escala, no como disponibilidad automática para la nueva ley.</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impacto fiscal debe distinguir entre costos permanentes, costos variables y gastos extraordinarios. Los costos permanentes incluyen reglamentación, capacitación, plataforma, accesibilidad, archivo, registro y evaluación. Los variables dependen de la frecuencia de audiencias, consultas, recorridos, observatorios o ejercicios de presupuesto participativo. Las consultas populares y referéndums deben presupuestarse separadamente dentro del régimen electoral.</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modelo institucional propuesto minimiza gastos recurrentes. El Sistema Estatal carece de personalidad y patrimonio propios; el Consejo es honorífico; la Secretaría Técnica se ubica en una unidad existente; los municipios pueden designar áreas ya creadas; y la Plataforma debe aprovechar infraestructura interoperable. Con este diseño, una banda indicativa de implementación administrativa estatal entre 0.005 y 0.020 por ciento del presupuesto estatal representaría aproximadamente entre 20.5 y 82.1 millones de pesos. Se trata de escenarios de sensibilidad, no de una solicitud presupuestaria definitiva.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Los 125 municipios presentan capacidades fiscales y territoriales muy diferentes. La ley evita imponer un gasto uniforme. La asistencia estatal, cuando exista, deberá considerar población, marginación, dispersión territorial, capacidad fiscal, brecha digital y necesidades de accesibilidad. El presupuesto participativo deberá financiarse con una bolsa identificable de recursos municipales susceptibles de priorización, sin comprometer deuda, nómina, servicios esenciales o recursos etiquetados.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disciplina presupuestaria exige gradualidad, reutilización de infraestructura, interoperabilidad tecnológica, transparencia del gasto, reintegro de recursos no ejercidos, memoria de cálculo para mecanismos extraordinarios y evaluación costo-beneficio. La disponibilidad presupuestaria no debe convertirse en una excusa para negar indefinidamente derechos; cuando exista insuficiencia, la autoridad deberá justificarla, adoptar alternativas menos costosas y programar progresivamente el cumplimiento.</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Las adecuaciones derivadas del foro formación ciudadana, Red Municipal, Buzón Permanente, trazabilidad digital y solicitud de revisión ciudadana incrementan principalmente cargas de coordinación, capacitación y gestión de expedientes, pero no requieren la creación de un organismo autónomo, nuevas estructuras municipales obligatorias ni una autoridad electoral adicional. Por ello, su impacto puede absorberse dentro de los escenarios de implementación moderada y reforzada ya planteados, siempre que se privilegien plataformas interoperables, capacitación conjunta y uso de personal existente.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Cualquier ampliación de plazas, infraestructura o contratación deberá contar con memoria de cálculo y suficiencia presupuestaria. La integración del Testigo Social tampoco implica crear una institución desde cero: sustituye y moderniza un régimen ya existente en el Código Administrativo. Los costos adicionales se concentran en capacitación, evaluación, asignación independiente, ampliación de supuestos obligatorios y trazabilidad digital; las contraprestaciones continuarán presupuestándose dentro del procedimiento de contratación correspondiente.</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consolidación de una democracia participativa debe armonizarse invariablemente con el diseño federalista y, de manera específica, con el principio de libre administración hacendaria de los municipios consagrado en el artículo 115 de la Constitución Política de los Estados Unidos Mexicanos. Por ello, la presente iniciativa abandona cualquier pretensión impositiva que obligue a los ayuntamientos a comprometer porcentajes rígidos o prohibiciones de reducción de sus presupuestos que pudieran asfixiar sus finanzas, especialmente en aquellos municipios con alta marginación o baja recaudación de ingresos propios.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su lugar, el proyecto opta por un modelo de progresividad institucional y corresponsabilidad fiscal. Se faculta al Consejo Estatal para emitir lineamientos que clasifiquen a los municipios, permitiendo que la implementación del presupuesto participativo sea gradual y acorde a su realidad financiera. Como verdadero motor de este modelo, se propone la creación del Fondo Estatal de Coinversión Participativa, un mecanismo de incentivos mediante el cual el Gobierno del Estado empata o complementa los recursos que los ayuntamientos destinen a proyectos avalados por la ciudadanía. Esta fórmula transforma el presupuesto participativo de una carga fiscal impuesta a una oportunidad de inversión concurrente, alineando los incentivos de los gobiernos municipales con las demandas vecinales.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Un sistema de participación ciudadana carece de legitimidad si los mecanismos para validar el respaldo social son frágiles, discrecionales o propensos a la opacidad. Resulta materialmente imposible y jurídicamente riesgoso que las autoridades administrativas municipales o estatales verifiquen firmas ciudadanas sin tener acceso a las bases de datos registrales correspondientes.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Para dotar de plena certeza jurídica a los mecanismos de democracia directa y administrativa, la ley mandata el uso de herramientas tecnológicas interoperables y la celebración de convenios de colaboración con las autoridades electorales como son el INE e IEEM. El objetivo es transitar hacia el uso de aplicaciones oficiales de captación de apoyos y la validación mediante plataformas de identidad digital ciudadana como Llave Estado de México. Esta transición tecnológica no solo previene el fraude procedimental y el clientelismo, sino que protege de manera irrestricta los datos personales de los promoventes, garantizando que el ejercicio del derecho a participar cuente con un blindaje institucional de vanguardia.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integración del Testigo Social como mecanismo de vigilancia ciudadana de las contrataciones públicas busca fortalecer la integridad del gasto gubernamental, sin que ello se traduzca en una parálisis de las funciones sustantivas del Estado. La iniciativa reconoce que la Secretaría de la Contraloría requiere tiempos materiales y jurídicos razonables para evaluar la pertinencia de integrar a un Testigo Social frente a peticiones ciudadanas.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ello, se establece un plazo de quince días hábiles para la resolución de dichas solicitudes, anclado a la aplicación estricta de una matriz pública de riesgos en la contratación. Esta medida dota a la autoridad de un filtro objetivo para desechar peticiones infundadas o frívolas que pretendan utilizar el mecanismo como herramienta de dilación política o comercial. Asimismo, se incorpora la figura de la negativa ficta para asegurar que, ante cualquier eventualidad burocrática, los procedimientos de contratación pública necesarios para el desarrollo del Estado no se detengan.</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eficacia de los derechos de participación ciudadana depende de su accesibilidad, no de la proliferación enciclopédica de figuras jurídicas ni de la judicialización excesiva de los conflictos. Con este propósito, la iniciativa compacta conceptualmente los mecanismos de diálogo y proximidad comunitaria, facilitando su comprensión y uso por parte de la población.</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 manera destacada, se introduce un enfoque de justicia restaurativa administrativa. Antes de someter a la ciudadanía a la carga de un litigio largo y oneroso ante el Tribunal de Justicia Administrativa, la ley abre la vía de la mediación y protección sumaria a través de la Comisión de Derechos Humanos del Estado de México y las Defensorías Municipales. Esta innovación procesal garantiza que las controversias por negativas burocráticas u obstaculización del derecho a participar se resuelvan con agilidad, privilegiando la restitución inmediata del ejercicio ciudadano sobre la confrontación jurisdiccional prolongada.</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Legislatura del Estado de México posee competencia suficiente para expedir la presente ley. No se requiere reforma constitucional previa mientras se respeten los regímenes de consulta popular, referéndum, iniciativa ciudadana, autonomía municipal y consulta constitucional especial. La ley se construye, por tanto, como ordenamiento general de mecanismos administrativos y deliberativos y como marco complementario de principios respecto de figuras reguladas en leyes especiales.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Esta arquitectura permite fortalecer la democracia participativa sin fragmentar el sistema electoral, sin centralizar a los municipios y sin anticipar la regulación de materias cuya armonización depende de una ley general federal pendiente. Las aportaciones del Foro de 28 de agosto de 2026 se traducen en obligaciones concretas de incidencia, formación, trazabilidad, revisión y seguimiento, evitando que la ley quede reducida a una declaración programática. Desde la perspectiva financiera, el proyecto es sostenible si se implementa gradualmente y con estructuras existentes.</w:t>
      </w:r>
    </w:p>
    <w:p w:rsidR="002E4234" w:rsidRPr="006E437B" w:rsidRDefault="002E4234" w:rsidP="00141629">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lo anteriormente expuesto, se somete a consideración de esta Honorable Legislatura el siguiente Proyecto de Decreto.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 xml:space="preserve">A T E N T A M E N T E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 xml:space="preserve">DIP. RUTH SALINAS REYES </w:t>
      </w:r>
      <w:r w:rsidRPr="006E437B">
        <w:rPr>
          <w:rFonts w:ascii="Times New Roman" w:hAnsi="Times New Roman" w:cs="Times New Roman"/>
          <w:b/>
          <w:sz w:val="24"/>
          <w:szCs w:val="24"/>
        </w:rPr>
        <w:tab/>
        <w:t xml:space="preserve"> DIP. MARICELA BELTRÁN SÁNCHEZ</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 xml:space="preserve">DIP. LILIA URBINA SALAZAR </w:t>
      </w:r>
      <w:r w:rsidRPr="006E437B">
        <w:rPr>
          <w:rFonts w:ascii="Times New Roman" w:hAnsi="Times New Roman" w:cs="Times New Roman"/>
          <w:b/>
          <w:sz w:val="24"/>
          <w:szCs w:val="24"/>
        </w:rPr>
        <w:tab/>
      </w:r>
      <w:r w:rsidRPr="006E437B">
        <w:rPr>
          <w:rFonts w:ascii="Times New Roman" w:hAnsi="Times New Roman" w:cs="Times New Roman"/>
          <w:b/>
          <w:sz w:val="24"/>
          <w:szCs w:val="24"/>
        </w:rPr>
        <w:tab/>
        <w:t>DIP. MARTÍN ZEPEDA HERNÁNDEZ</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DIP. JUAN MANUEL ZEPEDA HERNÁNDEZ</w:t>
      </w:r>
    </w:p>
    <w:p w:rsidR="002E4234" w:rsidRPr="006E437B" w:rsidRDefault="002E4234" w:rsidP="00141629">
      <w:pPr>
        <w:spacing w:after="0" w:line="240" w:lineRule="auto"/>
        <w:rPr>
          <w:rFonts w:ascii="Times New Roman" w:hAnsi="Times New Roman" w:cs="Times New Roman"/>
          <w:b/>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Integrantes del Grupo Parlamentario de Movimiento Ciudadano de la LXII Legislatura del Estado de México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pStyle w:val="Ttulo2"/>
        <w:keepNext w:val="0"/>
        <w:tabs>
          <w:tab w:val="clear" w:pos="1440"/>
        </w:tabs>
        <w:spacing w:before="0" w:after="0"/>
        <w:ind w:left="0" w:firstLine="0"/>
        <w:rPr>
          <w:rFonts w:ascii="Times New Roman" w:hAnsi="Times New Roman" w:cs="Times New Roman"/>
          <w:b w:val="0"/>
          <w:i w:val="0"/>
          <w:sz w:val="24"/>
          <w:szCs w:val="24"/>
        </w:rPr>
      </w:pPr>
    </w:p>
    <w:p w:rsidR="002E4234" w:rsidRPr="006E437B" w:rsidRDefault="002E4234" w:rsidP="00141629">
      <w:pPr>
        <w:pStyle w:val="Ttulo2"/>
        <w:keepNext w:val="0"/>
        <w:tabs>
          <w:tab w:val="clear" w:pos="1440"/>
        </w:tabs>
        <w:spacing w:before="0" w:after="0"/>
        <w:ind w:left="0" w:firstLine="0"/>
        <w:rPr>
          <w:rFonts w:ascii="Times New Roman" w:hAnsi="Times New Roman" w:cs="Times New Roman"/>
          <w:i w:val="0"/>
          <w:sz w:val="24"/>
          <w:szCs w:val="24"/>
        </w:rPr>
      </w:pPr>
      <w:r w:rsidRPr="006E437B">
        <w:rPr>
          <w:rFonts w:ascii="Times New Roman" w:hAnsi="Times New Roman" w:cs="Times New Roman"/>
          <w:i w:val="0"/>
          <w:sz w:val="24"/>
          <w:szCs w:val="24"/>
        </w:rPr>
        <w:t xml:space="preserve">PROYECTO DE DECRETO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La H.LXII Legislatura del Estado de México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Decreta: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0031A">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PRIMERO. Se expide la Ley de Participación Ciudadana para el Estado de México, para quedar como sigue: </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 xml:space="preserve"> </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LEY DE PARTICIPACIÓN CIUDADANA PARA EL ESTADO DE MÉXICO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 xml:space="preserve">CAPÍTULO I </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DEL OBJETO, ÁMBITO DE APLICACIÓN E INTERPRETACIÓN</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003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 La presente Ley es de orden público, interés social y observancia general en el Estado de México. Tiene por objeto reconocer, garantizar, promover y regular el derecho de las personas a participar, individual o colectivamente, en la deliberación, formulación, ejecución, seguimiento, vigilancia y evaluación de las decisiones públicas estatales y municipales, dentro del ámbito de competencia de cada autoridad.</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 Son finalidades de esta Ley:</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Garantizar el ejercicio efectivo, informado, libre, incluyente y accesible del derecho a la participación ciudadana;</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Complementar y fortalecer la democracia representativa mediante mecanismos de democracia participativa, deliberativa y colaborativa;</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Establecer las bases del Sistema Estatal de Participación Ciudadana;</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Determinar los derechos de las personas participantes y las obligaciones de las autoridades;</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Regular los mecanismos de naturaleza administrativa, consultiva, deliberativa, comunitaria, colaborativa, presupuestaria, evaluativa y de vigilancia social;</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Articular los mecanismos previstos en la legislación electoral, municipal, parlamentaria, de planeación y en los ordenamientos sectoriales;</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Garantizar la participación de personas y grupos que enfrenten discriminación, desigualdad, exclusión territorial o brecha digital;</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transparencia, rendición de cuentas, trazabilidad y respuesta fundada;</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Establecer bases para la participación en planes, programas, servicios, obras y políticas públicas;</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Fortalecer la colaboración entre poderes públicos, municipios, organismos autónomos, instituciones académicas, organizaciones sociales y comunidades;</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Contribuir a la prevención de la corrupción, al uso eficiente de recursos públicos, a la buena administración y a la construcción de confianza institucional;</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una cultura permanente de formación, corresponsabilidad y educación para la participación ciudadana; y</w:t>
      </w:r>
    </w:p>
    <w:p w:rsidR="002E4234" w:rsidRPr="006E437B" w:rsidRDefault="002E4234" w:rsidP="00DA64DA">
      <w:pPr>
        <w:numPr>
          <w:ilvl w:val="0"/>
          <w:numId w:val="2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 xml:space="preserve">Garantizar que los mecanismos formales produzcan una incidencia institucional verificable conforme a su naturaleza y efectos jurídicos.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003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 Las disposiciones de esta Ley son aplicables, dentro de sus respectivas competencias, a los poderes Legislativo, Ejecutivo y Judicial del Estado; a los ayuntamientos y sus administraciones públicas; a los organismos constitucionales autónomos; a los organismos auxiliares y demás entidades de las administraciones públicas estatal o municipal; a los fideicomisos y fondos públicos que realicen actos de autoridad o ejecuten programas sujetos a participación ciudadana; y a las demás autoridades a las que el orden jurídico atribuya funciones relacionadas con los mecanismos previstos en esta Ley.</w:t>
      </w:r>
    </w:p>
    <w:p w:rsidR="002E4234" w:rsidRPr="006E437B" w:rsidRDefault="002E4234" w:rsidP="0010031A">
      <w:pPr>
        <w:spacing w:after="0" w:line="240" w:lineRule="auto"/>
        <w:jc w:val="both"/>
        <w:rPr>
          <w:rFonts w:ascii="Times New Roman" w:hAnsi="Times New Roman" w:cs="Times New Roman"/>
          <w:sz w:val="24"/>
          <w:szCs w:val="24"/>
        </w:rPr>
      </w:pPr>
    </w:p>
    <w:p w:rsidR="002E4234" w:rsidRPr="006E437B" w:rsidRDefault="002E4234" w:rsidP="001003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Los poderes Legislativo y Judicial y los organismos constitucionales autónomos aplicarán esta Ley con respeto a su autonomía, independencia, régimen interior y competencias constitucionales.</w:t>
      </w:r>
    </w:p>
    <w:p w:rsidR="002E4234" w:rsidRPr="006E437B" w:rsidRDefault="002E4234" w:rsidP="0010031A">
      <w:pPr>
        <w:spacing w:after="0" w:line="240" w:lineRule="auto"/>
        <w:jc w:val="both"/>
        <w:rPr>
          <w:rFonts w:ascii="Times New Roman" w:hAnsi="Times New Roman" w:cs="Times New Roman"/>
          <w:sz w:val="24"/>
          <w:szCs w:val="24"/>
        </w:rPr>
      </w:pPr>
    </w:p>
    <w:p w:rsidR="002E4234" w:rsidRPr="006E437B" w:rsidRDefault="002E4234" w:rsidP="001003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 La interpretación y aplicación de esta Ley se realizará de conformidad con la Constitución Política de los Estados Unidos Mexicanos, los tratados internacionales de derechos humanos de los que el Estado mexicano sea parte, la Constitución Política del Estado Libre y Soberano de México y la jurisprudencia aplicable. En todo momento se favorecerá la protección más amplia de las personas y la máxima efectividad del derecho a participar en los asuntos públicos, sin desconocer los límites materiales, las competencias constitucionales ni los derechos de terceros.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5. La aplicación de esta Ley se sujetará a las reglas siguientes:</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consulta popular de trascendencia estatal y el referéndum se regirán por la Constitución Política del Estado Libre y Soberano de México, el Código Electoral del Estado de México y las demás disposiciones electorales aplicables;</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iniciativa ciudadana se regirá por la Constitución estatal, la Ley Orgánica y el Reglamento del Poder Legislativo y, de manera complementaria, por esta Ley;</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cabildo abierto, las autoridades auxiliares municipales y los consejos de participación ciudadana se regirán por la Ley Orgánica Municipal del Estado de México, los reglamentos municipales y, de manera complementaria, por esta Ley;</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derecho de consulta de los pueblos y comunidades indígenas y afromexicanas reconocido en los artículos 2o. de la Constitución Política de los Estados Unidos Mexicanos y 17 de la Constitución Política del Estado Libre y Soberano de México constituye un régimen constitucional especial y queda excluido del ámbito regulatorio de la presente Ley. Su ejercicio se sujetará directamente a las disposiciones constitucionales, convencionales y a la legislación general y estatal especializada que resulte aplicable;</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Ningún mecanismo regulado en esta Ley podrá interpretarse, utilizarse o hacerse valer como sustituto, cumplimiento o equivalente de una consulta a pueblos y comunidades indígenas o afromexicanas constitucionalmente exigible;</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mecanismos previstos en leyes sectoriales conservarán su régimen especial y esta Ley se aplicará complementariamente en materia de accesibilidad, inclusión, transparencia, deliberación, respuesta y seguimiento, cuando ello resulte compatible con su naturaleza;</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mecanismos que impliquen el ejercicio del sufragio o posean naturaleza político-electoral observarán los principios constitucionales y los medios de impugnación correspondientes; y</w:t>
      </w:r>
    </w:p>
    <w:p w:rsidR="002E4234" w:rsidRPr="006E437B" w:rsidRDefault="002E4234" w:rsidP="00DA64DA">
      <w:pPr>
        <w:numPr>
          <w:ilvl w:val="0"/>
          <w:numId w:val="2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mecanismos administrativos regulados por esta Ley no adquirirán naturaleza electoral por el solo hecho de utilizar urnas, plataformas, votaciones abiertas o expresiones de preferencia.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6. Para efectos de esta Ley se entenderá por:</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Agenda ciudadana: instrumento mediante el cual se identifican, sistematizan y someten a consideración de las autoridades asuntos, necesidades y propuestas de interés público;</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Asamblea comunitaria: espacio de deliberación territorial o comunitaria convocado conforme a esta Ley o a la reglamentación municipal;</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Audiencia pública: mecanismo de diálogo directo entre personas y autoridades sobre asuntos determinados;</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Autoridad responsable: ente público facultado para convocar, organizar, atender o ejecutar un mecanismo;</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Cabildo abierto: sesión del ayuntamiento regulada por la Ley Orgánica Municipal en la que las personas habitantes participan con voz;</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Colaboración ciudadana: aportación voluntaria de conocimientos, trabajo comunitario, propuestas, bienes o recursos permitidos por la ley;</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Consejo: Consejo Estatal de Participación Ciudadana;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Consulta ciudadana: mecanismo administrativo y no electoral para conocer opiniones, preferencias, diagnósticos o propuestas sobre un asunto público;</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Consulta legislativa: proceso mediante el cual el Poder Legislativo recibe y analiza opiniones sobre iniciativas o proyectos normativos;</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Contraloría social: mecanismo organizado de vigilancia ciudadana de programas, obras, acciones y recursos públicos, sin sustitución de las atribuciones de fiscalización o control;</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Democracia deliberativa: proceso público de intercambio razonado de información, argumentos, alternativas y consecuencias;</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Democracia participativa: forma de intervención directa o colaborativa de las personas en asuntos públicos, complementaria de la democracia representativa;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Enlace institucional: persona servidora pública designada para coordinar el cumplimiento de esta Ley;</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Expediente de participación: conjunto organizado de documentos, datos, antecedentes, opiniones, actas, resultados y respuestas relacionados con un mecanismo;</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Facilitación: conducción imparcial de un proceso de diálogo o deliberación;</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Habitante: persona que reside habitual o temporalmente en el territorio del Estado, con independencia de su nacionalidad, sin perjuicio de los requisitos constitucionales aplicables a derechos político-electorales;</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Mecanismo: procedimiento de participación ciudadana previsto en esta Ley o en una legislación especial;</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Observatorio ciudadano: espacio autónomo de análisis, seguimiento y evaluación social de asuntos públicos;</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Organización ciudadana: agrupación formal o informal de personas que participa en asuntos de interés colectivo;</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Personas participantes: habitantes, ciudadanas, ciudadanos, organizaciones, colectivos, comunidades o instituciones que intervienen en un mecanismo;</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Plataforma: Plataforma Estatal de Participación Ciudadana;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Presupuesto participativo: mecanismo mediante el cual las personas proponen, priorizan y seleccionan proyectos financiados con una bolsa pública previamente determinada;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Principio de trazabilidad: posibilidad de conocer el registro, tratamiento, respuesta, ejecución y evaluación de una propuesta ciudadana;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Registro: Registro Estatal de Mecanismos de Participación Ciudadana;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Recorrido participativo: inspección conjunta de un espacio, obra, servicio o problemática por autoridades y habitantes;</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Respuesta fundada: determinación de la autoridad que expone antecedentes y razones jurídicas, técnicas, presupuestarias y de política pública;</w:t>
      </w:r>
    </w:p>
    <w:p w:rsidR="002E4234" w:rsidRPr="006E437B" w:rsidRDefault="002E4234" w:rsidP="00DA64DA">
      <w:pPr>
        <w:numPr>
          <w:ilvl w:val="0"/>
          <w:numId w:val="2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Secretaría: Secretaría General de Gobierno;</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Sistema: Sistema Estatal de Participación Ciudadana;</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Unidad Coordinadora: unidad administrativa de la Secretaría responsable de coordinar la aplicación de esta Ley;</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Unidad Municipal: dependencia o unidad administrativa que cada ayuntamiento designe como responsable de participación ciudadana;</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Vigilancia ciudadana: seguimiento social de actos, programas, servicios, obras y compromisos gubernamentales;</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Votación participativa: expresión de preferencia dentro de un mecanismo administrativo que no constituye sufragio político-electoral;</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Grupo de atención prioritaria: conjunto de personas que enfrenta desigualdad estructural, discriminación o barreras particulares para participar;</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Matriz de respuesta: documento que identifica las propuestas recibidas y explica su incorporación, rechazo, modificación, canalización o programación;</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 xml:space="preserve"> Autoridad garante competente: institución a la que el orden jurídico atribuya la protección del acceso a la información pública o de los datos personales;</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Buzón Permanente de Participación Legislativa: canal presencial y digital de la Legislatura para recibir, registrar, canalizar y dar seguimiento a propuestas, observaciones y diagnósticos ciudadanos;</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Incidencia efectiva: capacidad jurídica e institucional de un mecanismo para producir consecuencias verificables en forma de decisión, reconsideración, respuesta, incorporación a agenda, seguimiento o evaluación;</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Lenguaje ciudadano: forma de comunicación pública clara, comprensible y accesible que conserva la precisión jurídica indispensable;</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Red Municipal de Participación Ciudadana: mecanismo de coordinación territorial entre la Unidad Municipal y las instancias comunitarias y ciudadanas existentes, sin personalidad jurídica ni patrimonio propios;</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Solicitud de revisión ciudadana: mecanismo administrativo mediante el cual se solicita la reconsideración pública de una política, programa o decisión administrativa general conforme a esta Ley;</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Testigo Social: persona física o jurídica colectiva con registro vigente que, como representante imparcial de la sociedad civil, observa procedimientos de contratación pública en los términos de esta Ley; y</w:t>
      </w:r>
    </w:p>
    <w:p w:rsidR="002E4234" w:rsidRPr="006E437B" w:rsidRDefault="002E4234" w:rsidP="00DA64DA">
      <w:pPr>
        <w:numPr>
          <w:ilvl w:val="0"/>
          <w:numId w:val="2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Testimonio Social: documento público que emite el Testigo Social al concluir su intervención, en el que hace constar el desarrollo del procedimiento observado, las incidencias relevantes, conclusiones, recomendaciones y propuestas.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CAPÍTULO II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LOS PRINCIPIOS RECTORES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 La actuación de las autoridades y el desarrollo de los mecanismos se regirán por los principios de accesibilidad, autonomía ciudadana, buena fe, certeza, corresponsabilidad, deliberación informada, efectividad, equidad territorial, gratuidad, igualdad sustantiva, incidencia efectiva, inclusión, interculturalidad, lenguaje ciudadano, legalidad, máxima publicidad, neutralidad, no discriminación, paridad de género, perspectiva de derechos humanos, pluralismo, progresividad, rendición de cuentas, respeto a la autonomía municipal, seguridad jurídica, trazabilidad, transparencia, universalidad y uso responsable de los recursos públicos.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 Ninguna autoridad podrá establecer requisitos, cargas, plazos, formatos o condiciones que resulten desproporcionados o que hagan materialmente imposible el ejercicio del derecho de participación. Las dudas sobre requisitos subsanables deberán resolverse mediante prevención y asistencia a la persona promovente antes de declarar improcedente una solicitud.</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CAPÍTULO III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LAS PERSONAS TITULARES, SUS DERECHOS Y OBLIGACIONES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 Toda persona tiene derecho a participar en los mecanismos administrativos, deliberativos, comunitarios, colaborativos, evaluativos y de vigilancia regulados por esta Ley. El ejercicio de derechos político-electorales se reservará a quienes reúnan los requisitos establecidos en la Constitución y la legislación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 Las niñas, niños y adolescentes tienen derecho a expresar su opinión y participar, conforme a su edad, desarrollo evolutivo y madurez, en los asuntos públicos que les afecten. Su participación no podrá condicionarse a la autorización de una organización, partido político o autoridad distinta de la que legalmente corresponda a su protección.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 Las personas extranjeras residentes, migrantes, visitantes y quienes se encuentren en tránsito podrán intervenir en mecanismos no electorales relacionados con servicios públicos, convivencia, derechos humanos, desarrollo comunitario y asuntos que les afecten. Su participación no les conferirá derechos político-electorales reservados constitucionalmente a la ciudadanía mexicana.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12. Son derechos de las personas participantes:</w:t>
      </w:r>
    </w:p>
    <w:p w:rsidR="002E4234" w:rsidRPr="006E437B" w:rsidRDefault="002E4234" w:rsidP="00DA64DA">
      <w:pPr>
        <w:numPr>
          <w:ilvl w:val="0"/>
          <w:numId w:val="3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los mecanismos previstos en esta Ley;</w:t>
      </w:r>
    </w:p>
    <w:p w:rsidR="002E4234" w:rsidRPr="006E437B" w:rsidRDefault="002E4234" w:rsidP="00DA64DA">
      <w:pPr>
        <w:numPr>
          <w:ilvl w:val="0"/>
          <w:numId w:val="3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Recibir orientación y asistencia;</w:t>
      </w:r>
    </w:p>
    <w:p w:rsidR="002E4234" w:rsidRPr="006E437B" w:rsidRDefault="002E4234" w:rsidP="00DA64DA">
      <w:pPr>
        <w:numPr>
          <w:ilvl w:val="0"/>
          <w:numId w:val="3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Acceder gratuitamente a información suficiente, comprensible, objetiva y oportuna;</w:t>
      </w:r>
    </w:p>
    <w:p w:rsidR="002E4234" w:rsidRPr="006E437B" w:rsidRDefault="002E4234" w:rsidP="00DA64DA">
      <w:pPr>
        <w:numPr>
          <w:ilvl w:val="0"/>
          <w:numId w:val="3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Participar en condiciones de igualdad, seguridad y respeto;</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Formular propuestas, observaciones, preguntas y alternativas;</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Conocer reglas, autoridades, plazos y efectos;</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Recibir constancia o acuse;</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Consultar el expediente público;</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Conocer resultados, metodología y versiones ciudadanas de los documentos esenciales;</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Obtener respuesta fundada;</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Dar seguimiento a acuerdos y compromisos;</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Impugnar actos u omisiones conforme a la ley;</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Solicitar ajustes razonables;</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Participar sin afiliación partidista obligatoria;</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Ejercer libertad de expresión y deliberación pacífica;</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Solicitar protección de datos personales; y</w:t>
      </w:r>
    </w:p>
    <w:p w:rsidR="002E4234" w:rsidRPr="006E437B" w:rsidRDefault="002E4234" w:rsidP="00DA64DA">
      <w:pPr>
        <w:numPr>
          <w:ilvl w:val="0"/>
          <w:numId w:val="3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sufrir represalias por su intervención lícita.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 Las organizaciones, colectivos, instituciones académicas, colegios profesionales, comunidades y grupos vecinales podrán promover y participar en los mecanismos, sin que la falta de personalidad jurídica sea causa automática de exclusión.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Cuando pretendan asumir obligaciones, administrar recursos o celebrar convenios deberán acreditar la capacidad jurídica requerida por la legislación aplicable.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 Las autoridades deberán garantizar que la afiliación política, condición socioeconómica, domicilio dentro de una colonia determinada, pertenencia a una asociación, discapacidad, origen étnico, lengua, edad, identidad o expresión de género y cualquier otra condición no constituyan barreras indebidas para participar.</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 Son deberes de las personas participantes:</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Conducirse con respeto y de manera pacífica;</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Proporcionar información veraz cuando sea necesaria para validar una actuación;</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Abstenerse de suplantar identidades, falsificar apoyos o alterar resultados;</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Respetar derechos de terceros y reglas del mecanismo;</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Informar conflictos de interés relevantes;</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Evitar amenazas, violencia o discriminación;</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Proteger información confidencial a la que legítimamente tengan acceso; y</w:t>
      </w:r>
    </w:p>
    <w:p w:rsidR="002E4234" w:rsidRPr="006E437B" w:rsidRDefault="002E4234" w:rsidP="00DA64DA">
      <w:pPr>
        <w:numPr>
          <w:ilvl w:val="0"/>
          <w:numId w:val="3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Utilizar los mecanismos para fines lícitos.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 La participación será gratuita.</w:t>
      </w: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Ninguna autoridad podrá exigir cuotas, aportaciones, dádivas, afiliaciones, contraprestaciones o servicios como condición para participar.</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D6A1A">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 Las opiniones expresadas en los mecanismos no generarán responsabilidad administrativa, civil o penal, salvo cuando constituyan conductas sancionadas expresamente por la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645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 Las personas servidoras públicas deberán abstenerse de intimidar, discriminar, condicionar servicios, obstaculizar trámites, amenazar o adoptar represalias contra quienes promuevan o participen en los mecanismos.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SEGUNDO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SISTEMA ESTATAL DE PARTICIPACIÓN CIUDADANA</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 xml:space="preserve"> </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LAS AUTORIDADES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19. Son autoridades responsables de aplicar esta Ley:</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Legislatura del Estado;</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persona titular del Poder Ejecutivo y las dependencias y entidades de la administración pública estatal;</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ayuntamientos y las dependencias y entidades municipales;</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organismos constitucionales autónomos, dentro de sus competencias;</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Instituto Electoral del Estado de México, exclusivamente respecto de las atribuciones que le confieran la Constitución, el Código Electoral y otras leyes;</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autoridades jurisdiccionales competentes; y</w:t>
      </w:r>
    </w:p>
    <w:p w:rsidR="002E4234" w:rsidRPr="006E437B" w:rsidRDefault="002E4234" w:rsidP="00DA64DA">
      <w:pPr>
        <w:numPr>
          <w:ilvl w:val="0"/>
          <w:numId w:val="3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autoridades a las que una disposición jurídica atribuya funciones de participación ciudadana.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20. Corresponde a la Legislatura:</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Garantizar la participación ciudadana en el ámbito parlamentario;</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Recibir y tramitar las iniciativas ciudadanas;</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Desarrollar mecanismos de parlamento abierto y consulta legislativa;</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Designar a las personas consejeras ciudadanas conforme a esta Ley;</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Aprobar los recursos presupuestarios correspondientes;</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Dar seguimiento a los resultados de los mecanismos relacionados con su competencia; y</w:t>
      </w:r>
    </w:p>
    <w:p w:rsidR="002E4234" w:rsidRPr="006E437B" w:rsidRDefault="002E4234" w:rsidP="00DA64DA">
      <w:pPr>
        <w:numPr>
          <w:ilvl w:val="0"/>
          <w:numId w:val="3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Ejercer las demás atribuciones previstas en la Constitución y las leyes.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21. Corresponde al Poder Ejecutivo:</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Formular la política estatal de participación ciudadana;</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Coordinar el Sistema por conducto de la Secretaría;</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Incorporar la participación en la planeación, programación, ejecución y evaluación de políticas públicas;</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Garantizar el funcionamiento de la Plataforma y del Registro;</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Proporcionar asistencia técnica a los municipios;</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Incluir previsiones presupuestarias;</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procesos de consulta pública regulatoria;</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Cumplir y dar seguimiento a determinaciones vinculantes que legalmente correspondan; y</w:t>
      </w:r>
    </w:p>
    <w:p w:rsidR="002E4234" w:rsidRPr="006E437B" w:rsidRDefault="002E4234" w:rsidP="00DA64DA">
      <w:pPr>
        <w:numPr>
          <w:ilvl w:val="0"/>
          <w:numId w:val="3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previstas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22. Corresponde a los ayuntamientos:</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Garantizar la participación de las personas habitantes en asuntos municipales;</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Expedir y mantener actualizado su reglamento de participación ciudadana;</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Designar la Unidad Municipal;</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Organizar los mecanismos municipales;</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Implementar el presupuesto participativo;</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Fortalecer el cabildo abierto y los consejos de participación ciudadana;</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Integrar y facilitar la operación de la Red Municipal de Participación Ciudadana;</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Incorporar mecanismos presenciales para localidades sin conectividad;</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la formación ciudadana y la difusión de los mecanismos;</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Publicar resultados, respuestas y avances;</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Prever los recursos necesarios; y</w:t>
      </w:r>
    </w:p>
    <w:p w:rsidR="002E4234" w:rsidRPr="006E437B" w:rsidRDefault="002E4234" w:rsidP="00DA64DA">
      <w:pPr>
        <w:numPr>
          <w:ilvl w:val="0"/>
          <w:numId w:val="3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atribuciones previstas en esta Ley, la Ley Orgánica Municipal y sus reglamentos.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645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 Los organismos constitucionales autónomos incorporarán mecanismos de participación relacionados con sus atribuciones sustantivas, sin perjuicio de su autonomía técnica, presupuestaria y de gestión.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645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 La intervención del Instituto Electoral en consultas populares, referéndums y demás mecanismos político-electorales se sujetará exclusivamente a la Constitución estatal y a la legislación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645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Instituto podrá celebrar convenios de asistencia técnica respecto de mecanismos administrativos, siempre que ello no implique transferirle competencias ajenas a su naturaleza ni utilizar indebidamente el padrón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645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 Ninguna autoridad podrá convocar un ejercicio con la denominación de consulta popular, referéndum u otro mecanismo político-electoral si no se encuentra expresamente previsto y regulado por el orden jurídico.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NATURALEZA E INTEGRACIÓN DEL SISTEMA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8645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 El Sistema es el conjunto de principios, autoridades, mecanismos, instrumentos, registros, procedimientos y relaciones de coordinación destinados a garantizar el derecho de participación ciudadana.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239BC">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 El Sistema no tendrá personalidad jurídica ni patrimonio propios y no constituirá una autoridad intermedia entre el Gobierno del Estado y los municipios.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28. Son objetivos del Sistema:</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Coordinar las políticas de participación;</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Facilitar el ejercicio de los mecanismos;</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Evitar duplicidades institucionales;</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Establecer estándares comunes de calidad;</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Generar información comparable;</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Fortalecer capacidades estatales y municipales;</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buenas prácticas;</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Evaluar los resultados de la participación; y</w:t>
      </w:r>
    </w:p>
    <w:p w:rsidR="002E4234" w:rsidRPr="006E437B" w:rsidRDefault="002E4234" w:rsidP="00DA64DA">
      <w:pPr>
        <w:numPr>
          <w:ilvl w:val="0"/>
          <w:numId w:val="3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Impulsar la innovación democrática.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29. El Sistema se integrará por:</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Consejo;</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Unidad Coordinadora;</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unidades municipales;</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enlaces institucionales;</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Registro;</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Plataforma;</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mecanismos previstos en esta Ley y en las leyes especiales; y</w:t>
      </w:r>
    </w:p>
    <w:p w:rsidR="002E4234" w:rsidRPr="006E437B" w:rsidRDefault="002E4234" w:rsidP="00DA64DA">
      <w:pPr>
        <w:numPr>
          <w:ilvl w:val="0"/>
          <w:numId w:val="3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Los instrumentos de planeación, evaluación y rendición de cuentas.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239BC">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30. La coordinación dentro del Sistema no implicará subordinación entre poderes, organismos autónomos o municipios. Los acuerdos del Consejo tendrán carácter de recomendaciones, lineamientos técnicos o mecanismos de coordinación, salvo que una ley les atribuya expresamente efectos distintos.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239BC">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31. Las autoridades deberán intercambiar información, metodologías y buenas prácticas, respetando las competencias, la protección de datos personales y las restricciones legales aplicables.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CONSEJO ESTATAL DE PARTICIPACIÓN CIUDADANA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239BC">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32. El Consejo es la instancia plural, honorífica, consultiva y de coordinación estratégica del Sistema.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33. El Consejo se integrará por:</w:t>
      </w:r>
    </w:p>
    <w:p w:rsidR="002E4234" w:rsidRPr="006E437B" w:rsidRDefault="002E4234" w:rsidP="00DA64DA">
      <w:pPr>
        <w:pStyle w:val="Prrafodelista"/>
        <w:numPr>
          <w:ilvl w:val="0"/>
          <w:numId w:val="54"/>
        </w:numPr>
        <w:spacing w:after="0" w:line="240" w:lineRule="auto"/>
        <w:ind w:left="709" w:hanging="709"/>
        <w:jc w:val="both"/>
        <w:rPr>
          <w:rFonts w:ascii="Times New Roman" w:hAnsi="Times New Roman" w:cs="Times New Roman"/>
          <w:color w:val="auto"/>
          <w:sz w:val="24"/>
          <w:szCs w:val="24"/>
        </w:rPr>
      </w:pPr>
      <w:r w:rsidRPr="006E437B">
        <w:rPr>
          <w:rFonts w:ascii="Times New Roman" w:hAnsi="Times New Roman" w:cs="Times New Roman"/>
          <w:color w:val="auto"/>
          <w:sz w:val="24"/>
          <w:szCs w:val="24"/>
        </w:rPr>
        <w:t>La persona titular de la Secretaría, quien lo presidirá;</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II.</w:t>
      </w:r>
      <w:r w:rsidRPr="006E437B">
        <w:rPr>
          <w:rFonts w:ascii="Times New Roman" w:hAnsi="Times New Roman" w:cs="Times New Roman"/>
          <w:sz w:val="24"/>
          <w:szCs w:val="24"/>
        </w:rPr>
        <w:tab/>
        <w:t>La persona titular de la Secretaría de Finanzas;</w:t>
      </w:r>
    </w:p>
    <w:p w:rsidR="002E4234" w:rsidRPr="006E437B" w:rsidRDefault="002E4234" w:rsidP="00DA64DA">
      <w:pPr>
        <w:numPr>
          <w:ilvl w:val="0"/>
          <w:numId w:val="3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persona titular de la Secretaría de la Contraloría;</w:t>
      </w:r>
    </w:p>
    <w:p w:rsidR="002E4234" w:rsidRPr="006E437B" w:rsidRDefault="002E4234" w:rsidP="00DA64DA">
      <w:pPr>
        <w:numPr>
          <w:ilvl w:val="0"/>
          <w:numId w:val="3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persona titular de la autoridad estatal competente en materia de gobierno digital;</w:t>
      </w:r>
    </w:p>
    <w:p w:rsidR="002E4234" w:rsidRPr="006E437B" w:rsidRDefault="002E4234" w:rsidP="00DA64DA">
      <w:pPr>
        <w:numPr>
          <w:ilvl w:val="0"/>
          <w:numId w:val="3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Tres representantes municipales, provenientes de regiones distintas;</w:t>
      </w:r>
    </w:p>
    <w:p w:rsidR="002E4234" w:rsidRPr="006E437B" w:rsidRDefault="002E4234" w:rsidP="00DA64DA">
      <w:pPr>
        <w:numPr>
          <w:ilvl w:val="0"/>
          <w:numId w:val="3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Seis personas consejeras ciudadanas; y</w:t>
      </w:r>
    </w:p>
    <w:p w:rsidR="002E4234" w:rsidRPr="006E437B" w:rsidRDefault="002E4234" w:rsidP="00DA64DA">
      <w:pPr>
        <w:numPr>
          <w:ilvl w:val="0"/>
          <w:numId w:val="3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persona titular de la Unidad Coordinadora, quien ejercerá la Secretaría Técnica con voz, pero sin voto. La integración deberá observar paridad de género y diversidad regional.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34. Serán personas invitadas permanentes, con voz pero sin voto:</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Una representación de la Legislatura;</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Una representación del Poder Judicial;</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Una representación del Instituto Electoral;</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Una representación del organismo público de derechos humanos;</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Una representación de la autoridad garante competente en transparencia y protección de datos;</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Una representación de las instituciones públicas de educación superior estatales; y</w:t>
      </w:r>
    </w:p>
    <w:p w:rsidR="002E4234" w:rsidRPr="006E437B" w:rsidRDefault="002E4234" w:rsidP="00DA64DA">
      <w:pPr>
        <w:numPr>
          <w:ilvl w:val="0"/>
          <w:numId w:val="4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que acuerde el Consejo por la naturaleza de los asuntos.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239BC">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35. Las representaciones municipales serán seleccionadas anualmente mediante convocatoria pública e insaculación entre los municipios que manifiesten interés. La selección deberá procurar la presencia de municipios metropolitanos, urbanos y rurales.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239BC">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36. Las personas consejeras ciudadanas serán designadas por la Legislatura mediante convocatoria pública, evaluación documental y comparecencia abierta. La designación requerirá el voto de las dos terceras partes de las personas legisladoras presentes.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37. Para ser persona consejera ciudadana se requiere:</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Ser ciudadana mexicana en pleno ejercicio de sus derechos;</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Acreditar residencia en el Estado durante los cinco años anteriores;</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Contar con experiencia en participación ciudadana, derechos humanos, administración pública, desarrollo comunitario, transparencia, planeación, evaluación, academia o materias afines;</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haber sido dirigente de partido político, candidata o candidato a un cargo de elección popular, ni haber ocupado un cargo partidista de dirección durante los tres años anteriores;</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encontrarse inhabilitada para desempeñar empleo, cargo o comisión en el servicio público;</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tener conflicto de interés permanente con las funciones del Consejo; y</w:t>
      </w:r>
    </w:p>
    <w:p w:rsidR="002E4234" w:rsidRPr="006E437B" w:rsidRDefault="002E4234" w:rsidP="00DA64DA">
      <w:pPr>
        <w:numPr>
          <w:ilvl w:val="0"/>
          <w:numId w:val="4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Presentar declaración de intereses.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38. Las personas consejeras ciudadanas durarán cuatro años en su encargo, no podrán ser designadas para un periodo inmediato y ejercerán sus funciones de manera honorífica. Los gastos indispensables de traslado y accesibilidad podrán ser cubiertos conforme a las disposiciones presupuestarias y de austeridad.</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39. Las personas consejeras ciudadanas podrán ser removidas por la Legislatura, previa garantía de audiencia, por incumplimiento grave o reiterado de sus obligaciones; faltas injustificadas a tres sesiones consecutivas; uso del encargo para obtener beneficio personal, partidista o electoral; violación grave a la confidencialidad legalmente protegida; conflicto de interés no revelado; o pérdida de alguno de los requisitos de elegibilidad.</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40. Corresponde al Consejo:</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Aprobar el Programa Estatal de Participación Ciudadana;</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Emitir recomendaciones y criterios técnicos;</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Proponer estándares de accesibilidad, deliberación y evaluación;</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Analizar los informes anuales;</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la coordinación municipal;</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Formular recomendaciones sobre la Plataforma y el Registro;</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Impulsar investigación, formación y educación cívica;</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Recomendar medidas para reducir barreras de participación;</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Evaluar el funcionamiento general del Sistema;</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Reconocer buenas prácticas;</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Aprobar su calendario de sesiones; y</w:t>
      </w:r>
    </w:p>
    <w:p w:rsidR="002E4234" w:rsidRPr="006E437B" w:rsidRDefault="002E4234" w:rsidP="00DA64DA">
      <w:pPr>
        <w:numPr>
          <w:ilvl w:val="0"/>
          <w:numId w:val="4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previstas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41. El Consejo sesionará ordinariamente al menos cuatro veces al año y extraordinariamente cuando lo convoque su presidencia o la mayoría de sus integrantes.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42. Habrá quórum con la presencia de la mayoría de sus integrantes con derecho a voto, siempre que concurran al menos tres personas consejeras ciudadanas.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Los acuerdos se adoptarán por mayoría de votos. En caso de empate, la presidencia tendrá voto de calidad.</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43. Las sesiones del Consejo serán públicas y se transmitirán por medios digitales, salvo las porciones en las que se analice información reservada o confidencial. Las convocatorias, documentos, actas, votaciones y acuerdos deberán publicarse en la Plataforma.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44. El Consejo podrá integrar grupos de trabajo temporales. Su creación no generará estructuras administrativas ni remuneraciones adicionales.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IV</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UNIDAD COORDINADORA, LAS UNIDADES MUNICIPALES, LOS ENLACES Y LAS REDES MUNICIPALES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45. La Secretaría contará con una Unidad Coordinadora, utilizando preferentemente su estructura administrativa existente.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46. Corresponde a la Unidad Coordinadora:</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Ejecutar los acuerdos del Consejo;</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Elaborar el proyecto del Programa Estatal;</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Administrar la Plataforma y el Registro;</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Proporcionar asistencia técnica;</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Diseñar formatos y metodologías;</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Coordinar actividades de capacitación;</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Recibir y canalizar solicitudes;</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Elaborar el informe estatal anual;</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Integrar indicadores;</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Promover convenios de colaboración;</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Dar seguimiento a las recomendaciones del Consejo; y</w:t>
      </w:r>
    </w:p>
    <w:p w:rsidR="002E4234" w:rsidRPr="006E437B" w:rsidRDefault="002E4234" w:rsidP="00DA64DA">
      <w:pPr>
        <w:numPr>
          <w:ilvl w:val="0"/>
          <w:numId w:val="4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que establezcan esta Ley y su Reglamento.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47. Cada ayuntamiento designará una Unidad Municipal responsable de coordinar el cumplimiento de esta Ley. La designación podrá recaer en una dependencia existente y no obligará a crear una nueva estructura.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48. Corresponde a las unidades municipales:</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Elaborar el programa municipal de participación;</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Organizar los mecanismos municipales;</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Administrar la sección municipal de la Plataforma;</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Integrar los expedientes;</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Brindar asistencia a las personas promoventes;</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Coordinar el presupuesto participativo;</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Mantener actualizado el registro municipal;</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Coordinar la Red Municipal de Participación Ciudadana;</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Elaborar informes;</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Proponer mejoras reglamentarias; y</w:t>
      </w:r>
    </w:p>
    <w:p w:rsidR="002E4234" w:rsidRPr="006E437B" w:rsidRDefault="002E4234" w:rsidP="00DA64DA">
      <w:pPr>
        <w:numPr>
          <w:ilvl w:val="0"/>
          <w:numId w:val="44"/>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previstas en la reglamentación municipal.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49. Cada municipio integrará una Red Municipal de Participación Ciudadana como mecanismo de coordinación entre la Unidad Municipal, las autoridades auxiliares, los consejos de participación ciudadana, organizaciones, colectivos, observatorios y demás instancias comunitarias existentes.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Red no tendrá personalidad jurídica, patrimonio propio, estructura administrativa permanente ni generará remuneraciones por su sola integración.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50. La Red Municipal tendrá por objeto facilitar la canalización de propuestas, compartir información, identificar problemáticas recurrentes, coordinar ejercicios territoriales, promover la formación ciudadana y dar seguimiento a asuntos comunitarios.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Su operación respetará la autonomía municipal, las atribuciones de las autoridades auxiliares y el régimen de los consejos de participación ciudadana previsto en la Ley Orgánica Municipal.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51. Cada ente público designará un enlace institucional, quien deberá contar con capacidad para coordinar las obligaciones previstas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52. Las personas titulares de las unidades y enlaces deberán recibir capacitación periódica en derechos humanos, accesibilidad, interculturalidad, perspectiva de género, deliberación, protección de datos y gestión de conflictos.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53. Las unidades y enlaces no podrán alterar, ocultar o filtrar políticamente las propuestas ciudadanas. Toda canalización, clasificación o determinación deberá quedar registrada.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LOS INSTRUMENTOS DEL SISTEMA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54. El Programa Estatal de Participación Ciudadana establecerá objetivos anuales, mecanismos prioritarios, estrategias de inclusión, acciones de capacitación, metas e indicadores, proyectos tecnológicos, coordinación municipal, previsiones presupuestarias y métodos de evaluación.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55. Los municipios aprobarán anualmente un programa municipal congruente con sus planes de desarrollo, capacidades financieras y características territoriales.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56. El Registro contendrá, al menos, la denominación del mecanismo, autoridad responsable, ámbito territorial, materia y objetivo, fecha y modalidad, número y perfil general de participantes, documentos y propuestas recibidas, resultados, respuesta de la autoridad, compromisos y grado de cumplimiento y recursos públicos ejercidos.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57. El Registro será público y se presentará en formatos abiertos, salvo la información reservada o confidencial.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58. La falta de inscripción de un observatorio, colectivo u organización en el Registro no será causa para desconocer su existencia ni para impedirle participar.</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59. Las autoridades deberán remitir a la Unidad Coordinadora la información necesaria para actualizar el Registro, dentro de los plazos establecidos en el Reglamento.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 xml:space="preserve">CAPÍTULO VI </w:t>
      </w:r>
    </w:p>
    <w:p w:rsidR="002E4234" w:rsidRPr="006E437B" w:rsidRDefault="002E4234" w:rsidP="00141629">
      <w:pPr>
        <w:pStyle w:val="Ttulo2"/>
        <w:keepNext w:val="0"/>
        <w:tabs>
          <w:tab w:val="clear" w:pos="1440"/>
        </w:tabs>
        <w:spacing w:before="0" w:after="0"/>
        <w:ind w:left="0" w:firstLine="0"/>
        <w:jc w:val="center"/>
        <w:rPr>
          <w:rFonts w:ascii="Times New Roman" w:hAnsi="Times New Roman" w:cs="Times New Roman"/>
          <w:sz w:val="24"/>
          <w:szCs w:val="24"/>
        </w:rPr>
      </w:pPr>
      <w:r w:rsidRPr="006E437B">
        <w:rPr>
          <w:rFonts w:ascii="Times New Roman" w:hAnsi="Times New Roman" w:cs="Times New Roman"/>
          <w:sz w:val="24"/>
          <w:szCs w:val="24"/>
        </w:rPr>
        <w:t>DE LA CULTURA Y FORMACIÓN PARA LA PARTICIPACIÓN CIUDADANA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60. El Estado y los municipios promoverán permanentemente una cultura democrática de participación, corresponsabilidad, legalidad, respeto a los derechos humanos, deliberación informada, transparencia y rendición de cuentas.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61. La Unidad Coordinadora elaborará y ejecutará el Programa Estatal de Cultura y Formación para la Participación Ciudadana, con el objeto de proporcionar a las personas herramientas para conocer, promover, ejercer, vigilar y evaluar los mecanismos previstos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62. El Programa comprenderá, al menos, derechos de participación, mecanismos estatales y municipales, elaboración de propuestas, acceso a la información, seguimiento presupuestario, contraloría social, gobierno abierto, deliberación democrática, cultura de la legalidad, herramientas digitales y mecanismos de exigibilidad.</w:t>
      </w:r>
    </w:p>
    <w:p w:rsidR="002E4234" w:rsidRPr="006E437B" w:rsidRDefault="002E4234" w:rsidP="006E4EAD">
      <w:pPr>
        <w:spacing w:after="0" w:line="240" w:lineRule="auto"/>
        <w:jc w:val="both"/>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63. Las actividades de formación se dirigirán a habitantes, personas servidoras públicas, organizaciones, autoridades auxiliares, consejos de participación ciudadana, observatorios, juventudes y demás grupos interesados.</w:t>
      </w:r>
    </w:p>
    <w:p w:rsidR="002E4234" w:rsidRPr="006E437B" w:rsidRDefault="002E4234" w:rsidP="006E4EAD">
      <w:pPr>
        <w:spacing w:after="0" w:line="240" w:lineRule="auto"/>
        <w:jc w:val="both"/>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Las autoridades deberán procurar cobertura territorial y modalidades presenciales y digitales.</w:t>
      </w:r>
    </w:p>
    <w:p w:rsidR="002E4234" w:rsidRPr="006E437B" w:rsidRDefault="002E4234" w:rsidP="006E4EAD">
      <w:pPr>
        <w:spacing w:after="0" w:line="240" w:lineRule="auto"/>
        <w:jc w:val="both"/>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64. La Secretaría podrá celebrar convenios con municipios, instituciones públicas de educación superior, organismos constitucionales autónomos y organizaciones especializadas para desarrollar materiales, investigación, asistencia técnica y procesos de formación, sin transferir funciones indelegables.</w:t>
      </w:r>
    </w:p>
    <w:p w:rsidR="002E4234" w:rsidRPr="006E437B" w:rsidRDefault="002E4234" w:rsidP="006E4EAD">
      <w:pPr>
        <w:spacing w:after="0" w:line="240" w:lineRule="auto"/>
        <w:jc w:val="both"/>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65. En coordinación con las autoridades educativas y dentro del ámbito de sus respectivas competencias, se promoverán actividades complementarias de formación cívica, simulaciones, parlamentos, consultas escolares, proyectos comunitarios y ejercicios de participación de niñas, niños, adolescentes y jóvenes. Estas actividades respetarán la legislación educativa y no modificarán por sí mismas los planes y programas de estudio.</w:t>
      </w:r>
    </w:p>
    <w:p w:rsidR="002E4234" w:rsidRPr="006E437B" w:rsidRDefault="002E4234" w:rsidP="006E4EAD">
      <w:pPr>
        <w:spacing w:after="0" w:line="240" w:lineRule="auto"/>
        <w:jc w:val="both"/>
        <w:rPr>
          <w:rFonts w:ascii="Times New Roman" w:hAnsi="Times New Roman" w:cs="Times New Roman"/>
          <w:sz w:val="24"/>
          <w:szCs w:val="24"/>
        </w:rPr>
      </w:pPr>
    </w:p>
    <w:p w:rsidR="002E4234" w:rsidRPr="006E437B" w:rsidRDefault="002E4234" w:rsidP="006E4EA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66. Los materiales básicos de formación y difusión de esta Ley serán gratuitos, estarán disponibles en formatos accesibles y deberán emplear lenguaje ciudadano. La Unidad Coordinadora y los municipios realizarán campañas periódicas para difundir los mecanismos y las formas de ejercerlos.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TERCERO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LAS REGLAS COMUNES DE LOS MECANISMOS</w:t>
      </w:r>
    </w:p>
    <w:p w:rsidR="002E4234" w:rsidRPr="006E437B" w:rsidRDefault="002E4234" w:rsidP="00141629">
      <w:pPr>
        <w:spacing w:after="0" w:line="240" w:lineRule="auto"/>
        <w:jc w:val="center"/>
        <w:rPr>
          <w:rFonts w:ascii="Times New Roman" w:hAnsi="Times New Roman" w:cs="Times New Roman"/>
          <w:b/>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INICIACIÓN, PROCEDENCIA Y ADMISIÓN</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67. Los mecanismos podrán iniciarse de oficio por la autoridad competente; a petición de una o más personas; a solicitud de una organización, colectivo o comunidad; por acuerdo de un órgano colegiado; por disposición legal; o como consecuencia de otro mecanismo.</w:t>
      </w:r>
    </w:p>
    <w:p w:rsidR="002E4234" w:rsidRPr="006E437B" w:rsidRDefault="002E4234" w:rsidP="002035F6">
      <w:pPr>
        <w:spacing w:after="0" w:line="240" w:lineRule="auto"/>
        <w:jc w:val="both"/>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68. La solicitud deberá contener nombre de las personas promoventes, medio para recibir notificaciones, descripción clara del asunto, autoridad a la que se dirige cuando sea conocida, mecanismo solicitado o finalidad perseguida, ámbito territorial, razones de interés público, propuesta inicial en su caso y apoyos ciudadanos cuando el mecanismo los requiera. No podrán exigirse formalidades adicionales a las previstas en esta Ley o en la regulación especial.</w:t>
      </w:r>
    </w:p>
    <w:p w:rsidR="002E4234" w:rsidRPr="006E437B" w:rsidRDefault="002E4234" w:rsidP="002035F6">
      <w:pPr>
        <w:spacing w:after="0" w:line="240" w:lineRule="auto"/>
        <w:jc w:val="both"/>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69. Las solicitudes podrán presentarse por escrito, en comparecencia, a través de la Plataforma o mediante los módulos que habiliten las autoridades. Las comparecencias se documentarán en un formato que deberá ser leído y, en su caso, firmado o validado por la persona promovente.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70. Cuando la solicitud sea incompleta, la autoridad prevendrá por una sola ocasión para que sea subsanada dentro de los diez días hábiles siguientes. La prevención deberá indicar claramente las omisiones y la forma de corregirlas.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71. Cuando la autoridad receptora carezca de competencia, deberá remitir la solicitud a la autoridad que estime competente dentro de los cinco días hábiles siguientes e informar a la persona promovente.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72. La autoridad resolverá sobre la admisión dentro de los veinte días hábiles siguientes a la recepción de la solicitud completa. La falta de resolución no implicará autorización ni rechazo automático, pero permitirá ejercer los medios de defensa aplicables.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73. Sólo podrá declararse improcedente una solicitud cuando la autoridad carezca de competencia y no sea posible identificar a la competente; se pretenda restringir derechos humanos; su objeto sea discriminatorio, violento o contrario al orden constitucional; se solicite decidir sobre la culpabilidad, responsabilidad o situación jurídica individual de una persona; se pretenda interferir en procesos jurisdiccionales, investigaciones, sanciones o procedimientos en trámite; se refiera a información reservada o confidencial cuya divulgación esté prohibida; se pretenda sustituir una obligación reglada o someter a votación el cumplimiento de una sentencia o deber legal indisponible; el mecanismo solicitado sea electoral y no cumpla las condiciones constitucionales y legales aplicables; la solicitud resulte materialmente idéntica a otra resuelta durante los doce meses anteriores y no existan hechos nuevos; se trate de una promoción ficticia o basada en apoyos falsificados; o exista imposibilidad jurídica insuperable.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74. La controversia, complejidad, costo, oposición de una autoridad, crítica gubernamental o falta de consenso no constituirán por sí mismas causas de improcedencia.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75. La resolución de improcedencia deberá ser fundada, motivada, notificada y publicada en versión pública. La autoridad indicará, cuando sea posible, un mecanismo alternativo para atender el asunto.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76. Las solicitudes relacionadas podrán acumularse cuando ello favorezca su atención, sin afectar los derechos de las personas promoventes.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77. El desistimiento de una persona promovente no impedirá continuar el mecanismo cuando exista interés público, otras personas promoventes o una obligación legal de realizarlo.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CONVOCATORIA Y LA INFORMACIÓN</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78. Todo mecanismo deberá contar con convocatoria pública, salvo las actuaciones de colaboración inmediata o recorridos que, por su naturaleza, no la requieran.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79. La convocatoria contendrá fundamento jurídico; autoridad responsable; objeto, alcance y efectos; personas convocadas; materia y ámbito territorial; etapas y calendario; modalidades de participación; requisitos estrictamente necesarios; información disponible; medidas de accesibilidad; tratamiento de datos personales; metodología para procesar resultados; medio para formular preguntas o inconformidades; y forma de seguimiento.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80. La convocatoria se publicará con una anticipación mínima de quince días hábiles, salvo que esta Ley establezca un plazo distinto o exista una causa urgente debidamente justificada.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81. La difusión deberá realizarse mediante la Plataforma y, de acuerdo con el ámbito del mecanismo, mediante gacetas, estrados, redes institucionales, medios comunitarios, carteles, perifoneo, módulos y otros instrumentos adecuados.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82. La autoridad integrará un expediente de información que contenga diagnóstico del problema, antecedentes, marco jurídico, alternativas, impactos previsibles, estimación presupuestaria cuando proceda, documentos técnicos, opiniones institucionales relevantes y una síntesis en lenguaje ciudadano. La versión ciudadana deberá explicar de manera accesible el objeto, las alternativas, los efectos posibles y la forma de participar.</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83. La información deberá publicarse antes de iniciar la deliberación y mantenerse disponible durante todo el mecanismo. Las modificaciones posteriores deberán identificarse claramente.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84. Las autoridades deberán distinguir entre información institucional, opiniones técnicas, propuestas ciudadanas y mensajes de promoción.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85. Las preguntas, opciones y materiales deberán utilizar lenguaje neutral, sencillo, comprensible y no tendencioso. No podrán contener afirmaciones falsas, juicios de valor, alternativas inconexas o formulaciones que induzcan una respuesta. Toda convocatoria, informe de resultados, respuesta y documento técnico esencial deberá acompañarse de una versión ciudadana, sin perjuicio de la publicación íntegra del documento jurídico o técnico correspondiente.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DELIBERACIÓN, RESULTADOS Y RESPUESTA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86. Los mecanismos podrán realizarse mediante modalidades presenciales, digitales, itinerantes o híbridas. La modalidad deberá corresponder a las características territoriales y a las personas convocadas.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87. La autoridad garantizará condiciones razonables para la expresión de posiciones diversas y evitará que una sola organización, autoridad o grupo monopolice la deliberación.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88. Cuando la complejidad o conflictividad del asunto lo amerite, deberá designarse una persona facilitadora imparcial.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89. Las personas servidoras públicas que intervengan deberán informar con objetividad; abstenerse de coaccionar; evitar el uso de recursos públicos para favorecer una posición, salvo la explicación técnica institucional; revelar conflictos de interés; registrar las propuestas; y respetar la pluralidad.</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90. Los partidos políticos podrán expresar posiciones conforme a la ley, pero no podrán apropiarse institucionalmente de los mecanismos administrativos ni condicionar el acceso a ellos.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91. Todo mecanismo deberá generar acta, memoria o registro equivalente que documente participantes, temas, propuestas, incidencias, acuerdos y resultados.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92. La autoridad publicará el informe de resultados dentro de los quince días hábiles siguientes a la conclusión del mecanismo, salvo que una disposición especial establezca otro plazo.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93. Dentro de los treinta días hábiles siguientes a la publicación del informe, la autoridad emitirá una respuesta fundada y una matriz de respuesta. El plazo podrá ampliarse por una sola ocasión hasta por quince días hábiles, mediante determinación pública y justificada.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94. La respuesta deberá indicar propuestas aceptadas; aceptadas parcialmente; rechazadas y sus razones; canalizadas a otra autoridad; acciones, plazos y responsables; recursos presupuestarios disponibles o requeridos; y mecanismos de seguimiento.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95. Cuando el resultado sea vinculante, la autoridad deberá aprobar y publicar el programa de cumplimiento correspondiente.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96. Cuando el resultado sea consultivo, la autoridad conservará sus atribuciones decisorias, pero deberá valorar de buena fe las aportaciones y motivar cualquier decisión sustancialmente contraria a la posición mayoritaria o a los consensos alcanzados.</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CUARTO</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LOS MECANISMOS DE PARTICIPACIÓN CIUDADANA</w:t>
      </w:r>
    </w:p>
    <w:p w:rsidR="002E4234" w:rsidRPr="006E437B" w:rsidRDefault="002E4234" w:rsidP="00141629">
      <w:pPr>
        <w:spacing w:after="0" w:line="240" w:lineRule="auto"/>
        <w:jc w:val="center"/>
        <w:rPr>
          <w:rFonts w:ascii="Times New Roman" w:hAnsi="Times New Roman" w:cs="Times New Roman"/>
          <w:b/>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 DISPOSICIONES GENERALES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97. Son mecanismos de participación: iniciativa ciudadana; consulta popular; referéndum; consulta ciudadana; mecanismos de diálogo, deliberación y proximidad comunitaria que comprenden la audiencia pública, asamblea comunitaria, cabildo abierto recorrido participativo; agenda ciudadana; colaboración ciudadana; observatorio ciudadano; contraloría social; testigo social; presupuesto participativo; evaluación ciudadana de servicios públicos; consulta legislativa; consulta pública regulatoria; solicitud de revisión ciudadana de decisiones administrativas generales; y los demás reconocidos por la Constitución, las leyes y los reglamentos municipales.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98. Los mecanismos se clasificarán, conforme a su naturaleza, en electorales o político-electorales, consultivos, deliberativos, propositivos, colaborativos, de vigilancia, de evaluación y de revisión. Conforme a sus efectos podrán ser vinculantes, de reconsideración obligatoria, de respuesta obligatoria, de incorporación a agenda, consultivos o de seguimiento.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035F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99. Un mecanismo sólo tendrá efectos vinculantes cuando la Constitución o una ley lo establezca expresamente. Los demás mecanismos producirán los efectos previstos en esta Ley, en la legislación especial o en su convocatoria, sin que puedan sustituir las competencias constitucionales de las autoridades.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100. Todo mecanismo formal producirá, como mínimo, la obligación de registro, respuesta y trazabilidad, salvo que por su naturaleza una disposición especial establezca un régimen distinto. La autoridad deberá informar desde la convocatoria si el mecanismo genera reconsideración obligatoria, incorporación a agenda, seguimiento u otro efecto específico.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101. Las autoridades podrán integrar dos o más mecanismos en un mismo proceso, siempre que se distingan sus etapas y efectos.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INICIATIVA CIUDADANA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102. La iniciativa ciudadana es el derecho de la ciudadanía mexiquense a presentar proyectos de ley o decreto ante la Legislatura.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103. Su ejercicio se regirá por la Constitución estatal, la Ley Orgánica y el Reglamento del Poder Legislativo. La presente Ley será aplicable complementariamente en materia de orientación, accesibilidad, publicidad, seguimiento y participación de las personas promoventes.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104. La Legislatura dispondrá de formatos accesibles, guías para elaborar iniciativas, mecanismos de recepción presencial y electrónica, asistencia técnica no vinculante, sistema público de seguimiento, protección de datos personales y apoyos lingüísticos y de accesibilidad.</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105. La asistencia técnica no podrá condicionarse a que la propuesta coincida con la posición de un grupo parlamentario, comisión o persona legisladora.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106. Las personas promoventes podrán solicitar ser escuchadas por la comisión competente, conforme a las reglas parlamentarias. La intervención no generará derecho a que la iniciativa sea aprobada en determinado sentido.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107. La Legislatura publicará el turno, estado procesal, reuniones, dictamen y resolución correspondiente, salvo información legalmente protegida.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108. La Legislatura contará con un Buzón Permanente de Participación Legislativa, en modalidades presencial y digital, mediante el cual cualquier persona podrá presentar propuestas, observaciones, diagnósticos o solicitudes relacionadas con asuntos de competencia legislativa.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109. Toda promoción presentada en el Buzón recibirá un folio que permita conocer, en versión pública, la fecha de recepción, materia, comisión o unidad a la que fue canalizada, estado de atención, respuesta emitida y, en su caso, las acciones subsecuentes.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110. El Buzón no sustituirá la iniciativa ciudadana ni los procedimientos parlamentarios formales. Cuando una propuesta pueda tramitarse mediante un mecanismo jurídico específico, la Legislatura deberá informar a la persona promovente y facilitar su canalización. La presentación en el Buzón no obligará a iniciar por sí misma un procedimiento legislativo.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CONSULTA POPULAR Y EL REFERÉNDUM</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111. La consulta popular de trascendencia estatal se regirá por el artículo 29 de la Constitución estatal y por el Libro Octavo del Código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112. El referéndum constitucional o legislativo se regirá por el artículo 14 de la Constitución estatal y por el Libro Noveno del Código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113. La organización, verificación de apoyos, control de constitucionalidad, difusión, jornada, cómputo, declaración de resultados y medios de impugnación se sujetarán a la legislación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114. Los principios de accesibilidad, inclusión, lenguaje ciudadano, protección de datos y máxima publicidad previstos en esta Ley serán aplicables de manera complementaria, siempre que no se opongan al régimen electoral.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IV</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CONSULTA CIUDADANA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115. La consulta ciudadana es el mecanismo no electoral mediante el cual una autoridad conoce la opinión, preferencias, prioridades, diagnósticos o propuestas de las personas sobre un asunto de su competencia.</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116. La consulta podrá ser estatal, regional, metropolitana, municipal, territorial, comunitaria o sectorial.</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117. Podrá convocarse de oficio por la autoridad competente; a petición de las personas habitantes; por acuerdo de un órgano colegiado; como etapa de planeación, regulación o evaluación; o en cumplimiento de una disposición jurídica.</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118. La autoridad estará obligada a convocar una consulta ciudadana cuando la solicitud reúna:</w:t>
      </w:r>
    </w:p>
    <w:p w:rsidR="002E4234" w:rsidRPr="006E437B" w:rsidRDefault="002E4234" w:rsidP="00DA64DA">
      <w:pPr>
        <w:numPr>
          <w:ilvl w:val="0"/>
          <w:numId w:val="4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En asuntos estatales, el apoyo equivalente al cero punto cero cinco por ciento de la población de dieciocho años o más, conforme a la última información oficial disponible, distribuido en al menos diez municipios; o</w:t>
      </w:r>
    </w:p>
    <w:p w:rsidR="002E4234" w:rsidRPr="006E437B" w:rsidRDefault="002E4234" w:rsidP="00DA64DA">
      <w:pPr>
        <w:numPr>
          <w:ilvl w:val="0"/>
          <w:numId w:val="4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En asuntos municipales, el apoyo equivalente al cero punto diez por ciento de la población de dieciocho años o más del municipio, con un mínimo de cincuenta y un máximo exigible de mil quinientas personas.</w:t>
      </w: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Los umbrales no serán aplicables a consultas obligatorias previstas en otras disposiciones.</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119. La verificación de los apoyos ciudadanos será realizada por la autoridad administrativa responsable. Para garantizar la certeza jurídica, legalidad y protección de datos personales, el Poder Ejecutivo y los Ayuntamientos deberán celebrar convenios de colaboración con el Instituto Electoral del Estado de México o, en su caso, con el Instituto Nacional Electoral, para el uso de aplicaciones tecnológicas de captación y validación directa contra el padrón electoral y lista nominal. Asimismo, las autoridades promoverán la validación mediante plataformas de identidad digital ciudadana que cuenten con reconocimiento legal, sustituyendo progresivamente la recolección física de firmas.</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120. Cuando una solicitud no alcance el umbral, la autoridad podrá convocar la consulta o canalizar el asunto a audiencia pública, agenda ciudadana u otro mecanismo.</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121. No podrán someterse a consulta ciudadana:</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restricción de derechos humanos;</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cumplimiento de sentencias;</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responsabilidad individual de personas;</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Investigaciones o procedimientos en trámite;</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Información reservada o confidencial;</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Operaciones específicas de seguridad cuya divulgación genere riesgo;</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 continuidad de servicios públicos indispensables;</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El nombramiento o remoción de personas servidoras públicas, salvo mecanismos expresamente previstos;</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Materias ajenas a la competencia de la autoridad; y</w:t>
      </w:r>
    </w:p>
    <w:p w:rsidR="002E4234" w:rsidRPr="006E437B" w:rsidRDefault="002E4234" w:rsidP="00DA64DA">
      <w:pPr>
        <w:numPr>
          <w:ilvl w:val="0"/>
          <w:numId w:val="4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medidas respecto de las cuales resulte constitucionalmente exigible un procedimiento especial de consulta a pueblos o comunidades indígenas o afromexicanas.</w:t>
      </w: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ningún caso la consulta ciudadana prevista en este Capítulo sustituirá los derechos colectivos de consulta reconocidos directamente por la Constitución Política de los Estados Unidos Mexicanos y la Constitución Política del Estado Libre y Soberano de México. La exclusión no impedirá consultar políticas generales, prioridades, modelos de servicio o alternativas de solución cuando ello sea jurídicamente procedente.</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122. La consulta deberá permanecer abierta durante un periodo suficiente, que no podrá ser menor de quince días naturales ni mayor de cuarenta y cinco, salvo justificación.</w:t>
      </w:r>
    </w:p>
    <w:p w:rsidR="002E4234" w:rsidRPr="006E437B" w:rsidRDefault="002E4234" w:rsidP="00167B0F">
      <w:pPr>
        <w:spacing w:after="0" w:line="240" w:lineRule="auto"/>
        <w:jc w:val="both"/>
        <w:rPr>
          <w:rFonts w:ascii="Times New Roman" w:hAnsi="Times New Roman" w:cs="Times New Roman"/>
          <w:sz w:val="24"/>
          <w:szCs w:val="24"/>
        </w:rPr>
      </w:pPr>
    </w:p>
    <w:p w:rsidR="002E4234" w:rsidRPr="006E437B" w:rsidRDefault="002E4234" w:rsidP="00167B0F">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123. Los resultados serán consultivos. La autoridad podrá asumir públicamente el compromiso de implementar la opción mayoritaria, siempre que ello sea jurídicamente viable, exista suficiencia presupuestaria y no se alteren competencias constitucionales.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AUDIENCIA PÚBLICA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124. La audiencia pública es un mecanismo de diálogo directo para exponer necesidades, recibir información, formular propuestas y establecer compromisos.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125. Podrá ser solicitada por cualquier persona, organización, colectivo o comunidad.</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126. La audiencia será obligatoria cuando la petición cuente, al menos, con cien apoyos en asuntos de competencia estatal; veinte apoyos en asuntos municipales; o el respaldo de una asamblea comunitaria, autoridad auxiliar o consejo de participación ciudadana.</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127. La autoridad resolverá sobre la solicitud dentro de diez días hábiles y, de resultar procedente, celebrará la audiencia dentro de los treinta días hábiles siguientes.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128. En asuntos complejos podrán celebrarse varias sesiones o mesas técnicas.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129. La audiencia será presidida por la persona titular de la autoridad competente o por una persona servidora pública con facultades suficientes para asumir compromisos. La delegación deberá justificarse.</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130. La autoridad publicará la minuta, los compromisos, responsables y plazos dentro de los cinco días hábiles siguientes.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131. No se resolverán en audiencia pública procedimientos individuales, sanciones, contrataciones, litigios o asuntos sujetos a formalidades especiales.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132. Cada dependencia estatal y ayuntamiento deberá celebrar, al menos, una audiencia pública general al año, sin perjuicio de las audiencias solicitadas por la ciudadanía.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AGENDA CIUDADANA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133. La agenda ciudadana es el instrumento para identificar y priorizar asuntos que requieren atención, deliberación, planeación o respuesta pública.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134. Se integrará mediante propuestas recibidas durante todo el año, consultas, audiencias, asambleas, observatorios y otros mecanismos.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135. Las propuestas deberán clasificarse por materia, territorio, población afectada, urgencia y autoridad competente.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136. La agenda estatal será presentada anualmente al Consejo y publicada por la Unidad Coordinadora.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137. La agenda municipal será presentada al ayuntamiento en sesión pública y deberá ser considerada en la elaboración del presupuesto y de los programas municipales.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138. La inclusión de un asunto no implicará su aprobación automática, pero obligará a emitir una respuesta fundada.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139. Las autoridades identificarán las propuestas recurrentes y explicarán las causas por las que no hayan sido atendidas.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140. La agenda se vinculará con los procesos de planeación y evaluación, sin sustituir los procedimientos previstos en la legislación correspondiente.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CABILDO ABIERTO Y LAS ASAMBLEAS COMUNITARIAS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141. El cabildo abierto se regirá por la Ley Orgánica Municipal y los reglamentos municipales.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142. En su organización deberán garantizarse convocatoria anticipada, información accesible, inscripción presencial y digital, criterios objetivos para ordenar intervenciones, accesibilidad física y comunicacional, registro íntegro, respuesta y seguimiento y publicación del acta.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143. Las intervenciones de las personas habitantes tendrán carácter deliberativo. La votación formal corresponderá a las personas integrantes del ayuntamiento, salvo disposición legal expresa.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144. Toda propuesta presentada formalmente durante una sesión de cabildo abierto deberá registrarse con un folio de seguimiento que identifique el asunto, la unidad administrativa competente y el estado de atención. El ayuntamiento emitirá una respuesta inicial dentro de los treinta días hábiles siguientes. Cuando la solución requiera actuaciones posteriores, la respuesta deberá señalar la ruta de atención, las autoridades responsables y un plazo estimado.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145. Las asambleas comunitarias podrán ser convocadas por el ayuntamiento, las autoridades auxiliares, los consejos de participación ciudadana, la Unidad Municipal o las personas habitantes conforme al reglamento.</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146. Las asambleas podrán deliberar sobre servicios, obras, seguridad comunitaria, convivencia, medio ambiente, movilidad, desarrollo urbano, presupuesto participativo y otros asuntos municipales.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147. Sus resoluciones serán propositivas, salvo que formen parte de un mecanismo con efectos vinculantes.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148. La autoridad municipal deberá recibir, registrar y responder los acuerdos de la asamblea.</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149. Las asambleas reguladas en este capítulo no sustituirán instituciones, autoridades, sistemas normativos ni formas de deliberación sujetas a regímenes constitucionales o legales especiales.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150. Los municipios definirán territorialmente las unidades de participación, procurando congruencia con localidades, barrios, colonias, pueblos, comunidades y formas de organización existentes.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VIII</w:t>
      </w:r>
    </w:p>
    <w:p w:rsidR="002E4234" w:rsidRPr="006E437B" w:rsidRDefault="002E4234" w:rsidP="00141629">
      <w:pPr>
        <w:pStyle w:val="Ttulo2"/>
        <w:keepNext w:val="0"/>
        <w:tabs>
          <w:tab w:val="clear" w:pos="1440"/>
        </w:tabs>
        <w:spacing w:before="0" w:after="0"/>
        <w:ind w:left="0" w:firstLine="0"/>
        <w:jc w:val="center"/>
        <w:rPr>
          <w:rFonts w:ascii="Times New Roman" w:hAnsi="Times New Roman" w:cs="Times New Roman"/>
          <w:sz w:val="24"/>
          <w:szCs w:val="24"/>
        </w:rPr>
      </w:pPr>
      <w:r w:rsidRPr="006E437B">
        <w:rPr>
          <w:rFonts w:ascii="Times New Roman" w:hAnsi="Times New Roman" w:cs="Times New Roman"/>
          <w:sz w:val="24"/>
          <w:szCs w:val="24"/>
        </w:rPr>
        <w:t>DE LA COLABORACIÓN CIUDADANA Y LOS RECORRIDOS PARTICIPATIVOS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151. La colaboración ciudadana permite que personas y organizaciones contribuyan voluntariamente a resolver necesidades colectivas.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152. La colaboración podrá consistir en conocimientos y asistencia técnica, trabajo comunitario voluntario, actividades culturales, ambientales o educativas, cuidado y recuperación de espacios públicos, propuestas de innovación, donaciones permitidas u otras aportaciones lícitas.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153. La colaboración no podrá sustituir empleos públicos o relaciones laborales; condicionar el acceso a servicios; encubrir aportaciones político-electorales; generar privilegios indebidos; transferir funciones de autoridad; ni permitir el uso privado de bienes públicos.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154. Cuando se aporten bienes o recursos se observarán las disposiciones patrimoniales, presupuestarias, fiscales, de contratación y responsabilidades.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155. Los recorridos participativos permitirán identificar directamente condiciones de obras, servicios, espacios o problemáticas.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156. Podrán ser solicitados por habitantes, autoridades auxiliares, consejos, observatorios o contralorías sociales.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157. La autoridad elaborará una minuta georreferenciada o descriptiva con hallazgos, compromisos y plazos.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158. Los recorridos no sustituirán inspecciones, verificaciones, peritajes o procedimientos administrativos formales.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IX</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LOS OBSERVATORIOS CIUDADANOS Y LA CONTRALORÍA SOCIAL</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159. Los observatorios ciudadanos son espacios autónomos de análisis y seguimiento que pueden constituirse libremente.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160. Podrán desarrollar indicadores, estudios y diagnósticos, monitoreo de compromisos, evaluaciones, recomendaciones, datos y visualizaciones e informes públicos.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161. El registro de un observatorio será voluntario y tendrá fines de publicidad y coordinación, no de autorización.</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162. Los observatorios registrados deberán publicar integrantes, objetivos, metodología, fuentes de financiamiento, conflictos de interés e informes producidos.</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163. El registro no conferirá carácter de autoridad, representación oficial ni facultades de auditoría.</w:t>
      </w:r>
    </w:p>
    <w:p w:rsidR="002E4234" w:rsidRPr="006E437B" w:rsidRDefault="002E4234" w:rsidP="002862C1">
      <w:pPr>
        <w:spacing w:after="0" w:line="240" w:lineRule="auto"/>
        <w:jc w:val="both"/>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164. Las autoridades deberán responder las recomendaciones de los observatorios cuando éstos acrediten relación directa con sus competencias.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165. La contraloría social tiene por objeto vigilar la ejecución de programas, obras, apoyos, servicios y recursos públicos.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166. Las personas integrantes tendrán derecho a recibir información pública; conocer reglas de operación, metas y calendarios; realizar visitas permitidas; formular observaciones; presentar quejas y denuncias; y conocer las respuestas institucionales.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167. La contraloría social no sustituirá las atribuciones de los órganos internos de control, la Secretaría de la Contraloría, el Órgano Superior de Fiscalización, el Tribunal de Justicia Administrativa ni las autoridades penales.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168. Las autoridades deberán proteger a quienes formulen denuncias de buena fe y evitar represalias.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2862C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169. Las observaciones deberán remitirse a la autoridad competente, que informará sobre su atención dentro de los plazos legales.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X</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PRESUPUESTO PARTICIPATIVO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170. El presupuesto participativo es un mecanismo municipal mediante el cual las personas habitantes proponen, deliberan, priorizan y seleccionan proyectos de inversión pública o mejoramiento comunitario.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171. Los municipios, en ejercicio de su autonomía hacendaria y conforme a su capacidad institucional y financiera, implementarán el presupuesto participativo. Para el diseño de este mecanismo, el Consejo Estatal emitirá lineamientos generales que clasificarán a los municipios según su categoría poblacional y nivel de marginación, promoviendo una aplicación gradual, progresiva y optativa en las haciendas municipales con mayor rezago.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172. El ayuntamiento determinará en su Presupuesto de Egresos una bolsa específica, identificable y distinta de los gastos de operación del mecanismo.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173. El monto asignado al presupuesto participativo será determinado anualmente por el Ayuntamiento en su Presupuesto de Egresos. Dicha determinación se realizará mediante un dictamen técnico de viabilidad y sostenibilidad financiera que considere la recaudación de ingresos propios, el balance presupuestario, la disponibilidad de recursos de libre disposición y las obligaciones de deuda pública inscritas.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174. Para incentivar la participación ciudadana sin comprometer las finanzas municipales, el Ejecutivo del Estado, a través de la Secretaría de Finanzas, constituirá el Fondo Estatal de Coinversión Participativa. Este fondo operará bajo el principio de concurrencia, destinando recursos estatales complementarios a los municipios que acrediten la asignación y ejecución efectiva de recursos propios en proyectos de presupuesto participativo, conforme a las reglas de operación correspondientes.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175. Los recursos podrán distribuirse entre unidades territoriales mediante una fórmula objetiva que considere población, grado de marginación, rezago de infraestructura y servicios, ruralidad, dispersión territorial, condiciones de accesibilidad, desigualdades territoriales y los demás indicadores objetivos aprobados por el ayuntamiento.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176. Podrán presentar proyectos personas habitantes de dieciséis años o más; niñas, niños y adolescentes mediante modalidades adecuadas; organizaciones y colectivos; autoridades auxiliares; consejos de participación; e instituciones educativas o comunitarias.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177. Los proyectos deberán ser de competencia municipal, beneficiar colectivamente, ser técnica y jurídicamente viables, respetar derechos humanos, ser compatibles con la planeación, contar con estimación de costo y poder ejecutarse dentro del periodo presupuestario o conforme a una programación autorizada.</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178. No podrán financiarse remuneraciones o prestaciones personales; deuda pública; gastos partidistas, electorales o religiosos; beneficios individualizados sin justificación social; obras en propiedad privada salvo servidumbre o utilidad pública legalmente acreditada; proyectos contrarios al ordenamiento territorial o ambiental; o actividades ajenas a la competencia municipal.</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179. La Unidad Municipal realizará una revisión inicial y remitirá los proyectos a un comité técnico integrado por las áreas competentes.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180. El comité deberá emitir dictámenes públicos de viabilidad jurídica, técnica, ambiental, presupuestaria y operativa.</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181. Antes de excluir un proyecto por deficiencias subsanables, se otorgará a las personas promoventes un plazo para corregirlo.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182. Las personas promoventes podrán solicitar aclaración o revisión técnica del dictamen dentro de los cinco días hábiles siguientes.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183. Los proyectos viables se someterán a deliberación y votación participativa presencial y digital.</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184. La votación no tendrá naturaleza político-electoral y será organizada por el municipio. Podrá solicitarse asistencia técnica del Instituto Electoral mediante convenio y dentro de sus atribuciones legales.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185. Los proyectos seleccionados serán vinculantes dentro del monto aprobado. Sólo podrán dejar de ejecutarse por imposibilidad jurídica, técnica o financiera superveniente debidamente acreditada.</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186. Cuando un proyecto seleccionado resulte imposible, la autoridad deberá informar inmediatamente, publicar el dictamen correspondiente, escuchar a la comunidad afectada y aplicar los recursos al proyecto siguiente en la votación o realizar un proceso de sustitución.</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187. El municipio publicará trimestralmente el avance físico y financiero de cada proyecto.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188. Las personas promoventes y beneficiarias podrán integrar comités de seguimiento y contraloría social.</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189. Los recursos no ejercidos se sujetarán a la legislación financiera y presupuestaria, procurando su aplicación a proyectos participativos y evitando su pérdida por negligencia administrativa.</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190. El Gobierno del Estado podrá establecer fondos de coinversión o incentivos para municipios que acrediten buenas prácticas, transparencia y cumplimiento.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191. La fiscalización corresponderá a las autoridades competentes conforme a la legislación aplicable.</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XI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EVALUACIÓN CIUDADANA DE SERVICIOS PÚBLICOS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192. La evaluación ciudadana permite conocer la calidad, accesibilidad, oportunidad, trato y resultados de los servicios públicos.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193. Podrá realizarse mediante encuestas, paneles ciudadanos, reportes comunitarios, auditorías sociales, usuarios simulados conforme a protocolos legales, indicadores participativos y otros métodos verificables.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194. Las metodologías deberán ser públicas, técnicamente justificadas y proteger los datos personales.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195. La evaluación no podrá utilizarse como único elemento para imponer sanciones laborales o administrativas individuales.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196. La autoridad evaluada deberá publicar un plan de mejora con acciones, responsables, indicadores y plazos.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197. Los resultados se incorporarán a la planeación, evaluación del desempeño y mejora regulatoria, cuando corresponda.</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198. La manipulación de muestras, preguntas o resultados para presentar una valoración engañosa será sancionada conforme a la legislación de responsabilidades.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XII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CONSULTA LEGISLATIVA Y REGULATORIA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199. La consulta legislativa tiene por objeto incorporar opiniones y conocimientos sociales al análisis de iniciativas, dictámenes y reformas de interés general.</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200. Las comisiones legislativas podrán realizar foros, parlamento abierto, mesas técnicas, audiencias, plataformas de opinión y consultas territoriales.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201. La consulta no limitará la libertad deliberativa ni las facultades constitucionales de la Legislatura, pero sus resultados deberán documentarse en el dictamen o en un informe anexo.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202. La consulta pública regulatoria se realizará respecto de proyectos de reglamentos, normas administrativas generales, programas y disposiciones que produzcan impactos relevantes.</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203. Los proyectos se publicarán por un plazo no menor de quince días hábiles, acompañados de una explicación, diagnóstico y, cuando proceda, análisis de impacto.</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204. La consulta regulatoria se coordinará con los procedimientos de mejora regulatoria para evitar duplicidades.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205. Podrán exceptuarse de consulta previa las disposiciones de emergencia; medidas de seguridad cuya publicidad anticipada genere riesgo; disposiciones estrictamente internas sin efectos sobre particulares; actos individualizados; medidas para cumplir sentencias; y disposiciones cuya consulta esté sujeta a un procedimiento especial. La excepción deberá fundarse y publicarse, salvo información legalmente reservada.</w:t>
      </w:r>
    </w:p>
    <w:p w:rsidR="002E4234" w:rsidRPr="006E437B" w:rsidRDefault="002E4234" w:rsidP="001E03D3">
      <w:pPr>
        <w:spacing w:after="0" w:line="240" w:lineRule="auto"/>
        <w:jc w:val="both"/>
        <w:rPr>
          <w:rFonts w:ascii="Times New Roman" w:hAnsi="Times New Roman" w:cs="Times New Roman"/>
          <w:sz w:val="24"/>
          <w:szCs w:val="24"/>
        </w:rPr>
      </w:pPr>
    </w:p>
    <w:p w:rsidR="002E4234" w:rsidRPr="006E437B" w:rsidRDefault="002E4234" w:rsidP="001E03D3">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206. Cuando se emita una regulación urgente, la autoridad realizará una evaluación participativa posterior si sus efectos se prolongan por más de noventa días.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XIII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SOLICITUD DE REVISIÓN CIUDADANA DE DECISIONES</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ADMINISTRATIVAS GENERALES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207. La solicitud de revisión ciudadana es el mecanismo mediante el cual las personas pueden pedir a una autoridad administrativa estatal o municipal que reexamine públicamente una política, programa, lineamiento o decisión administrativa de carácter general que se encuentre vigente y produzca efectos relevantes para una comunidad o sector de la población.</w:t>
      </w:r>
    </w:p>
    <w:p w:rsidR="002E4234" w:rsidRPr="006E437B" w:rsidRDefault="002E4234" w:rsidP="008E7F4D">
      <w:pPr>
        <w:spacing w:after="0" w:line="240" w:lineRule="auto"/>
        <w:jc w:val="both"/>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208. La solicitud podrá presentarse por personas habitantes, organizaciones, colectivos o comunidades. Cuando cuente con apoyos equivalentes a los exigidos para la consulta ciudadana del ámbito correspondiente, la autoridad estará obligada a iniciar el procedimiento de revisión. Cuando no alcance dicho respaldo, podrá admitirlo de oficio si advierte interés público suficiente.</w:t>
      </w:r>
    </w:p>
    <w:p w:rsidR="002E4234" w:rsidRPr="006E437B" w:rsidRDefault="002E4234" w:rsidP="008E7F4D">
      <w:pPr>
        <w:spacing w:after="0" w:line="240" w:lineRule="auto"/>
        <w:jc w:val="both"/>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209. No procederá la revisión respecto de actos individualizados, sentencias, investigaciones, sanciones, procedimientos en trámite, materias electorales, decisiones jurisdiccionales, obligaciones regladas, información legalmente reservada, actos cuya suspensión pueda comprometer servicios esenciales o medidas sujetas a un régimen especial de impugnación o consulta.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210. La admisión de la solicitud no suspenderá por sí misma la vigencia ni los efectos de la decisión cuestionada. La autoridad abrirá un expediente público, difundirá los antecedentes esenciales y celebrará una audiencia pública dentro de los treinta días hábiles siguientes, salvo que exista una causa jurídica o material debidamente justificada para ampliar el plazo.</w:t>
      </w:r>
    </w:p>
    <w:p w:rsidR="002E4234" w:rsidRPr="006E437B" w:rsidRDefault="002E4234" w:rsidP="008E7F4D">
      <w:pPr>
        <w:spacing w:after="0" w:line="240" w:lineRule="auto"/>
        <w:jc w:val="both"/>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211. Dentro de los cuarenta y cinco días hábiles siguientes a la audiencia, la autoridad emitirá resolución fundada y motivada en la que determine, dentro de sus competencias, mantener, modificar, sustituir o dejar sin efectos la decisión revisada. Cuando se aparte de manera sustancial de las propuestas predominantes deberá expresar una motivación reforzada que atienda los principales argumentos ciudadanos.</w:t>
      </w:r>
    </w:p>
    <w:p w:rsidR="002E4234" w:rsidRPr="006E437B" w:rsidRDefault="002E4234" w:rsidP="008E7F4D">
      <w:pPr>
        <w:spacing w:after="0" w:line="240" w:lineRule="auto"/>
        <w:jc w:val="both"/>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212. La resolución y los compromisos derivados de la revisión se incorporarán a la Plataforma y estarán sujetos a las reglas de seguimiento de esta Ley. Cuando del procedimiento se desprenda la competencia de otra autoridad, la solicitud será canalizada sin perjuicio de continuar la atención de los aspectos que correspondan a la autoridad inicialmente requerida.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QUINTO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TESTIGO SOCIAL Y LA VIGILANCIA CIUDADANA DE LAS CONTRATACIONES PÚBLICAS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DISPOSICIONES GENERALES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213. El Testigo Social es un mecanismo de participación ciudadana mediante el cual una persona física o jurídica colectiva con registro vigente interviene, como representante imparcial de la sociedad civil, en procedimientos de contratación pública relevantes para fortalecer su transparencia, integridad, legalidad, eficiencia y rendición de cuentas, así como para prevenir y advertir riesgos de opacidad, conflicto de interés o corrupción.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214. El régimen previsto en este Título será aplicable a las contrataciones públicas que realicen las dependencias y unidades administrativas del Poder Ejecutivo; la Fiscalía General de Justicia del Estado de México; los ayuntamientos; los organismos auxiliares estatales y municipales; los tribunales administrativos; y, en lo que no se oponga a sus ordenamientos, los poderes Legislativo y Judicial y los organismos constitucionales autónomos, cuando ejerzan recursos estatales o municipales y se encuentren sujetos a la legislación de contratación correspondiente.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215. La actuación del Testigo Social se regirá, además de los principios generales de esta Ley, por objetividad, independencia, imparcialidad, integridad, profesionalismo, especialidad técnica, confidencialidad respecto de la información legalmente protegida, publicidad del testimonio y ausencia de conflicto de interés.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216. El Testigo Social podrá intervenir en procedimientos relativos a concesión de infraestructura vial; obra pública y servicios relacionados; adquisición, enajenación y arrendamiento de bienes; contratación de servicios; asociaciones público privadas; y demás procedimientos de contratación pública en los que una disposición legal prevea su participación.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participación del Testigo Social constituye un derecho de observación ciudadana que no interrumpe ni modifica la naturaleza del procedimiento administrativo. Las modalidades, etapas, requisitos técnicos de adjudicación, formalización, ejecución contractual, recursos de revisión y medios de defensa de las personas licitantes se regirán íntegra y exclusivamente por la Ley de Contratación Pública del Estado de México y Municipios y demás legislación especializada aplicable; limitándose la presente Ley a regular los requisitos, designación, derechos, obligaciones, actuación y emisión del testimonio de la persona observadora ciudadana.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217. La participación de un Testigo Social no valida, autoriza, certifica ni convalida la legalidad del procedimiento. La responsabilidad por la planeación, contratación, evaluación, adjudicación, formalización, ejecución, supervisión, pago y recepción corresponderá a las personas servidoras públicas facultadas. Su intervención tampoco limitará las atribuciones de la Secretaría de la Contraloría, los órganos internos de control, el Órgano Superior de Fiscalización, el Tribunal de Justicia Administrativa ni las autoridades investigadoras, fiscalizadoras o jurisdiccionales.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REGISTRO Y PROFESIONALIZACIÓN DE LOS TESTIGOS SOCIALES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218. Para actuar como Testigo Social se requerirá registro vigente otorgado conjuntamente por la Universidad Autónoma del Estado de México y la Secretaría de la Contraloría del Gobierno del Estado de México, con base en el dictamen del Comité de Registro de Testigos Sociales del Estado de México.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8E7F4D">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219. El Comité de Registro de Testigos Sociales es un órgano colegiado de coordinación técnica que no tendrá personalidad jurídica ni patrimonio propios. Se integrará con representaciones de la Universidad Autónoma del Estado de México y de la Secretaría de la Contraloría, en los términos que establezcan esta Ley, su Reglamento y los lineamientos conjuntos que emitan ambas instituciones. Sus cargos serán honoríficos, sin perjuicio de las funciones públicas o académicas de quienes lo integren.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220. Corresponde al Comité:</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Dictaminar las solicitudes de registro, renovación, suspensión y cancelación;</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Administrar y publicar el padrón de Testigos Sociales;</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Determinar especialidades y perfiles técnicos;</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Aprobar programas de capacitación y evaluación;</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Establecer las cuotas y criterios para determinar contraprestaciones;</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Emitir criterios de asignación, rotación, impedimentos y conflictos de interés;</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Evaluar el desempeño de las personas registradas;</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Establecer y publicar anualmente los umbrales y criterios de riesgo para la intervención obligatoria;</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Dar seguimiento estadístico a los testimonios y recomendaciones; y</w:t>
      </w:r>
    </w:p>
    <w:p w:rsidR="002E4234" w:rsidRPr="006E437B" w:rsidRDefault="002E4234" w:rsidP="00DA64DA">
      <w:pPr>
        <w:numPr>
          <w:ilvl w:val="0"/>
          <w:numId w:val="4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Las demás que establezcan esta Ley y las disposiciones aplicables.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221. Para obtener el registro se deberá acreditar:</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Identidad y capacidad jurídica; tratándose de persona jurídica colectiva, su constitución formal y que su finalidad no sea preponderantemente económica;</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Experiencia profesional, académica, técnica o social relacionada con contratación pública, obra, administración, finanzas, ingeniería, derecho, integridad, transparencia o materias afines;</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haber sido condenada mediante sentencia firme por delito doloso que amerite pena privativa de libertad, salvo que legalmente se encuentre rehabilitada;</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ser persona servidora pública federal, estatal, municipal o extranjera ni haber tenido esa calidad durante el año inmediato anterior a la solicitud;</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No encontrarse inhabilitada para ejercer empleo, cargo, comisión o contratación pública;</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Manifestar bajo protesta de decir verdad los posibles conflictos de interés y la obligación de excusarse;</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Acreditar los cursos de capacitación determinados por el Comité;</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Aprobar la evaluación de conocimientos con una calificación mínima de ocho sobre diez, salvo los supuestos de equivalencia que establezcan los lineamientos; y</w:t>
      </w:r>
    </w:p>
    <w:p w:rsidR="002E4234" w:rsidRPr="006E437B" w:rsidRDefault="002E4234" w:rsidP="00DA64DA">
      <w:pPr>
        <w:numPr>
          <w:ilvl w:val="0"/>
          <w:numId w:val="4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Cumplir los demás requisitos documentales estrictamente necesarios que establezca el Reglamento.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222. El registro tendrá una vigencia de cuatro años contados a partir de la expedición de la constancia y podrá renovarse por periodos iguales, sujeto al cumplimiento de los requisitos, actualización profesional, ausencia de sanciones y evaluación del desempeño en los procedimientos en que la persona haya intervenido.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223. El padrón será público y contendrá, al menos, nombre o denominación, número y vigencia del registro, especialidades acreditadas, asignaciones realizadas, testimonios emitidos y, en su caso, sanciones firmes.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Asimismo, se publicará una relación histórica de registros suspendidos o cancelados, con protección de los datos personales que legalmente corresponda. Las cuotas aplicables y sus actualizaciones se publicarán en la Plataforma y en el Periódico Oficial “Gaceta del Gobierno”.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PROCEDENCIA, SOLICITUD Y DESIGNACIÓN</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224. La intervención del Testigo Social podrá ser obligatoria o facultativa. Será obligatoria en los procedimientos que rebasen los umbrales objetivos que el Comité determine anualmente, expresados en Unidades de Medida y Actualización y diferenciados por tipo de contratación; en aquellos que la Secretaría de la Contraloría determine de alto riesgo o especial impacto mediante criterios públicos; y en los demás casos que establezcan expresamente las leyes de contratación, obra pública, concesiones o asociaciones público privadas.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225. Para determinar los umbrales y los supuestos de alto riesgo deberán considerarse, entre otros elementos, el monto; complejidad técnica; impacto social; duración; fuente y concentración de recursos; relevancia estratégica; naturaleza del bien, servicio, obra o proyecto; uso de excepciones a la licitación pública; antecedentes de observaciones; nivel de competencia del mercado; y necesidad reforzada de transparencia. Queda prohibido fraccionar contrataciones con el propósito de eludir la intervención obligatoria del Testigo Social.</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226. En los casos que no sean obligatorios, la unidad contratante podrá solicitar la participación de un Testigo Social cuando considere que el procedimiento requiere vigilancia adicional por su impacto, complejidad o relevancia. La solicitud y la determinación correspondiente serán públicas.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227. Cualquier persona, organización ciudadana, observatorio ciudadano, contraloría social, institución académica o colectivo podrá solicitar a la Secretaría de la Contraloría la intervención de un Testigo Social en un procedimiento determinado. La solicitud deberá identificar, en la medida de lo posible, la contratación y exponer las razones de interés público, riesgo, monto, impacto o complejidad que justifiquen el atestiguamiento.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228. La Secretaría de la Contraloría resolverá la solicitud ciudadana dentro de los quince días hábiles siguientes a su recepción, previa valoración de los criterios previstos en esta Ley y mediante la aplicación de una matriz pública de riesgos en la contratación. La resolución deberá ser fundada, motivada y publicada. En caso de que la solicitud carezca de elementos mínimos de justificación sobre el riesgo, monto o complejidad del procedimiento, podrá desecharse de plano.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presentación de la solicitud no suspenderá por sí misma el procedimiento de contratación. Si transcurrido el plazo la autoridad no emite resolución, operará la negativa ficta para los efectos legales conducentes, garantizando la continuidad de las funciones sustantivas del Estado. Si la contratación corresponde a un ente no sujeto a su dirección funcional, la Secretaría remitirá la solicitud al órgano de control competente y emitirá opinión técnica no vinculante.</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229. La designación del Testigo Social se realizará por el Comité mediante un procedimiento público de asignación que atienda a especialidad, experiencia, disponibilidad, rotación, carga de trabajo y ausencia de conflicto de interés. Cuando existan varias personas igualmente idóneas podrá utilizarse insaculación. La unidad contratante no podrá seleccionar discrecionalmente a la persona Testigo Social ni solicitar su sustitución por el contenido previsible de sus opiniones.</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IV</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PARTICIPACIÓN, DERECHOS Y OBLIGACIONES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230. El Testigo Social tendrá derecho a voz, pero no a voto; acceso oportuno a la documentación necesaria; asistencia a los actos del procedimiento; formulación de preguntas técnicas y solicitudes de aclaración; presentación de observaciones y recomendaciones; comunicación directa con la unidad contratante y el órgano de control; y acceso a la Plataforma para incorporar incidencias, testimonio y seguimiento. El acceso a información reservada o confidencial se sujetará a la legislación aplicable y a las obligaciones de secreto correspondientes.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231. Conforme al alcance de su designación, el Testigo Social podrá intervenir desde los actos preparatorios directamente vinculados con el procedimiento, incluidos la revisión de convocatoria, bases o invitaciones y, cuando legalmente proceda, elementos del estudio de mercado; así como en juntas de aclaraciones, visitas, presentación y apertura de proposiciones, evaluación, fallo y formalización. En procedimientos de especial impacto la designación podrá comprender hitos determinados de ejecución, entrega o recepción, sin que el Testigo Social asuma funciones de supervisión técnica, residencia de obra, administración contractual o fiscalización.</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232. La documentación relativa a los asuntos que serán sometidos a comités o actos del procedimiento se proporcionará al Testigo Social con al menos dos días hábiles de anticipación en sesiones ordinarias y un día hábil en extraordinarias, salvo imposibilidad material debidamente justificada o reserva legal. La información deberá entregarse en formatos que permitan su análisis y conservación.</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233. Son obligaciones del Testigo Social:</w:t>
      </w:r>
    </w:p>
    <w:p w:rsidR="002E4234" w:rsidRPr="006E437B" w:rsidRDefault="002E4234" w:rsidP="00DA64DA">
      <w:pPr>
        <w:numPr>
          <w:ilvl w:val="0"/>
          <w:numId w:val="4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Conducirse con objetividad, independencia, imparcialidad, honestidad, profesionalismo y respeto;</w:t>
      </w:r>
    </w:p>
    <w:p w:rsidR="002E4234" w:rsidRPr="006E437B" w:rsidRDefault="002E4234" w:rsidP="00DA64DA">
      <w:pPr>
        <w:numPr>
          <w:ilvl w:val="0"/>
          <w:numId w:val="4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Excusarse inmediatamente ante cualquier conflicto de interés;</w:t>
      </w:r>
    </w:p>
    <w:p w:rsidR="002E4234" w:rsidRPr="006E437B" w:rsidRDefault="002E4234" w:rsidP="00DA64DA">
      <w:pPr>
        <w:numPr>
          <w:ilvl w:val="0"/>
          <w:numId w:val="4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Utilizar la información exclusivamente para el cumplimiento de su encargo;</w:t>
      </w:r>
    </w:p>
    <w:p w:rsidR="002E4234" w:rsidRPr="006E437B" w:rsidRDefault="002E4234" w:rsidP="00DA64DA">
      <w:pPr>
        <w:numPr>
          <w:ilvl w:val="0"/>
          <w:numId w:val="4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Guardar confidencialidad respecto de la información legalmente protegida;</w:t>
      </w:r>
    </w:p>
    <w:p w:rsidR="002E4234" w:rsidRPr="006E437B" w:rsidRDefault="002E4234" w:rsidP="00DA64DA">
      <w:pPr>
        <w:numPr>
          <w:ilvl w:val="0"/>
          <w:numId w:val="5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Abstenerse de influir indebidamente en la adjudicación o favorecer participantes;</w:t>
      </w:r>
    </w:p>
    <w:p w:rsidR="002E4234" w:rsidRPr="006E437B" w:rsidRDefault="002E4234" w:rsidP="00DA64DA">
      <w:pPr>
        <w:numPr>
          <w:ilvl w:val="0"/>
          <w:numId w:val="5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Documentar de manera verificable sus observaciones;</w:t>
      </w:r>
    </w:p>
    <w:p w:rsidR="002E4234" w:rsidRPr="006E437B" w:rsidRDefault="002E4234" w:rsidP="00DA64DA">
      <w:pPr>
        <w:numPr>
          <w:ilvl w:val="0"/>
          <w:numId w:val="5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Permanecer en el procedimiento hasta la conclusión del alcance para el que fue designado;</w:t>
      </w:r>
    </w:p>
    <w:p w:rsidR="002E4234" w:rsidRPr="006E437B" w:rsidRDefault="002E4234" w:rsidP="00DA64DA">
      <w:pPr>
        <w:numPr>
          <w:ilvl w:val="0"/>
          <w:numId w:val="5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Emitir el testimonio social dentro del plazo legal; y</w:t>
      </w:r>
    </w:p>
    <w:p w:rsidR="002E4234" w:rsidRPr="006E437B" w:rsidRDefault="002E4234" w:rsidP="00DA64DA">
      <w:pPr>
        <w:numPr>
          <w:ilvl w:val="0"/>
          <w:numId w:val="50"/>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Cumplir las demás obligaciones previstas en esta Ley y las disposiciones especializadas.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234. Cuando el Testigo Social advierta hechos que puedan constituir irregularidades, faltas administrativas, responsabilidades resarcitorias o delitos, deberá informarlos de inmediato y por escrito al órgano interno de control o a la Secretaría de la Contraloría, según corresponda, sin perjuicio de dar vista a otras autoridades competentes. La presentación del aviso no extinguirá su obligación de continuar observando el procedimiento, salvo que exista impedimento legal o riesgo para su integridad.</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235. La contratación y contraprestación del Testigo Social se sujetarán a la Ley de Contratación Pública del Estado de México y Municipios y a las cuotas públicas aprobadas por el Comité. El gasto estará a cargo de la entidad contratante y deberá presupuestarse dentro del costo del procedimiento.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contrato no podrá reducir las atribuciones reconocidas por esta Ley ni condicionar el pago al sentido favorable, desfavorable o crítico del testimonio. Las personas Testigos Sociales deberán cumplir las obligaciones fiscales y administrativas aplicables.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DEL TESTIMONIO SOCIAL, RESPUESTA Y SEGUIMIENTO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236. El Testigo Social emitirá su testimonio dentro de los diez días hábiles siguientes a la conclusión de su participación, sin perjuicio de los avisos inmediatos de irregularidad previstos en esta Ley.</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testimonio tendrá naturaleza pública y constituirá una opinión independiente de participación ciudadana; no será dictamen de legalidad ni liberará de responsabilidad a persona servidora pública alguna.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237. El testimonio contendrá, como mínimo:</w:t>
      </w:r>
    </w:p>
    <w:p w:rsidR="002E4234" w:rsidRPr="006E437B" w:rsidRDefault="002E4234" w:rsidP="00DA64DA">
      <w:pPr>
        <w:numPr>
          <w:ilvl w:val="0"/>
          <w:numId w:val="5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Lugar y fecha de emisión;</w:t>
      </w:r>
    </w:p>
    <w:p w:rsidR="002E4234" w:rsidRPr="006E437B" w:rsidRDefault="002E4234" w:rsidP="00DA64DA">
      <w:pPr>
        <w:numPr>
          <w:ilvl w:val="0"/>
          <w:numId w:val="5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Identificación de la contratación;</w:t>
      </w:r>
    </w:p>
    <w:p w:rsidR="002E4234" w:rsidRPr="006E437B" w:rsidRDefault="002E4234" w:rsidP="00DA64DA">
      <w:pPr>
        <w:numPr>
          <w:ilvl w:val="0"/>
          <w:numId w:val="5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Datos del Testigo Social y número de registro;</w:t>
      </w:r>
    </w:p>
    <w:p w:rsidR="002E4234" w:rsidRPr="006E437B" w:rsidRDefault="002E4234" w:rsidP="00DA64DA">
      <w:pPr>
        <w:numPr>
          <w:ilvl w:val="0"/>
          <w:numId w:val="5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Antecedentes relevantes;</w:t>
      </w:r>
    </w:p>
    <w:p w:rsidR="002E4234" w:rsidRPr="006E437B" w:rsidRDefault="002E4234" w:rsidP="00DA64DA">
      <w:pPr>
        <w:numPr>
          <w:ilvl w:val="0"/>
          <w:numId w:val="51"/>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Etapas y actos observados;</w:t>
      </w:r>
    </w:p>
    <w:p w:rsidR="002E4234" w:rsidRPr="006E437B" w:rsidRDefault="002E4234" w:rsidP="00DA64DA">
      <w:pPr>
        <w:numPr>
          <w:ilvl w:val="0"/>
          <w:numId w:val="5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Personas servidoras públicas y participantes institucionales vinculados con los actos observados, en lo legalmente publicable;</w:t>
      </w:r>
    </w:p>
    <w:p w:rsidR="002E4234" w:rsidRPr="006E437B" w:rsidRDefault="002E4234" w:rsidP="00DA64DA">
      <w:pPr>
        <w:numPr>
          <w:ilvl w:val="0"/>
          <w:numId w:val="5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Incidencias e irregularidades advertidas;</w:t>
      </w:r>
    </w:p>
    <w:p w:rsidR="002E4234" w:rsidRPr="006E437B" w:rsidRDefault="002E4234" w:rsidP="00DA64DA">
      <w:pPr>
        <w:numPr>
          <w:ilvl w:val="0"/>
          <w:numId w:val="5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Conclusiones;</w:t>
      </w:r>
    </w:p>
    <w:p w:rsidR="002E4234" w:rsidRPr="006E437B" w:rsidRDefault="002E4234" w:rsidP="00DA64DA">
      <w:pPr>
        <w:numPr>
          <w:ilvl w:val="0"/>
          <w:numId w:val="5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Recomendaciones y propuestas para fortalecer transparencia, imparcialidad, competencia, eficiencia, eficacia, economía, integridad y rendición de cuentas; y</w:t>
      </w:r>
    </w:p>
    <w:p w:rsidR="002E4234" w:rsidRPr="006E437B" w:rsidRDefault="002E4234" w:rsidP="00DA64DA">
      <w:pPr>
        <w:numPr>
          <w:ilvl w:val="0"/>
          <w:numId w:val="52"/>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Firma autógrafa o electrónica válida.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238. El testimonio será entregado a la unidad contratante, a la Secretaría de la Contraloría o al órgano interno de control competente y al Comité de Registro. Deberá publicarse, en versión íntegra o pública según corresponda, dentro de los cinco días hábiles siguientes en el sitio de la entidad contratante, en la Plataforma y en el padrón de Testigos Sociales. Sólo podrán suprimirse datos mediante clasificación fundada conforme a la legislación de transparencia y protección de datos.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239. La unidad contratante deberá emitir, dentro de los veinte días hábiles siguientes a la publicación del testimonio, una respuesta institucional que identifique las recomendaciones aceptadas, parcialmente aceptadas, rechazadas o canalizadas; exponga las razones técnicas y jurídicas; señale medidas correctivas, autoridades responsables y plazos; e informe sobre las vistas realizadas a los órganos de control. Cuando una investigación se encuentre en trámite, podrá reservarse exclusivamente la información cuya publicidad comprometa legalmente el procedimiento.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240. La Secretaría de la Contraloría y los órganos internos de control llevarán el seguimiento de las observaciones que correspondan a su competencia.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Plataforma mostrará el estado del testimonio, respuesta y acciones de atención. El Comité integrará anualmente información estadística sobre procedimientos observados, recomendaciones, atención institucional, sanciones y resultados, sin sustituir las funciones de fiscalización o control.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VI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LAS INFRACCIONES Y CONSECUENCIAS DEL REGISTRO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241. Constituyen incumplimientos de las personas Testigos Sociales, además de los previstos en otras leyes: actuar con parcialidad; omitir un conflicto de interés; utilizar información para beneficio propio o de terceros; revelar información legalmente protegida; intentar influir indebidamente en una adjudicación; favorecer a una persona participante; obstaculizar intencionalmente el procedimiento; falsear hechos o documentos; omitir deliberadamente la notificación de irregularidades relevantes; incumplir injustificadamente la obligación de emitir testimonio; o utilizar su calidad para obtener beneficios ajenos al encargo.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242. Previa garantía de audiencia y mediante resolución fundada y motivada, el Comité podrá imponer amonestación, suspensión temporal del registro hasta por dos años o cancelación definitiva, atendiendo a gravedad, intencionalidad, beneficio obtenido, daño causado, reincidencia y afectación al procedimiento. La falsificación, cohecho, colusión, manipulación deliberada del testimonio o uso doloso de información protegida serán causas de cancelación, sin perjuicio de las responsabilidades administrativas, civiles o penales procedentes.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243. Cuando una persona Testigo Social actúe en representación de una persona jurídica colectiva, las sanciones individuales no producirán automáticamente la cancelación del registro de ésta. No obstante, el Comité podrá suspender o cancelar el registro de la organización cuando se acredite tolerancia, instrucción, encubrimiento o reincidencia institucional, o cuando dos de sus representantes sean objeto de cancelación definitiva durante el mismo periodo de vigencia. Las resoluciones serán públicas una vez firmes.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SEXTO</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PARTICIPACIÓN INCLUYENTE Y ACCESIBLE</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ÚNICO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LAS MEDIDAS DE INCLUSIÓN</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244. Las autoridades adoptarán medidas razonables y diferenciadas para remover barreras económicas, territoriales, lingüísticas, tecnológicas, culturales, físicas, sensoriales, intelectuales y actitudinales que impidan o dificulten el ejercicio efectivo de los mecanismos regulados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245. Los mecanismos deberán observar el principio de igualdad sustantiva y promover la participación efectiva de las mujeres, evitando horarios, sedes o dinámicas que reproduzcan desigualdades de cuidados o violencia.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246. Las personas con discapacidad tendrán derecho a ajustes razonables, formatos accesibles, interpretación en lengua de señas mexicana, lectura fácil, asistencia humana o tecnológica y accesibilidad física.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247. Para niñas, niños y adolescentes se utilizarán metodologías seguras, comprensibles y apropiadas a su edad y desarrollo evolutivo. Sus opiniones deberán valorarse conforme a su autonomía progresiva.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248. Las comunidades rurales y localidades con limitada conectividad deberán contar con sedes presenciales, unidades itinerantes, materiales impresos y medios comunitarios.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249. Las personas adultas mayores tendrán acceso a acompañamiento y mecanismos no digitales.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250. Las personas migrantes, desplazadas, víctimas y quienes se encuentren en situación de riesgo podrán solicitar medidas de confidencialidad y participación segura.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251. Las medidas de inclusión previstas en este Capítulo no podrán interpretarse como sustitución, modificación o reglamentación de derechos colectivos sujetos a un régimen constitucional o legal especial.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SÉPTIMO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PARTICIPACIÓN DIGITAL, LA INFORMACIÓN Y LOS ARCHIVOS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PLATAFORMA</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252. La Plataforma será el medio digital oficial para registrar, difundir y dar seguimiento a los mecanismos.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253. La Plataforma deberá permitir presentar solicitudes, asignar folios, consultar convocatorias, acceder a expedientes públicos, emitir opiniones o apoyos, conocer resultados, identificar a la autoridad responsable, consultar plazos, dar seguimiento a compromisos, acceder a datos abiertos y solicitar asistencia.</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254. La Plataforma deberá cumplir estándares de accesibilidad, interoperabilidad, seguridad, disponibilidad, neutralidad tecnológica y protección de datos.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255. Ningún mecanismo será exclusivamente digital cuando ello excluya a una parte relevante de la población.</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256. Los sistemas de autenticación serán proporcionales a la naturaleza y efectos del mecanismo. No se exigirán datos innecesarios.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257. Las decisiones de admisión, exclusión, validación o cómputo no podrán basarse exclusivamente en sistemas automatizados sin revisión humana.</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258. Cuando se utilicen algoritmos para clasificar, agrupar o analizar propuestas, deberán publicarse su finalidad, criterios generales, limitaciones y mecanismos de revisión.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259. Cada expediente registrado en la Plataforma contará con un tablero de trazabilidad que, según corresponda, identifique al menos los estados de recibido, en análisis, admitido, en deliberación, resuelto, en ejecución, cumplido o cerrado. Todo cambio de estado deberá indicar fecha, autoridad responsable y documento que lo sustente.</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260. Las autoridades no podrán eliminar, ocultar, desindexar o alterar propuestas o expedientes por contener críticas, desacuerdos o posiciones contrarias a la autoridad. Las correcciones, actualizaciones y versiones públicas deberán conservar trazabilidad. Sólo podrá restringirse información por una causa expresamente prevista en la legislación aplicable.</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INFORMACIÓN, DATOS PERSONALES Y ARCHIVOS</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261. La información generada será pública, con excepción de aquella clasificada conforme a la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262. Los datos personales se tratarán exclusivamente para las finalidades informadas y durante el tiempo necesario.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263. La publicación de apoyos ciudadanos se realizará mediante datos agregados, salvo consentimiento o disposición legal expresa.</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264. Los expedientes se organizarán, conservarán y transferirán conforme a la legislación archivística.</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265. Los resultados, bases de datos anonimizadas, metodologías e indicadores deberán difundirse en formatos abiertos y reutilizables.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266. Las autoridades deberán publicar avisos de privacidad claros y específicos para cada mecanismo.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267. Toda vulneración de seguridad deberá atenderse conforme a la legislación de protección de datos y seguridad digital.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OCTAVO.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LOS EFECTOS, SEGUIMIENTO Y EVALUACIÓN</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268. Los efectos de cada mecanismo deberán anunciarse desde la convocatoria y ser congruentes con su fundamento jurídico. Cuando proceda reconsideración obligatoria, incorporación a agenda, respuesta reforzada o seguimiento específico, la autoridad deberá describir con claridad la consecuencia institucional correspondiente.</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269. Ninguna autoridad podrá atribuir efectos vinculantes a una encuesta, sondeo, foro, consulta informal o ejercicio que no cumpla las reglas legales correspondientes.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270. Los compromisos asumidos deberán contener acción concreta, autoridad responsable, plazo, indicador, fuente de financiamiento cuando proceda y forma de verificación.</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271. Las autoridades publicarán informes de avance al menos trimestralmente respecto de compromisos con plazo superior a noventa días.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272. Cuando un compromiso no pueda cumplirse, la autoridad deberá explicar las causas, las medidas alternativas y el nuevo calendario.</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273. La Unidad Coordinadora elaborará un informe estatal anual que contenga número y tipo de mecanismos, participación registrada, distribución territorial, medidas de inclusión, propuestas recibidas, grado de respuesta, cumplimiento de compromisos, recursos ejercidos, quejas e impugnaciones y recomendaciones.</w:t>
      </w:r>
    </w:p>
    <w:p w:rsidR="002E4234" w:rsidRPr="006E437B" w:rsidRDefault="002E4234" w:rsidP="00674089">
      <w:pPr>
        <w:spacing w:after="0" w:line="240" w:lineRule="auto"/>
        <w:jc w:val="both"/>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274. Los municipios presentarán informes anuales a sus ayuntamientos en sesión pública y los remitirán a la Unidad Coordinadora.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275. El Consejo aprobará indicadores para evaluar accesibilidad, diversidad, incidencia, calidad deliberativa, tiempo de respuesta, cumplimiento, confianza y satisfacción, eficiencia presupuestaria y equidad territorial.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276. La evaluación no se limitará al número de participantes, sino que considerará calidad, representatividad, incidencia y seguimiento.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277. Cada tres años se realizará una evaluación externa del Sistema por una institución pública de educación superior o entidad especializada seleccionada mediante procedimiento transparente.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74089">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278. Los resultados de la evaluación deberán presentarse a la Legislatura y utilizarse para revisar políticas, reglamentos y asignaciones presupuestarias.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NOVENO</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DEL FINANCIAMIENTO Y LA RESPONSABILIDAD HACENDARIA</w:t>
      </w:r>
    </w:p>
    <w:p w:rsidR="002E4234" w:rsidRPr="006E437B" w:rsidRDefault="002E4234" w:rsidP="00141629">
      <w:pPr>
        <w:spacing w:after="0" w:line="240" w:lineRule="auto"/>
        <w:jc w:val="center"/>
        <w:rPr>
          <w:rFonts w:ascii="Times New Roman" w:hAnsi="Times New Roman" w:cs="Times New Roman"/>
          <w:b/>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ÚNICO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279. Los entes públicos incluirán en sus anteproyectos de presupuesto los recursos necesarios para cumplir esta Ley.</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280. La implementación deberá privilegiar el uso de estructuras existentes, interoperabilidad tecnológica, capacitación conjunta, convenios de colaboración, reutilización de infraestructura, austeridad y evaluación costo-beneficio.</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281. La Ley no obliga a crear nuevas dependencias, organismos descentralizados, plazas o unidades administrativas, salvo determinación expresa y presupuestariamente sustentada de la autoridad competente.</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282. Las convocatorias a mecanismos que generen gastos extraordinarios deberán acompañarse de una estimación de impacto y fuente de financiamiento.</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283. Las consultas populares y los referéndums se financiarán conforme al Código Electoral y a las partidas aprobadas al Instituto Electoral.</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284. Los recursos para presupuesto participativo se distinguirán de los gastos administrativos de organización.</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285. El Gobierno del Estado podrá crear fondos concursables de asistencia técnica, accesibilidad, innovación y coinversión municipal.</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286. La distribución de apoyos considerará criterios objetivos de población, marginación, dispersión territorial, capacidad fiscal, brecha digital, necesidades de accesibilidad, desigualdad regional y número y características de los mecanismos implementados.</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287. No se permitirá financiamiento privado de consultas populares, referéndums ni otros mecanismos electorales, salvo lo expresamente autorizado por la legislación aplicable.</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288. Las aportaciones privadas a proyectos de colaboración deberán ser transparentes, lícitas y no generar privilegios, contraprestaciones ni influencia indebida.</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289. Los recursos ejercidos estarán sujetos a transparencia, fiscalización, control y responsabilidades.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DÉCIMO</w:t>
      </w:r>
    </w:p>
    <w:p w:rsidR="002E4234" w:rsidRPr="006E437B" w:rsidRDefault="002E4234" w:rsidP="0014162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LOS MEDIOS DE DEFENSA Y LAS RESPONSABILIDADES</w:t>
      </w:r>
    </w:p>
    <w:p w:rsidR="002E4234" w:rsidRPr="006E437B" w:rsidRDefault="002E4234" w:rsidP="00141629">
      <w:pPr>
        <w:spacing w:after="0" w:line="240" w:lineRule="auto"/>
        <w:jc w:val="center"/>
        <w:rPr>
          <w:rFonts w:ascii="Times New Roman" w:hAnsi="Times New Roman" w:cs="Times New Roman"/>
          <w:b/>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ÚNICO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290. Los actos relacionados con consulta popular, referéndum y demás mecanismos político-electorales se impugnarán conforme al Código Electoral y a la legislación jurisdiccional aplicable.</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291. Para tutelar el interés legítimo, colectivo o difuso frente a la negativa, desechamiento injustificado, omisión o alteración de un mecanismo administrativo de participación, las personas promoventes podrán interponer el Recurso de Inconformidad Ciudadana. Este recurso se interpondrá por escrito o a través de la Plataforma ante la persona superior jerárquica de la autoridad responsable o ante el respectivo Órgano Interno de Control, dentro de los cinco días hábiles siguientes al acto u omisión reclamada.</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autoridad resolutora deberá emitir su fallo en un plazo máximo de diez días hábiles, priorizando la suplencia de la deficiencia de la queja y la restitución inmediata del derecho a participar. La resolución que recaiga a este recurso constituirá el acto administrativo definitivo impugnable ante el Tribunal de Justicia Administrativa del Estado de México, conforme a las disposiciones del Código de Procedimientos Administrativos del Estado de México.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Previo a la interposición del recurso señalado, las personas participantes podrán acudir ante la Comisión de Derechos Humanos del Estado de México o ante las Defensorías Municipales de Derechos Humanos, a efecto de tramitar una queja por obstaculización o vulneración al derecho a la participación ciudadana. Este procedimiento privilegiará la mediación y la emisión de medidas precautorias ágiles para restituir el ejercicio del mecanismo de participación afectado.</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292. Los actos de la Legislatura, el Poder Judicial y los organismos constitucionales autónomos se controvertirán mediante las vías previstas en sus ordenamientos y en los medios de control constitucional aplicables.</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293. Las controversias sobre acceso a la información o datos personales se tramitarán conforme a la legislación especial.</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294. La omisión de realizar un mecanismo obligatorio podrá hacerse valer en el medio de defensa procedente, sin perjuicio de los regímenes constitucionales o legales especiales de tutela.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295. Cuando una irregularidad sea subsanable, la autoridad deberá adoptar medidas correctivas que preserven el ejercicio del derecho.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296. La autoridad competente valorará si una irregularidad afectó de manera sustancial la libertad, inclusión, información, deliberación, resultado o efectos del mecanismo.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297. Constituirán incumplimientos susceptibles de responsabilidad administrativa, conforme a la legislación aplicable:</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Obstaculizar injustificadamente la promoción, convocatoria o desarrollo de un mecanismo;</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Omitir, sin causa legal, la convocatoria de un mecanismo obligatorio;</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Alterar, falsificar, destruir u ocultar apoyos, actas, expedientes o resultados;</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Ocultar información pública necesaria para una participación informada;</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Incumplir deliberadamente los plazos u obligaciones de registro, respuesta o seguimiento previstos en esta Ley;</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Utilizar recursos públicos para coaccionar, inducir indebidamente o impedir la participación;</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Adoptar represalias contra las personas participantes;</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Divulgar o utilizar ilícitamente datos personales;</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Presentar un ejercicio informal como vinculante o atribuirle efectos que no le correspondan;</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Reportar falsamente como cumplido un compromiso ciudadano;</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Incumplir sin causa justificada una determinación vinculante; o</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Manipular el funcionamiento de la Plataforma para excluir, alterar o invisibilizar propuestas;</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Impedir u obstaculizar injustificadamente la actuación de una persona Testigo Social;</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Retener, alterar u ocultar al Testigo Social información que deba proporcionársele conforme a la ley;</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Condicionar, retrasar o negar indebidamente su contraprestación por el sentido de sus observaciones o testimonio; o</w:t>
      </w:r>
    </w:p>
    <w:p w:rsidR="002E4234" w:rsidRPr="006E437B" w:rsidRDefault="002E4234" w:rsidP="00DA64DA">
      <w:pPr>
        <w:numPr>
          <w:ilvl w:val="0"/>
          <w:numId w:val="53"/>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Omitir la publicación o respuesta institucional del testimonio social dentro de los plazos previstos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No constituirá incumplimiento el rechazo total o parcial de una propuesta ciudadana cuando la decisión sea emitida por autoridad competente, esté fundada y motivada, respete los efectos del mecanismo y cumpla las obligaciones de respuesta y trazabilidad.</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298. Las personas servidoras públicas deberán denunciar los hechos que puedan constituir faltas administrativas o delitos.</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299. Las responsabilidades previstas serán independientes de las civiles, penales, electorales, patrimoniales o políticas que procedan.</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300. Ninguna persona será sancionada por formular de buena fe una crítica, denuncia, opinión o propuesta, aunque resulte incorrecta o no sea aceptada.</w:t>
      </w:r>
    </w:p>
    <w:p w:rsidR="002E4234" w:rsidRPr="006E437B" w:rsidRDefault="002E4234" w:rsidP="00FF5E55">
      <w:pPr>
        <w:spacing w:after="0" w:line="240" w:lineRule="auto"/>
        <w:jc w:val="both"/>
        <w:rPr>
          <w:rFonts w:ascii="Times New Roman" w:hAnsi="Times New Roman" w:cs="Times New Roman"/>
          <w:sz w:val="24"/>
          <w:szCs w:val="24"/>
        </w:rPr>
      </w:pPr>
    </w:p>
    <w:p w:rsidR="002E4234" w:rsidRPr="006E437B" w:rsidRDefault="002E4234" w:rsidP="00FF5E5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SEGUNDO.</w:t>
      </w:r>
      <w:r w:rsidRPr="006E437B">
        <w:rPr>
          <w:rFonts w:ascii="Times New Roman" w:hAnsi="Times New Roman" w:cs="Times New Roman"/>
          <w:sz w:val="24"/>
          <w:szCs w:val="24"/>
        </w:rPr>
        <w:t xml:space="preserve"> Se deroga el Título Décimo denominado “Del Testigo Social” del Libro Primero del Código Administrativo del Estado de México, que comprende los artículos 1.42 a 1.73, para queda como sigue:</w:t>
      </w:r>
    </w:p>
    <w:p w:rsidR="002E4234" w:rsidRPr="006E437B" w:rsidRDefault="002E4234" w:rsidP="00141629">
      <w:pPr>
        <w:spacing w:after="0" w:line="240" w:lineRule="auto"/>
        <w:jc w:val="center"/>
        <w:rPr>
          <w:rFonts w:ascii="Times New Roman" w:hAnsi="Times New Roman" w:cs="Times New Roman"/>
          <w:b/>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TÍTULO DÉCIMO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DEL TESTIGO SOCIAL</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PRIMERO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DISPOSICIONES GENERALES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1.42.-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1.43.-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1.44.-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1.45.-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1.46.-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1.47.-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1.48.- Derogado.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CAPÍTULO SEGUNDO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DEL REGISTRO Y REQUISITOS PARA SER TESTIGO SOCIAL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1.49.-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1.50.-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1.51.-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1.52.-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1.53.- Derogado.</w:t>
      </w:r>
    </w:p>
    <w:p w:rsidR="002E4234" w:rsidRPr="006E437B" w:rsidRDefault="002E4234" w:rsidP="00141629">
      <w:pPr>
        <w:spacing w:after="0" w:line="240" w:lineRule="auto"/>
        <w:jc w:val="center"/>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CAPÍTULO TERCERO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OBLIGACIONES DEL TESTIGO SOCIAL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1.54.-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1.55.-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1.56.-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1.57.-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1.58.-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1.59.-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1.60.- Derogado.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CAPÍTULO CUARTO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DE LOS CONTRATOS DE PARTICIPACIÓN DEL TESTIGO SOCIAL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1.61.-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1.62.-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1.63.-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1.64.- Derogado.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CAPÍTULO QUINTO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DE LA PARTICIPACIÓN DEL TESTIGO SOCIAL EN LAS CONTRATACIONES</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1.65.-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1.66.-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1.67.-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1.68.-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1.69.- Derogado.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CAPITULO SEXTO</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DE LAS INFRACCIONES Y SANCIONES DE LOS TESTIGOS SOCIALES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1.70.-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1.71.-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1.72.- Derogado.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1.73.- Derogado.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TERCERO.</w:t>
      </w:r>
      <w:r w:rsidRPr="006E437B">
        <w:rPr>
          <w:rFonts w:ascii="Times New Roman" w:hAnsi="Times New Roman" w:cs="Times New Roman"/>
          <w:sz w:val="24"/>
          <w:szCs w:val="24"/>
        </w:rPr>
        <w:t xml:space="preserve"> Se reforma la fracción XII del artículo 3 y se adiciona el artículo 28 Bis de la Ley de Contratación Pública del Estado de México y Municipios, para quedar como sigue: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3.-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I. a XI.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XII. Testigo Social: A la persona física o jurídica colectiva con registro vigente que, como representante imparcial de la sociedad civil, participa en los procedimientos de contratación pública relevantes en los términos de la Ley de Participación Ciudadana para el Estado de México.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28 Bis.- Las autoridades a que se refiere esta Ley deberán asegurar la intervención de Testigos Sociales en los procedimientos en que resulte obligatoria conforme a la Ley de Participación Ciudadana para el Estado de México y podrán solicitarla en los demás supuestos previstos por dicho ordenamiento. La designación, registro, independencia, derechos, obligaciones, testimonio, publicidad, seguimiento y régimen de responsabilidades del Testigo Social se regirán por la Ley de Participación Ciudadana para el Estado de México. La participación del Testigo Social no sustituirá las atribuciones de la convocante, del Comité, de la Secretaría de la Contraloría ni de los órganos internos de control, y no modificará por sí misma los plazos, etapas o medios de defensa previstos en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CUARTO.</w:t>
      </w:r>
      <w:r w:rsidRPr="006E437B">
        <w:rPr>
          <w:rFonts w:ascii="Times New Roman" w:hAnsi="Times New Roman" w:cs="Times New Roman"/>
          <w:sz w:val="24"/>
          <w:szCs w:val="24"/>
        </w:rPr>
        <w:t xml:space="preserve"> Se adiciona un último párrafo al artículo 3 de la Ley Orgánica Municipal del Estado de México, para quedar como sigue: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3.-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materia de cabildo abierto, asambleas, sesiones itinerantes, autoridades auxiliares, consejos de participación ciudadana y demás mecanismos de interacción social directa, se aplicarán de manera supletoria los principios, garantías de inclusión, lenguaje ciudadano y reglas de trazabilidad previstos en la Ley de Participación Ciudadana para el Estado de México, siempre que no contravengan la autonomía municipal.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QUINTO.</w:t>
      </w:r>
      <w:r w:rsidRPr="006E437B">
        <w:rPr>
          <w:rFonts w:ascii="Times New Roman" w:hAnsi="Times New Roman" w:cs="Times New Roman"/>
          <w:sz w:val="24"/>
          <w:szCs w:val="24"/>
        </w:rPr>
        <w:t xml:space="preserve"> Se adiciona un último párrafo al artículo 2 del Código Electoral del Estado de México, para quedar como sigue:</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 ...</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Para el desarrollo de los mecanismos de participación ciudadana competencia del Instituto, aplicarán de manera supletoria los estándares de accesibilidad, máxima publicidad, protección de datos y lenguaje ciudadano dispuestos en la Ley de Participación Ciudadana para el Estado de México, estrictamente en aquello que no se oponga a la naturaleza, plazos y principios político-electorales rectores de este Código.</w:t>
      </w: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2E4234" w:rsidRPr="006E437B" w:rsidRDefault="002E4234" w:rsidP="00141629">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ARTÍCULOS TRANSITORIOS</w:t>
      </w:r>
    </w:p>
    <w:p w:rsidR="002E4234" w:rsidRPr="006E437B" w:rsidRDefault="002E4234" w:rsidP="00141629">
      <w:pPr>
        <w:spacing w:after="0" w:line="240" w:lineRule="auto"/>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PRIMERO. </w:t>
      </w:r>
      <w:r w:rsidRPr="006E437B">
        <w:rPr>
          <w:rFonts w:ascii="Times New Roman" w:hAnsi="Times New Roman" w:cs="Times New Roman"/>
          <w:sz w:val="24"/>
          <w:szCs w:val="24"/>
        </w:rPr>
        <w:t>Publíquese el presente Decreto en el Periódico Oficial “Gaceta del Gobierno”.</w:t>
      </w:r>
    </w:p>
    <w:p w:rsidR="002E4234" w:rsidRPr="006E437B" w:rsidRDefault="002E4234" w:rsidP="00610376">
      <w:pPr>
        <w:spacing w:after="0" w:line="240" w:lineRule="auto"/>
        <w:jc w:val="both"/>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SEGUNDO.</w:t>
      </w:r>
      <w:r w:rsidRPr="006E437B">
        <w:rPr>
          <w:rFonts w:ascii="Times New Roman" w:hAnsi="Times New Roman" w:cs="Times New Roman"/>
          <w:sz w:val="24"/>
          <w:szCs w:val="24"/>
        </w:rPr>
        <w:t xml:space="preserve"> El presente Decreto entrará en vigor al día siguiente de su publicación, salvo las disposiciones cuya aplicación gradual se establezca en los artículos transitorios siguientes.</w:t>
      </w:r>
    </w:p>
    <w:p w:rsidR="002E4234" w:rsidRPr="006E437B" w:rsidRDefault="002E4234" w:rsidP="00610376">
      <w:pPr>
        <w:spacing w:after="0" w:line="240" w:lineRule="auto"/>
        <w:jc w:val="both"/>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TERCERO</w:t>
      </w:r>
      <w:r w:rsidRPr="006E437B">
        <w:rPr>
          <w:rFonts w:ascii="Times New Roman" w:hAnsi="Times New Roman" w:cs="Times New Roman"/>
          <w:sz w:val="24"/>
          <w:szCs w:val="24"/>
        </w:rPr>
        <w:t>. El Poder Ejecutivo expedirá el Reglamento de esta Ley dentro de los ciento ochenta días naturales siguientes a su entrada en vigor.</w:t>
      </w:r>
    </w:p>
    <w:p w:rsidR="002E4234" w:rsidRPr="006E437B" w:rsidRDefault="002E4234" w:rsidP="00610376">
      <w:pPr>
        <w:spacing w:after="0" w:line="240" w:lineRule="auto"/>
        <w:jc w:val="both"/>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CUARTO.</w:t>
      </w:r>
      <w:r w:rsidRPr="006E437B">
        <w:rPr>
          <w:rFonts w:ascii="Times New Roman" w:hAnsi="Times New Roman" w:cs="Times New Roman"/>
          <w:sz w:val="24"/>
          <w:szCs w:val="24"/>
        </w:rPr>
        <w:t xml:space="preserve"> La Secretaría designará la Unidad Coordinadora dentro de los noventa días naturales siguientes a la entrada en vigor, utilizando preferentemente su estructura y recursos existentes.</w:t>
      </w:r>
    </w:p>
    <w:p w:rsidR="002E4234" w:rsidRPr="006E437B" w:rsidRDefault="002E4234" w:rsidP="00141629">
      <w:pPr>
        <w:spacing w:after="0" w:line="240" w:lineRule="auto"/>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QUINTO.</w:t>
      </w:r>
      <w:r w:rsidRPr="006E437B">
        <w:rPr>
          <w:rFonts w:ascii="Times New Roman" w:hAnsi="Times New Roman" w:cs="Times New Roman"/>
          <w:sz w:val="24"/>
          <w:szCs w:val="24"/>
        </w:rPr>
        <w:t xml:space="preserve"> La Legislatura emitirá la convocatoria para designar a las personas consejeras ciudadanas dentro de los ciento veinte días naturales siguientes a la entrada en vigor. Para la primera integración, tres personas serán designadas por dos años y tres por cuatro años, mediante insaculación pública, con el propósito de establecer renovación escalonada.</w:t>
      </w:r>
    </w:p>
    <w:p w:rsidR="002E4234" w:rsidRPr="006E437B" w:rsidRDefault="002E4234" w:rsidP="00610376">
      <w:pPr>
        <w:spacing w:after="0" w:line="240" w:lineRule="auto"/>
        <w:jc w:val="both"/>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SEXTO.</w:t>
      </w:r>
      <w:r w:rsidRPr="006E437B">
        <w:rPr>
          <w:rFonts w:ascii="Times New Roman" w:hAnsi="Times New Roman" w:cs="Times New Roman"/>
          <w:sz w:val="24"/>
          <w:szCs w:val="24"/>
        </w:rPr>
        <w:t xml:space="preserve"> El Consejo deberá instalarse dentro de los treinta días naturales siguientes a la designación de las personas consejeras ciudadanas.</w:t>
      </w:r>
    </w:p>
    <w:p w:rsidR="002E4234" w:rsidRPr="006E437B" w:rsidRDefault="002E4234" w:rsidP="00610376">
      <w:pPr>
        <w:spacing w:after="0" w:line="240" w:lineRule="auto"/>
        <w:jc w:val="both"/>
        <w:rPr>
          <w:rFonts w:ascii="Times New Roman" w:hAnsi="Times New Roman" w:cs="Times New Roman"/>
          <w:b/>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SÉPTIMO</w:t>
      </w:r>
      <w:r w:rsidRPr="006E437B">
        <w:rPr>
          <w:rFonts w:ascii="Times New Roman" w:hAnsi="Times New Roman" w:cs="Times New Roman"/>
          <w:sz w:val="24"/>
          <w:szCs w:val="24"/>
        </w:rPr>
        <w:t>. Los ayuntamientos designarán su Unidad Municipal dentro de los noventa días naturales siguientes a la entrada en vigor. La designación no implicará necesariamente la creación de una nueva unidad administrativa.</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OCTAVO.</w:t>
      </w:r>
      <w:r w:rsidRPr="006E437B">
        <w:rPr>
          <w:rFonts w:ascii="Times New Roman" w:hAnsi="Times New Roman" w:cs="Times New Roman"/>
          <w:sz w:val="24"/>
          <w:szCs w:val="24"/>
        </w:rPr>
        <w:t xml:space="preserve"> Los ayuntamientos deberán expedir o armonizar sus reglamentos de participación ciudadana dentro de los doscientos setenta días naturales siguientes a la publicación del Reglamento de esta Ley. Hasta en tanto se realice la armonización, continuarán aplicándose las disposiciones municipales vigentes en lo que no se opongan a esta Ley.</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NOVENO.</w:t>
      </w:r>
      <w:r w:rsidRPr="006E437B">
        <w:rPr>
          <w:rFonts w:ascii="Times New Roman" w:hAnsi="Times New Roman" w:cs="Times New Roman"/>
          <w:sz w:val="24"/>
          <w:szCs w:val="24"/>
        </w:rPr>
        <w:t xml:space="preserve"> La Plataforma y el Registro deberán iniciar operaciones dentro de los doce meses siguientes a la entrada en vigor. Durante ese periodo, las autoridades garantizarán la recepción presencial, escrita y electrónica mediante los sistemas disponibles.</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w:t>
      </w:r>
      <w:r w:rsidRPr="006E437B">
        <w:rPr>
          <w:rFonts w:ascii="Times New Roman" w:hAnsi="Times New Roman" w:cs="Times New Roman"/>
          <w:sz w:val="24"/>
          <w:szCs w:val="24"/>
        </w:rPr>
        <w:t xml:space="preserve"> Los mecanismos, consejos, comités, observatorios y procedimientos existentes a la entrada en vigor continuarán operando conforme a sus disposiciones especiales. Las autoridades deberán armonizar progresivamente su funcionamiento con los principios de esta Ley.</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PRIMERO</w:t>
      </w:r>
      <w:r w:rsidRPr="006E437B">
        <w:rPr>
          <w:rFonts w:ascii="Times New Roman" w:hAnsi="Times New Roman" w:cs="Times New Roman"/>
          <w:sz w:val="24"/>
          <w:szCs w:val="24"/>
        </w:rPr>
        <w:t>. Los registros de Testigo Social vigentes a la entrada en vigor del presente Decreto conservarán sus efectos hasta la conclusión de la vigencia para la que fueron expedidos. Su renovación se sujetará a la Ley de Participación Ciudadana para el Estado de México. Las personas que se encuentren en proceso de registro continuarán su trámite conforme a las disposiciones vigentes al momento de su solicitud, salvo que opten expresamente por acogerse al nuevo régimen.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SEGUNDO</w:t>
      </w:r>
      <w:r w:rsidRPr="006E437B">
        <w:rPr>
          <w:rFonts w:ascii="Times New Roman" w:hAnsi="Times New Roman" w:cs="Times New Roman"/>
          <w:sz w:val="24"/>
          <w:szCs w:val="24"/>
        </w:rPr>
        <w:t>. La Universidad Autónoma del Estado de México y la Secretaría de la Contraloría emitirán conjuntamente, dentro de los noventa días naturales siguientes a la entrada en vigor, los lineamientos para la integración y funcionamiento del Comité de Registro de Testigos Sociales, registro, evaluación, asignación, cuotas, umbrales, conflictos de interés y seguimiento. El Comité existente continuará realizando las funciones indispensables hasta la instalación del nuevo Comité, la cual deberá ocurrir dentro de los ciento veinte días naturales siguientes a la entrada en vigor.</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TERCERO.</w:t>
      </w:r>
      <w:r w:rsidRPr="006E437B">
        <w:rPr>
          <w:rFonts w:ascii="Times New Roman" w:hAnsi="Times New Roman" w:cs="Times New Roman"/>
          <w:sz w:val="24"/>
          <w:szCs w:val="24"/>
        </w:rPr>
        <w:t xml:space="preserve"> El Reglamento del Título Décimo del Libro Primero del Código Administrativo del Estado de México “Del Testigo Social” continuará aplicándose transitoriamente, únicamente en lo que no se oponga al presente Decreto, por un plazo máximo de ciento ochenta días naturales. Dentro del mismo plazo, el Poder Ejecutivo deberá expedir o adecuar las disposiciones reglamentarias necesarias para desarrollar el Título Quinto de la Ley de Participación Ciudadana para el Estado de México.</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CUARTO</w:t>
      </w:r>
      <w:r w:rsidRPr="006E437B">
        <w:rPr>
          <w:rFonts w:ascii="Times New Roman" w:hAnsi="Times New Roman" w:cs="Times New Roman"/>
          <w:sz w:val="24"/>
          <w:szCs w:val="24"/>
        </w:rPr>
        <w:t>. El Poder Ejecutivo, dentro de los ciento ochenta días naturales siguientes a la entrada en vigor, armonizará el Reglamento de la Ley de Contratación Pública del Estado de México y Municipios, el Reglamento del Libro Décimo Segundo del Código Administrativo del Estado de México, el Reglamento de la Ley de Asociaciones Público Privadas del Estado de México y Municipios y las demás disposiciones administrativas que contengan referencias al Título Décimo derogado. Hasta entonces, las referencias reglamentarias al Testigo Social o al Título Décimo se entenderán hechas, en lo conducente, al Título Quinto de la Ley de Participación Ciudadana para el Estado de México.</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QUINTO.</w:t>
      </w:r>
      <w:r w:rsidRPr="006E437B">
        <w:rPr>
          <w:rFonts w:ascii="Times New Roman" w:hAnsi="Times New Roman" w:cs="Times New Roman"/>
          <w:sz w:val="24"/>
          <w:szCs w:val="24"/>
        </w:rPr>
        <w:t xml:space="preserve"> Los procedimientos de contratación pública iniciados antes de la entrada en vigor del presente Decreto continuarán sustanciándose conforme a las disposiciones vigentes al momento de su convocatoria o inicio. Los Testigos Sociales ya designados conservarán sus funciones hasta la conclusión del procedimiento y emitirán el testimonio correspondiente conforme al régimen aplicable al momento de su designación.</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SEXTO.</w:t>
      </w:r>
      <w:r w:rsidRPr="006E437B">
        <w:rPr>
          <w:rFonts w:ascii="Times New Roman" w:hAnsi="Times New Roman" w:cs="Times New Roman"/>
          <w:sz w:val="24"/>
          <w:szCs w:val="24"/>
        </w:rPr>
        <w:t xml:space="preserve"> Las modificaciones al Código Electoral del Estado de México previstas en el Artículo Quinto del presente Decreto entrarán en vigor al día siguiente de que el Consejo General del Instituto Electoral del Estado de México declare formalmente la conclusión del Proceso Electoral Estatal Ordinario 2027.</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Hasta en tanto se cumpla dicha condición, la consulta popular, el referéndum y demás mecanismos político-electorales continuarán rigiéndose estrictamente por la Constitución Política del Estado Libre y Soberano de México y las disposiciones electorales vigentes al momento de la publicación del presente Decreto. Esta Ley no modificará en ningún caso porcentajes, umbrales, competencias, fechas ni medios de impugnación electorales.</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SÉPTIMO.</w:t>
      </w:r>
      <w:r w:rsidRPr="006E437B">
        <w:rPr>
          <w:rFonts w:ascii="Times New Roman" w:hAnsi="Times New Roman" w:cs="Times New Roman"/>
          <w:sz w:val="24"/>
          <w:szCs w:val="24"/>
        </w:rPr>
        <w:t xml:space="preserve"> Las disposiciones del presente Decreto no reglamentan ni modifican el derecho de consulta de los pueblos y comunidades indígenas y afromexicanas reconocido en los artículos 2o. de la Constitución Política de los Estados Unidos Mexicanos y 17 de la Constitución Política del Estado Libre y Soberano de México. Los mecanismos de participación previstos en esta Ley no podrán sustituir los procedimientos de consulta constitucionalmente exigibles. La armonización de la legislación estatal en dicha materia se realizará en los términos y dentro del plazo establecido en el artículo Tercero Transitorio del Decreto número 330 de la “LXII” Legislatura del Estado de México, publicado en el Periódico Oficial “Gaceta del Gobierno” el 3 de junio de 2026, una vez expedida la Ley General de la materia por el Congreso de la Unión.</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OCTAVO.</w:t>
      </w:r>
      <w:r w:rsidRPr="006E437B">
        <w:rPr>
          <w:rFonts w:ascii="Times New Roman" w:hAnsi="Times New Roman" w:cs="Times New Roman"/>
          <w:sz w:val="24"/>
          <w:szCs w:val="24"/>
        </w:rPr>
        <w:t xml:space="preserve"> Los municipios realizarán durante el primer ejercicio fiscal completo posterior a la entrada en vigor, al menos, un ejercicio piloto de presupuesto participativo. La implementación anual obligatoria prevista en esta Ley será exigible a partir del segundo ejercicio fiscal completo, sin perjuicio de que los municipios puedan aplicarla con anterioridad.</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DÉCIMO NOVENO</w:t>
      </w:r>
      <w:r w:rsidRPr="006E437B">
        <w:rPr>
          <w:rFonts w:ascii="Times New Roman" w:hAnsi="Times New Roman" w:cs="Times New Roman"/>
          <w:sz w:val="24"/>
          <w:szCs w:val="24"/>
        </w:rPr>
        <w:t>. Las erogaciones correspondientes al ejercicio fiscal en curso se cubrirán con cargo a los presupuestos aprobados y mediante las estructuras existentes, sin afectar programas prioritarios ni servicios públicos esenciales. En los ejercicios subsecuentes deberán incorporarse las previsiones presupuestarias necesarias.</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VIGÉSIMO.</w:t>
      </w:r>
      <w:r w:rsidRPr="006E437B">
        <w:rPr>
          <w:rFonts w:ascii="Times New Roman" w:hAnsi="Times New Roman" w:cs="Times New Roman"/>
          <w:sz w:val="24"/>
          <w:szCs w:val="24"/>
        </w:rPr>
        <w:t xml:space="preserve"> La creación de plazas, unidades administrativas, sistemas tecnológicos o contrataciones adicionales requerirá justificación de necesidad, memoria de cálculo, suficiencia presupuestaria y cumplimiento de las disposiciones de austeridad, contratación y disciplina financiera.</w:t>
      </w:r>
    </w:p>
    <w:p w:rsidR="002E4234" w:rsidRPr="006E437B" w:rsidRDefault="002E4234" w:rsidP="00610376">
      <w:pPr>
        <w:spacing w:after="0" w:line="240" w:lineRule="auto"/>
        <w:jc w:val="both"/>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VIGÉSIMO PRIMERO. </w:t>
      </w:r>
      <w:r w:rsidRPr="006E437B">
        <w:rPr>
          <w:rFonts w:ascii="Times New Roman" w:hAnsi="Times New Roman" w:cs="Times New Roman"/>
          <w:sz w:val="24"/>
          <w:szCs w:val="24"/>
        </w:rPr>
        <w:t>La Secretaría elaborará, dentro de los ciento ochenta días siguientes a la instalación del Consejo, el Programa Estatal de Cultura y Formación para la Participación Ciudadana, los modelos de convocatoria, formatos, protocolos de accesibilidad, lineamientos de datos abiertos, criterios de lenguaje ciudadano, metodología de evaluación y orientaciones técnicas para la integración de las Redes Municipales de Participación Ciudadana.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VIGÉSIMO SEGUNDO.</w:t>
      </w:r>
      <w:r w:rsidRPr="006E437B">
        <w:rPr>
          <w:rFonts w:ascii="Times New Roman" w:hAnsi="Times New Roman" w:cs="Times New Roman"/>
          <w:sz w:val="24"/>
          <w:szCs w:val="24"/>
        </w:rPr>
        <w:t xml:space="preserve"> La Legislatura y los ayuntamientos realizarán las adecuaciones administrativas y reglamentarias indispensables para facilitar la presentación, seguimiento y publicidad de las iniciativas ciudadanas y de los mecanismos de su competencia. La Legislatura pondrá en operación el Buzón Permanente de Participación Legislativa dentro de los ciento ochenta días naturales siguientes a la entrada en vigor de esta Ley. Los municipios integrarán sus Redes Municipales de Participación Ciudadana conforme a sus reglamentos y utilizando preferentemente las estructuras existentes.</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VIGÉSIMO TERCERO.</w:t>
      </w:r>
      <w:r w:rsidRPr="006E437B">
        <w:rPr>
          <w:rFonts w:ascii="Times New Roman" w:hAnsi="Times New Roman" w:cs="Times New Roman"/>
          <w:sz w:val="24"/>
          <w:szCs w:val="24"/>
        </w:rPr>
        <w:t xml:space="preserve"> El Poder Ejecutivo presentará a la Legislatura, dentro de los veinticuatro meses siguientes a la entrada en vigor, un informe integral sobre costos de implementación; mecanismos realizados; participación territorial; funcionamiento municipal; operación de la Plataforma; presupuesto participativo; medidas de inclusión; controversias presentadas; y propuestas de armonización legislativa.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VIGÉSIMO CUARTO.</w:t>
      </w:r>
      <w:r w:rsidRPr="006E437B">
        <w:rPr>
          <w:rFonts w:ascii="Times New Roman" w:hAnsi="Times New Roman" w:cs="Times New Roman"/>
          <w:sz w:val="24"/>
          <w:szCs w:val="24"/>
        </w:rPr>
        <w:t xml:space="preserve"> Se derogan las disposiciones de igual o menor jerarquía que se opongan al presente Decreto, sin perjuicio de la derogación expresa prevista en su Artículo Segundo y sin afectar los regímenes especiales de consulta popular, referéndum, iniciativa ciudadana, cabildo abierto y demás mecanismos sujetos a regulación constitucional o sectorial especial.</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14162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Lo tendrá entendido la Gobernadora del Estado, haciendo que se publique y se cumpla.</w:t>
      </w:r>
    </w:p>
    <w:p w:rsidR="002E4234" w:rsidRPr="006E437B" w:rsidRDefault="002E4234" w:rsidP="00141629">
      <w:pPr>
        <w:spacing w:after="0" w:line="240" w:lineRule="auto"/>
        <w:rPr>
          <w:rFonts w:ascii="Times New Roman" w:hAnsi="Times New Roman" w:cs="Times New Roman"/>
          <w:sz w:val="24"/>
          <w:szCs w:val="24"/>
        </w:rPr>
      </w:pPr>
    </w:p>
    <w:p w:rsidR="002E4234" w:rsidRPr="006E437B" w:rsidRDefault="002E4234" w:rsidP="00610376">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Dado en el Palacio del Poder Legislativo, en la Ciudad de Toluca, Capital del Estado de México, a los </w:t>
      </w:r>
      <w:r w:rsidRPr="006E437B">
        <w:rPr>
          <w:rFonts w:ascii="Times New Roman" w:hAnsi="Times New Roman" w:cs="Times New Roman"/>
          <w:sz w:val="24"/>
          <w:szCs w:val="24"/>
          <w:u w:val="single" w:color="000000"/>
        </w:rPr>
        <w:t xml:space="preserve"> </w:t>
      </w:r>
      <w:r w:rsidRPr="006E437B">
        <w:rPr>
          <w:rFonts w:ascii="Times New Roman" w:hAnsi="Times New Roman" w:cs="Times New Roman"/>
          <w:sz w:val="24"/>
          <w:szCs w:val="24"/>
          <w:u w:val="single" w:color="000000"/>
        </w:rPr>
        <w:tab/>
      </w:r>
      <w:r w:rsidRPr="006E437B">
        <w:rPr>
          <w:rFonts w:ascii="Times New Roman" w:hAnsi="Times New Roman" w:cs="Times New Roman"/>
          <w:sz w:val="24"/>
          <w:szCs w:val="24"/>
        </w:rPr>
        <w:t xml:space="preserve"> días del mes de </w:t>
      </w:r>
      <w:r w:rsidRPr="006E437B">
        <w:rPr>
          <w:rFonts w:ascii="Times New Roman" w:hAnsi="Times New Roman" w:cs="Times New Roman"/>
          <w:sz w:val="24"/>
          <w:szCs w:val="24"/>
          <w:u w:val="single" w:color="000000"/>
        </w:rPr>
        <w:t xml:space="preserve"> </w:t>
      </w:r>
      <w:r w:rsidRPr="006E437B">
        <w:rPr>
          <w:rFonts w:ascii="Times New Roman" w:hAnsi="Times New Roman" w:cs="Times New Roman"/>
          <w:sz w:val="24"/>
          <w:szCs w:val="24"/>
          <w:u w:val="single" w:color="000000"/>
        </w:rPr>
        <w:tab/>
      </w:r>
      <w:r w:rsidRPr="006E437B">
        <w:rPr>
          <w:rFonts w:ascii="Times New Roman" w:hAnsi="Times New Roman" w:cs="Times New Roman"/>
          <w:sz w:val="24"/>
          <w:szCs w:val="24"/>
        </w:rPr>
        <w:t xml:space="preserve"> del año dos mil veintiséis.</w:t>
      </w:r>
      <w:bookmarkEnd w:id="11"/>
    </w:p>
    <w:p w:rsidR="00423D4A" w:rsidRPr="006E437B" w:rsidRDefault="00423D4A" w:rsidP="00141629">
      <w:pPr>
        <w:pStyle w:val="Sinespaciado"/>
        <w:jc w:val="both"/>
        <w:rPr>
          <w:rFonts w:ascii="Times New Roman" w:hAnsi="Times New Roman" w:cs="Times New Roman"/>
          <w:sz w:val="24"/>
          <w:szCs w:val="24"/>
        </w:rPr>
      </w:pPr>
    </w:p>
    <w:p w:rsidR="00423D4A" w:rsidRPr="006E437B" w:rsidRDefault="00423D4A"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423D4A" w:rsidRPr="006E437B" w:rsidRDefault="00423D4A" w:rsidP="00141629">
      <w:pPr>
        <w:pStyle w:val="Sinespaciado"/>
        <w:jc w:val="both"/>
        <w:rPr>
          <w:rFonts w:ascii="Times New Roman" w:eastAsia="Times New Roman" w:hAnsi="Times New Roman" w:cs="Times New Roman"/>
          <w:sz w:val="24"/>
          <w:szCs w:val="24"/>
          <w:lang w:eastAsia="es-419"/>
        </w:rPr>
      </w:pPr>
    </w:p>
    <w:p w:rsidR="00C05281" w:rsidRPr="006E437B" w:rsidRDefault="00C05281"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PRESIDENTE DIP. VLADIMIR HERNÁNDEZ VILLEGAS. Muchas gracias diputada.</w:t>
      </w:r>
    </w:p>
    <w:p w:rsidR="00C05281" w:rsidRPr="006E437B" w:rsidRDefault="00C05281"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ab/>
        <w:t>Se registra la Iniciativa y se remite a las Comisiones Legislativas de participación ciudadana y para el combate a la corrupción, para su estudio y dictamen.</w:t>
      </w:r>
    </w:p>
    <w:p w:rsidR="00C05281" w:rsidRPr="006E437B" w:rsidRDefault="00C05281"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ab/>
        <w:t>Sobre el punto 17</w:t>
      </w:r>
      <w:r w:rsidR="00487131"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la diputada Ruth Salinas Reyes</w:t>
      </w:r>
      <w:r w:rsidR="00487131"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leerá la Iniciativa con Proyecto de Decreto </w:t>
      </w:r>
      <w:r w:rsidR="00F603A8"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Ley Anti Grietas</w:t>
      </w:r>
      <w:r w:rsidR="00283E69"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que reforma y adiciona diversas disposiciones de la Ley de Agua para el Estado de México y Municipios en materia de establecer</w:t>
      </w:r>
      <w:r w:rsidR="00283E69"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vigilar y mitigar el riesgo por hundimientos del terreno</w:t>
      </w:r>
      <w:r w:rsidR="00283E69"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presentada por el Grupo Parlamentario de Movimiento Ciudadano, adelante diputada.</w:t>
      </w:r>
    </w:p>
    <w:p w:rsidR="00283E69" w:rsidRPr="006E437B" w:rsidRDefault="00C0528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DIPUTADA RUTH SALINAS REYES. Muchas gracias </w:t>
      </w:r>
      <w:r w:rsidR="00283E69" w:rsidRPr="006E437B">
        <w:rPr>
          <w:rFonts w:ascii="Times New Roman" w:hAnsi="Times New Roman" w:cs="Times New Roman"/>
          <w:sz w:val="24"/>
          <w:szCs w:val="24"/>
        </w:rPr>
        <w:t>Presidente.</w:t>
      </w:r>
    </w:p>
    <w:p w:rsidR="00830D11" w:rsidRPr="006E437B" w:rsidRDefault="00283E69"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Con </w:t>
      </w:r>
      <w:r w:rsidR="00C05281" w:rsidRPr="006E437B">
        <w:rPr>
          <w:rFonts w:ascii="Times New Roman" w:hAnsi="Times New Roman" w:cs="Times New Roman"/>
          <w:sz w:val="24"/>
          <w:szCs w:val="24"/>
        </w:rPr>
        <w:t>su permiso</w:t>
      </w:r>
      <w:r w:rsidR="00830D11" w:rsidRPr="006E437B">
        <w:rPr>
          <w:rFonts w:ascii="Times New Roman" w:hAnsi="Times New Roman" w:cs="Times New Roman"/>
          <w:sz w:val="24"/>
          <w:szCs w:val="24"/>
        </w:rPr>
        <w:t>,</w:t>
      </w:r>
      <w:r w:rsidR="00C05281" w:rsidRPr="006E437B">
        <w:rPr>
          <w:rFonts w:ascii="Times New Roman" w:hAnsi="Times New Roman" w:cs="Times New Roman"/>
          <w:sz w:val="24"/>
          <w:szCs w:val="24"/>
        </w:rPr>
        <w:t xml:space="preserve"> el del </w:t>
      </w:r>
      <w:r w:rsidR="00830D11" w:rsidRPr="006E437B">
        <w:rPr>
          <w:rFonts w:ascii="Times New Roman" w:hAnsi="Times New Roman" w:cs="Times New Roman"/>
          <w:sz w:val="24"/>
          <w:szCs w:val="24"/>
        </w:rPr>
        <w:t>Asamblea</w:t>
      </w:r>
      <w:r w:rsidR="00C05281" w:rsidRPr="006E437B">
        <w:rPr>
          <w:rFonts w:ascii="Times New Roman" w:hAnsi="Times New Roman" w:cs="Times New Roman"/>
          <w:sz w:val="24"/>
          <w:szCs w:val="24"/>
        </w:rPr>
        <w:t>, ciudadanas y ciudadanos.</w:t>
      </w:r>
    </w:p>
    <w:p w:rsidR="00C05281" w:rsidRPr="006E437B" w:rsidRDefault="00C0528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Solicito se me pueda apoyar con un video para ilustrar esta exposición </w:t>
      </w:r>
      <w:r w:rsidR="00830D11" w:rsidRPr="006E437B">
        <w:rPr>
          <w:rFonts w:ascii="Times New Roman" w:hAnsi="Times New Roman" w:cs="Times New Roman"/>
          <w:sz w:val="24"/>
          <w:szCs w:val="24"/>
        </w:rPr>
        <w:t>Presidente</w:t>
      </w:r>
      <w:r w:rsidRPr="006E437B">
        <w:rPr>
          <w:rFonts w:ascii="Times New Roman" w:hAnsi="Times New Roman" w:cs="Times New Roman"/>
          <w:sz w:val="24"/>
          <w:szCs w:val="24"/>
        </w:rPr>
        <w:t>.</w:t>
      </w:r>
    </w:p>
    <w:p w:rsidR="00C05281" w:rsidRPr="006E437B" w:rsidRDefault="00C05281"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PRESIDENTE DIP. VLADIMIR HERNÁNDEZ VILLEGAS. Claro que sí, nos apoyan por favor para proyectar el video.</w:t>
      </w:r>
    </w:p>
    <w:p w:rsidR="00045443" w:rsidRPr="006E437B" w:rsidRDefault="00045443"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(Se reproduce video)</w:t>
      </w:r>
    </w:p>
    <w:p w:rsidR="00C05281" w:rsidRPr="006E437B" w:rsidRDefault="00C05281"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w:t>
      </w:r>
      <w:r w:rsidR="00AA4216" w:rsidRPr="006E437B">
        <w:rPr>
          <w:rFonts w:ascii="Times New Roman" w:hAnsi="Times New Roman" w:cs="Times New Roman"/>
          <w:sz w:val="24"/>
          <w:szCs w:val="24"/>
        </w:rPr>
        <w:t>.</w:t>
      </w:r>
      <w:r w:rsidRPr="006E437B">
        <w:rPr>
          <w:rFonts w:ascii="Times New Roman" w:hAnsi="Times New Roman" w:cs="Times New Roman"/>
          <w:sz w:val="24"/>
          <w:szCs w:val="24"/>
        </w:rPr>
        <w:t xml:space="preserve"> RUTH SALINAS REYES. Muchas gracias.</w:t>
      </w:r>
    </w:p>
    <w:p w:rsidR="007670FA" w:rsidRPr="006E437B" w:rsidRDefault="00C05281"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ab/>
        <w:t>Como acaban de ver en este video</w:t>
      </w:r>
      <w:r w:rsidR="00830D11"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Toluca se hunde, hay familias aquí</w:t>
      </w:r>
      <w:r w:rsidR="00830D11"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en nuestra Capital del Estado que se ha acuestan escuchando c</w:t>
      </w:r>
      <w:r w:rsidR="00830D11" w:rsidRPr="006E437B">
        <w:rPr>
          <w:rFonts w:ascii="Times New Roman" w:hAnsi="Times New Roman" w:cs="Times New Roman"/>
          <w:kern w:val="2"/>
          <w:sz w:val="24"/>
          <w:szCs w:val="24"/>
        </w:rPr>
        <w:t>ó</w:t>
      </w:r>
      <w:r w:rsidRPr="006E437B">
        <w:rPr>
          <w:rFonts w:ascii="Times New Roman" w:hAnsi="Times New Roman" w:cs="Times New Roman"/>
          <w:kern w:val="2"/>
          <w:sz w:val="24"/>
          <w:szCs w:val="24"/>
        </w:rPr>
        <w:t>mo se abre su casa, como cruje y no es una metáfora, es una grieta que crece en el muro, una puerta que dejo de cerrar</w:t>
      </w:r>
      <w:r w:rsidR="007670FA"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un piso que se hunde unos milímetros cada mes, cuando esas familias piden una explicación</w:t>
      </w:r>
      <w:r w:rsidR="007670FA"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la respuesta que reciben con frecuencia es que se desconocen las causas</w:t>
      </w:r>
      <w:r w:rsidR="007670FA"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que quizá sea la humedad, que quizá sea la antigüedad de la construcción, que quizá sea un simple reacomodo de terreno con datos oficiales en la mano</w:t>
      </w:r>
      <w:r w:rsidR="007670FA"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afirmo que eso no es así, el fenómeno tiene nombre es el hundimiento del terreno, lo que técnicamente se le conoce como subsidencia y est</w:t>
      </w:r>
      <w:r w:rsidR="007670FA" w:rsidRPr="006E437B">
        <w:rPr>
          <w:rFonts w:ascii="Times New Roman" w:hAnsi="Times New Roman" w:cs="Times New Roman"/>
          <w:kern w:val="2"/>
          <w:sz w:val="24"/>
          <w:szCs w:val="24"/>
        </w:rPr>
        <w:t>á</w:t>
      </w:r>
      <w:r w:rsidRPr="006E437B">
        <w:rPr>
          <w:rFonts w:ascii="Times New Roman" w:hAnsi="Times New Roman" w:cs="Times New Roman"/>
          <w:kern w:val="2"/>
          <w:sz w:val="24"/>
          <w:szCs w:val="24"/>
        </w:rPr>
        <w:t xml:space="preserve"> medido</w:t>
      </w:r>
      <w:r w:rsidR="007670FA" w:rsidRPr="006E437B">
        <w:rPr>
          <w:rFonts w:ascii="Times New Roman" w:hAnsi="Times New Roman" w:cs="Times New Roman"/>
          <w:kern w:val="2"/>
          <w:sz w:val="24"/>
          <w:szCs w:val="24"/>
        </w:rPr>
        <w:t>.</w:t>
      </w:r>
    </w:p>
    <w:p w:rsidR="00866193" w:rsidRPr="006E437B" w:rsidRDefault="007670FA" w:rsidP="00141629">
      <w:pPr>
        <w:pStyle w:val="Sinespaciado"/>
        <w:ind w:firstLine="708"/>
        <w:jc w:val="both"/>
        <w:rPr>
          <w:rFonts w:ascii="Times New Roman" w:hAnsi="Times New Roman" w:cs="Times New Roman"/>
          <w:kern w:val="2"/>
          <w:sz w:val="24"/>
          <w:szCs w:val="24"/>
        </w:rPr>
      </w:pPr>
      <w:r w:rsidRPr="006E437B">
        <w:rPr>
          <w:rFonts w:ascii="Times New Roman" w:hAnsi="Times New Roman" w:cs="Times New Roman"/>
          <w:kern w:val="2"/>
          <w:sz w:val="24"/>
          <w:szCs w:val="24"/>
        </w:rPr>
        <w:t xml:space="preserve">En </w:t>
      </w:r>
      <w:r w:rsidR="00C05281" w:rsidRPr="006E437B">
        <w:rPr>
          <w:rFonts w:ascii="Times New Roman" w:hAnsi="Times New Roman" w:cs="Times New Roman"/>
          <w:kern w:val="2"/>
          <w:sz w:val="24"/>
          <w:szCs w:val="24"/>
        </w:rPr>
        <w:t>Toluca el Atlas Municipal de Riegos 2025-2027</w:t>
      </w:r>
      <w:r w:rsidR="009F635E" w:rsidRPr="006E437B">
        <w:rPr>
          <w:rFonts w:ascii="Times New Roman" w:hAnsi="Times New Roman" w:cs="Times New Roman"/>
          <w:kern w:val="2"/>
          <w:sz w:val="24"/>
          <w:szCs w:val="24"/>
        </w:rPr>
        <w:t>,</w:t>
      </w:r>
      <w:r w:rsidR="00C05281" w:rsidRPr="006E437B">
        <w:rPr>
          <w:rFonts w:ascii="Times New Roman" w:hAnsi="Times New Roman" w:cs="Times New Roman"/>
          <w:kern w:val="2"/>
          <w:sz w:val="24"/>
          <w:szCs w:val="24"/>
        </w:rPr>
        <w:t xml:space="preserve"> registra 22 zonas de </w:t>
      </w:r>
      <w:r w:rsidR="008B1FBE" w:rsidRPr="006E437B">
        <w:rPr>
          <w:rFonts w:ascii="Times New Roman" w:hAnsi="Times New Roman" w:cs="Times New Roman"/>
          <w:kern w:val="2"/>
          <w:sz w:val="24"/>
          <w:szCs w:val="24"/>
        </w:rPr>
        <w:t>fracturamiento</w:t>
      </w:r>
      <w:r w:rsidR="00C05281" w:rsidRPr="006E437B">
        <w:rPr>
          <w:rFonts w:ascii="Times New Roman" w:hAnsi="Times New Roman" w:cs="Times New Roman"/>
          <w:kern w:val="2"/>
          <w:sz w:val="24"/>
          <w:szCs w:val="24"/>
        </w:rPr>
        <w:t xml:space="preserve"> del suelo y aquí quiero detenerme</w:t>
      </w:r>
      <w:r w:rsidR="009F635E" w:rsidRPr="006E437B">
        <w:rPr>
          <w:rFonts w:ascii="Times New Roman" w:hAnsi="Times New Roman" w:cs="Times New Roman"/>
          <w:kern w:val="2"/>
          <w:sz w:val="24"/>
          <w:szCs w:val="24"/>
        </w:rPr>
        <w:t>,</w:t>
      </w:r>
      <w:r w:rsidR="00C05281" w:rsidRPr="006E437B">
        <w:rPr>
          <w:rFonts w:ascii="Times New Roman" w:hAnsi="Times New Roman" w:cs="Times New Roman"/>
          <w:kern w:val="2"/>
          <w:sz w:val="24"/>
          <w:szCs w:val="24"/>
        </w:rPr>
        <w:t xml:space="preserve"> porque esto no </w:t>
      </w:r>
      <w:r w:rsidR="009F635E" w:rsidRPr="006E437B">
        <w:rPr>
          <w:rFonts w:ascii="Times New Roman" w:hAnsi="Times New Roman" w:cs="Times New Roman"/>
          <w:kern w:val="2"/>
          <w:sz w:val="24"/>
          <w:szCs w:val="24"/>
        </w:rPr>
        <w:t>está</w:t>
      </w:r>
      <w:r w:rsidR="00C05281" w:rsidRPr="006E437B">
        <w:rPr>
          <w:rFonts w:ascii="Times New Roman" w:hAnsi="Times New Roman" w:cs="Times New Roman"/>
          <w:kern w:val="2"/>
          <w:sz w:val="24"/>
          <w:szCs w:val="24"/>
        </w:rPr>
        <w:t xml:space="preserve"> pasando</w:t>
      </w:r>
      <w:r w:rsidR="0003117F" w:rsidRPr="006E437B">
        <w:rPr>
          <w:rFonts w:ascii="Times New Roman" w:hAnsi="Times New Roman" w:cs="Times New Roman"/>
          <w:kern w:val="2"/>
          <w:sz w:val="24"/>
          <w:szCs w:val="24"/>
        </w:rPr>
        <w:t xml:space="preserve"> en un lugar le</w:t>
      </w:r>
      <w:r w:rsidR="008B1FBE" w:rsidRPr="006E437B">
        <w:rPr>
          <w:rFonts w:ascii="Times New Roman" w:hAnsi="Times New Roman" w:cs="Times New Roman"/>
          <w:kern w:val="2"/>
          <w:sz w:val="24"/>
          <w:szCs w:val="24"/>
        </w:rPr>
        <w:t>jano,</w:t>
      </w:r>
      <w:r w:rsidR="00C05281" w:rsidRPr="006E437B">
        <w:rPr>
          <w:rFonts w:ascii="Times New Roman" w:hAnsi="Times New Roman" w:cs="Times New Roman"/>
          <w:kern w:val="2"/>
          <w:sz w:val="24"/>
          <w:szCs w:val="24"/>
        </w:rPr>
        <w:t xml:space="preserve"> </w:t>
      </w:r>
      <w:r w:rsidR="00866193" w:rsidRPr="006E437B">
        <w:rPr>
          <w:rFonts w:ascii="Times New Roman" w:hAnsi="Times New Roman" w:cs="Times New Roman"/>
          <w:sz w:val="24"/>
          <w:szCs w:val="24"/>
        </w:rPr>
        <w:t xml:space="preserve">ni en un municipio del que sólo hablamos en los informes, lo estamos sufriendo en la propia </w:t>
      </w:r>
      <w:r w:rsidR="009F635E" w:rsidRPr="006E437B">
        <w:rPr>
          <w:rFonts w:ascii="Times New Roman" w:hAnsi="Times New Roman" w:cs="Times New Roman"/>
          <w:sz w:val="24"/>
          <w:szCs w:val="24"/>
        </w:rPr>
        <w:t xml:space="preserve">Capital </w:t>
      </w:r>
      <w:r w:rsidR="00866193" w:rsidRPr="006E437B">
        <w:rPr>
          <w:rFonts w:ascii="Times New Roman" w:hAnsi="Times New Roman" w:cs="Times New Roman"/>
          <w:sz w:val="24"/>
          <w:szCs w:val="24"/>
        </w:rPr>
        <w:t>del Estado de México, a unas cuadras de este Recinto y por donde muchas y muchos de ustedes, transitan al llegar aquí.</w:t>
      </w:r>
    </w:p>
    <w:p w:rsidR="00866193" w:rsidRPr="006E437B" w:rsidRDefault="0086619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En la calle Humboldt en el </w:t>
      </w:r>
      <w:r w:rsidR="009F635E" w:rsidRPr="006E437B">
        <w:rPr>
          <w:rFonts w:ascii="Times New Roman" w:hAnsi="Times New Roman" w:cs="Times New Roman"/>
          <w:sz w:val="24"/>
          <w:szCs w:val="24"/>
        </w:rPr>
        <w:t xml:space="preserve">Centro </w:t>
      </w:r>
      <w:r w:rsidRPr="006E437B">
        <w:rPr>
          <w:rFonts w:ascii="Times New Roman" w:hAnsi="Times New Roman" w:cs="Times New Roman"/>
          <w:sz w:val="24"/>
          <w:szCs w:val="24"/>
        </w:rPr>
        <w:t xml:space="preserve">de Toluca, hay familias que llevan meses </w:t>
      </w:r>
      <w:r w:rsidR="00B52560" w:rsidRPr="006E437B">
        <w:rPr>
          <w:rFonts w:ascii="Times New Roman" w:hAnsi="Times New Roman" w:cs="Times New Roman"/>
          <w:sz w:val="24"/>
          <w:szCs w:val="24"/>
        </w:rPr>
        <w:t xml:space="preserve">saliendo </w:t>
      </w:r>
      <w:r w:rsidRPr="006E437B">
        <w:rPr>
          <w:rFonts w:ascii="Times New Roman" w:hAnsi="Times New Roman" w:cs="Times New Roman"/>
          <w:sz w:val="24"/>
          <w:szCs w:val="24"/>
        </w:rPr>
        <w:t>a detener maquinaria, no es por capricho, es una de esas viviendas donde una fisura detectada en enero, se convirtió en más de 50 grietas para agosto</w:t>
      </w:r>
      <w:r w:rsidR="00B52560" w:rsidRPr="006E437B">
        <w:rPr>
          <w:rFonts w:ascii="Times New Roman" w:hAnsi="Times New Roman" w:cs="Times New Roman"/>
          <w:sz w:val="24"/>
          <w:szCs w:val="24"/>
        </w:rPr>
        <w:t xml:space="preserve">. En </w:t>
      </w:r>
      <w:r w:rsidRPr="006E437B">
        <w:rPr>
          <w:rFonts w:ascii="Times New Roman" w:hAnsi="Times New Roman" w:cs="Times New Roman"/>
          <w:sz w:val="24"/>
          <w:szCs w:val="24"/>
        </w:rPr>
        <w:t xml:space="preserve">otra casa sobre Hidalgo, la fachada empezó a separarse de los muros y hoy se inclina hacía la vía pública, los propios vecinos han señalado que en la zona ya hubo casas que tuvieron que ser demolidas por las condiciones en que quedaron y demoler una casa compañeras y compañeros, no es un trámite, las cotizaciones del sector de la construcción, ubican la demolición de una vivienda entre mil y mil 500 pesos por metro cuadrado, sin contar con la licencia municipal </w:t>
      </w:r>
      <w:r w:rsidR="00B52560" w:rsidRPr="006E437B">
        <w:rPr>
          <w:rFonts w:ascii="Times New Roman" w:hAnsi="Times New Roman" w:cs="Times New Roman"/>
          <w:sz w:val="24"/>
          <w:szCs w:val="24"/>
        </w:rPr>
        <w:t>de</w:t>
      </w:r>
      <w:r w:rsidRPr="006E437B">
        <w:rPr>
          <w:rFonts w:ascii="Times New Roman" w:hAnsi="Times New Roman" w:cs="Times New Roman"/>
          <w:sz w:val="24"/>
          <w:szCs w:val="24"/>
        </w:rPr>
        <w:t xml:space="preserve"> demolición, el retiro de escombro y el acarreo. Para una casa de 100 metros cuadrados, esto significa entre 100 y 150 mil pesos, 100 mil pesos para quedarse sin nada y después viene lo verdaderamente impagable, volver a construir, la familia pierde el patrimonio de toda su vida y en encima, tiene que pagar por perderlo y ya sabemos cómo termina esta historia, porque ya ocurrió aquí en Toluca.</w:t>
      </w:r>
    </w:p>
    <w:p w:rsidR="00866193" w:rsidRPr="006E437B" w:rsidRDefault="0086619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El 2 de septiembre de 2022, en la esquina de León </w:t>
      </w:r>
      <w:r w:rsidR="00146861" w:rsidRPr="006E437B">
        <w:rPr>
          <w:rFonts w:ascii="Times New Roman" w:hAnsi="Times New Roman" w:cs="Times New Roman"/>
          <w:sz w:val="24"/>
          <w:szCs w:val="24"/>
        </w:rPr>
        <w:t>G</w:t>
      </w:r>
      <w:r w:rsidRPr="006E437B">
        <w:rPr>
          <w:rFonts w:ascii="Times New Roman" w:hAnsi="Times New Roman" w:cs="Times New Roman"/>
          <w:sz w:val="24"/>
          <w:szCs w:val="24"/>
        </w:rPr>
        <w:t>uzmán y Humboldt, la parte superior de la fachada de una casona antigua y abandonada</w:t>
      </w:r>
      <w:r w:rsidR="003B28C6" w:rsidRPr="006E437B">
        <w:rPr>
          <w:rFonts w:ascii="Times New Roman" w:hAnsi="Times New Roman" w:cs="Times New Roman"/>
          <w:sz w:val="24"/>
          <w:szCs w:val="24"/>
        </w:rPr>
        <w:t>,</w:t>
      </w:r>
      <w:r w:rsidRPr="006E437B">
        <w:rPr>
          <w:rFonts w:ascii="Times New Roman" w:hAnsi="Times New Roman" w:cs="Times New Roman"/>
          <w:sz w:val="24"/>
          <w:szCs w:val="24"/>
        </w:rPr>
        <w:t xml:space="preserve"> se desprendió y cayó sobre un puesto de comida</w:t>
      </w:r>
      <w:r w:rsidR="003B28C6" w:rsidRPr="006E437B">
        <w:rPr>
          <w:rFonts w:ascii="Times New Roman" w:hAnsi="Times New Roman" w:cs="Times New Roman"/>
          <w:sz w:val="24"/>
          <w:szCs w:val="24"/>
        </w:rPr>
        <w:t xml:space="preserve">. </w:t>
      </w:r>
      <w:r w:rsidRPr="006E437B">
        <w:rPr>
          <w:rFonts w:ascii="Times New Roman" w:hAnsi="Times New Roman" w:cs="Times New Roman"/>
          <w:sz w:val="24"/>
          <w:szCs w:val="24"/>
        </w:rPr>
        <w:t xml:space="preserve">Rogelio, un joven de 23 años murió aplastado mientras desayunaba, esperaba a sus padres que estaban en el IMSS a una cuadra de ahí, los vecinos, ya habían advertido de que </w:t>
      </w:r>
      <w:r w:rsidR="00386959" w:rsidRPr="006E437B">
        <w:rPr>
          <w:rFonts w:ascii="Times New Roman" w:hAnsi="Times New Roman" w:cs="Times New Roman"/>
          <w:sz w:val="24"/>
          <w:szCs w:val="24"/>
        </w:rPr>
        <w:t>ese</w:t>
      </w:r>
      <w:r w:rsidRPr="006E437B">
        <w:rPr>
          <w:rFonts w:ascii="Times New Roman" w:hAnsi="Times New Roman" w:cs="Times New Roman"/>
          <w:sz w:val="24"/>
          <w:szCs w:val="24"/>
        </w:rPr>
        <w:t xml:space="preserve"> </w:t>
      </w:r>
      <w:r w:rsidR="00386959" w:rsidRPr="006E437B">
        <w:rPr>
          <w:rFonts w:ascii="Times New Roman" w:hAnsi="Times New Roman" w:cs="Times New Roman"/>
          <w:sz w:val="24"/>
          <w:szCs w:val="24"/>
        </w:rPr>
        <w:t>in</w:t>
      </w:r>
      <w:r w:rsidRPr="006E437B">
        <w:rPr>
          <w:rFonts w:ascii="Times New Roman" w:hAnsi="Times New Roman" w:cs="Times New Roman"/>
          <w:sz w:val="24"/>
          <w:szCs w:val="24"/>
        </w:rPr>
        <w:t xml:space="preserve">muebles se desprendían pedazos de pared, nadie actúo, hasta que hubo un muerto, es la misma calle, la misma calle donde hay familias que piden estudios antes de que pase una </w:t>
      </w:r>
      <w:r w:rsidR="00386959" w:rsidRPr="006E437B">
        <w:rPr>
          <w:rFonts w:ascii="Times New Roman" w:hAnsi="Times New Roman" w:cs="Times New Roman"/>
          <w:sz w:val="24"/>
          <w:szCs w:val="24"/>
        </w:rPr>
        <w:t>máquina</w:t>
      </w:r>
      <w:r w:rsidRPr="006E437B">
        <w:rPr>
          <w:rFonts w:ascii="Times New Roman" w:hAnsi="Times New Roman" w:cs="Times New Roman"/>
          <w:sz w:val="24"/>
          <w:szCs w:val="24"/>
        </w:rPr>
        <w:t xml:space="preserve"> y está en el corazón de nuestro Estado de México.</w:t>
      </w:r>
    </w:p>
    <w:p w:rsidR="00866193" w:rsidRPr="006E437B" w:rsidRDefault="0086619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Cuando un fenómeno, está medido por el INEGI, reconocido por la </w:t>
      </w:r>
      <w:r w:rsidR="00386959" w:rsidRPr="006E437B">
        <w:rPr>
          <w:rFonts w:ascii="Times New Roman" w:hAnsi="Times New Roman" w:cs="Times New Roman"/>
          <w:sz w:val="24"/>
          <w:szCs w:val="24"/>
        </w:rPr>
        <w:t>CONAGUA</w:t>
      </w:r>
      <w:r w:rsidRPr="006E437B">
        <w:rPr>
          <w:rFonts w:ascii="Times New Roman" w:hAnsi="Times New Roman" w:cs="Times New Roman"/>
          <w:sz w:val="24"/>
          <w:szCs w:val="24"/>
        </w:rPr>
        <w:t>, cartografiado por la academia y registrado en una atlas municipal, ya no es posible seguir sosteniendo, que no sabemos qué está pasando, lo que falta, no es información, lo que falta es obligación legal y responsabilidad claramente asignada y es que hoy</w:t>
      </w:r>
      <w:r w:rsidR="005B1F25" w:rsidRPr="006E437B">
        <w:rPr>
          <w:rFonts w:ascii="Times New Roman" w:hAnsi="Times New Roman" w:cs="Times New Roman"/>
          <w:sz w:val="24"/>
          <w:szCs w:val="24"/>
        </w:rPr>
        <w:t>,</w:t>
      </w:r>
      <w:r w:rsidRPr="006E437B">
        <w:rPr>
          <w:rFonts w:ascii="Times New Roman" w:hAnsi="Times New Roman" w:cs="Times New Roman"/>
          <w:sz w:val="24"/>
          <w:szCs w:val="24"/>
        </w:rPr>
        <w:t xml:space="preserve"> en el marco vigente del Estado de México, ninguna autoridad estatal está obligada a medir hundimientos del terreno, ninguno está obligada a cartografiarlo, ningun</w:t>
      </w:r>
      <w:r w:rsidR="005B1F25" w:rsidRPr="006E437B">
        <w:rPr>
          <w:rFonts w:ascii="Times New Roman" w:hAnsi="Times New Roman" w:cs="Times New Roman"/>
          <w:sz w:val="24"/>
          <w:szCs w:val="24"/>
        </w:rPr>
        <w:t>a</w:t>
      </w:r>
      <w:r w:rsidRPr="006E437B">
        <w:rPr>
          <w:rFonts w:ascii="Times New Roman" w:hAnsi="Times New Roman" w:cs="Times New Roman"/>
          <w:sz w:val="24"/>
          <w:szCs w:val="24"/>
        </w:rPr>
        <w:t xml:space="preserve"> está obligada a informarlo y ninguna está obligada a considerarlo antes de autorizar un aprovechamiento de agua o un desarrollo habitacional, ese vacío es precisamente el que hace posible en los hechos que se sostenga el desconocimiento de las causas y falta algo más, que es lo primero que preguntan las familias cuando su casa se abre, falta que la ley especifique cuál es el grado de responsabilidad del Estado y de los municipios.</w:t>
      </w:r>
    </w:p>
    <w:p w:rsidR="00344BDE" w:rsidRPr="006E437B" w:rsidRDefault="00866193"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Hoy</w:t>
      </w:r>
      <w:r w:rsidR="005B1F25" w:rsidRPr="006E437B">
        <w:rPr>
          <w:rFonts w:ascii="Times New Roman" w:hAnsi="Times New Roman" w:cs="Times New Roman"/>
          <w:sz w:val="24"/>
          <w:szCs w:val="24"/>
        </w:rPr>
        <w:t>,</w:t>
      </w:r>
      <w:r w:rsidRPr="006E437B">
        <w:rPr>
          <w:rFonts w:ascii="Times New Roman" w:hAnsi="Times New Roman" w:cs="Times New Roman"/>
          <w:sz w:val="24"/>
          <w:szCs w:val="24"/>
        </w:rPr>
        <w:t xml:space="preserve"> nadie sabe a </w:t>
      </w:r>
      <w:r w:rsidR="005B1F25" w:rsidRPr="006E437B">
        <w:rPr>
          <w:rFonts w:ascii="Times New Roman" w:hAnsi="Times New Roman" w:cs="Times New Roman"/>
          <w:sz w:val="24"/>
          <w:szCs w:val="24"/>
        </w:rPr>
        <w:t>quién</w:t>
      </w:r>
      <w:r w:rsidRPr="006E437B">
        <w:rPr>
          <w:rFonts w:ascii="Times New Roman" w:hAnsi="Times New Roman" w:cs="Times New Roman"/>
          <w:sz w:val="24"/>
          <w:szCs w:val="24"/>
        </w:rPr>
        <w:t xml:space="preserve"> reclamar, el municipio contesta que el pozo es estatal o federal, la autoridades estatal contesta que la obra es municipal, el organismo operador contesta que solamente distribuye el agua y la familia se queda con el dictamen en la mano y sin nadie a quien exigirle, mientras la ley no diga con claridad, quién mide, quién autoriza, quién vigila, quién repara y hasta dónde responde cada orden de Gobierno, la responsabilidad va a seguir siendo de nadie y el costo va a seguir siendo </w:t>
      </w:r>
      <w:r w:rsidR="00A83710" w:rsidRPr="006E437B">
        <w:rPr>
          <w:rFonts w:ascii="Times New Roman" w:hAnsi="Times New Roman" w:cs="Times New Roman"/>
          <w:sz w:val="24"/>
          <w:szCs w:val="24"/>
        </w:rPr>
        <w:t>de las familias, de familias que se quedan sin nada</w:t>
      </w:r>
      <w:r w:rsidR="00344BDE" w:rsidRPr="006E437B">
        <w:rPr>
          <w:rFonts w:ascii="Times New Roman" w:hAnsi="Times New Roman" w:cs="Times New Roman"/>
          <w:sz w:val="24"/>
          <w:szCs w:val="24"/>
        </w:rPr>
        <w:t>.</w:t>
      </w:r>
    </w:p>
    <w:p w:rsidR="00AD5BC2" w:rsidRPr="006E437B" w:rsidRDefault="00344BD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Una </w:t>
      </w:r>
      <w:r w:rsidR="00A83710" w:rsidRPr="006E437B">
        <w:rPr>
          <w:rFonts w:ascii="Times New Roman" w:hAnsi="Times New Roman" w:cs="Times New Roman"/>
          <w:sz w:val="24"/>
          <w:szCs w:val="24"/>
        </w:rPr>
        <w:t>casa partida por una fractura estructural no cumple con ese estándar; po</w:t>
      </w:r>
      <w:r w:rsidRPr="006E437B">
        <w:rPr>
          <w:rFonts w:ascii="Times New Roman" w:hAnsi="Times New Roman" w:cs="Times New Roman"/>
          <w:sz w:val="24"/>
          <w:szCs w:val="24"/>
        </w:rPr>
        <w:t>r</w:t>
      </w:r>
      <w:r w:rsidR="00A83710" w:rsidRPr="006E437B">
        <w:rPr>
          <w:rFonts w:ascii="Times New Roman" w:hAnsi="Times New Roman" w:cs="Times New Roman"/>
          <w:sz w:val="24"/>
          <w:szCs w:val="24"/>
        </w:rPr>
        <w:t xml:space="preserve"> eso, hoy la Bancada de Movimiento Ciudadano propone, la Ley Anti Grietas, reformamos la Ley de Agua para el Estado de México y Municipios para </w:t>
      </w:r>
      <w:r w:rsidR="00AD5BC2" w:rsidRPr="006E437B">
        <w:rPr>
          <w:rFonts w:ascii="Times New Roman" w:hAnsi="Times New Roman" w:cs="Times New Roman"/>
          <w:sz w:val="24"/>
          <w:szCs w:val="24"/>
        </w:rPr>
        <w:t>5</w:t>
      </w:r>
      <w:r w:rsidR="00A83710" w:rsidRPr="006E437B">
        <w:rPr>
          <w:rFonts w:ascii="Times New Roman" w:hAnsi="Times New Roman" w:cs="Times New Roman"/>
          <w:sz w:val="24"/>
          <w:szCs w:val="24"/>
        </w:rPr>
        <w:t xml:space="preserve"> temas muy concretos</w:t>
      </w:r>
      <w:r w:rsidR="00AD5BC2" w:rsidRPr="006E437B">
        <w:rPr>
          <w:rFonts w:ascii="Times New Roman" w:hAnsi="Times New Roman" w:cs="Times New Roman"/>
          <w:sz w:val="24"/>
          <w:szCs w:val="24"/>
        </w:rPr>
        <w:t>:</w:t>
      </w:r>
    </w:p>
    <w:p w:rsidR="00AD5BC2" w:rsidRPr="006E437B" w:rsidRDefault="00AD5BC2"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Primero</w:t>
      </w:r>
      <w:r w:rsidR="00A83710" w:rsidRPr="006E437B">
        <w:rPr>
          <w:rFonts w:ascii="Times New Roman" w:hAnsi="Times New Roman" w:cs="Times New Roman"/>
          <w:sz w:val="24"/>
          <w:szCs w:val="24"/>
        </w:rPr>
        <w:t>, definir el hundimiento de terreno como concepto</w:t>
      </w:r>
      <w:r w:rsidRPr="006E437B">
        <w:rPr>
          <w:rFonts w:ascii="Times New Roman" w:hAnsi="Times New Roman" w:cs="Times New Roman"/>
          <w:sz w:val="24"/>
          <w:szCs w:val="24"/>
        </w:rPr>
        <w:t>.</w:t>
      </w:r>
    </w:p>
    <w:p w:rsidR="00A11B83" w:rsidRPr="006E437B" w:rsidRDefault="00AD5BC2"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Segundo</w:t>
      </w:r>
      <w:r w:rsidR="00A83710" w:rsidRPr="006E437B">
        <w:rPr>
          <w:rFonts w:ascii="Times New Roman" w:hAnsi="Times New Roman" w:cs="Times New Roman"/>
          <w:sz w:val="24"/>
          <w:szCs w:val="24"/>
        </w:rPr>
        <w:t>, habilitar la declaratoria de zonas de veda cuando el hundimiento del terreno ponga en riesgo a la población</w:t>
      </w:r>
      <w:r w:rsidRPr="006E437B">
        <w:rPr>
          <w:rFonts w:ascii="Times New Roman" w:hAnsi="Times New Roman" w:cs="Times New Roman"/>
          <w:sz w:val="24"/>
          <w:szCs w:val="24"/>
        </w:rPr>
        <w:t xml:space="preserve">, </w:t>
      </w:r>
      <w:r w:rsidR="00A83710" w:rsidRPr="006E437B">
        <w:rPr>
          <w:rFonts w:ascii="Times New Roman" w:hAnsi="Times New Roman" w:cs="Times New Roman"/>
          <w:sz w:val="24"/>
          <w:szCs w:val="24"/>
        </w:rPr>
        <w:t>Porqu</w:t>
      </w:r>
      <w:r w:rsidRPr="006E437B">
        <w:rPr>
          <w:rFonts w:ascii="Times New Roman" w:hAnsi="Times New Roman" w:cs="Times New Roman"/>
          <w:sz w:val="24"/>
          <w:szCs w:val="24"/>
        </w:rPr>
        <w:t>e</w:t>
      </w:r>
      <w:r w:rsidR="00A83710" w:rsidRPr="006E437B">
        <w:rPr>
          <w:rFonts w:ascii="Times New Roman" w:hAnsi="Times New Roman" w:cs="Times New Roman"/>
          <w:sz w:val="24"/>
          <w:szCs w:val="24"/>
        </w:rPr>
        <w:t xml:space="preserve"> es importante extraer agua</w:t>
      </w:r>
      <w:r w:rsidRPr="006E437B">
        <w:rPr>
          <w:rFonts w:ascii="Times New Roman" w:hAnsi="Times New Roman" w:cs="Times New Roman"/>
          <w:sz w:val="24"/>
          <w:szCs w:val="24"/>
        </w:rPr>
        <w:t>,</w:t>
      </w:r>
      <w:r w:rsidR="00A83710" w:rsidRPr="006E437B">
        <w:rPr>
          <w:rFonts w:ascii="Times New Roman" w:hAnsi="Times New Roman" w:cs="Times New Roman"/>
          <w:sz w:val="24"/>
          <w:szCs w:val="24"/>
        </w:rPr>
        <w:t xml:space="preserve"> </w:t>
      </w:r>
      <w:r w:rsidRPr="006E437B">
        <w:rPr>
          <w:rFonts w:ascii="Times New Roman" w:hAnsi="Times New Roman" w:cs="Times New Roman"/>
          <w:sz w:val="24"/>
          <w:szCs w:val="24"/>
        </w:rPr>
        <w:t xml:space="preserve">para </w:t>
      </w:r>
      <w:r w:rsidR="00A83710" w:rsidRPr="006E437B">
        <w:rPr>
          <w:rFonts w:ascii="Times New Roman" w:hAnsi="Times New Roman" w:cs="Times New Roman"/>
          <w:sz w:val="24"/>
          <w:szCs w:val="24"/>
        </w:rPr>
        <w:t>todas las necesidades</w:t>
      </w:r>
      <w:r w:rsidRPr="006E437B">
        <w:rPr>
          <w:rFonts w:ascii="Times New Roman" w:hAnsi="Times New Roman" w:cs="Times New Roman"/>
          <w:sz w:val="24"/>
          <w:szCs w:val="24"/>
        </w:rPr>
        <w:t>;</w:t>
      </w:r>
      <w:r w:rsidR="00A83710" w:rsidRPr="006E437B">
        <w:rPr>
          <w:rFonts w:ascii="Times New Roman" w:hAnsi="Times New Roman" w:cs="Times New Roman"/>
          <w:sz w:val="24"/>
          <w:szCs w:val="24"/>
        </w:rPr>
        <w:t xml:space="preserve"> pero se tiene que hacer con responsabilidad y sin poner en riesgo la subsistencia y sostenibilidad de la ciudad</w:t>
      </w:r>
      <w:r w:rsidR="00A11B83" w:rsidRPr="006E437B">
        <w:rPr>
          <w:rFonts w:ascii="Times New Roman" w:hAnsi="Times New Roman" w:cs="Times New Roman"/>
          <w:sz w:val="24"/>
          <w:szCs w:val="24"/>
        </w:rPr>
        <w:t>.</w:t>
      </w:r>
    </w:p>
    <w:p w:rsidR="00A11B83" w:rsidRPr="006E437B" w:rsidRDefault="00A11B83"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Tercero</w:t>
      </w:r>
      <w:r w:rsidR="00A83710" w:rsidRPr="006E437B">
        <w:rPr>
          <w:rFonts w:ascii="Times New Roman" w:hAnsi="Times New Roman" w:cs="Times New Roman"/>
          <w:sz w:val="24"/>
          <w:szCs w:val="24"/>
        </w:rPr>
        <w:t>, obligar a la Comisión del Agua del Estado de México</w:t>
      </w:r>
      <w:r w:rsidRPr="006E437B">
        <w:rPr>
          <w:rFonts w:ascii="Times New Roman" w:hAnsi="Times New Roman" w:cs="Times New Roman"/>
          <w:sz w:val="24"/>
          <w:szCs w:val="24"/>
        </w:rPr>
        <w:t>,</w:t>
      </w:r>
      <w:r w:rsidR="00A83710" w:rsidRPr="006E437B">
        <w:rPr>
          <w:rFonts w:ascii="Times New Roman" w:hAnsi="Times New Roman" w:cs="Times New Roman"/>
          <w:sz w:val="24"/>
          <w:szCs w:val="24"/>
        </w:rPr>
        <w:t xml:space="preserve"> a emitir el Atlas de Hundimiento de la Entidad y a participar en la elaboración del Atlas Estatal de Riesgos</w:t>
      </w:r>
      <w:r w:rsidRPr="006E437B">
        <w:rPr>
          <w:rFonts w:ascii="Times New Roman" w:hAnsi="Times New Roman" w:cs="Times New Roman"/>
          <w:sz w:val="24"/>
          <w:szCs w:val="24"/>
        </w:rPr>
        <w:t>.</w:t>
      </w:r>
    </w:p>
    <w:p w:rsidR="00A83710" w:rsidRPr="006E437B" w:rsidRDefault="00A11B83"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Cuarto</w:t>
      </w:r>
      <w:r w:rsidR="00A83710" w:rsidRPr="006E437B">
        <w:rPr>
          <w:rFonts w:ascii="Times New Roman" w:hAnsi="Times New Roman" w:cs="Times New Roman"/>
          <w:sz w:val="24"/>
          <w:szCs w:val="24"/>
        </w:rPr>
        <w:t>, mandatar la vigilancia permanente del fenómeno y la evaluación del nivel de riesgo en los centros de población asentados sobre acuíferos</w:t>
      </w:r>
      <w:r w:rsidRPr="006E437B">
        <w:rPr>
          <w:rFonts w:ascii="Times New Roman" w:hAnsi="Times New Roman" w:cs="Times New Roman"/>
          <w:sz w:val="24"/>
          <w:szCs w:val="24"/>
        </w:rPr>
        <w:t>,</w:t>
      </w:r>
      <w:r w:rsidR="00A83710" w:rsidRPr="006E437B">
        <w:rPr>
          <w:rFonts w:ascii="Times New Roman" w:hAnsi="Times New Roman" w:cs="Times New Roman"/>
          <w:sz w:val="24"/>
          <w:szCs w:val="24"/>
        </w:rPr>
        <w:t xml:space="preserve"> sobre explotados y quinto, establecer la coordinación obligatoria entre la </w:t>
      </w:r>
      <w:r w:rsidRPr="006E437B">
        <w:rPr>
          <w:rFonts w:ascii="Times New Roman" w:hAnsi="Times New Roman" w:cs="Times New Roman"/>
          <w:sz w:val="24"/>
          <w:szCs w:val="24"/>
        </w:rPr>
        <w:t>comisión</w:t>
      </w:r>
      <w:r w:rsidR="00A83710" w:rsidRPr="006E437B">
        <w:rPr>
          <w:rFonts w:ascii="Times New Roman" w:hAnsi="Times New Roman" w:cs="Times New Roman"/>
          <w:sz w:val="24"/>
          <w:szCs w:val="24"/>
        </w:rPr>
        <w:t>, los municipios y los organismos operadores para ejecutar las medidas de mitigación.</w:t>
      </w:r>
    </w:p>
    <w:p w:rsidR="00A83710"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Esta </w:t>
      </w:r>
      <w:r w:rsidR="003D1071" w:rsidRPr="006E437B">
        <w:rPr>
          <w:rFonts w:ascii="Times New Roman" w:hAnsi="Times New Roman" w:cs="Times New Roman"/>
          <w:sz w:val="24"/>
          <w:szCs w:val="24"/>
        </w:rPr>
        <w:t xml:space="preserve">Iniciativa </w:t>
      </w:r>
      <w:r w:rsidRPr="006E437B">
        <w:rPr>
          <w:rFonts w:ascii="Times New Roman" w:hAnsi="Times New Roman" w:cs="Times New Roman"/>
          <w:sz w:val="24"/>
          <w:szCs w:val="24"/>
        </w:rPr>
        <w:t>no acusa a nadie, ni pretende frenar el abasto de agua a las familias mexiquenses, pide algo más urgente, que el Estado sepa dónde se está hundiendo, que lo diga públicamente y que actúe en consecuencias, porque hoy, Toluca se hunde.</w:t>
      </w:r>
    </w:p>
    <w:p w:rsidR="00A83710"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 cuanto Presidente, gracias.</w:t>
      </w:r>
    </w:p>
    <w:p w:rsidR="00716A20" w:rsidRPr="006E437B" w:rsidRDefault="00716A20" w:rsidP="00141629">
      <w:pPr>
        <w:pStyle w:val="Sinespaciado"/>
        <w:jc w:val="both"/>
        <w:rPr>
          <w:rFonts w:ascii="Times New Roman" w:hAnsi="Times New Roman" w:cs="Times New Roman"/>
          <w:sz w:val="24"/>
          <w:szCs w:val="24"/>
        </w:rPr>
      </w:pPr>
    </w:p>
    <w:p w:rsidR="00716A20" w:rsidRPr="006E437B" w:rsidRDefault="00716A20"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716A20" w:rsidRPr="006E437B" w:rsidRDefault="00716A20" w:rsidP="00141629">
      <w:pPr>
        <w:pStyle w:val="Sinespaciado"/>
        <w:jc w:val="both"/>
        <w:rPr>
          <w:rFonts w:ascii="Times New Roman" w:hAnsi="Times New Roman" w:cs="Times New Roman"/>
          <w:sz w:val="24"/>
          <w:szCs w:val="24"/>
        </w:rPr>
      </w:pPr>
    </w:p>
    <w:p w:rsidR="008974B9" w:rsidRPr="006E437B" w:rsidRDefault="008974B9" w:rsidP="00290856">
      <w:pPr>
        <w:spacing w:after="0" w:line="240" w:lineRule="auto"/>
        <w:jc w:val="center"/>
        <w:rPr>
          <w:rFonts w:ascii="Times New Roman" w:hAnsi="Times New Roman" w:cs="Times New Roman"/>
          <w:b/>
          <w:sz w:val="24"/>
          <w:szCs w:val="24"/>
        </w:rPr>
      </w:pPr>
      <w:bookmarkStart w:id="12" w:name="_Hlk242197553"/>
      <w:r w:rsidRPr="006E437B">
        <w:rPr>
          <w:rFonts w:ascii="Times New Roman" w:hAnsi="Times New Roman" w:cs="Times New Roman"/>
          <w:b/>
          <w:sz w:val="24"/>
          <w:szCs w:val="24"/>
        </w:rPr>
        <w:t>Bancada Naranja</w:t>
      </w:r>
    </w:p>
    <w:p w:rsidR="008974B9" w:rsidRPr="006E437B" w:rsidRDefault="008974B9" w:rsidP="008974B9">
      <w:pPr>
        <w:spacing w:after="0" w:line="240" w:lineRule="auto"/>
        <w:jc w:val="right"/>
        <w:rPr>
          <w:rFonts w:ascii="Times New Roman" w:hAnsi="Times New Roman" w:cs="Times New Roman"/>
          <w:sz w:val="24"/>
          <w:szCs w:val="24"/>
        </w:rPr>
      </w:pPr>
    </w:p>
    <w:p w:rsidR="008974B9" w:rsidRPr="006E437B" w:rsidRDefault="008974B9" w:rsidP="008974B9">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 xml:space="preserve"> “2026. Año del Humanismo Mexicano en el Estado de México”</w:t>
      </w:r>
    </w:p>
    <w:p w:rsidR="008974B9" w:rsidRPr="006E437B" w:rsidRDefault="008974B9" w:rsidP="008974B9">
      <w:pPr>
        <w:spacing w:after="0" w:line="240" w:lineRule="auto"/>
        <w:jc w:val="center"/>
        <w:rPr>
          <w:rFonts w:ascii="Times New Roman" w:hAnsi="Times New Roman" w:cs="Times New Roman"/>
          <w:sz w:val="24"/>
          <w:szCs w:val="24"/>
        </w:rPr>
      </w:pPr>
    </w:p>
    <w:p w:rsidR="008974B9" w:rsidRPr="006E437B" w:rsidRDefault="008974B9" w:rsidP="00D23641">
      <w:pPr>
        <w:spacing w:after="0" w:line="240" w:lineRule="auto"/>
        <w:ind w:left="4254" w:hanging="143"/>
        <w:rPr>
          <w:rFonts w:ascii="Times New Roman" w:hAnsi="Times New Roman" w:cs="Times New Roman"/>
          <w:sz w:val="24"/>
          <w:szCs w:val="24"/>
        </w:rPr>
      </w:pPr>
      <w:r w:rsidRPr="006E437B">
        <w:rPr>
          <w:rFonts w:ascii="Times New Roman" w:hAnsi="Times New Roman" w:cs="Times New Roman"/>
          <w:sz w:val="24"/>
          <w:szCs w:val="24"/>
        </w:rPr>
        <w:t>Toluca de Lerdo, Estado de México 22 de septiembre,</w:t>
      </w:r>
    </w:p>
    <w:p w:rsidR="008974B9" w:rsidRPr="006E437B" w:rsidRDefault="008974B9" w:rsidP="008974B9">
      <w:pPr>
        <w:spacing w:after="0" w:line="240" w:lineRule="auto"/>
        <w:ind w:left="4254"/>
        <w:rPr>
          <w:rFonts w:ascii="Times New Roman" w:hAnsi="Times New Roman" w:cs="Times New Roman"/>
          <w:sz w:val="24"/>
          <w:szCs w:val="24"/>
        </w:rPr>
      </w:pPr>
      <w:r w:rsidRPr="006E437B">
        <w:rPr>
          <w:rFonts w:ascii="Times New Roman" w:hAnsi="Times New Roman" w:cs="Times New Roman"/>
          <w:sz w:val="24"/>
          <w:szCs w:val="24"/>
        </w:rPr>
        <w:t>2026.</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DIPUTADO VLADIMIR HERNÁNDEZ VILLEGAS </w:t>
      </w: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PRESIDENTE DE LA LXII LEGISLATURA </w:t>
      </w:r>
    </w:p>
    <w:p w:rsidR="008974B9" w:rsidRPr="006E437B" w:rsidRDefault="008974B9" w:rsidP="008974B9">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DEL ESTADO DE MÉXICO</w:t>
      </w:r>
      <w:r w:rsidRPr="006E437B">
        <w:rPr>
          <w:rFonts w:ascii="Times New Roman" w:hAnsi="Times New Roman" w:cs="Times New Roman"/>
          <w:sz w:val="24"/>
          <w:szCs w:val="24"/>
        </w:rPr>
        <w:t xml:space="preserve"> </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P R E S E N T E </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D23641">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Lilia Urbina Salazar, Juan Manuel Zepeda Hernández y Martín Zepeda Hernández integrantes del Grupo Parlamentario de Movimiento Ciudadano, sometemos a la consideración de esta Honorable Legislatura: </w:t>
      </w:r>
      <w:r w:rsidRPr="006E437B">
        <w:rPr>
          <w:rFonts w:ascii="Times New Roman" w:hAnsi="Times New Roman" w:cs="Times New Roman"/>
          <w:b/>
          <w:sz w:val="24"/>
          <w:szCs w:val="24"/>
        </w:rPr>
        <w:t>Iniciativa con Proyecto de Decreto “Ley Anti Grietas” que adiciona una fracción LXV. Bis. y reforma la fracción LXXX. del Artículo 6, reforma la fracción IV. del Artículo 15, reforma la fracción XXVII. y adiciona una fracción XXVIII. Bis al Artículo 18, adiciona una fracción XXVII. Bis. al Artículo 26 y adiciona un Artículo 95 Bis. a la Ley del Agua para el Estado de México y Municipios, en materia de establecer, vigilar y mitigar el riesgo por Subsidencia del terreno.</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u w:val="single" w:color="000000"/>
        </w:rPr>
        <w:t>EXPOSICIÓN DE MOTIVOS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D2364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Estado de México alberga dos de las zonas metropolitanas más grandes del país, asentadas sobre cuencas altas cuyos acuíferos registran, desde hace décadas, una extracción superior a su recarga natural. Este desequilibrio no se traduce únicamente en desabasto: genera también la deformación progresiva del subsuelo, la cual produce asentamientos diferenciales y, como consecuencia, el agrietamiento del terreno y de las construcciones desplantadas sobre él.</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D2364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fenómeno se encuentra medido en el territorio estatal. Conforme a los estudios de detección satelital del Instituto Nacional de Estadística y Geografía, en Nezahualcóyotl y Valle de Chalco Solidaridad los hundimientos alcanzan máximos superiores a 35 centímetros anuales; en Ecatepec de Morelos y Chimalhuacán rebasan los 25 centímetros; en Chalco y La Paz llegan a 20, y en Texcoco y Atenco se registran las magnitudes más altas de la entidad.</w:t>
      </w:r>
      <w:r w:rsidRPr="006E437B">
        <w:rPr>
          <w:rFonts w:ascii="Times New Roman" w:hAnsi="Times New Roman" w:cs="Times New Roman"/>
          <w:sz w:val="24"/>
          <w:szCs w:val="24"/>
          <w:vertAlign w:val="superscript"/>
        </w:rPr>
        <w:t>1</w:t>
      </w:r>
      <w:r w:rsidRPr="006E437B">
        <w:rPr>
          <w:rFonts w:ascii="Times New Roman" w:hAnsi="Times New Roman" w:cs="Times New Roman"/>
          <w:sz w:val="24"/>
          <w:szCs w:val="24"/>
        </w:rPr>
        <w:t xml:space="preserve"> En la Zona Metropolitana del Valle de Toluca, la subsidencia se documenta mediante interferometría satelital desde hace más de dos décadas.</w:t>
      </w:r>
      <w:r w:rsidRPr="006E437B">
        <w:rPr>
          <w:rFonts w:ascii="Times New Roman" w:hAnsi="Times New Roman" w:cs="Times New Roman"/>
          <w:sz w:val="24"/>
          <w:szCs w:val="24"/>
          <w:vertAlign w:val="superscript"/>
        </w:rPr>
        <w:t>2</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D2364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Debe destacarse que el fenómeno y sus efectos sobre la vivienda han sido reconocidos por la autoridad federal competente. En el estudio técnico del acuífero Chalco-Amecameca, publicado en el Diario Oficial de la Federación, la Comisión Nacional del Agua consigna que la extracción intensiva de agua subterránea provoca hundimientos diferenciales, que en las zonas de transición se han formado grietas y que éstas destruyen equipamiento urbano y ocasionan daños severos en algunas viviendas.</w:t>
      </w:r>
      <w:r w:rsidRPr="006E437B">
        <w:rPr>
          <w:rFonts w:ascii="Times New Roman" w:hAnsi="Times New Roman" w:cs="Times New Roman"/>
          <w:sz w:val="24"/>
          <w:szCs w:val="24"/>
          <w:vertAlign w:val="superscript"/>
        </w:rPr>
        <w:t>3</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D23641">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la ciudad de Toluca se han identificado al menos 25 viviendas con grietas y hundimientos que comprometen gravemente la seguridad de sus ocupantes.</w:t>
      </w:r>
      <w:r w:rsidRPr="006E437B">
        <w:rPr>
          <w:rFonts w:ascii="Times New Roman" w:hAnsi="Times New Roman" w:cs="Times New Roman"/>
          <w:sz w:val="24"/>
          <w:szCs w:val="24"/>
          <w:vertAlign w:val="superscript"/>
        </w:rPr>
        <w:t>4</w:t>
      </w:r>
      <w:r w:rsidRPr="006E437B">
        <w:rPr>
          <w:rFonts w:ascii="Times New Roman" w:hAnsi="Times New Roman" w:cs="Times New Roman"/>
          <w:sz w:val="24"/>
          <w:szCs w:val="24"/>
        </w:rPr>
        <w:t xml:space="preserve"> Por su parte, el Atlas Municipal de Riesgos de Toluca 2025-2027 registra 22 zonas de fracturamiento del suelo, ubicadas tanto en la zona norte San Pablo Autopan, San Andrés Cuexcontitlán y Santiago Miltepec, como en el Centro Histórico y Santa Ana Tlapaltitlán, donde la exposición al riesgo es mayor por la densidad poblacional.</w:t>
      </w:r>
      <w:r w:rsidRPr="006E437B">
        <w:rPr>
          <w:rFonts w:ascii="Times New Roman" w:hAnsi="Times New Roman" w:cs="Times New Roman"/>
          <w:sz w:val="24"/>
          <w:szCs w:val="24"/>
          <w:vertAlign w:val="superscript"/>
        </w:rPr>
        <w:t>5</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1</w:t>
      </w:r>
      <w:r w:rsidRPr="006E437B">
        <w:rPr>
          <w:rFonts w:ascii="Times New Roman" w:eastAsia="CIDFont+F1" w:hAnsi="Times New Roman" w:cs="Times New Roman"/>
          <w:sz w:val="20"/>
          <w:szCs w:val="24"/>
        </w:rPr>
        <w:t xml:space="preserve"> INSTITUTO NACIONAL DE ESTADÍSTICA Y GEOGRAFÍA, Detección de zonas de subsidencia en México con técnicas satelitales, volumen 2, México, INEGI, 2021, apartado 2.3 «Ciudad de México», pp. 8 y 9.</w:t>
      </w:r>
    </w:p>
    <w:p w:rsidR="008974B9" w:rsidRPr="006E437B" w:rsidRDefault="008974B9" w:rsidP="002F6020">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2</w:t>
      </w:r>
      <w:r w:rsidRPr="006E437B">
        <w:rPr>
          <w:rFonts w:ascii="Times New Roman" w:eastAsia="CIDFont+F1" w:hAnsi="Times New Roman" w:cs="Times New Roman"/>
          <w:sz w:val="20"/>
          <w:szCs w:val="24"/>
        </w:rPr>
        <w:t xml:space="preserve"> CALDERHEAD, A. I., MARTEL, R., ALASSET, P.-J., RIVERA, A. y GARFIAS, J., «Land subsidence induced by groundwater pumping, monitored by D-InSAR and field data in the Toluca Valley, Mexico», Canadian Journal of Remote Sensing, vol. 36, núm. 1, 2010, pp. 9-23. En el mismo sentido, INSTITUTO NACIONAL DE ESTADÍSTICA Y GEOGRAFÍA, Detección de zonas de subsidencia en México con técnicas satelitales, volumen 3, México, INEGI, 2022, caso Toluca, Estado de México.</w:t>
      </w:r>
    </w:p>
    <w:p w:rsidR="008974B9" w:rsidRPr="006E437B" w:rsidRDefault="008974B9" w:rsidP="002F6020">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3</w:t>
      </w:r>
      <w:r w:rsidRPr="006E437B">
        <w:rPr>
          <w:rFonts w:ascii="Times New Roman" w:eastAsia="CIDFont+F1" w:hAnsi="Times New Roman" w:cs="Times New Roman"/>
          <w:sz w:val="20"/>
          <w:szCs w:val="24"/>
        </w:rPr>
        <w:t xml:space="preserve"> COMISIÓN NACIONAL DEL AGUA, «Acuerdo por el que se dan a conocer los resultados del estudio técnico de las aguas nacionales subterráneas del acuífero Chalco-Amecameca, clave 1506, en el Estado de México, Región Hidrológico-Administrativa XIII, Aguas del Valle de México», Diario Oficial de la Federación, 18 de septiembre de 2019, numeral 8.2 «Hundimientos del terreno».</w:t>
      </w:r>
    </w:p>
    <w:p w:rsidR="008974B9" w:rsidRPr="006E437B" w:rsidRDefault="008974B9" w:rsidP="002F6020">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4</w:t>
      </w:r>
      <w:r w:rsidRPr="006E437B">
        <w:rPr>
          <w:rFonts w:ascii="Times New Roman" w:eastAsia="CIDFont+F1" w:hAnsi="Times New Roman" w:cs="Times New Roman"/>
          <w:sz w:val="20"/>
          <w:szCs w:val="24"/>
        </w:rPr>
        <w:t xml:space="preserve"> «Al menos 25 viviendas en Toluca presentan grietas y hundimientos», Milenio Estado de México, 2026.</w:t>
      </w:r>
    </w:p>
    <w:p w:rsidR="008974B9" w:rsidRPr="006E437B" w:rsidRDefault="008974B9" w:rsidP="002F6020">
      <w:pPr>
        <w:autoSpaceDE w:val="0"/>
        <w:autoSpaceDN w:val="0"/>
        <w:adjustRightInd w:val="0"/>
        <w:spacing w:after="0" w:line="240" w:lineRule="auto"/>
        <w:jc w:val="both"/>
        <w:rPr>
          <w:rFonts w:ascii="Times New Roman" w:hAnsi="Times New Roman" w:cs="Times New Roman"/>
          <w:sz w:val="20"/>
          <w:szCs w:val="24"/>
        </w:rPr>
      </w:pPr>
      <w:r w:rsidRPr="006E437B">
        <w:rPr>
          <w:rFonts w:ascii="Times New Roman" w:eastAsia="CIDFont+F1" w:hAnsi="Times New Roman" w:cs="Times New Roman"/>
          <w:sz w:val="20"/>
          <w:szCs w:val="24"/>
          <w:vertAlign w:val="superscript"/>
        </w:rPr>
        <w:t>5</w:t>
      </w:r>
      <w:r w:rsidRPr="006E437B">
        <w:rPr>
          <w:rFonts w:ascii="Times New Roman" w:eastAsia="CIDFont+F1" w:hAnsi="Times New Roman" w:cs="Times New Roman"/>
          <w:sz w:val="20"/>
          <w:szCs w:val="24"/>
        </w:rPr>
        <w:t xml:space="preserve"> H. AYUNTAMIENTO DE TOLUCA, Atlas Municipal de Riesgos de Toluca 2025-2027, apartado de riesgos geológicos, 22 zonas de fracturamiento del suelo. Consultable en https://www2.toluca.gob.mx/wpcontent/uploads/2026/02/ATLAS-DE-RIESGO-DE-TOLUCA-2025-2027-1.pdf</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No obstante, a lo anterior, la respuesta institucional ante las afectaciones recientes ha consistido, en lo esencial, en señalar que se desconocen las causas, atribuyéndolas a reacomodos superficiales del terreno o a la humedad acumulada, y descartando de origen la incidencia de la extracción de agua subterránea. La capital constituye hoy la manifestación más visible del problema, mas no la única: se trata de un proceso que se replica en el oriente del Valle de México y que tendrá que extenderse allí donde persista el abatimiento de los acuíferos.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marzo de 2021, ante la XXI Reunión Nacional de Profesores de Ingeniería Geotécnica de la Sociedad Mexicana de Ingeniería Geotécnica, un equipo de investigación de la Universidad de Guanajuato y de la Facultad de Geografía de la Universidad Autónoma del Estado de México presentó un estudio de caracterización geológico-estructural de las grietas en construcciones habitacionales.</w:t>
      </w:r>
      <w:r w:rsidRPr="006E437B">
        <w:rPr>
          <w:rFonts w:ascii="Times New Roman" w:hAnsi="Times New Roman" w:cs="Times New Roman"/>
          <w:sz w:val="24"/>
          <w:szCs w:val="24"/>
          <w:vertAlign w:val="superscript"/>
        </w:rPr>
        <w:t>6</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trabajo, sustentado en cartografía de campo, medición de rumbos y echados y en la clasificación geotécnica de las discontinuidades, identifica con precisión los sistemas de fallas de subsidencia que afectan a la Zona Metropolitana del Valle de Toluca:</w:t>
      </w:r>
    </w:p>
    <w:p w:rsidR="008974B9" w:rsidRPr="006E437B" w:rsidRDefault="008974B9" w:rsidP="00DA64DA">
      <w:pPr>
        <w:numPr>
          <w:ilvl w:val="0"/>
          <w:numId w:val="5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Falla Totoltepec. Falla de subsidencia de tipo normal, con al menos 8 kilómetros cartografiados en campo, cuya expresión abarca de la vialidad Alfredo del Mazo al Aeropuerto de Toluca, afectando naves industriales y zonas habitacionales de San Pedro Totoltepec.</w:t>
      </w:r>
    </w:p>
    <w:p w:rsidR="008974B9" w:rsidRPr="006E437B" w:rsidRDefault="008974B9" w:rsidP="00DA64DA">
      <w:pPr>
        <w:numPr>
          <w:ilvl w:val="0"/>
          <w:numId w:val="5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Fallas Miltepec, La Mora y Lerdo. Con desplazamientos verticales relativos del orden de 25 centímetros, inciden en las colonias Santiago Miltepec, Independencia, Los Ángeles, Carlos Hank González y en el fraccionamiento Los Frailes.</w:t>
      </w:r>
    </w:p>
    <w:p w:rsidR="008974B9" w:rsidRPr="006E437B" w:rsidRDefault="008974B9" w:rsidP="00DA64DA">
      <w:pPr>
        <w:numPr>
          <w:ilvl w:val="0"/>
          <w:numId w:val="5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 xml:space="preserve">Fallas Oxtotitlán. En la delegación San Mateo Oxtotitlán se documentó, en una casa habitación de la calle Benito Juárez, una separación vertical mínima de 1.7 metros. </w:t>
      </w:r>
    </w:p>
    <w:p w:rsidR="008974B9" w:rsidRPr="006E437B" w:rsidRDefault="008974B9" w:rsidP="00DA64DA">
      <w:pPr>
        <w:numPr>
          <w:ilvl w:val="0"/>
          <w:numId w:val="55"/>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Falla La Virgen-Magdalena. Con una longitud mínima de 6 kilómetros, alcanza el municipio de Metepec y la población de Santa María Magdalena Ocotitlán, lo que evidencia el carácter intermunicipal del fenómeno.</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autoSpaceDE w:val="0"/>
        <w:autoSpaceDN w:val="0"/>
        <w:adjustRightInd w:val="0"/>
        <w:spacing w:after="0" w:line="240" w:lineRule="auto"/>
        <w:jc w:val="both"/>
        <w:rPr>
          <w:rFonts w:ascii="Times New Roman" w:hAnsi="Times New Roman" w:cs="Times New Roman"/>
          <w:sz w:val="20"/>
          <w:szCs w:val="24"/>
        </w:rPr>
      </w:pPr>
      <w:r w:rsidRPr="006E437B">
        <w:rPr>
          <w:rFonts w:ascii="Times New Roman" w:eastAsia="CIDFont+F1" w:hAnsi="Times New Roman" w:cs="Times New Roman"/>
          <w:sz w:val="20"/>
          <w:szCs w:val="24"/>
          <w:vertAlign w:val="superscript"/>
        </w:rPr>
        <w:t>6</w:t>
      </w:r>
      <w:r w:rsidRPr="006E437B">
        <w:rPr>
          <w:rFonts w:ascii="Times New Roman" w:eastAsia="CIDFont+F1" w:hAnsi="Times New Roman" w:cs="Times New Roman"/>
          <w:sz w:val="20"/>
          <w:szCs w:val="24"/>
        </w:rPr>
        <w:t xml:space="preserve"> ANGELES-MORENO, E., CABADAS-BÁEZ, H. V., PUY-ALQUIZA, M. J., ALMAZÁN VÁZQUEZ, A. R. y GUERRERO JACINTO, Z., «Características geológico-estructurales de grietas en construcciones habitacionales ante diversos riesgos geológicos, casos de la ciudad de Toluca y San Miguel Tecomatlán: implicaciones en la interacción suelo-estructura», Memorias de la XXI Reunión Nacional de Profesores de Ingeniería Geotécnica, Sociedad Mexicana de Ingeniería Geotécnica, A. C., 16 a 19 de marzo de 2021, pp. 35-44.</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estudio concluye que dichas grietas no obedecen a defectos constructivos aislados, sino que siguen planos de debilidad preexistentes, resultan consistentes con un régimen extensional y se asocian a fallas de subsidencia originadas por la extracción de agua subterránea, la cual provoca asentamientos diferenciales del terreno. Asimismo, contrasta este supuesto con el de San Miguel Tecomatlán, en el municipio de Tenancingo, donde el agrietamiento derivó de la reactivación sísmica de fallas geológicas en 2017.</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distinción es relevante para efectos de política pública: causas diversas exigen diagnósticos y medidas de mitigación diferenciadas, lo que sólo es posible a partir de criterios técnicos oficiales. Conviene precisar que el registro documental del fenómeno no es reciente.</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informe de la Comisión Nacional del Agua de 2002 refiere que desde 1977 se realizaron levantamientos de grietas en el valle; que entre 1978 y 1979 se detectaron grietas por sobreexplotación del agua subterránea en depósitos lacustres compresibles, con cien grietas registradas en un área de 1,500 km², y que entre 1970 y 1980 se presentaron abatimientos de hasta 70 metros en la zona industrial de Toluca.</w:t>
      </w:r>
      <w:r w:rsidRPr="006E437B">
        <w:rPr>
          <w:rFonts w:ascii="Times New Roman" w:hAnsi="Times New Roman" w:cs="Times New Roman"/>
          <w:sz w:val="24"/>
          <w:szCs w:val="24"/>
          <w:vertAlign w:val="superscript"/>
        </w:rPr>
        <w:t>7</w:t>
      </w:r>
      <w:r w:rsidRPr="006E437B">
        <w:rPr>
          <w:rFonts w:ascii="Times New Roman" w:hAnsi="Times New Roman" w:cs="Times New Roman"/>
          <w:sz w:val="24"/>
          <w:szCs w:val="24"/>
        </w:rPr>
        <w:t xml:space="preserve"> Estudios posteriores de interferometría satelital acreditaron que, entre 2003 y 2008, la Zona Metropolitana del Valle de Toluca registró hundimientos de hasta 40 centímetros.</w:t>
      </w:r>
      <w:r w:rsidRPr="006E437B">
        <w:rPr>
          <w:rFonts w:ascii="Times New Roman" w:hAnsi="Times New Roman" w:cs="Times New Roman"/>
          <w:sz w:val="24"/>
          <w:szCs w:val="24"/>
          <w:vertAlign w:val="superscript"/>
        </w:rPr>
        <w:t>8</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Existe, por tanto, evidencia técnica acumulada durante casi cinco décadas que hasta hoy no encuentra correlato en obligación legal alguna dentro del ordenamiento estatal.</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F6020">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subsidencia consiste en el hundimiento paulatino de la superficie del terreno derivado de la extracción de agua del subsuelo: al abatirse el nivel freático, los sedimentos se compactan, el suelo se deforma de manera diferencial y la superficie se fractura.</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7</w:t>
      </w:r>
      <w:r w:rsidRPr="006E437B">
        <w:rPr>
          <w:rFonts w:ascii="Times New Roman" w:eastAsia="CIDFont+F1" w:hAnsi="Times New Roman" w:cs="Times New Roman"/>
          <w:sz w:val="20"/>
          <w:szCs w:val="24"/>
        </w:rPr>
        <w:t xml:space="preserve"> COMISIÓN NACIONAL DEL AGUA, Actualización de la disponibilidad media anual de agua en el acuífero Valle de Toluca (1501), Estado de México, México, CONAGUA, Subdirección General Técnica-Gerencia de Aguas Subterráneas, 2024, apartado 2 «Estudios técnicos realizados con anterioridad», pp. 8 y 9, que recoge la actualización del levantamiento de grietas de 1977 (Ingenieros Civiles y Geólogos Asociados), los estudios CONSULTEC de 1978 y 1979 —este último con aproximadamente 100 grietas registradas en un área de 1,500 km²— y el estudio de Lesser y Asociados de 1987, que reporta abatimientos de 70 metros en la zona industrial aledaña a la ciudad de Toluca para el periodo 1970-1987.</w:t>
      </w:r>
    </w:p>
    <w:p w:rsidR="008974B9" w:rsidRPr="006E437B" w:rsidRDefault="008974B9" w:rsidP="00266C47">
      <w:pPr>
        <w:autoSpaceDE w:val="0"/>
        <w:autoSpaceDN w:val="0"/>
        <w:adjustRightInd w:val="0"/>
        <w:spacing w:after="0" w:line="240" w:lineRule="auto"/>
        <w:jc w:val="both"/>
        <w:rPr>
          <w:rFonts w:ascii="Times New Roman" w:hAnsi="Times New Roman" w:cs="Times New Roman"/>
          <w:sz w:val="20"/>
          <w:szCs w:val="24"/>
        </w:rPr>
      </w:pPr>
      <w:r w:rsidRPr="006E437B">
        <w:rPr>
          <w:rFonts w:ascii="Times New Roman" w:eastAsia="CIDFont+F1" w:hAnsi="Times New Roman" w:cs="Times New Roman"/>
          <w:sz w:val="20"/>
          <w:szCs w:val="24"/>
          <w:vertAlign w:val="superscript"/>
        </w:rPr>
        <w:t>8</w:t>
      </w:r>
      <w:r w:rsidRPr="006E437B">
        <w:rPr>
          <w:rFonts w:ascii="Times New Roman" w:eastAsia="CIDFont+F1" w:hAnsi="Times New Roman" w:cs="Times New Roman"/>
          <w:sz w:val="20"/>
          <w:szCs w:val="24"/>
        </w:rPr>
        <w:t xml:space="preserve"> CALDERHEAD, A. I. et al., ob. cit., reporta un hundimiento máximo acumulado cercano a 40 centímetros entre noviembre de 2003 y mayo de 2008 en el Valle de Toluca.</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No se trata de una categoría ajena al orden jurídico nacional, pues la Ley General de Protección Civil reconoce expresamente la subsidencia, los hundimientos y los agrietamientos como fenómenos perturbadores de origen geológico.</w:t>
      </w:r>
      <w:r w:rsidRPr="006E437B">
        <w:rPr>
          <w:rFonts w:ascii="Times New Roman" w:hAnsi="Times New Roman" w:cs="Times New Roman"/>
          <w:sz w:val="24"/>
          <w:szCs w:val="24"/>
          <w:vertAlign w:val="superscript"/>
        </w:rPr>
        <w:t>9</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vertAlign w:val="superscript"/>
        </w:rPr>
      </w:pPr>
      <w:r w:rsidRPr="006E437B">
        <w:rPr>
          <w:rFonts w:ascii="Times New Roman" w:hAnsi="Times New Roman" w:cs="Times New Roman"/>
          <w:sz w:val="24"/>
          <w:szCs w:val="24"/>
        </w:rPr>
        <w:t>En cuanto al contexto hidrológico, diversos acuíferos que abastecen a la entidad se encuentran oficialmente sobreexplotados y sin disponibilidad de agua subterránea, entre ellos Valle de Toluca (clave 1501), Chalco-Amecameca (1506), Texcoco y Cuautitlán-Pachuca.</w:t>
      </w:r>
      <w:r w:rsidRPr="006E437B">
        <w:rPr>
          <w:rFonts w:ascii="Times New Roman" w:hAnsi="Times New Roman" w:cs="Times New Roman"/>
          <w:sz w:val="24"/>
          <w:szCs w:val="24"/>
          <w:vertAlign w:val="superscript"/>
        </w:rPr>
        <w:t>10</w:t>
      </w:r>
      <w:r w:rsidRPr="006E437B">
        <w:rPr>
          <w:rFonts w:ascii="Times New Roman" w:hAnsi="Times New Roman" w:cs="Times New Roman"/>
          <w:sz w:val="24"/>
          <w:szCs w:val="24"/>
        </w:rPr>
        <w:t xml:space="preserve"> Únicamente el acuífero del Valle de Toluca presenta un déficit del orden de 128 millones de metros cúbicos anuales y se encuentra sujeto a veda desde el 23 de septiembre de 1965, sin que ello haya detenido el proceso de hundimiento.</w:t>
      </w:r>
      <w:r w:rsidRPr="006E437B">
        <w:rPr>
          <w:rFonts w:ascii="Times New Roman" w:hAnsi="Times New Roman" w:cs="Times New Roman"/>
          <w:sz w:val="24"/>
          <w:szCs w:val="24"/>
          <w:vertAlign w:val="superscript"/>
        </w:rPr>
        <w:t>11</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Debe reconocerse que no todo agrietamiento tiene por causa la extracción de agua subterránea. La distinción entre subsidencia, fugas de la red hidráulica, suelos blandos, actividad sísmica y deficiencias constructivas constituye una cuestión técnica. Precisamente por ello se justifica la intervención legislativa: en el marco vigente, ninguna autoridad estatal se encuentra obligada a medir la subsidencia, cartografiarla, informarla ni considerarla previamente al otorgamiento de aprovechamientos o a la autorización de desarrollos habitacionales. La ausencia del deber de diagnóstico hace posible, en los hechos, que se sostenga el desconocimiento de las causas.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artículo 4º de la Constitución Política de los Estados Unidos Mexicanos reconoce el derecho de toda familia a disfrutar de vivienda digna y decorosa, el derecho al agua y el derecho a un medio ambiente sano.</w:t>
      </w:r>
      <w:r w:rsidRPr="006E437B">
        <w:rPr>
          <w:rFonts w:ascii="Times New Roman" w:hAnsi="Times New Roman" w:cs="Times New Roman"/>
          <w:sz w:val="24"/>
          <w:szCs w:val="24"/>
          <w:vertAlign w:val="superscript"/>
        </w:rPr>
        <w:t>12</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9</w:t>
      </w:r>
      <w:r w:rsidRPr="006E437B">
        <w:rPr>
          <w:rFonts w:ascii="Times New Roman" w:eastAsia="CIDFont+F1" w:hAnsi="Times New Roman" w:cs="Times New Roman"/>
          <w:sz w:val="20"/>
          <w:szCs w:val="24"/>
        </w:rPr>
        <w:t xml:space="preserve"> Ley General de Protección Civil, artículo 2, fracción XXIII.</w:t>
      </w:r>
    </w:p>
    <w:p w:rsidR="008974B9" w:rsidRPr="006E437B" w:rsidRDefault="008974B9" w:rsidP="00266C47">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10</w:t>
      </w:r>
      <w:r w:rsidRPr="006E437B">
        <w:rPr>
          <w:rFonts w:ascii="Times New Roman" w:eastAsia="CIDFont+F1" w:hAnsi="Times New Roman" w:cs="Times New Roman"/>
          <w:sz w:val="20"/>
          <w:szCs w:val="24"/>
        </w:rPr>
        <w:t xml:space="preserve"> Acuerdos de actualización de la disponibilidad media anual de agua subterránea publicados por la Comisión Nacional del Agua en el Diario Oficial de la Federación y fichas técnicas correspondientes; en particular, CONAGUA, Actualización de la disponibilidad media anual de agua en el acuífero Valle de Toluca (1501), 2024, y el acuerdo relativo al acuífero Chalco-Amecameca (1506) publicado en el Diario Oficial de la Federación el 18 de septiembre de 2019.</w:t>
      </w:r>
    </w:p>
    <w:p w:rsidR="008974B9" w:rsidRPr="006E437B" w:rsidRDefault="008974B9" w:rsidP="00266C47">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11</w:t>
      </w:r>
      <w:r w:rsidRPr="006E437B">
        <w:rPr>
          <w:rFonts w:ascii="Times New Roman" w:eastAsia="CIDFont+F1" w:hAnsi="Times New Roman" w:cs="Times New Roman"/>
          <w:sz w:val="20"/>
          <w:szCs w:val="24"/>
        </w:rPr>
        <w:t xml:space="preserve"> COMISIÓN NACIONAL DEL AGUA, Actualización de la disponibilidad media anual de agua en el acuífero Valle de Toluca (1501), Estado de México, 2024, apartado 8.4, que arroja un déficit de 128,715,560 metros cúbicos anuales, y apartado 1.2, que refiere el decreto presidencial de veda de 10 de agosto de 1965, publicado en el Diario Oficial de la Federación el 23 de septiembre de 1965.</w:t>
      </w:r>
    </w:p>
    <w:p w:rsidR="008974B9" w:rsidRPr="006E437B" w:rsidRDefault="008974B9" w:rsidP="00266C47">
      <w:pPr>
        <w:autoSpaceDE w:val="0"/>
        <w:autoSpaceDN w:val="0"/>
        <w:adjustRightInd w:val="0"/>
        <w:spacing w:after="0" w:line="240" w:lineRule="auto"/>
        <w:jc w:val="both"/>
        <w:rPr>
          <w:rFonts w:ascii="Times New Roman" w:hAnsi="Times New Roman" w:cs="Times New Roman"/>
          <w:sz w:val="20"/>
          <w:szCs w:val="20"/>
        </w:rPr>
      </w:pPr>
      <w:r w:rsidRPr="006E437B">
        <w:rPr>
          <w:rFonts w:ascii="Times New Roman" w:eastAsia="CIDFont+F1" w:hAnsi="Times New Roman" w:cs="Times New Roman"/>
          <w:sz w:val="20"/>
          <w:szCs w:val="20"/>
          <w:vertAlign w:val="superscript"/>
        </w:rPr>
        <w:t>12</w:t>
      </w:r>
      <w:r w:rsidRPr="006E437B">
        <w:rPr>
          <w:rFonts w:ascii="Times New Roman" w:eastAsia="CIDFont+F1" w:hAnsi="Times New Roman" w:cs="Times New Roman"/>
          <w:sz w:val="20"/>
          <w:szCs w:val="20"/>
        </w:rPr>
        <w:t xml:space="preserve"> Constitución Política de los Estados Unidos Mexicanos, artículo 4o. Publicada en el Diario Oficial de la Federación el 5 de febrero de 1917.</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Comité de Derechos Económicos, Sociales y Culturales ha precisado que la vivienda adecuada exige condiciones de habitabilidad, lo que comprende garantizar la seguridad física de sus ocupantes. Una vivienda afectada por fracturas estructurales de la magnitud documentada no satisface dicho estándar.</w:t>
      </w:r>
      <w:r w:rsidRPr="006E437B">
        <w:rPr>
          <w:rFonts w:ascii="Times New Roman" w:hAnsi="Times New Roman" w:cs="Times New Roman"/>
          <w:sz w:val="24"/>
          <w:szCs w:val="24"/>
          <w:vertAlign w:val="superscript"/>
        </w:rPr>
        <w:t>13</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 lo anterior se suma el deber estatal de prevención frente a daños previsibles. Conforme al criterio de la Corte Interamericana de Derechos Humanos, dicho deber comprende regular, supervisar y fiscalizar las actividades que puedan generar un daño significativo, así como realizar los estudios correspondientes cuando exista evidencia de riesgo y adoptar medidas de mitigación.</w:t>
      </w:r>
      <w:r w:rsidRPr="006E437B">
        <w:rPr>
          <w:rFonts w:ascii="Times New Roman" w:hAnsi="Times New Roman" w:cs="Times New Roman"/>
          <w:sz w:val="24"/>
          <w:szCs w:val="24"/>
          <w:vertAlign w:val="superscript"/>
        </w:rPr>
        <w:t>14</w:t>
      </w:r>
      <w:r w:rsidRPr="006E437B">
        <w:rPr>
          <w:rFonts w:ascii="Times New Roman" w:hAnsi="Times New Roman" w:cs="Times New Roman"/>
          <w:sz w:val="24"/>
          <w:szCs w:val="24"/>
        </w:rPr>
        <w:t xml:space="preserve"> Tratándose de un riesgo previamente medido, documentado y difundido, la omisión de actuar no puede ampararse en el desconocimiento.</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estado de Aguascalientes, ante un fenómeno de idéntica naturaleza, adoptó una solución institucional: desde 2004 opera el Comité Interinstitucional de Fallas Geológicas y Grietas, creado mediante decreto, así como el Sistema de Información de Fallas Geológicas y Grietas, que pone a disposición del público la cartografía oficial y validada de las fallas y grietas de aquella entidad.</w:t>
      </w:r>
      <w:r w:rsidRPr="006E437B">
        <w:rPr>
          <w:rFonts w:ascii="Times New Roman" w:hAnsi="Times New Roman" w:cs="Times New Roman"/>
          <w:sz w:val="24"/>
          <w:szCs w:val="24"/>
          <w:vertAlign w:val="superscript"/>
        </w:rPr>
        <w:t>15</w:t>
      </w:r>
      <w:r w:rsidRPr="006E437B">
        <w:rPr>
          <w:rFonts w:ascii="Times New Roman" w:hAnsi="Times New Roman" w:cs="Times New Roman"/>
          <w:sz w:val="24"/>
          <w:szCs w:val="24"/>
        </w:rPr>
        <w:t xml:space="preserve"> Ello permite a cualquier persona conocer, previamente a la adquisición o edificación de un inmueble, si el predio se ubica sobre una zona de fracturamiento.</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266C47">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el Estado de México no existe información equivalente con carácter vinculante, actualización periódica obligatoria ni efectos condicionantes sobre las autorizaciones administrativas.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13</w:t>
      </w:r>
      <w:r w:rsidRPr="006E437B">
        <w:rPr>
          <w:rFonts w:ascii="Times New Roman" w:eastAsia="CIDFont+F1" w:hAnsi="Times New Roman" w:cs="Times New Roman"/>
          <w:sz w:val="20"/>
          <w:szCs w:val="24"/>
        </w:rPr>
        <w:t xml:space="preserve"> Pacto Internacional de Derechos Económicos, Sociales y Culturales, artículo 11. Véase COMITÉ DE DERECHOS ECONÓMICOS, SOCIALES Y CULTURALES, Observación General núm. 4 (1991), «El derecho a una vivienda adecuada», párrafo 8, inciso d), sobre habitabilidad.</w:t>
      </w:r>
    </w:p>
    <w:p w:rsidR="008974B9" w:rsidRPr="006E437B" w:rsidRDefault="008974B9" w:rsidP="00C628E2">
      <w:pPr>
        <w:autoSpaceDE w:val="0"/>
        <w:autoSpaceDN w:val="0"/>
        <w:adjustRightInd w:val="0"/>
        <w:spacing w:after="0" w:line="240" w:lineRule="auto"/>
        <w:jc w:val="both"/>
        <w:rPr>
          <w:rFonts w:ascii="Times New Roman" w:eastAsia="CIDFont+F1" w:hAnsi="Times New Roman" w:cs="Times New Roman"/>
          <w:sz w:val="20"/>
          <w:szCs w:val="24"/>
        </w:rPr>
      </w:pPr>
      <w:r w:rsidRPr="006E437B">
        <w:rPr>
          <w:rFonts w:ascii="Times New Roman" w:eastAsia="CIDFont+F1" w:hAnsi="Times New Roman" w:cs="Times New Roman"/>
          <w:sz w:val="20"/>
          <w:szCs w:val="24"/>
          <w:vertAlign w:val="superscript"/>
        </w:rPr>
        <w:t>14</w:t>
      </w:r>
      <w:r w:rsidRPr="006E437B">
        <w:rPr>
          <w:rFonts w:ascii="Times New Roman" w:eastAsia="CIDFont+F1" w:hAnsi="Times New Roman" w:cs="Times New Roman"/>
          <w:sz w:val="20"/>
          <w:szCs w:val="24"/>
        </w:rPr>
        <w:t xml:space="preserve"> CORTE INTERAMERICANA DE DERECHOS HUMANOS, Opinión Consultiva OC-23/17 de 15 de noviembre de 2017, «Medio ambiente y derechos humanos», párrafos 127 a 174, relativos a las obligaciones de prevención, regulación, supervisión y fiscalización frente a actividades que puedan causar un daño significativo.</w:t>
      </w:r>
    </w:p>
    <w:p w:rsidR="008974B9" w:rsidRPr="006E437B" w:rsidRDefault="008974B9" w:rsidP="00C628E2">
      <w:pPr>
        <w:autoSpaceDE w:val="0"/>
        <w:autoSpaceDN w:val="0"/>
        <w:adjustRightInd w:val="0"/>
        <w:spacing w:after="0" w:line="240" w:lineRule="auto"/>
        <w:jc w:val="both"/>
        <w:rPr>
          <w:rFonts w:ascii="Times New Roman" w:hAnsi="Times New Roman" w:cs="Times New Roman"/>
          <w:sz w:val="20"/>
          <w:szCs w:val="24"/>
        </w:rPr>
      </w:pPr>
      <w:r w:rsidRPr="006E437B">
        <w:rPr>
          <w:rFonts w:ascii="Times New Roman" w:eastAsia="CIDFont+F1" w:hAnsi="Times New Roman" w:cs="Times New Roman"/>
          <w:sz w:val="20"/>
          <w:szCs w:val="24"/>
          <w:vertAlign w:val="superscript"/>
        </w:rPr>
        <w:t>15</w:t>
      </w:r>
      <w:r w:rsidRPr="006E437B">
        <w:rPr>
          <w:rFonts w:ascii="Times New Roman" w:eastAsia="CIDFont+F1" w:hAnsi="Times New Roman" w:cs="Times New Roman"/>
          <w:sz w:val="20"/>
          <w:szCs w:val="24"/>
        </w:rPr>
        <w:t xml:space="preserve"> Comité Interinstitucional de Fallas Geológicas y Grietas del Estado de Aguascalientes, constituido en 2004 y formalizado mediante decreto publicado en el Periódico Oficial del Estado de Aguascalientes el 23 de febrero de ese año. El Sistema de Información de Fallas Geológicas y Grietas (SIFAGG) es operado por la Secretaría de Obras Públicas del Estado de Aguascalientes y es consultable en https://www.aguascalientes.gob.mx/sop/sifagg/web/mapa.asp</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razón de lo expuesto, la reforma incorpora a la Ley del Agua para el Estado de México y Municipios cinco definiciones normativas de alcance estatal: se define la subsidencia del terreno como concepto legal; se habilita la declaratoria de zonas de veda cuando la subsidencia ponga en riesgo a la población (artículos 6, fracción se obliga a la Comisión del Agua del Estado de México a emitir el atlas de subsidencia de la entidad y a participar en la elaboración del Atlas Estatal de Riesgos (artículo 18); se mandata la vigilancia permanente del fenómeno y la evaluación del nivel de riesgo en los centros de población asentados sobre acuíferos sobreexplotados y se establece la coordinación obligatoria entre la Comisión, los municipios y los organismos operadores para la ejecución de medidas de mitigación.</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Con ello, esta Soberanía dotaría a las autoridades estatales y municipales de un instrumento de diagnóstico, información pública y mitigación en beneficio de las familias mexiquenses asentadas sobre zonas de subsidencia, en cumplimiento del deber constitucional de garantizar el derecho a una vivienda digna y segura.</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Conforme a lo anteriormente expuesto, someto a la consideración de esta honorable Asamblea el siguiente proyecto de:</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Decreto que adiciona una fracción LXV. Bis. y reforma la fracción LXXX. del Artículo 6, reforma la fracción IV. del Artículo 15, reforma la fracción XXVII. y adiciona una fracción XXVIII. Bis al Artículo 18, adiciona una fracción XXVII. Bis. al Artículo 26 y adiciona un Artículo 95 Bis. a la Ley del Agua para el Estado de México y Municipios, en materia de establecer, vigilar y mitigar el riesgo por Subsidencia del terreno.</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 xml:space="preserve">A T E N T A M E N T E </w:t>
      </w:r>
    </w:p>
    <w:p w:rsidR="008974B9" w:rsidRPr="006E437B" w:rsidRDefault="008974B9" w:rsidP="008974B9">
      <w:pPr>
        <w:spacing w:after="0" w:line="240" w:lineRule="auto"/>
        <w:rPr>
          <w:rFonts w:ascii="Times New Roman" w:hAnsi="Times New Roman" w:cs="Times New Roman"/>
          <w:b/>
          <w:sz w:val="24"/>
          <w:szCs w:val="24"/>
        </w:rPr>
      </w:pPr>
    </w:p>
    <w:tbl>
      <w:tblPr>
        <w:tblStyle w:val="TableGrid"/>
        <w:tblW w:w="9092" w:type="dxa"/>
        <w:tblInd w:w="0" w:type="dxa"/>
        <w:tblLook w:val="04A0" w:firstRow="1" w:lastRow="0" w:firstColumn="1" w:lastColumn="0" w:noHBand="0" w:noVBand="1"/>
      </w:tblPr>
      <w:tblGrid>
        <w:gridCol w:w="4962"/>
        <w:gridCol w:w="4130"/>
      </w:tblGrid>
      <w:tr w:rsidR="008974B9" w:rsidRPr="006E437B" w:rsidTr="00696B3F">
        <w:trPr>
          <w:trHeight w:val="473"/>
        </w:trPr>
        <w:tc>
          <w:tcPr>
            <w:tcW w:w="4962" w:type="dxa"/>
            <w:tcBorders>
              <w:top w:val="nil"/>
              <w:left w:val="nil"/>
              <w:bottom w:val="nil"/>
              <w:right w:val="nil"/>
            </w:tcBorders>
          </w:tcPr>
          <w:p w:rsidR="008974B9" w:rsidRPr="006E437B" w:rsidRDefault="008974B9" w:rsidP="00696B3F">
            <w:pPr>
              <w:spacing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Dip. Ruth Salinas Reyes </w:t>
            </w:r>
          </w:p>
          <w:p w:rsidR="008974B9" w:rsidRPr="006E437B" w:rsidRDefault="008974B9" w:rsidP="00696B3F">
            <w:pPr>
              <w:spacing w:line="240" w:lineRule="auto"/>
              <w:rPr>
                <w:rFonts w:ascii="Times New Roman" w:hAnsi="Times New Roman" w:cs="Times New Roman"/>
                <w:b/>
                <w:sz w:val="24"/>
                <w:szCs w:val="24"/>
              </w:rPr>
            </w:pPr>
          </w:p>
        </w:tc>
        <w:tc>
          <w:tcPr>
            <w:tcW w:w="4130" w:type="dxa"/>
            <w:tcBorders>
              <w:top w:val="nil"/>
              <w:left w:val="nil"/>
              <w:bottom w:val="nil"/>
              <w:right w:val="nil"/>
            </w:tcBorders>
          </w:tcPr>
          <w:p w:rsidR="008974B9" w:rsidRPr="006E437B" w:rsidRDefault="008974B9" w:rsidP="00696B3F">
            <w:pPr>
              <w:spacing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Dip. Maricela Beltrán Sánchez </w:t>
            </w:r>
          </w:p>
        </w:tc>
      </w:tr>
      <w:tr w:rsidR="008974B9" w:rsidRPr="006E437B" w:rsidTr="00696B3F">
        <w:trPr>
          <w:trHeight w:val="251"/>
        </w:trPr>
        <w:tc>
          <w:tcPr>
            <w:tcW w:w="4962" w:type="dxa"/>
            <w:tcBorders>
              <w:top w:val="nil"/>
              <w:left w:val="nil"/>
              <w:bottom w:val="nil"/>
              <w:right w:val="nil"/>
            </w:tcBorders>
          </w:tcPr>
          <w:p w:rsidR="008974B9" w:rsidRPr="006E437B" w:rsidRDefault="008974B9" w:rsidP="00696B3F">
            <w:pPr>
              <w:spacing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Dip. Juan Manuel Zepeda Hernández </w:t>
            </w:r>
          </w:p>
        </w:tc>
        <w:tc>
          <w:tcPr>
            <w:tcW w:w="4130" w:type="dxa"/>
            <w:tcBorders>
              <w:top w:val="nil"/>
              <w:left w:val="nil"/>
              <w:bottom w:val="nil"/>
              <w:right w:val="nil"/>
            </w:tcBorders>
          </w:tcPr>
          <w:p w:rsidR="008974B9" w:rsidRPr="006E437B" w:rsidRDefault="008974B9" w:rsidP="00696B3F">
            <w:pPr>
              <w:spacing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Dip. Lilia Urbina Salazar </w:t>
            </w:r>
          </w:p>
        </w:tc>
      </w:tr>
    </w:tbl>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Dip. Martín Zepeda Hernández</w:t>
      </w:r>
    </w:p>
    <w:p w:rsidR="008974B9" w:rsidRPr="006E437B" w:rsidRDefault="008974B9" w:rsidP="008974B9">
      <w:pPr>
        <w:spacing w:after="0" w:line="240" w:lineRule="auto"/>
        <w:jc w:val="center"/>
        <w:rPr>
          <w:rFonts w:ascii="Times New Roman" w:hAnsi="Times New Roman" w:cs="Times New Roman"/>
          <w:b/>
          <w:sz w:val="24"/>
          <w:szCs w:val="24"/>
        </w:rPr>
      </w:pPr>
    </w:p>
    <w:p w:rsidR="008974B9" w:rsidRPr="006E437B" w:rsidRDefault="008974B9" w:rsidP="008974B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Integrantes del Grupo Parlamentario de Movimiento Ciudadano</w:t>
      </w:r>
    </w:p>
    <w:p w:rsidR="008974B9" w:rsidRPr="006E437B" w:rsidRDefault="008974B9" w:rsidP="008974B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de la LXII Legislatura del Estado de México.</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PROYECTO DE DECRETO</w:t>
      </w: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 xml:space="preserve">La H. LXII Legislatura del Estado de México </w:t>
      </w: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Decreta:</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ÚNICO</w:t>
      </w:r>
      <w:r w:rsidRPr="006E437B">
        <w:rPr>
          <w:rFonts w:ascii="Times New Roman" w:hAnsi="Times New Roman" w:cs="Times New Roman"/>
          <w:sz w:val="24"/>
          <w:szCs w:val="24"/>
        </w:rPr>
        <w:t>; Se adiciona una fracción LXV. Bis. y se reforma la fracción LXXX. del Artículo 6, se reforma la fracción IV. del Artículo 15, se reforma la fracción XXVII. y adiciona una fracción XXVIII. Bis al Artículo 18, se adiciona una fracción XXVII. Bis. al Artículo 26 y se adiciona un Artículo 95 Bis. a la Ley del Agua para el Estado de México y Municipios, para quedar como sigue:</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6.- Para efectos de esta Ley se entenderá …</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LXV. Bis. Subsidencia del terreno: Hundimiento progresivo o paulatino de la superficie terrestre. Originado por la extracción excesiva de agua subterránea que provoca daños estructurales graves en infraestructura de vivienda, urbana e industrial, fracturas en el suelo, fallas geológicas y severos problemas en la red de drenaje y tuberías de agua.</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b/>
          <w:sz w:val="24"/>
          <w:szCs w:val="24"/>
        </w:rPr>
      </w:pPr>
      <w:r w:rsidRPr="006E437B">
        <w:rPr>
          <w:rFonts w:ascii="Times New Roman" w:hAnsi="Times New Roman" w:cs="Times New Roman"/>
          <w:sz w:val="24"/>
          <w:szCs w:val="24"/>
        </w:rPr>
        <w:t xml:space="preserve">LXXX. Zona de veda: Áreas específicas declaradas como tales por el Gobernador del Estado, en las cuales no se autorizan concesiones para explotación, uso o aprovechamiento de agua, con las excepciones establecidas en el decreto respectivo, en virtud del deterioro del agua en cantidad o calidad, resultante de sobreexplotación, o de la afectación a la sustentabilidad hidrológica. </w:t>
      </w:r>
      <w:r w:rsidRPr="006E437B">
        <w:rPr>
          <w:rFonts w:ascii="Times New Roman" w:hAnsi="Times New Roman" w:cs="Times New Roman"/>
          <w:b/>
          <w:sz w:val="24"/>
          <w:szCs w:val="24"/>
        </w:rPr>
        <w:t>Así como Subsidencia del terreno que ponga en riesgo a la población.</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15 El Gobernador del Estado tendrá las siguientes …</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IV. Emitir los decretos para establecer o suprimir las zonas de veda y las zonas de protección, así como para prevenir o atenuar su sobreexplotación, </w:t>
      </w:r>
      <w:r w:rsidRPr="006E437B">
        <w:rPr>
          <w:rFonts w:ascii="Times New Roman" w:hAnsi="Times New Roman" w:cs="Times New Roman"/>
          <w:b/>
          <w:sz w:val="24"/>
          <w:szCs w:val="24"/>
        </w:rPr>
        <w:t>el deterioro de su calidad o Subsidencia del terreno que ponga en riesgo a la población</w:t>
      </w:r>
      <w:r w:rsidRPr="006E437B">
        <w:rPr>
          <w:rFonts w:ascii="Times New Roman" w:hAnsi="Times New Roman" w:cs="Times New Roman"/>
          <w:sz w:val="24"/>
          <w:szCs w:val="24"/>
        </w:rPr>
        <w:t>;</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Artículo 18.- Para el cumplimiento de su objeto, la Comisión gozará de autonomía de gestión, financiera y operativa, y tendrá las siguientes …</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DA64DA">
      <w:pPr>
        <w:numPr>
          <w:ilvl w:val="0"/>
          <w:numId w:val="56"/>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 xml:space="preserve">Formar parte del Consejo Estatal de Protección Civil, </w:t>
      </w:r>
      <w:r w:rsidRPr="006E437B">
        <w:rPr>
          <w:rFonts w:ascii="Times New Roman" w:hAnsi="Times New Roman" w:cs="Times New Roman"/>
          <w:b/>
          <w:sz w:val="24"/>
          <w:szCs w:val="24"/>
        </w:rPr>
        <w:t>participar en la elaboración del Atlas Estatal de Riesgos</w:t>
      </w:r>
      <w:r w:rsidRPr="006E437B">
        <w:rPr>
          <w:rFonts w:ascii="Times New Roman" w:hAnsi="Times New Roman" w:cs="Times New Roman"/>
          <w:sz w:val="24"/>
          <w:szCs w:val="24"/>
        </w:rPr>
        <w:t xml:space="preserve"> y en las acciones de apoyo a la población civil en los términos de la normatividad aplicable; </w:t>
      </w:r>
    </w:p>
    <w:p w:rsidR="008974B9" w:rsidRPr="006E437B" w:rsidRDefault="008974B9" w:rsidP="00DA64DA">
      <w:pPr>
        <w:numPr>
          <w:ilvl w:val="0"/>
          <w:numId w:val="56"/>
        </w:numPr>
        <w:spacing w:after="0" w:line="240" w:lineRule="auto"/>
        <w:ind w:left="0"/>
        <w:jc w:val="both"/>
        <w:rPr>
          <w:rFonts w:ascii="Times New Roman" w:hAnsi="Times New Roman" w:cs="Times New Roman"/>
          <w:b/>
          <w:sz w:val="24"/>
          <w:szCs w:val="24"/>
        </w:rPr>
      </w:pPr>
      <w:r w:rsidRPr="006E437B">
        <w:rPr>
          <w:rFonts w:ascii="Times New Roman" w:hAnsi="Times New Roman" w:cs="Times New Roman"/>
          <w:b/>
          <w:sz w:val="24"/>
          <w:szCs w:val="24"/>
        </w:rPr>
        <w:t xml:space="preserve">Bis. Emitir el atlas de Subsidencia del terreno para el Estado; </w:t>
      </w:r>
    </w:p>
    <w:p w:rsidR="008974B9" w:rsidRPr="006E437B" w:rsidRDefault="008974B9" w:rsidP="008974B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Artículo 26.- La Comisión Técnica tiene las atribuciones …</w:t>
      </w:r>
    </w:p>
    <w:p w:rsidR="008974B9" w:rsidRPr="006E437B" w:rsidRDefault="008974B9" w:rsidP="008974B9">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XXVII.</w:t>
      </w:r>
      <w:r w:rsidRPr="006E437B">
        <w:rPr>
          <w:rFonts w:ascii="Times New Roman" w:hAnsi="Times New Roman" w:cs="Times New Roman"/>
          <w:sz w:val="24"/>
          <w:szCs w:val="24"/>
        </w:rPr>
        <w:tab/>
        <w:t xml:space="preserve">Proponer los criterios y lineamientos de seguridad … </w:t>
      </w:r>
    </w:p>
    <w:p w:rsidR="008974B9" w:rsidRPr="006E437B" w:rsidRDefault="008974B9" w:rsidP="008974B9">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XXVII. Bis.</w:t>
      </w:r>
      <w:r w:rsidRPr="006E437B">
        <w:rPr>
          <w:rFonts w:ascii="Times New Roman" w:hAnsi="Times New Roman" w:cs="Times New Roman"/>
          <w:b/>
          <w:sz w:val="24"/>
          <w:szCs w:val="24"/>
        </w:rPr>
        <w:tab/>
        <w:t>Vigilar de forma permanente la Subsidencia del terreno, y evaluar el nivel de riesgo en los centros de población ubicados en acuíferos sobreexplotados.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Artículo 95 Bis. La Comisión, los municipios y/o los organismos operadores, como correspondan se coordinarán para implementar las medidas de mitigación de la Subsidencia del terreno que ponga en riesgo a la población, pudiendo solicitar el apoyo de todas las instancias de atención a desastres naturales en casos necesarios.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8974B9">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ARTÍCULOS TRANSITORIOS</w:t>
      </w:r>
    </w:p>
    <w:p w:rsidR="008974B9" w:rsidRPr="006E437B" w:rsidRDefault="008974B9" w:rsidP="008974B9">
      <w:pPr>
        <w:spacing w:after="0" w:line="240" w:lineRule="auto"/>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PRIMERO</w:t>
      </w:r>
      <w:r w:rsidRPr="006E437B">
        <w:rPr>
          <w:rFonts w:ascii="Times New Roman" w:hAnsi="Times New Roman" w:cs="Times New Roman"/>
          <w:sz w:val="24"/>
          <w:szCs w:val="24"/>
        </w:rPr>
        <w:t xml:space="preserve">.- Publíquese el presente Decreto en el Periódico Oficial “Gaceta del Gobierno”. </w:t>
      </w:r>
    </w:p>
    <w:p w:rsidR="008974B9" w:rsidRPr="006E437B" w:rsidRDefault="008974B9" w:rsidP="00C628E2">
      <w:pPr>
        <w:spacing w:after="0" w:line="240" w:lineRule="auto"/>
        <w:jc w:val="both"/>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SEGUNDO</w:t>
      </w:r>
      <w:r w:rsidRPr="006E437B">
        <w:rPr>
          <w:rFonts w:ascii="Times New Roman" w:hAnsi="Times New Roman" w:cs="Times New Roman"/>
          <w:sz w:val="24"/>
          <w:szCs w:val="24"/>
        </w:rPr>
        <w:t xml:space="preserve">.- El presente Decreto entrará en vigor al día siguiente de su publicación en el Periódico Oficial “Gaceta del Gobierno”. </w:t>
      </w:r>
    </w:p>
    <w:p w:rsidR="008974B9" w:rsidRPr="006E437B" w:rsidRDefault="008974B9" w:rsidP="00C628E2">
      <w:pPr>
        <w:spacing w:after="0" w:line="240" w:lineRule="auto"/>
        <w:jc w:val="both"/>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Lo tendrá entendido la Gobernadora del Estado, haciendo que se publique y se cumpla. </w:t>
      </w:r>
    </w:p>
    <w:p w:rsidR="008974B9" w:rsidRPr="006E437B" w:rsidRDefault="008974B9" w:rsidP="00C628E2">
      <w:pPr>
        <w:spacing w:after="0" w:line="240" w:lineRule="auto"/>
        <w:jc w:val="both"/>
        <w:rPr>
          <w:rFonts w:ascii="Times New Roman" w:hAnsi="Times New Roman" w:cs="Times New Roman"/>
          <w:sz w:val="24"/>
          <w:szCs w:val="24"/>
        </w:rPr>
      </w:pPr>
    </w:p>
    <w:p w:rsidR="008974B9" w:rsidRPr="006E437B" w:rsidRDefault="008974B9" w:rsidP="00C628E2">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Dado en el Palacio del Poder Legislativo, en la ciudad de Toluca de Lerdo, Capital del Estado de México, a los </w:t>
      </w:r>
      <w:r w:rsidRPr="006E437B">
        <w:rPr>
          <w:rFonts w:ascii="Times New Roman" w:hAnsi="Times New Roman" w:cs="Times New Roman"/>
          <w:sz w:val="24"/>
          <w:szCs w:val="24"/>
          <w:u w:val="single" w:color="000000"/>
        </w:rPr>
        <w:t xml:space="preserve"> </w:t>
      </w:r>
      <w:r w:rsidRPr="006E437B">
        <w:rPr>
          <w:rFonts w:ascii="Times New Roman" w:hAnsi="Times New Roman" w:cs="Times New Roman"/>
          <w:sz w:val="24"/>
          <w:szCs w:val="24"/>
          <w:u w:val="single" w:color="000000"/>
        </w:rPr>
        <w:tab/>
      </w:r>
      <w:r w:rsidRPr="006E437B">
        <w:rPr>
          <w:rFonts w:ascii="Times New Roman" w:hAnsi="Times New Roman" w:cs="Times New Roman"/>
          <w:sz w:val="24"/>
          <w:szCs w:val="24"/>
        </w:rPr>
        <w:t xml:space="preserve">días del mes de </w:t>
      </w:r>
      <w:r w:rsidRPr="006E437B">
        <w:rPr>
          <w:rFonts w:ascii="Times New Roman" w:hAnsi="Times New Roman" w:cs="Times New Roman"/>
          <w:sz w:val="24"/>
          <w:szCs w:val="24"/>
          <w:u w:val="single" w:color="000000"/>
        </w:rPr>
        <w:t xml:space="preserve"> </w:t>
      </w:r>
      <w:r w:rsidRPr="006E437B">
        <w:rPr>
          <w:rFonts w:ascii="Times New Roman" w:hAnsi="Times New Roman" w:cs="Times New Roman"/>
          <w:sz w:val="24"/>
          <w:szCs w:val="24"/>
          <w:u w:val="single" w:color="000000"/>
        </w:rPr>
        <w:tab/>
      </w:r>
      <w:r w:rsidRPr="006E437B">
        <w:rPr>
          <w:rFonts w:ascii="Times New Roman" w:hAnsi="Times New Roman" w:cs="Times New Roman"/>
          <w:sz w:val="24"/>
          <w:szCs w:val="24"/>
        </w:rPr>
        <w:t>del año dos mil veintiséis.</w:t>
      </w:r>
      <w:bookmarkEnd w:id="12"/>
    </w:p>
    <w:p w:rsidR="00716A20" w:rsidRPr="006E437B" w:rsidRDefault="00716A20" w:rsidP="00141629">
      <w:pPr>
        <w:pStyle w:val="Sinespaciado"/>
        <w:jc w:val="both"/>
        <w:rPr>
          <w:rFonts w:ascii="Times New Roman" w:hAnsi="Times New Roman" w:cs="Times New Roman"/>
          <w:sz w:val="24"/>
          <w:szCs w:val="24"/>
        </w:rPr>
      </w:pPr>
    </w:p>
    <w:p w:rsidR="00716A20" w:rsidRPr="006E437B" w:rsidRDefault="00716A20"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716A20" w:rsidRPr="006E437B" w:rsidRDefault="00716A20" w:rsidP="00141629">
      <w:pPr>
        <w:pStyle w:val="Sinespaciado"/>
        <w:jc w:val="both"/>
        <w:rPr>
          <w:rFonts w:ascii="Times New Roman" w:hAnsi="Times New Roman" w:cs="Times New Roman"/>
          <w:sz w:val="24"/>
          <w:szCs w:val="24"/>
        </w:rPr>
      </w:pPr>
    </w:p>
    <w:p w:rsidR="00A83710"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 diputada.</w:t>
      </w:r>
    </w:p>
    <w:p w:rsidR="00A83710"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Se registra la iniciativa y se remite a las </w:t>
      </w:r>
      <w:r w:rsidR="003D1071" w:rsidRPr="006E437B">
        <w:rPr>
          <w:rFonts w:ascii="Times New Roman" w:hAnsi="Times New Roman" w:cs="Times New Roman"/>
          <w:sz w:val="24"/>
          <w:szCs w:val="24"/>
        </w:rPr>
        <w:t xml:space="preserve">Comisiones Legislativas </w:t>
      </w:r>
      <w:r w:rsidRPr="006E437B">
        <w:rPr>
          <w:rFonts w:ascii="Times New Roman" w:hAnsi="Times New Roman" w:cs="Times New Roman"/>
          <w:sz w:val="24"/>
          <w:szCs w:val="24"/>
        </w:rPr>
        <w:t>de Recursos Hidráulicos y de Desarrollo Urbano</w:t>
      </w:r>
      <w:r w:rsidR="00D377B5" w:rsidRPr="006E437B">
        <w:rPr>
          <w:rFonts w:ascii="Times New Roman" w:hAnsi="Times New Roman" w:cs="Times New Roman"/>
          <w:sz w:val="24"/>
          <w:szCs w:val="24"/>
        </w:rPr>
        <w:t>,</w:t>
      </w:r>
      <w:r w:rsidRPr="006E437B">
        <w:rPr>
          <w:rFonts w:ascii="Times New Roman" w:hAnsi="Times New Roman" w:cs="Times New Roman"/>
          <w:sz w:val="24"/>
          <w:szCs w:val="24"/>
        </w:rPr>
        <w:t xml:space="preserve"> para su estudio y dictamen.</w:t>
      </w:r>
    </w:p>
    <w:p w:rsidR="00A83710"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relación con el punto 18, el diputado Omar Ortega Álvarez, leerá esta Iniciativa con Proyecto de Decreto por la que se adiciona</w:t>
      </w:r>
      <w:r w:rsidR="003D1071" w:rsidRPr="006E437B">
        <w:rPr>
          <w:rFonts w:ascii="Times New Roman" w:hAnsi="Times New Roman" w:cs="Times New Roman"/>
          <w:sz w:val="24"/>
          <w:szCs w:val="24"/>
        </w:rPr>
        <w:t>n</w:t>
      </w:r>
      <w:r w:rsidRPr="006E437B">
        <w:rPr>
          <w:rFonts w:ascii="Times New Roman" w:hAnsi="Times New Roman" w:cs="Times New Roman"/>
          <w:sz w:val="24"/>
          <w:szCs w:val="24"/>
        </w:rPr>
        <w:t xml:space="preserve"> la fracción XIX</w:t>
      </w:r>
      <w:r w:rsidR="003C46FD" w:rsidRPr="006E437B">
        <w:rPr>
          <w:rFonts w:ascii="Times New Roman" w:hAnsi="Times New Roman" w:cs="Times New Roman"/>
          <w:sz w:val="24"/>
          <w:szCs w:val="24"/>
        </w:rPr>
        <w:t>,</w:t>
      </w:r>
      <w:r w:rsidRPr="006E437B">
        <w:rPr>
          <w:rFonts w:ascii="Times New Roman" w:hAnsi="Times New Roman" w:cs="Times New Roman"/>
          <w:sz w:val="24"/>
          <w:szCs w:val="24"/>
        </w:rPr>
        <w:t xml:space="preserve"> recorriéndose los subsecuentes del artículo 3, se reforma la fracción IV del artículo 11, se crea el Capítulo III Bis</w:t>
      </w:r>
      <w:r w:rsidR="003C46FD" w:rsidRPr="006E437B">
        <w:rPr>
          <w:rFonts w:ascii="Times New Roman" w:hAnsi="Times New Roman" w:cs="Times New Roman"/>
          <w:sz w:val="24"/>
          <w:szCs w:val="24"/>
        </w:rPr>
        <w:t>, d</w:t>
      </w:r>
      <w:r w:rsidRPr="006E437B">
        <w:rPr>
          <w:rFonts w:ascii="Times New Roman" w:hAnsi="Times New Roman" w:cs="Times New Roman"/>
          <w:sz w:val="24"/>
          <w:szCs w:val="24"/>
        </w:rPr>
        <w:t>e la Atención a las Enfermedades Crónicas y Potencialmente Discapacitantes dentro del Título Sexto de la Promoción, Prevención y Control de Enfermedades, se adicionan los artículos 111 Bis, 111 Ter, 111 Quater, 111 Quinquies y 111 Sexties de la Ley de Salud del Estado de México, en materia de reconocimiento de Enfermedades Crónicas y Potencialmente Discapacitantes, como lo es la fibromialgia, síndrome de dolor crónico y condiciones neurobiológicas fluctuantes, presentada por el Grupo Parlamentario del Partido de la Revolución Democrática</w:t>
      </w:r>
      <w:r w:rsidR="00485ABB" w:rsidRPr="006E437B">
        <w:rPr>
          <w:rFonts w:ascii="Times New Roman" w:hAnsi="Times New Roman" w:cs="Times New Roman"/>
          <w:sz w:val="24"/>
          <w:szCs w:val="24"/>
        </w:rPr>
        <w:t>, a</w:t>
      </w:r>
      <w:r w:rsidRPr="006E437B">
        <w:rPr>
          <w:rFonts w:ascii="Times New Roman" w:hAnsi="Times New Roman" w:cs="Times New Roman"/>
          <w:sz w:val="24"/>
          <w:szCs w:val="24"/>
        </w:rPr>
        <w:t>delante diputado.</w:t>
      </w:r>
    </w:p>
    <w:p w:rsidR="00A83710"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DIP. OMAR ORTEGA ÁLVAREZ. Con el permiso de la Mesa Directiva, de mis compañeros, compañeras y compañere de esta “LXII” Legislatura y de los medios de comunicación que nos siguen</w:t>
      </w:r>
      <w:r w:rsidR="00D94C47" w:rsidRPr="006E437B">
        <w:rPr>
          <w:rFonts w:ascii="Times New Roman" w:hAnsi="Times New Roman" w:cs="Times New Roman"/>
          <w:sz w:val="24"/>
          <w:szCs w:val="24"/>
        </w:rPr>
        <w:t>,</w:t>
      </w:r>
      <w:r w:rsidRPr="006E437B">
        <w:rPr>
          <w:rFonts w:ascii="Times New Roman" w:hAnsi="Times New Roman" w:cs="Times New Roman"/>
          <w:sz w:val="24"/>
          <w:szCs w:val="24"/>
        </w:rPr>
        <w:t xml:space="preserve"> a través de las diferentes redes sociales y al público en general.</w:t>
      </w:r>
    </w:p>
    <w:p w:rsidR="00742C86" w:rsidRPr="006E437B" w:rsidRDefault="00A83710"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Hoy vengo a esta tribuna a hablar de algo </w:t>
      </w:r>
      <w:r w:rsidR="00742C86" w:rsidRPr="006E437B">
        <w:rPr>
          <w:rFonts w:ascii="Times New Roman" w:hAnsi="Times New Roman" w:cs="Times New Roman"/>
          <w:sz w:val="24"/>
          <w:szCs w:val="24"/>
        </w:rPr>
        <w:t>que,</w:t>
      </w:r>
      <w:r w:rsidRPr="006E437B">
        <w:rPr>
          <w:rFonts w:ascii="Times New Roman" w:hAnsi="Times New Roman" w:cs="Times New Roman"/>
          <w:sz w:val="24"/>
          <w:szCs w:val="24"/>
        </w:rPr>
        <w:t xml:space="preserve"> durante mucho tiempo</w:t>
      </w:r>
      <w:r w:rsidR="00D94C47" w:rsidRPr="006E437B">
        <w:rPr>
          <w:rFonts w:ascii="Times New Roman" w:hAnsi="Times New Roman" w:cs="Times New Roman"/>
          <w:sz w:val="24"/>
          <w:szCs w:val="24"/>
        </w:rPr>
        <w:t>,</w:t>
      </w:r>
      <w:r w:rsidRPr="006E437B">
        <w:rPr>
          <w:rFonts w:ascii="Times New Roman" w:hAnsi="Times New Roman" w:cs="Times New Roman"/>
          <w:sz w:val="24"/>
          <w:szCs w:val="24"/>
        </w:rPr>
        <w:t xml:space="preserve"> ha sido muy difícil de explicar</w:t>
      </w:r>
      <w:r w:rsidR="00D94C47"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w:t>
      </w:r>
      <w:r w:rsidR="00742C86" w:rsidRPr="006E437B">
        <w:rPr>
          <w:rFonts w:ascii="Times New Roman" w:hAnsi="Times New Roman" w:cs="Times New Roman"/>
          <w:sz w:val="24"/>
          <w:szCs w:val="24"/>
        </w:rPr>
        <w:t>que,</w:t>
      </w:r>
      <w:r w:rsidRPr="006E437B">
        <w:rPr>
          <w:rFonts w:ascii="Times New Roman" w:hAnsi="Times New Roman" w:cs="Times New Roman"/>
          <w:sz w:val="24"/>
          <w:szCs w:val="24"/>
        </w:rPr>
        <w:t xml:space="preserve"> para miles de personas</w:t>
      </w:r>
      <w:r w:rsidR="00D94C47" w:rsidRPr="006E437B">
        <w:rPr>
          <w:rFonts w:ascii="Times New Roman" w:hAnsi="Times New Roman" w:cs="Times New Roman"/>
          <w:sz w:val="24"/>
          <w:szCs w:val="24"/>
        </w:rPr>
        <w:t>,</w:t>
      </w:r>
      <w:r w:rsidRPr="006E437B">
        <w:rPr>
          <w:rFonts w:ascii="Times New Roman" w:hAnsi="Times New Roman" w:cs="Times New Roman"/>
          <w:sz w:val="24"/>
          <w:szCs w:val="24"/>
        </w:rPr>
        <w:t xml:space="preserve"> es una realidad cotidiana, el dolor, un dolor que no siempre se ve, que muchas veces no aparece en los diagnósticos de laboratorio, en la radiografía, en las imágenes médicas</w:t>
      </w:r>
      <w:r w:rsidR="00D94C47" w:rsidRPr="006E437B">
        <w:rPr>
          <w:rFonts w:ascii="Times New Roman" w:hAnsi="Times New Roman" w:cs="Times New Roman"/>
          <w:sz w:val="24"/>
          <w:szCs w:val="24"/>
        </w:rPr>
        <w:t>;</w:t>
      </w:r>
      <w:r w:rsidRPr="006E437B">
        <w:rPr>
          <w:rFonts w:ascii="Times New Roman" w:hAnsi="Times New Roman" w:cs="Times New Roman"/>
          <w:sz w:val="24"/>
          <w:szCs w:val="24"/>
        </w:rPr>
        <w:t xml:space="preserve"> pero que existe</w:t>
      </w:r>
      <w:r w:rsidR="00742C86" w:rsidRPr="006E437B">
        <w:rPr>
          <w:rFonts w:ascii="Times New Roman" w:hAnsi="Times New Roman" w:cs="Times New Roman"/>
          <w:sz w:val="24"/>
          <w:szCs w:val="24"/>
        </w:rPr>
        <w:t>.</w:t>
      </w:r>
    </w:p>
    <w:p w:rsidR="004C6F5E" w:rsidRPr="006E437B" w:rsidRDefault="00742C86"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En </w:t>
      </w:r>
      <w:r w:rsidR="00A83710" w:rsidRPr="006E437B">
        <w:rPr>
          <w:rFonts w:ascii="Times New Roman" w:hAnsi="Times New Roman" w:cs="Times New Roman"/>
          <w:sz w:val="24"/>
          <w:szCs w:val="24"/>
        </w:rPr>
        <w:t>primera instancia</w:t>
      </w:r>
      <w:r w:rsidRPr="006E437B">
        <w:rPr>
          <w:rFonts w:ascii="Times New Roman" w:hAnsi="Times New Roman" w:cs="Times New Roman"/>
          <w:sz w:val="24"/>
          <w:szCs w:val="24"/>
        </w:rPr>
        <w:t>,</w:t>
      </w:r>
      <w:r w:rsidR="00A83710" w:rsidRPr="006E437B">
        <w:rPr>
          <w:rFonts w:ascii="Times New Roman" w:hAnsi="Times New Roman" w:cs="Times New Roman"/>
          <w:sz w:val="24"/>
          <w:szCs w:val="24"/>
        </w:rPr>
        <w:t xml:space="preserve"> quiero darle la más cálida y cordial bienvenida a Fátima Ibarra Ayala, a Elizabeth Rojas y a Magda Aparicio, todas ellas cofundadoras de la Asociación Integral de la Fibromialgia FIA México; así como a </w:t>
      </w:r>
      <w:r w:rsidR="00745DE1" w:rsidRPr="006E437B">
        <w:rPr>
          <w:rFonts w:ascii="Times New Roman" w:hAnsi="Times New Roman" w:cs="Times New Roman"/>
          <w:sz w:val="24"/>
          <w:szCs w:val="24"/>
        </w:rPr>
        <w:t>las personas</w:t>
      </w:r>
      <w:r w:rsidR="009E7D58" w:rsidRPr="006E437B">
        <w:rPr>
          <w:rFonts w:ascii="Times New Roman" w:hAnsi="Times New Roman" w:cs="Times New Roman"/>
          <w:sz w:val="24"/>
          <w:szCs w:val="24"/>
        </w:rPr>
        <w:t xml:space="preserve"> </w:t>
      </w:r>
      <w:r w:rsidR="004C6F5E" w:rsidRPr="006E437B">
        <w:rPr>
          <w:rFonts w:ascii="Times New Roman" w:hAnsi="Times New Roman" w:cs="Times New Roman"/>
          <w:sz w:val="24"/>
          <w:szCs w:val="24"/>
        </w:rPr>
        <w:t>que las acompañan en esta lucha por el reconocimiento y la dignificación de quienes viven con esta enfermedad, esta es su casa</w:t>
      </w:r>
      <w:r w:rsidR="00B02442" w:rsidRPr="006E437B">
        <w:rPr>
          <w:rFonts w:ascii="Times New Roman" w:hAnsi="Times New Roman" w:cs="Times New Roman"/>
          <w:sz w:val="24"/>
          <w:szCs w:val="24"/>
        </w:rPr>
        <w:t>,</w:t>
      </w:r>
      <w:r w:rsidR="004C6F5E" w:rsidRPr="006E437B">
        <w:rPr>
          <w:rFonts w:ascii="Times New Roman" w:hAnsi="Times New Roman" w:cs="Times New Roman"/>
          <w:sz w:val="24"/>
          <w:szCs w:val="24"/>
        </w:rPr>
        <w:t xml:space="preserve"> bienvenidas. </w:t>
      </w:r>
    </w:p>
    <w:p w:rsidR="007B1D6F"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esto, desde el Grupo Parlamentario del PRD y en nombre del FIA México, presentamos a esta iniciativa para reconocer en nuestra Ley de Salud del Estado de México la </w:t>
      </w:r>
      <w:r w:rsidR="001B017B" w:rsidRPr="006E437B">
        <w:rPr>
          <w:rFonts w:ascii="Times New Roman" w:hAnsi="Times New Roman" w:cs="Times New Roman"/>
          <w:sz w:val="24"/>
          <w:szCs w:val="24"/>
        </w:rPr>
        <w:t>Fibromialgia</w:t>
      </w:r>
      <w:r w:rsidRPr="006E437B">
        <w:rPr>
          <w:rFonts w:ascii="Times New Roman" w:hAnsi="Times New Roman" w:cs="Times New Roman"/>
          <w:sz w:val="24"/>
          <w:szCs w:val="24"/>
        </w:rPr>
        <w:t xml:space="preserve">, a los síndromes de dolor crónico, a otras condiciones neurobiológicas </w:t>
      </w:r>
      <w:r w:rsidR="00E93D5F" w:rsidRPr="006E437B">
        <w:rPr>
          <w:rFonts w:ascii="Times New Roman" w:hAnsi="Times New Roman" w:cs="Times New Roman"/>
          <w:sz w:val="24"/>
          <w:szCs w:val="24"/>
        </w:rPr>
        <w:t>fulgurantes</w:t>
      </w:r>
      <w:r w:rsidRPr="006E437B">
        <w:rPr>
          <w:rFonts w:ascii="Times New Roman" w:hAnsi="Times New Roman" w:cs="Times New Roman"/>
          <w:sz w:val="24"/>
          <w:szCs w:val="24"/>
        </w:rPr>
        <w:t xml:space="preserve"> como enfermedades crónicas y potencialmente </w:t>
      </w:r>
      <w:r w:rsidR="00E93D5F" w:rsidRPr="006E437B">
        <w:rPr>
          <w:rFonts w:ascii="Times New Roman" w:hAnsi="Times New Roman" w:cs="Times New Roman"/>
          <w:sz w:val="24"/>
          <w:szCs w:val="24"/>
        </w:rPr>
        <w:t>discapacitantes y</w:t>
      </w:r>
      <w:r w:rsidRPr="006E437B">
        <w:rPr>
          <w:rFonts w:ascii="Times New Roman" w:hAnsi="Times New Roman" w:cs="Times New Roman"/>
          <w:sz w:val="24"/>
          <w:szCs w:val="24"/>
        </w:rPr>
        <w:t xml:space="preserve"> quiero decirlo con absoluta claridad, no estamos legislando sobre algo que no conocemos</w:t>
      </w:r>
      <w:r w:rsidR="007B1D6F" w:rsidRPr="006E437B">
        <w:rPr>
          <w:rFonts w:ascii="Times New Roman" w:hAnsi="Times New Roman" w:cs="Times New Roman"/>
          <w:sz w:val="24"/>
          <w:szCs w:val="24"/>
        </w:rPr>
        <w:t>.</w:t>
      </w:r>
    </w:p>
    <w:p w:rsidR="007B1D6F" w:rsidRPr="006E437B" w:rsidRDefault="007B1D6F"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Esta </w:t>
      </w:r>
      <w:r w:rsidR="004C6F5E" w:rsidRPr="006E437B">
        <w:rPr>
          <w:rFonts w:ascii="Times New Roman" w:hAnsi="Times New Roman" w:cs="Times New Roman"/>
          <w:sz w:val="24"/>
          <w:szCs w:val="24"/>
        </w:rPr>
        <w:t xml:space="preserve">iniciativa nace de la escucha activa, nace de las personas </w:t>
      </w:r>
      <w:r w:rsidRPr="006E437B">
        <w:rPr>
          <w:rFonts w:ascii="Times New Roman" w:hAnsi="Times New Roman" w:cs="Times New Roman"/>
          <w:sz w:val="24"/>
          <w:szCs w:val="24"/>
        </w:rPr>
        <w:t>que,</w:t>
      </w:r>
      <w:r w:rsidR="004C6F5E" w:rsidRPr="006E437B">
        <w:rPr>
          <w:rFonts w:ascii="Times New Roman" w:hAnsi="Times New Roman" w:cs="Times New Roman"/>
          <w:sz w:val="24"/>
          <w:szCs w:val="24"/>
        </w:rPr>
        <w:t xml:space="preserve"> durante años</w:t>
      </w:r>
      <w:r w:rsidRPr="006E437B">
        <w:rPr>
          <w:rFonts w:ascii="Times New Roman" w:hAnsi="Times New Roman" w:cs="Times New Roman"/>
          <w:sz w:val="24"/>
          <w:szCs w:val="24"/>
        </w:rPr>
        <w:t>,</w:t>
      </w:r>
      <w:r w:rsidR="004C6F5E" w:rsidRPr="006E437B">
        <w:rPr>
          <w:rFonts w:ascii="Times New Roman" w:hAnsi="Times New Roman" w:cs="Times New Roman"/>
          <w:sz w:val="24"/>
          <w:szCs w:val="24"/>
        </w:rPr>
        <w:t xml:space="preserve"> han tenido que explicar una y otra vez</w:t>
      </w:r>
      <w:r w:rsidRPr="006E437B">
        <w:rPr>
          <w:rFonts w:ascii="Times New Roman" w:hAnsi="Times New Roman" w:cs="Times New Roman"/>
          <w:sz w:val="24"/>
          <w:szCs w:val="24"/>
        </w:rPr>
        <w:t>,</w:t>
      </w:r>
      <w:r w:rsidR="004C6F5E" w:rsidRPr="006E437B">
        <w:rPr>
          <w:rFonts w:ascii="Times New Roman" w:hAnsi="Times New Roman" w:cs="Times New Roman"/>
          <w:sz w:val="24"/>
          <w:szCs w:val="24"/>
        </w:rPr>
        <w:t xml:space="preserve"> que su dolor es real, de quienes han tenido que recorrer consultorios, hospitales y especialistas buscando que los puedan diagnosticar.</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Hace algunos meses</w:t>
      </w:r>
      <w:r w:rsidR="007B1D6F" w:rsidRPr="006E437B">
        <w:rPr>
          <w:rFonts w:ascii="Times New Roman" w:hAnsi="Times New Roman" w:cs="Times New Roman"/>
          <w:sz w:val="24"/>
          <w:szCs w:val="24"/>
        </w:rPr>
        <w:t>,</w:t>
      </w:r>
      <w:r w:rsidRPr="006E437B">
        <w:rPr>
          <w:rFonts w:ascii="Times New Roman" w:hAnsi="Times New Roman" w:cs="Times New Roman"/>
          <w:sz w:val="24"/>
          <w:szCs w:val="24"/>
        </w:rPr>
        <w:t xml:space="preserve"> abrimos las puertas de esta Cámara de Diputados para escuchar a personas que viven con fibromialgia, a sus familias, a especialistas y a organizaciones y ahí asumimos el compromiso, llevar esta voz al Poder Legislativo. </w:t>
      </w:r>
    </w:p>
    <w:p w:rsidR="00BB3EFF"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Hoy</w:t>
      </w:r>
      <w:r w:rsidR="005A12A2" w:rsidRPr="006E437B">
        <w:rPr>
          <w:rFonts w:ascii="Times New Roman" w:hAnsi="Times New Roman" w:cs="Times New Roman"/>
          <w:sz w:val="24"/>
          <w:szCs w:val="24"/>
        </w:rPr>
        <w:t>,</w:t>
      </w:r>
      <w:r w:rsidRPr="006E437B">
        <w:rPr>
          <w:rFonts w:ascii="Times New Roman" w:hAnsi="Times New Roman" w:cs="Times New Roman"/>
          <w:sz w:val="24"/>
          <w:szCs w:val="24"/>
        </w:rPr>
        <w:t xml:space="preserve"> estamos cumpliendo ese compromiso</w:t>
      </w:r>
      <w:r w:rsidR="005A12A2" w:rsidRPr="006E437B">
        <w:rPr>
          <w:rFonts w:ascii="Times New Roman" w:hAnsi="Times New Roman" w:cs="Times New Roman"/>
          <w:sz w:val="24"/>
          <w:szCs w:val="24"/>
        </w:rPr>
        <w:t>,</w:t>
      </w:r>
      <w:r w:rsidRPr="006E437B">
        <w:rPr>
          <w:rFonts w:ascii="Times New Roman" w:hAnsi="Times New Roman" w:cs="Times New Roman"/>
          <w:sz w:val="24"/>
          <w:szCs w:val="24"/>
        </w:rPr>
        <w:t xml:space="preserve"> porque creemos que el trabajo legislativo no debe comenzar y terminar detrás solamente de un escritorio; lastimosamente</w:t>
      </w:r>
      <w:r w:rsidR="005A12A2" w:rsidRPr="006E437B">
        <w:rPr>
          <w:rFonts w:ascii="Times New Roman" w:hAnsi="Times New Roman" w:cs="Times New Roman"/>
          <w:sz w:val="24"/>
          <w:szCs w:val="24"/>
        </w:rPr>
        <w:t>,</w:t>
      </w:r>
      <w:r w:rsidRPr="006E437B">
        <w:rPr>
          <w:rFonts w:ascii="Times New Roman" w:hAnsi="Times New Roman" w:cs="Times New Roman"/>
          <w:sz w:val="24"/>
          <w:szCs w:val="24"/>
        </w:rPr>
        <w:t xml:space="preserve"> compañeras y compañeros</w:t>
      </w:r>
      <w:r w:rsidR="005A12A2" w:rsidRPr="006E437B">
        <w:rPr>
          <w:rFonts w:ascii="Times New Roman" w:hAnsi="Times New Roman" w:cs="Times New Roman"/>
          <w:sz w:val="24"/>
          <w:szCs w:val="24"/>
        </w:rPr>
        <w:t>,</w:t>
      </w:r>
      <w:r w:rsidRPr="006E437B">
        <w:rPr>
          <w:rFonts w:ascii="Times New Roman" w:hAnsi="Times New Roman" w:cs="Times New Roman"/>
          <w:sz w:val="24"/>
          <w:szCs w:val="24"/>
        </w:rPr>
        <w:t xml:space="preserve"> la fibromialgia puede afectar entre el </w:t>
      </w:r>
      <w:r w:rsidR="005A12A2" w:rsidRPr="006E437B">
        <w:rPr>
          <w:rFonts w:ascii="Times New Roman" w:hAnsi="Times New Roman" w:cs="Times New Roman"/>
          <w:sz w:val="24"/>
          <w:szCs w:val="24"/>
        </w:rPr>
        <w:t>4</w:t>
      </w:r>
      <w:r w:rsidRPr="006E437B">
        <w:rPr>
          <w:rFonts w:ascii="Times New Roman" w:hAnsi="Times New Roman" w:cs="Times New Roman"/>
          <w:sz w:val="24"/>
          <w:szCs w:val="24"/>
        </w:rPr>
        <w:t xml:space="preserve"> y el 5% de los ciudadanos del Estado de México, y particularmente a las mujeres</w:t>
      </w:r>
      <w:r w:rsidR="005A12A2" w:rsidRPr="006E437B">
        <w:rPr>
          <w:rFonts w:ascii="Times New Roman" w:hAnsi="Times New Roman" w:cs="Times New Roman"/>
          <w:sz w:val="24"/>
          <w:szCs w:val="24"/>
        </w:rPr>
        <w:t>;</w:t>
      </w:r>
      <w:r w:rsidRPr="006E437B">
        <w:rPr>
          <w:rFonts w:ascii="Times New Roman" w:hAnsi="Times New Roman" w:cs="Times New Roman"/>
          <w:sz w:val="24"/>
          <w:szCs w:val="24"/>
        </w:rPr>
        <w:t xml:space="preserve"> es decir, a cientos de miles de ciudadanos del Estado de México</w:t>
      </w:r>
      <w:r w:rsidR="00BB3EFF" w:rsidRPr="006E437B">
        <w:rPr>
          <w:rFonts w:ascii="Times New Roman" w:hAnsi="Times New Roman" w:cs="Times New Roman"/>
          <w:sz w:val="24"/>
          <w:szCs w:val="24"/>
        </w:rPr>
        <w:t>.</w:t>
      </w:r>
    </w:p>
    <w:p w:rsidR="00E44DCB" w:rsidRPr="006E437B" w:rsidRDefault="00BB3EFF"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w:t>
      </w:r>
      <w:r w:rsidR="004C6F5E" w:rsidRPr="006E437B">
        <w:rPr>
          <w:rFonts w:ascii="Times New Roman" w:hAnsi="Times New Roman" w:cs="Times New Roman"/>
          <w:sz w:val="24"/>
          <w:szCs w:val="24"/>
        </w:rPr>
        <w:t>eso</w:t>
      </w:r>
      <w:r w:rsidRPr="006E437B">
        <w:rPr>
          <w:rFonts w:ascii="Times New Roman" w:hAnsi="Times New Roman" w:cs="Times New Roman"/>
          <w:sz w:val="24"/>
          <w:szCs w:val="24"/>
        </w:rPr>
        <w:t>,</w:t>
      </w:r>
      <w:r w:rsidR="004C6F5E" w:rsidRPr="006E437B">
        <w:rPr>
          <w:rFonts w:ascii="Times New Roman" w:hAnsi="Times New Roman" w:cs="Times New Roman"/>
          <w:sz w:val="24"/>
          <w:szCs w:val="24"/>
        </w:rPr>
        <w:t xml:space="preserve"> esta iniciativa propone reconocer la figura de la de la discapacidad invisible</w:t>
      </w:r>
      <w:r w:rsidRPr="006E437B">
        <w:rPr>
          <w:rFonts w:ascii="Times New Roman" w:hAnsi="Times New Roman" w:cs="Times New Roman"/>
          <w:sz w:val="24"/>
          <w:szCs w:val="24"/>
        </w:rPr>
        <w:t>,</w:t>
      </w:r>
      <w:r w:rsidR="004C6F5E" w:rsidRPr="006E437B">
        <w:rPr>
          <w:rFonts w:ascii="Times New Roman" w:hAnsi="Times New Roman" w:cs="Times New Roman"/>
          <w:sz w:val="24"/>
          <w:szCs w:val="24"/>
        </w:rPr>
        <w:t xml:space="preserve"> derivada de este padecimiento, porque es un padecimiento crónico que genera dolor crónico de difícil control y condiciones neuro biológicas </w:t>
      </w:r>
      <w:r w:rsidRPr="006E437B">
        <w:rPr>
          <w:rFonts w:ascii="Times New Roman" w:hAnsi="Times New Roman" w:cs="Times New Roman"/>
          <w:sz w:val="24"/>
          <w:szCs w:val="24"/>
        </w:rPr>
        <w:t>f</w:t>
      </w:r>
      <w:r w:rsidR="00E44DCB" w:rsidRPr="006E437B">
        <w:rPr>
          <w:rFonts w:ascii="Times New Roman" w:hAnsi="Times New Roman" w:cs="Times New Roman"/>
          <w:sz w:val="24"/>
          <w:szCs w:val="24"/>
        </w:rPr>
        <w:t>i</w:t>
      </w:r>
      <w:r w:rsidRPr="006E437B">
        <w:rPr>
          <w:rFonts w:ascii="Times New Roman" w:hAnsi="Times New Roman" w:cs="Times New Roman"/>
          <w:sz w:val="24"/>
          <w:szCs w:val="24"/>
        </w:rPr>
        <w:t>ltrantes</w:t>
      </w:r>
      <w:r w:rsidR="00E44DCB" w:rsidRPr="006E437B">
        <w:rPr>
          <w:rFonts w:ascii="Times New Roman" w:hAnsi="Times New Roman" w:cs="Times New Roman"/>
          <w:sz w:val="24"/>
          <w:szCs w:val="24"/>
        </w:rPr>
        <w:t>.</w:t>
      </w:r>
    </w:p>
    <w:p w:rsidR="004C6F5E" w:rsidRPr="006E437B" w:rsidRDefault="00E44DCB"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w:t>
      </w:r>
      <w:r w:rsidR="004C6F5E" w:rsidRPr="006E437B">
        <w:rPr>
          <w:rFonts w:ascii="Times New Roman" w:hAnsi="Times New Roman" w:cs="Times New Roman"/>
          <w:sz w:val="24"/>
          <w:szCs w:val="24"/>
        </w:rPr>
        <w:t>lo cual</w:t>
      </w:r>
      <w:r w:rsidRPr="006E437B">
        <w:rPr>
          <w:rFonts w:ascii="Times New Roman" w:hAnsi="Times New Roman" w:cs="Times New Roman"/>
          <w:sz w:val="24"/>
          <w:szCs w:val="24"/>
        </w:rPr>
        <w:t>,</w:t>
      </w:r>
      <w:r w:rsidR="004C6F5E" w:rsidRPr="006E437B">
        <w:rPr>
          <w:rFonts w:ascii="Times New Roman" w:hAnsi="Times New Roman" w:cs="Times New Roman"/>
          <w:sz w:val="24"/>
          <w:szCs w:val="24"/>
        </w:rPr>
        <w:t xml:space="preserve"> proponemos que exista una atención gratuita y oportuna, así como el abordaje sea multidisciplinario e interdisciplinario que participen las áreas de reumatología, medicina del dolor y cuidados paliativos, salud mental, psicológica, nutrición y rehabilitación física, entre otras.</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También proponemos que los casos sean correctamente registrados y codificados utilizando las clasificaciones internacionales de estas enfermedades para que dejemos de caminar a ciegas</w:t>
      </w:r>
      <w:r w:rsidR="00860950" w:rsidRPr="006E437B">
        <w:rPr>
          <w:rFonts w:ascii="Times New Roman" w:hAnsi="Times New Roman" w:cs="Times New Roman"/>
          <w:sz w:val="24"/>
          <w:szCs w:val="24"/>
        </w:rPr>
        <w:t>,</w:t>
      </w:r>
      <w:r w:rsidRPr="006E437B">
        <w:rPr>
          <w:rFonts w:ascii="Times New Roman" w:hAnsi="Times New Roman" w:cs="Times New Roman"/>
          <w:sz w:val="24"/>
          <w:szCs w:val="24"/>
        </w:rPr>
        <w:t xml:space="preserve"> frente a la dimensión de este tremendo problema</w:t>
      </w:r>
      <w:r w:rsidR="00860950" w:rsidRPr="006E437B">
        <w:rPr>
          <w:rFonts w:ascii="Times New Roman" w:hAnsi="Times New Roman" w:cs="Times New Roman"/>
          <w:sz w:val="24"/>
          <w:szCs w:val="24"/>
        </w:rPr>
        <w:t>;</w:t>
      </w:r>
      <w:r w:rsidRPr="006E437B">
        <w:rPr>
          <w:rFonts w:ascii="Times New Roman" w:hAnsi="Times New Roman" w:cs="Times New Roman"/>
          <w:sz w:val="24"/>
          <w:szCs w:val="24"/>
        </w:rPr>
        <w:t xml:space="preserve"> además, planteamos la capacitación al personal de salud, particularmente en el primer nivel de atención para identificar señales de sospecha, realizar diagnósticos diferenciales y canalizar oportunamente a las personas, por qué una persona no debería pasar años buscando una respuesta que el sistema de salud pueda haber ayudado a encontrar mucho antes.</w:t>
      </w:r>
    </w:p>
    <w:p w:rsidR="004C6F5E" w:rsidRPr="006E437B" w:rsidRDefault="004C6F5E"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También proponemos reconocer identificadores visuales de adopción voluntaria, como el cordón de girasoles, para quienes viven con una discapacidad invisible, pueda recibir un trato digno, accesible y con los ajustes razonables que requiera, sin tener que justificar permanentemente su condición. </w:t>
      </w:r>
    </w:p>
    <w:p w:rsidR="00F91B57" w:rsidRPr="006E437B" w:rsidRDefault="004C6F5E" w:rsidP="00141629">
      <w:pPr>
        <w:pStyle w:val="Sinespaciado"/>
        <w:ind w:firstLine="708"/>
        <w:jc w:val="both"/>
        <w:rPr>
          <w:rFonts w:ascii="Times New Roman" w:eastAsia="Times New Roman" w:hAnsi="Times New Roman" w:cs="Times New Roman"/>
          <w:sz w:val="24"/>
          <w:szCs w:val="24"/>
          <w:lang w:eastAsia="es-MX"/>
        </w:rPr>
      </w:pPr>
      <w:r w:rsidRPr="006E437B">
        <w:rPr>
          <w:rFonts w:ascii="Times New Roman" w:hAnsi="Times New Roman" w:cs="Times New Roman"/>
          <w:sz w:val="24"/>
          <w:szCs w:val="24"/>
        </w:rPr>
        <w:t>Compañeras y compañeros</w:t>
      </w:r>
      <w:r w:rsidR="00722E1A" w:rsidRPr="006E437B">
        <w:rPr>
          <w:rFonts w:ascii="Times New Roman" w:hAnsi="Times New Roman" w:cs="Times New Roman"/>
          <w:sz w:val="24"/>
          <w:szCs w:val="24"/>
        </w:rPr>
        <w:t>,</w:t>
      </w:r>
      <w:r w:rsidRPr="006E437B">
        <w:rPr>
          <w:rFonts w:ascii="Times New Roman" w:hAnsi="Times New Roman" w:cs="Times New Roman"/>
          <w:sz w:val="24"/>
          <w:szCs w:val="24"/>
        </w:rPr>
        <w:t xml:space="preserve"> esta iniciativa no busca privilegios, s</w:t>
      </w:r>
      <w:r w:rsidR="00722E1A" w:rsidRPr="006E437B">
        <w:rPr>
          <w:rFonts w:ascii="Times New Roman" w:hAnsi="Times New Roman" w:cs="Times New Roman"/>
          <w:sz w:val="24"/>
          <w:szCs w:val="24"/>
        </w:rPr>
        <w:t>ó</w:t>
      </w:r>
      <w:r w:rsidRPr="006E437B">
        <w:rPr>
          <w:rFonts w:ascii="Times New Roman" w:hAnsi="Times New Roman" w:cs="Times New Roman"/>
          <w:sz w:val="24"/>
          <w:szCs w:val="24"/>
        </w:rPr>
        <w:t>lo busca derechos, por eso</w:t>
      </w:r>
      <w:r w:rsidR="00722E1A" w:rsidRPr="006E437B">
        <w:rPr>
          <w:rFonts w:ascii="Times New Roman" w:hAnsi="Times New Roman" w:cs="Times New Roman"/>
          <w:sz w:val="24"/>
          <w:szCs w:val="24"/>
        </w:rPr>
        <w:t>,</w:t>
      </w:r>
      <w:r w:rsidRPr="006E437B">
        <w:rPr>
          <w:rFonts w:ascii="Times New Roman" w:hAnsi="Times New Roman" w:cs="Times New Roman"/>
          <w:sz w:val="24"/>
          <w:szCs w:val="24"/>
        </w:rPr>
        <w:t xml:space="preserve"> hoy no venimos solamente a presentar una reforma</w:t>
      </w:r>
      <w:r w:rsidR="00722E1A" w:rsidRPr="006E437B">
        <w:rPr>
          <w:rFonts w:ascii="Times New Roman" w:hAnsi="Times New Roman" w:cs="Times New Roman"/>
          <w:sz w:val="24"/>
          <w:szCs w:val="24"/>
        </w:rPr>
        <w:t xml:space="preserve">. Venimos </w:t>
      </w:r>
      <w:r w:rsidR="00CC23EB" w:rsidRPr="006E437B">
        <w:rPr>
          <w:rFonts w:ascii="Times New Roman" w:hAnsi="Times New Roman" w:cs="Times New Roman"/>
          <w:sz w:val="24"/>
          <w:szCs w:val="24"/>
        </w:rPr>
        <w:t>a</w:t>
      </w:r>
      <w:r w:rsidR="0006149D" w:rsidRPr="006E437B">
        <w:rPr>
          <w:rFonts w:ascii="Times New Roman" w:eastAsia="Times New Roman" w:hAnsi="Times New Roman" w:cs="Times New Roman"/>
          <w:sz w:val="24"/>
          <w:szCs w:val="24"/>
          <w:lang w:eastAsia="es-MX"/>
        </w:rPr>
        <w:t xml:space="preserve"> decirles a las personas que viven con fibromialgia, los estamos escuchando su dolor no es invisible para este </w:t>
      </w:r>
      <w:r w:rsidR="00F91B57" w:rsidRPr="006E437B">
        <w:rPr>
          <w:rFonts w:ascii="Times New Roman" w:eastAsia="Times New Roman" w:hAnsi="Times New Roman" w:cs="Times New Roman"/>
          <w:sz w:val="24"/>
          <w:szCs w:val="24"/>
          <w:lang w:eastAsia="es-MX"/>
        </w:rPr>
        <w:t xml:space="preserve">Congreso </w:t>
      </w:r>
      <w:r w:rsidR="0006149D" w:rsidRPr="006E437B">
        <w:rPr>
          <w:rFonts w:ascii="Times New Roman" w:eastAsia="Times New Roman" w:hAnsi="Times New Roman" w:cs="Times New Roman"/>
          <w:sz w:val="24"/>
          <w:szCs w:val="24"/>
          <w:lang w:eastAsia="es-MX"/>
        </w:rPr>
        <w:t>y que su lucha no es ajena a esta Legislatura.</w:t>
      </w:r>
    </w:p>
    <w:p w:rsidR="00F91B57" w:rsidRPr="006E437B" w:rsidRDefault="0006149D" w:rsidP="00141629">
      <w:pPr>
        <w:pStyle w:val="Sinespaciado"/>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Hoy damos un paso para que el Estado de México reconozca, atienda y acompañe</w:t>
      </w:r>
      <w:r w:rsidR="00F91B57" w:rsidRPr="006E437B">
        <w:rPr>
          <w:rFonts w:ascii="Times New Roman" w:eastAsia="Times New Roman" w:hAnsi="Times New Roman" w:cs="Times New Roman"/>
          <w:sz w:val="24"/>
          <w:szCs w:val="24"/>
          <w:lang w:eastAsia="es-MX"/>
        </w:rPr>
        <w:t>,</w:t>
      </w:r>
      <w:r w:rsidRPr="006E437B">
        <w:rPr>
          <w:rFonts w:ascii="Times New Roman" w:eastAsia="Times New Roman" w:hAnsi="Times New Roman" w:cs="Times New Roman"/>
          <w:sz w:val="24"/>
          <w:szCs w:val="24"/>
          <w:lang w:eastAsia="es-MX"/>
        </w:rPr>
        <w:t xml:space="preserve"> porque transformar el dolor individual en una respuesta institucional</w:t>
      </w:r>
      <w:r w:rsidR="00F91B57" w:rsidRPr="006E437B">
        <w:rPr>
          <w:rFonts w:ascii="Times New Roman" w:eastAsia="Times New Roman" w:hAnsi="Times New Roman" w:cs="Times New Roman"/>
          <w:sz w:val="24"/>
          <w:szCs w:val="24"/>
          <w:lang w:eastAsia="es-MX"/>
        </w:rPr>
        <w:t>;</w:t>
      </w:r>
      <w:r w:rsidRPr="006E437B">
        <w:rPr>
          <w:rFonts w:ascii="Times New Roman" w:eastAsia="Times New Roman" w:hAnsi="Times New Roman" w:cs="Times New Roman"/>
          <w:sz w:val="24"/>
          <w:szCs w:val="24"/>
          <w:lang w:eastAsia="es-MX"/>
        </w:rPr>
        <w:t xml:space="preserve"> también es justicia.</w:t>
      </w:r>
    </w:p>
    <w:p w:rsidR="0006149D" w:rsidRPr="006E437B" w:rsidRDefault="0006149D" w:rsidP="00141629">
      <w:pPr>
        <w:pStyle w:val="Sinespaciado"/>
        <w:ind w:firstLine="708"/>
        <w:jc w:val="both"/>
        <w:rPr>
          <w:rFonts w:ascii="Times New Roman" w:eastAsia="Times New Roman" w:hAnsi="Times New Roman" w:cs="Times New Roman"/>
          <w:sz w:val="24"/>
          <w:szCs w:val="24"/>
          <w:lang w:eastAsia="es-MX"/>
        </w:rPr>
      </w:pPr>
      <w:r w:rsidRPr="006E437B">
        <w:rPr>
          <w:rFonts w:ascii="Times New Roman" w:eastAsia="Times New Roman" w:hAnsi="Times New Roman" w:cs="Times New Roman"/>
          <w:sz w:val="24"/>
          <w:szCs w:val="24"/>
          <w:lang w:eastAsia="es-MX"/>
        </w:rPr>
        <w:t>Muchas gracias</w:t>
      </w:r>
      <w:r w:rsidR="00716A20" w:rsidRPr="006E437B">
        <w:rPr>
          <w:rFonts w:ascii="Times New Roman" w:eastAsia="Times New Roman" w:hAnsi="Times New Roman" w:cs="Times New Roman"/>
          <w:sz w:val="24"/>
          <w:szCs w:val="24"/>
          <w:lang w:eastAsia="es-MX"/>
        </w:rPr>
        <w:t>, e</w:t>
      </w:r>
      <w:r w:rsidR="00F91B57" w:rsidRPr="006E437B">
        <w:rPr>
          <w:rFonts w:ascii="Times New Roman" w:eastAsia="Times New Roman" w:hAnsi="Times New Roman" w:cs="Times New Roman"/>
          <w:sz w:val="24"/>
          <w:szCs w:val="24"/>
          <w:lang w:eastAsia="es-MX"/>
        </w:rPr>
        <w:t xml:space="preserve">s </w:t>
      </w:r>
      <w:r w:rsidRPr="006E437B">
        <w:rPr>
          <w:rFonts w:ascii="Times New Roman" w:eastAsia="Times New Roman" w:hAnsi="Times New Roman" w:cs="Times New Roman"/>
          <w:sz w:val="24"/>
          <w:szCs w:val="24"/>
          <w:lang w:eastAsia="es-MX"/>
        </w:rPr>
        <w:t>cuanto.</w:t>
      </w:r>
    </w:p>
    <w:p w:rsidR="00716A20" w:rsidRPr="006E437B" w:rsidRDefault="00716A20" w:rsidP="00141629">
      <w:pPr>
        <w:pStyle w:val="Sinespaciado"/>
        <w:jc w:val="both"/>
        <w:rPr>
          <w:rFonts w:ascii="Times New Roman" w:hAnsi="Times New Roman" w:cs="Times New Roman"/>
          <w:sz w:val="24"/>
          <w:szCs w:val="24"/>
        </w:rPr>
      </w:pPr>
    </w:p>
    <w:p w:rsidR="00716A20" w:rsidRPr="006E437B" w:rsidRDefault="00716A20"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716A20" w:rsidRPr="006E437B" w:rsidRDefault="00716A20" w:rsidP="00141629">
      <w:pPr>
        <w:pStyle w:val="Sinespaciado"/>
        <w:jc w:val="both"/>
        <w:rPr>
          <w:rFonts w:ascii="Times New Roman" w:hAnsi="Times New Roman" w:cs="Times New Roman"/>
          <w:sz w:val="24"/>
          <w:szCs w:val="24"/>
        </w:rPr>
      </w:pPr>
    </w:p>
    <w:p w:rsidR="00E143B3" w:rsidRPr="006E437B" w:rsidRDefault="00E143B3" w:rsidP="00E143B3">
      <w:pPr>
        <w:spacing w:after="0"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“2026. Año del humanismo mexicano en el Estado de México”.</w:t>
      </w:r>
    </w:p>
    <w:p w:rsidR="00E143B3" w:rsidRPr="006E437B" w:rsidRDefault="00E143B3" w:rsidP="00E143B3">
      <w:pPr>
        <w:spacing w:after="0" w:line="240" w:lineRule="auto"/>
        <w:jc w:val="center"/>
        <w:rPr>
          <w:rFonts w:ascii="Times New Roman" w:hAnsi="Times New Roman" w:cs="Times New Roman"/>
          <w:sz w:val="24"/>
          <w:szCs w:val="24"/>
        </w:rPr>
      </w:pPr>
    </w:p>
    <w:p w:rsidR="00E143B3" w:rsidRPr="006E437B" w:rsidRDefault="00E143B3" w:rsidP="00E143B3">
      <w:pPr>
        <w:spacing w:after="0" w:line="240" w:lineRule="auto"/>
        <w:jc w:val="right"/>
        <w:rPr>
          <w:rFonts w:ascii="Times New Roman" w:hAnsi="Times New Roman" w:cs="Times New Roman"/>
          <w:sz w:val="24"/>
          <w:szCs w:val="24"/>
        </w:rPr>
      </w:pPr>
      <w:r w:rsidRPr="006E437B">
        <w:rPr>
          <w:rFonts w:ascii="Times New Roman" w:hAnsi="Times New Roman" w:cs="Times New Roman"/>
          <w:b/>
          <w:sz w:val="24"/>
          <w:szCs w:val="24"/>
        </w:rPr>
        <w:t>Toluca de Lerdo, Méx., a 23 de septiembre de 2026.</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b/>
          <w:sz w:val="24"/>
          <w:szCs w:val="24"/>
        </w:rPr>
      </w:pPr>
      <w:r w:rsidRPr="006E437B">
        <w:rPr>
          <w:rFonts w:ascii="Times New Roman" w:hAnsi="Times New Roman" w:cs="Times New Roman"/>
          <w:b/>
          <w:sz w:val="24"/>
          <w:szCs w:val="24"/>
        </w:rPr>
        <w:t>CC. DIPUTADAS Y DIPUTADOS INTEGRANTES DE LA MESA DIRECTIVA</w:t>
      </w:r>
    </w:p>
    <w:p w:rsidR="00E143B3" w:rsidRPr="006E437B" w:rsidRDefault="00E143B3" w:rsidP="00E143B3">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DE LA H. LXII LEGISLATURA DEL ESTADO LIBRE Y SOBERANO DE MÉXICO.</w:t>
      </w:r>
    </w:p>
    <w:p w:rsidR="00E143B3" w:rsidRPr="006E437B" w:rsidRDefault="00E143B3" w:rsidP="00E143B3">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P R E S E N T E 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6E437B">
        <w:rPr>
          <w:rFonts w:ascii="Times New Roman" w:hAnsi="Times New Roman" w:cs="Times New Roman"/>
          <w:b/>
          <w:sz w:val="24"/>
          <w:szCs w:val="24"/>
        </w:rPr>
        <w:t>Diputada Araceli Casasola Salazar y Diputado Omar Ortega Álvarez</w:t>
      </w:r>
      <w:r w:rsidRPr="006E437B">
        <w:rPr>
          <w:rFonts w:ascii="Times New Roman" w:hAnsi="Times New Roman" w:cs="Times New Roman"/>
          <w:sz w:val="24"/>
          <w:szCs w:val="24"/>
        </w:rPr>
        <w:t xml:space="preserve">, en representación del Grupo Parlamentario del Partido de la Revolución Democrática, sometemos a consideración de esta Honorable Asamblea la presente </w:t>
      </w:r>
      <w:r w:rsidRPr="006E437B">
        <w:rPr>
          <w:rFonts w:ascii="Times New Roman" w:hAnsi="Times New Roman" w:cs="Times New Roman"/>
          <w:b/>
          <w:sz w:val="24"/>
          <w:szCs w:val="24"/>
        </w:rPr>
        <w:t xml:space="preserve">Iniciativa con Proyecto de Decreto por el que se adiciona la fracción XIX recorriéndose las subsecuentes del artículo 3, se reforma la fracción IV del artículo 11, se crea el CAPÍTULO III Bis. De la Atención a las Enfermedades Crónicas y Potencialmente Discapacitantes dentro del TÍTULO SEXTO DE LA PROMOCIÓN, PREVENCIÓN Y CONTROL DE ENFERMEDADES, se adicionan los artículos 111 Bis, 111 Ter, 111 Quater, 111 Quinquies y 111 Sexties de la Ley de Salud del Estado de México, en materia de reconocimiento de Enfermedades Crónicas y Potencialmente Discapacitantes, como lo es la fibromialgia, síndromes de dolor crónico y condiciones neurobiológicas fluctuantes,  </w:t>
      </w:r>
      <w:r w:rsidRPr="006E437B">
        <w:rPr>
          <w:rFonts w:ascii="Times New Roman" w:hAnsi="Times New Roman" w:cs="Times New Roman"/>
          <w:sz w:val="24"/>
          <w:szCs w:val="24"/>
        </w:rPr>
        <w:t>al tenor de la siguiente:</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EXPOSICIÓN DE MOTIVOS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presente iniciativa no surge únicamente de un ejercicio legislativo; surge de escuchar a quienes, durante años, han alzado la voz para visibilizar una enfermedad que, pese a afectar profundamente la vida de miles de personas, continúa enfrentando desconocimiento, prejuicios y barreras para su diagnóstico y atención.</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ello, desde el Grupo Parlamentario del PRD reconocemos de manera especial a Movimiento FIA México, Asociación para la Atención Integral de la Fibromialgia, cuyo trabajo incansable ha sido fundamental para colocar la fibromialgia en la agenda pública y para defender el derecho de las personas que viven con esta condición a ser escuchadas y atendidas dignamente.</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el marco del trabajo conjunto que hemos desarrollado con Movimiento FIA México, llevamos a cabo un encuentro en la Cámara de Diputadas y Diputados del Estado de México, concebido como un espacio de visibilización, escucha y diálogo con personas que viven con fibromialgia, sus familias, especialistas y organizaciones de la sociedad civil.</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Precisamente en ese espacio donde asumimos el compromiso de llevar al Poder Legislativo la propuesta que Movimiento FIA México nos hizo llegar, para impulsar el reconocimiento de la fibromialgia y avanzar hacia una respuesta institucional que permita visibilizar esta condición y atender las necesidades de quienes viven con ella.</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 por ello que, desde el Grupo Parlamentario del Partido de la Revolución Democrática, damos cumplimiento a ese compromiso y presentamos esta iniciativa, haciendo del trabajo legislativo un instrumento para transformar en acciones las demandas que nacen desde la sociedad.</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Reconocer la fibromialgia es un paso necesario para combatir la invisibilización; es también una oportunidad para fortalecer la sensibilización social, promover una atención integral y construir políticas públicas que partan de las necesidades reales de las personas.</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Desde el Grupo Parlamentario del PRD refrendamos nuestra convicción de que las mejores iniciativas no siempre nacen detrás de un escritorio: muchas veces nacen de la organización, de la lucha y de la voz de la sociedad civil.</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ello, esta iniciativa lleva consigo una parte fundamental del trabajo de Movimiento FIA México, a quienes reconocemos su perseverancia, compromiso y por no dejar de exigir que la fibromialgia sea vista, reconocida y atendida.</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ese sentido, el dolor crónico no oncológico constituye uno de los desafíos más urgentes y desatendidos para los sistemas de salud pública contemporáneos; dentro de este espectro, la fibromialgia destaca por su elevada prevalencia, su naturaleza compleja y su capacidad para desestructurar la vida productiva y personal de quienes la padecen.</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Las estimaciones derivadas de la Encuesta Nacional de Salud y Nutrición, contrastadas con las proyecciones de la Organización Mundial de la Salud, calculan que este padecimiento afecta a entre el cuatro y el cinco por ciento de la población adulta del país, con una proporción de hasta ocho mujeres por cada varón diagnosticado.</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En nuestro Estado, la entidad más poblada del país y con las dinámicas de movilidad laboral y tensión socioeconómica más complejas, esta tasa se traduce en más de setecientas cincuenta mil personas que conviven con la enfermedad; tomando en consideración que es una cifra no oficializada, justamente por la poca visibilización que se le otorga al padecimiento.</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escasez de unidades especializadas y la concentración de recursos en las zonas metropolitanas del Valle de Toluca y el Valle de México provocan que la mayoría de los casos no reciban atención oportuna en el primer nivel, derivando en un peregrinaje médico que en el sector público puede prolongarse entre tres y quince años antes de obtener un diagnóstico certero.</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evidencia clínica generada en América Latina confirma la magnitud de esta problemática; estudios sobre la fisiopatología de la fibromialgia han documentado cómo la hiperactividad del sistema nervioso simpático altera el tono vascular y la modulación del dolor, lo que convierte a esta condición en un trastorno sistémico y no en un simple dolor muscular difuso.</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Directrices clínicas desarrolladas en Brasil coinciden en que la fibromialgia genera un impacto sobre la calidad de vida comparable, e incluso superior, al de padecimientos como la artritis reumatoide, la insuficiencia cardíaca o la diabetes mellitus no controlada, y que la pérdida de capacidad funcional no proviene de una lesión anatómica observable en un estudio de imagen, sino del dolor continuo, la rigidez matutina y el agotamiento que devora las reservas energéticas de quien la padece; ignorar esta realidad en el diseño de las políticas sanitarias mexiquenses no solo perpetúa la vulnerabilidad de las personas enfermas, sino que satura de manera ineficiente los servicios de urgencias y genera un gasto de bolsillo ruinoso para las familias.</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 concepción de la fibromialgia como una somatización o una patología puramente psicológica ha sido refutada por las neurociencias; el mecanismo subyacente identificado es la sensibilización central, entendida como un estado de hiperexcitabilidad neuronal en el que estímulos no nocivos se perciben como dolorosos y los estímulos dolorosos se amplifican de forma desproporcionada. Estudios de neuroimagen funcional han documentado alteraciones en la conectividad cerebral, junto con un aumento sostenido de neurotransmisores facilitadores del dolor y una reducción crítica en la actividad de las vías descendentes inhibitorias mediadas por serotonina y noradrenalina.</w:t>
      </w:r>
      <w:r w:rsidRPr="006E437B">
        <w:rPr>
          <w:rFonts w:ascii="Times New Roman" w:hAnsi="Times New Roman" w:cs="Times New Roman"/>
          <w:sz w:val="24"/>
          <w:szCs w:val="24"/>
          <w:vertAlign w:val="superscript"/>
        </w:rPr>
        <w:t>1</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1</w:t>
      </w:r>
      <w:r w:rsidRPr="006E437B">
        <w:rPr>
          <w:rFonts w:ascii="Times New Roman" w:eastAsiaTheme="minorEastAsia" w:hAnsi="Times New Roman" w:cs="Times New Roman"/>
          <w:sz w:val="20"/>
          <w:szCs w:val="24"/>
        </w:rPr>
        <w:t xml:space="preserve"> https://pmc.ncbi.nlm.nih.gov/articles/PMC5083139/</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 esto se suma la llamada niebla mental o disfunción cognitiva, que compromete la memoria de trabajo, ralentiza el procesamiento de información y limita la capacidad de sostener la atención en entornos laborales y académicos.</w:t>
      </w:r>
    </w:p>
    <w:p w:rsidR="00E143B3" w:rsidRPr="006E437B" w:rsidRDefault="00E143B3" w:rsidP="006D7B88">
      <w:pPr>
        <w:spacing w:after="0" w:line="240" w:lineRule="auto"/>
        <w:jc w:val="both"/>
        <w:rPr>
          <w:rFonts w:ascii="Times New Roman" w:hAnsi="Times New Roman" w:cs="Times New Roman"/>
          <w:sz w:val="24"/>
          <w:szCs w:val="24"/>
        </w:rPr>
      </w:pPr>
    </w:p>
    <w:p w:rsidR="00E143B3" w:rsidRPr="006E437B" w:rsidRDefault="00E143B3" w:rsidP="006D7B8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Al no acompañarse de signos físicos externos evidentes, quienes viven con fibromialgia enfrentan la duda constante de evaluadores médicos, empleadores y núcleos familiares, una forma de injusticia epistémica que agrava el sufrimiento y acelera la exclusión social.</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vertAlign w:val="superscript"/>
        </w:rPr>
      </w:pPr>
      <w:r w:rsidRPr="006E437B">
        <w:rPr>
          <w:rFonts w:ascii="Times New Roman" w:hAnsi="Times New Roman" w:cs="Times New Roman"/>
          <w:sz w:val="24"/>
          <w:szCs w:val="24"/>
        </w:rPr>
        <w:t>El paradigma biomédico clásico, centrado en la búsqueda de una lesión tisular periférica y en la prescripción unidireccional de fármacos, ha demostrado ser insuficiente para la gestión de los síndromes de dolor crónico centralizado; insistir en tratar la fibromialgia exclusivamente con analgésicos convencionales, antiinflamatorios no esteroideos o esquemas indiscriminados de opioides no solo falla en proporcionar alivio sostenido, sino que incrementa el riesgo de efectos adversos severos, como nefropatías, hepatotoxicidad, dependencia e hiperalgesia inducida por opioides.</w:t>
      </w:r>
      <w:r w:rsidRPr="006E437B">
        <w:rPr>
          <w:rFonts w:ascii="Times New Roman" w:hAnsi="Times New Roman" w:cs="Times New Roman"/>
          <w:sz w:val="24"/>
          <w:szCs w:val="24"/>
          <w:vertAlign w:val="superscript"/>
        </w:rPr>
        <w:t>2</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Frente a este reduccionismo, la medicina paliativa y la algología contemporáneas han desarrollado el concepto de “dolor total”, que reconoce que la experiencia dolorosa está compuesta de manera indisoluble por dimensiones físicas, emocionales, sociales, económicas y espirituales que se retroalimentan entre sí.</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Cuando un sistema sanitario atiende únicamente el componente somático e ignora la ruptura de los proyectos de vida, la pérdida del empleo y el aislamiento social, condena a la persona paciente al estancamiento: para ejemplificarlo, la evidencia recopilada por organizaciones de pacientes en la entidad indica que más del cuarenta por ciento de las personas con fibromialgia pierden su empleo formal a causa de las crisis o de la rigidez institucional.</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El marco normativo vigente en el Estado de México presenta un vacío perjudicial al no explicitar la figura de la discapacidad invisible ni exigir la homologación de los registros sanitarios conforme a los estándares de la Organización Mundial de la Salud.</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Aunque la fibromialgia cuenta con reconocimiento oficial en la Clasificación Internacional de Enfermedades desde 1993 bajo la clave CIE-10 M79.7, en la práctica clínica del sector público mexiquense predomina una subcodificación sistemática que registra los casos bajo diagnósticos imprecisos de lumbalgia, artralgia no especificada o somatización.</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sz w:val="20"/>
          <w:szCs w:val="24"/>
        </w:rPr>
      </w:pPr>
      <w:r w:rsidRPr="006E437B">
        <w:rPr>
          <w:rFonts w:ascii="Times New Roman" w:eastAsiaTheme="minorEastAsia" w:hAnsi="Times New Roman" w:cs="Times New Roman"/>
          <w:sz w:val="20"/>
          <w:szCs w:val="24"/>
          <w:vertAlign w:val="superscript"/>
        </w:rPr>
        <w:t>2</w:t>
      </w:r>
      <w:r w:rsidRPr="006E437B">
        <w:rPr>
          <w:rFonts w:ascii="Times New Roman" w:eastAsiaTheme="minorEastAsia" w:hAnsi="Times New Roman" w:cs="Times New Roman"/>
          <w:sz w:val="20"/>
          <w:szCs w:val="24"/>
        </w:rPr>
        <w:t xml:space="preserve"> https://scielo.isciii.es/scielo.php?script=sci_arttext&amp;pid=S1134-80462004000700005</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Esta omisión impide que las instituciones de vigilancia epidemiológica generen datos reales sobre la prevalencia y el impacto económico del padecimiento, y perpetúa un modelo médico que condiciona la expedición de certificados de discapacidad o licencias laborales a la presencia de lesiones observables a simple vista, cuando la evidencia demuestra que la pérdida de fuerza motriz, las crisis de dolor generalizado y el agotamiento imposibilitan por igual el desarrollo de actividades cotidianas, profesionales y de cuidado.</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lo anterior, la presente iniciativa propone que la Ley de Salud del Estado de México reconozca expresamente a la fibromialgia como enfermedad crónica, de origen neurobiológico y potencialmente discapacitante; incorpore el concepto de discapacidad invisible y ordene la adopción de la clasificación CIE-11 para corregir la subcodificación existente; garantice la atención para acortar la odisea diagnóstica y de tratamiento.</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Se propone además la implementación de un identificador visual de adopción voluntaria, como el cordón de girasoles, para garantizar un trato digno, accesible y con ajustes razonables en los espacios públicos y de atención sanitaria, sin exigir a la persona portadora explicaciones sobre la naturaleza visible de su condición.</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Desde el Grupo Parlamentario del PRD reafirmamos que transformar el dolor individual en ley es un acto de justicia social y de dignidad humana; no se trata de solicitar privilegios, sino de garantizar plenamente el derecho a la protección de la salud.</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Las personas que viven con fibromialgia en el Estado de México no esperan despertar mañana sin dolor, pero sí tienen derecho a la certeza legal de que su padecimiento cuenta con un Estado testigo, corresponsable y garantista.</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Por las razones expuestas, se somete a consideración de esta Soberanía la presente Iniciativa con Proyecto de Decreto por el que se reforma la Ley de Salud del Estado de México, con el firme propósito de que la fibromialgia y el dolor crónico sean reconocidos, atendidos y legislados con la dignidad, el rigor científico y la empatía que la población mexiquense merece.</w:t>
      </w:r>
    </w:p>
    <w:p w:rsidR="00E143B3" w:rsidRPr="006E437B" w:rsidRDefault="00E143B3" w:rsidP="00EE31B8">
      <w:pPr>
        <w:spacing w:after="0" w:line="240" w:lineRule="auto"/>
        <w:jc w:val="both"/>
        <w:rPr>
          <w:rFonts w:ascii="Times New Roman" w:hAnsi="Times New Roman" w:cs="Times New Roman"/>
          <w:sz w:val="24"/>
          <w:szCs w:val="24"/>
        </w:rPr>
      </w:pP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A T E N T A M E N T E</w:t>
      </w:r>
    </w:p>
    <w:p w:rsidR="00E143B3" w:rsidRPr="006E437B" w:rsidRDefault="00E143B3" w:rsidP="00E143B3">
      <w:pPr>
        <w:spacing w:after="0" w:line="240" w:lineRule="auto"/>
        <w:jc w:val="center"/>
        <w:rPr>
          <w:rFonts w:ascii="Times New Roman" w:hAnsi="Times New Roman" w:cs="Times New Roman"/>
          <w:sz w:val="24"/>
          <w:szCs w:val="24"/>
        </w:rPr>
      </w:pP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 xml:space="preserve">GRUPO PARLAMENTARIO DEL PARTIDO DE LA REVOLUCIÓN DEMOCRÁTICA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E143B3" w:rsidRPr="006E437B" w:rsidTr="00696B3F">
        <w:trPr>
          <w:jc w:val="center"/>
        </w:trPr>
        <w:tc>
          <w:tcPr>
            <w:tcW w:w="4527" w:type="dxa"/>
          </w:tcPr>
          <w:p w:rsidR="00E143B3" w:rsidRPr="006E437B" w:rsidRDefault="00E143B3" w:rsidP="00696B3F">
            <w:pPr>
              <w:spacing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 xml:space="preserve">DIP. ARACELI CASASOLA SALAZAR </w:t>
            </w:r>
          </w:p>
        </w:tc>
        <w:tc>
          <w:tcPr>
            <w:tcW w:w="4528" w:type="dxa"/>
          </w:tcPr>
          <w:p w:rsidR="00E143B3" w:rsidRPr="006E437B" w:rsidRDefault="00E143B3" w:rsidP="00696B3F">
            <w:pPr>
              <w:spacing w:line="240" w:lineRule="auto"/>
              <w:jc w:val="center"/>
              <w:rPr>
                <w:rFonts w:ascii="Times New Roman" w:hAnsi="Times New Roman" w:cs="Times New Roman"/>
                <w:b/>
                <w:sz w:val="24"/>
                <w:szCs w:val="24"/>
              </w:rPr>
            </w:pPr>
            <w:r w:rsidRPr="006E437B">
              <w:rPr>
                <w:rFonts w:ascii="Times New Roman" w:hAnsi="Times New Roman" w:cs="Times New Roman"/>
                <w:b/>
                <w:sz w:val="24"/>
                <w:szCs w:val="24"/>
              </w:rPr>
              <w:t>DIP. OMAR ORTEGA ÁLVAREZ</w:t>
            </w:r>
          </w:p>
        </w:tc>
      </w:tr>
    </w:tbl>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 xml:space="preserve">DECRETO NÚMERO: </w:t>
      </w:r>
      <w:r w:rsidRPr="006E437B">
        <w:rPr>
          <w:rFonts w:ascii="Times New Roman" w:hAnsi="Times New Roman" w:cs="Times New Roman"/>
          <w:noProof/>
          <w:sz w:val="24"/>
          <w:szCs w:val="24"/>
        </w:rPr>
        <mc:AlternateContent>
          <mc:Choice Requires="wpg">
            <w:drawing>
              <wp:inline distT="0" distB="0" distL="0" distR="0" wp14:anchorId="4891836D" wp14:editId="116BBF8C">
                <wp:extent cx="820217" cy="10668"/>
                <wp:effectExtent l="0" t="0" r="0" b="0"/>
                <wp:docPr id="7183" name="Group 7183"/>
                <wp:cNvGraphicFramePr/>
                <a:graphic xmlns:a="http://schemas.openxmlformats.org/drawingml/2006/main">
                  <a:graphicData uri="http://schemas.microsoft.com/office/word/2010/wordprocessingGroup">
                    <wpg:wgp>
                      <wpg:cNvGrpSpPr/>
                      <wpg:grpSpPr>
                        <a:xfrm>
                          <a:off x="0" y="0"/>
                          <a:ext cx="820217" cy="10668"/>
                          <a:chOff x="0" y="0"/>
                          <a:chExt cx="820217" cy="10668"/>
                        </a:xfrm>
                      </wpg:grpSpPr>
                      <wps:wsp>
                        <wps:cNvPr id="8499" name="Shape 8499"/>
                        <wps:cNvSpPr/>
                        <wps:spPr>
                          <a:xfrm>
                            <a:off x="0" y="0"/>
                            <a:ext cx="820217" cy="10668"/>
                          </a:xfrm>
                          <a:custGeom>
                            <a:avLst/>
                            <a:gdLst/>
                            <a:ahLst/>
                            <a:cxnLst/>
                            <a:rect l="0" t="0" r="0" b="0"/>
                            <a:pathLst>
                              <a:path w="820217" h="10668">
                                <a:moveTo>
                                  <a:pt x="0" y="0"/>
                                </a:moveTo>
                                <a:lnTo>
                                  <a:pt x="820217" y="0"/>
                                </a:lnTo>
                                <a:lnTo>
                                  <a:pt x="820217"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8EBA05" id="Group 7183" o:spid="_x0000_s1026" style="width:64.6pt;height:.85pt;mso-position-horizontal-relative:char;mso-position-vertical-relative:line" coordsize="8202,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">
                <v:shape id="Shape 8499" o:spid="_x0000_s1027" style="position:absolute;width:8202;height:106;visibility:visible;mso-wrap-style:square;v-text-anchor:top" coordsize="820217,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" path="m,l820217,r,10668l,10668,,e" fillcolor="black" stroked="f" strokeweight="0">
                  <v:stroke miterlimit="83231f" joinstyle="miter"/>
                  <v:path arrowok="t" textboxrect="0,0,820217,10668"/>
                </v:shape>
                <w10:anchorlock/>
              </v:group>
            </w:pict>
          </mc:Fallback>
        </mc:AlternateContent>
      </w:r>
    </w:p>
    <w:p w:rsidR="00E143B3" w:rsidRPr="006E437B" w:rsidRDefault="00E143B3" w:rsidP="00E143B3">
      <w:pPr>
        <w:spacing w:after="0" w:line="240" w:lineRule="auto"/>
        <w:rPr>
          <w:rFonts w:ascii="Times New Roman" w:hAnsi="Times New Roman" w:cs="Times New Roman"/>
          <w:sz w:val="24"/>
          <w:szCs w:val="24"/>
        </w:rPr>
      </w:pPr>
      <w:r w:rsidRPr="006E437B">
        <w:rPr>
          <w:rFonts w:ascii="Times New Roman" w:hAnsi="Times New Roman" w:cs="Times New Roman"/>
          <w:b/>
          <w:sz w:val="24"/>
          <w:szCs w:val="24"/>
        </w:rPr>
        <w:t>LA H. "LXII" LEGISLATURA DEL ESTADO DE MÉXICO DECRETA:</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ÚNICO; Se adiciona la fracción XIX recorriéndose las subsecuentes del artículo 3, se reforma la fracción IV del artículo 11, se crea el CAPÍTULO III Bis. De la Atención a las Enfermedades Crónicas y Potencialmente Discapacitantes dentro del TÍTULO SEXTO DE LA PROMOCIÓN, PREVENCIÓN Y CONTROL DE ENFERMEDADES, se adicionan los artículos 111 Bis, 111 Ter, 111 Quater, 111 Quinquies y 111 Sexties de la Ley de Salud del Estado de México, </w:t>
      </w:r>
      <w:r w:rsidRPr="006E437B">
        <w:rPr>
          <w:rFonts w:ascii="Times New Roman" w:hAnsi="Times New Roman" w:cs="Times New Roman"/>
          <w:sz w:val="24"/>
          <w:szCs w:val="24"/>
        </w:rPr>
        <w:t>para quedar como sigue:</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Artículo 3. </w:t>
      </w:r>
      <w:r w:rsidRPr="006E437B">
        <w:rPr>
          <w:rFonts w:ascii="Times New Roman" w:hAnsi="Times New Roman" w:cs="Times New Roman"/>
          <w:sz w:val="24"/>
          <w:szCs w:val="24"/>
        </w:rPr>
        <w:t>Para los efectos de la presente Ley, se entenderán los siguientes términos: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I. a XVIII. … </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XIX. Enfermedades Crónicas y Potencialmente Discapacitantes: Aquellas enfermedades que generan condiciones de salud de larga duración que limitan de manera progresiva las capacidades físicas o mentales de una persona como lo es la fibromialgia, síndromes de dolor crónico y condiciones neurobiológicas fluctuantes; </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Enfermedades emergentes: Aquellas enfermedades que aparecen por primera vez en una población o que aumentan su incidencia o distribución geográfica y se consideran una amenaza para la salud pública;</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7"/>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 xml:space="preserve">a </w:t>
      </w:r>
      <w:r w:rsidRPr="006E437B">
        <w:rPr>
          <w:rFonts w:ascii="Times New Roman" w:hAnsi="Times New Roman" w:cs="Times New Roman"/>
          <w:b/>
          <w:sz w:val="24"/>
          <w:szCs w:val="24"/>
        </w:rPr>
        <w:t>XLVI</w:t>
      </w:r>
      <w:r w:rsidRPr="006E437B">
        <w:rPr>
          <w:rFonts w:ascii="Times New Roman" w:hAnsi="Times New Roman" w:cs="Times New Roman"/>
          <w:sz w:val="24"/>
          <w:szCs w:val="24"/>
        </w:rPr>
        <w:t>. …</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E31B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11.</w:t>
      </w:r>
      <w:r w:rsidRPr="006E437B">
        <w:rPr>
          <w:rFonts w:ascii="Times New Roman" w:hAnsi="Times New Roman" w:cs="Times New Roman"/>
          <w:sz w:val="24"/>
          <w:szCs w:val="24"/>
        </w:rPr>
        <w:t xml:space="preserve"> Serán considerados como grupos de atención prioritaria aquellos que enfrentan desigualdades asociadas a su edad, condición social o económica, orientación sexual o su identidad de género, origen étnico o violencia, teniendo mayores dificultades para el acceso a sus derechos; las cuales se enlistan a continuación sin que ello signifique prelación de uno sobre otro:</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Personas adultas mayores;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Mujeres y personas gestantes;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Niñas, niños y adolescentes;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 xml:space="preserve">Personas con discapacidad; </w:t>
      </w:r>
      <w:r w:rsidRPr="006E437B">
        <w:rPr>
          <w:rFonts w:ascii="Times New Roman" w:hAnsi="Times New Roman" w:cs="Times New Roman"/>
          <w:b/>
          <w:sz w:val="24"/>
          <w:szCs w:val="24"/>
        </w:rPr>
        <w:t>también así a las personas con discapacidad invisible derivada de padecimientos crónicos, dolor crónico de difícil control y condiciones neurobiológicas fluctuantes</w:t>
      </w:r>
      <w:r w:rsidRPr="006E437B">
        <w:rPr>
          <w:rFonts w:ascii="Times New Roman" w:hAnsi="Times New Roman" w:cs="Times New Roman"/>
          <w:sz w:val="24"/>
          <w:szCs w:val="24"/>
        </w:rPr>
        <w:t xml:space="preserve">; </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Personas en situación de calle;</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Personas de la población LGBTTTIQ+;</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Personas migrantes;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Pueblos y comunidades indígenas y afromexicanas; y</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8"/>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sz w:val="24"/>
          <w:szCs w:val="24"/>
        </w:rPr>
        <w:t>Víctimas de delitos o de violaciones a derechos humanos.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sz w:val="24"/>
          <w:szCs w:val="24"/>
        </w:rPr>
        <w:t>TÍTULO SEXTO DE LA PROMOCIÓN, PREVENCIÓN Y CONTROL DE ENFERMEDADES</w:t>
      </w:r>
    </w:p>
    <w:p w:rsidR="00E143B3" w:rsidRPr="006E437B" w:rsidRDefault="00E143B3" w:rsidP="00E143B3">
      <w:pPr>
        <w:spacing w:after="0" w:line="240" w:lineRule="auto"/>
        <w:jc w:val="center"/>
        <w:rPr>
          <w:rFonts w:ascii="Times New Roman" w:hAnsi="Times New Roman" w:cs="Times New Roman"/>
          <w:sz w:val="24"/>
          <w:szCs w:val="24"/>
        </w:rPr>
      </w:pP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CAPÍTULO III Bis.</w:t>
      </w: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De la Atención a las Enfermedades Crónicas y Potencialmente Discapacitantes.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F6A1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111 Bis.</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La Secretaría coordinará los esfuerzos interinstitucionales entre los sectores público, social y privado para asegurar la evaluación sistemática de resultados e impacto en la salud poblacional; así como favorecer el acceso gratuito, oportuno en la atención a las enfermedades crónicas y potencialmente discapacitantes como la fibromialgia y los síndromes de dolor crónico.</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F6A1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111 Ter. En la atención médica de la fibromialgia y los síndromes de dolor crónico, las instituciones públicas de salud del Estado de México garantizarán un abordaje multidisciplinario e interdisciplinario, que incorpore de manera coordinada los servicios de reumatología, medicina del dolor y cuidados paliativos, salud mental y psicología, nutrición, rehabilitación física y otras terapias complementarias validadas.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F6A18">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Asimismo, el personal médico tratante considerará la naturaleza fluctuante, neurobiológica y acumulativa del padecimiento al evaluar la capacidad funcional del paciente, a fin de emitir las valoraciones médicas correspondientes para la determinación del grado de discapacidad que impida o límite temporal o permanentemente el desarrollo de actividades cotidianas o laborales.</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111 Quater.</w:t>
      </w:r>
      <w:r w:rsidRPr="006E437B">
        <w:rPr>
          <w:rFonts w:ascii="Times New Roman" w:hAnsi="Times New Roman" w:cs="Times New Roman"/>
          <w:sz w:val="24"/>
          <w:szCs w:val="24"/>
        </w:rPr>
        <w:t xml:space="preserve"> </w:t>
      </w:r>
      <w:r w:rsidRPr="006E437B">
        <w:rPr>
          <w:rFonts w:ascii="Times New Roman" w:hAnsi="Times New Roman" w:cs="Times New Roman"/>
          <w:b/>
          <w:sz w:val="24"/>
          <w:szCs w:val="24"/>
        </w:rPr>
        <w:t>Las instituciones públicas y privadas que integran el Sistema Estatal de Salud estarán obligadas a codificar, registrar y dar seguimiento a los casos de enfermedades crónicas y potencialmente discapacitantes en los expedientes clínicos y sistemas de información epidemiológica.</w:t>
      </w:r>
    </w:p>
    <w:p w:rsidR="00E143B3" w:rsidRPr="006E437B" w:rsidRDefault="00E143B3" w:rsidP="00CE7F75">
      <w:pPr>
        <w:spacing w:after="0" w:line="240" w:lineRule="auto"/>
        <w:jc w:val="both"/>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Para tal efecto, deberán utilizar las claves vigentes de la Clasificación Internacional de Enfermedades (CIE) emitidas por la Organización Mundial de la Salud, incluyendo de manera enunciativa más no limitativa:</w:t>
      </w:r>
    </w:p>
    <w:p w:rsidR="00E143B3" w:rsidRPr="006E437B" w:rsidRDefault="00E143B3" w:rsidP="00CE7F75">
      <w:pPr>
        <w:spacing w:after="0" w:line="240" w:lineRule="auto"/>
        <w:jc w:val="both"/>
        <w:rPr>
          <w:rFonts w:ascii="Times New Roman" w:hAnsi="Times New Roman" w:cs="Times New Roman"/>
          <w:sz w:val="24"/>
          <w:szCs w:val="24"/>
        </w:rPr>
      </w:pPr>
    </w:p>
    <w:p w:rsidR="00E143B3" w:rsidRPr="006E437B" w:rsidRDefault="00E143B3" w:rsidP="00DA64DA">
      <w:pPr>
        <w:numPr>
          <w:ilvl w:val="0"/>
          <w:numId w:val="5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b/>
          <w:sz w:val="24"/>
          <w:szCs w:val="24"/>
        </w:rPr>
        <w:t>Clave M79.7 (Fibromialgia) y M79.1 (Mialgia) conforme a la CIE-10;</w:t>
      </w:r>
    </w:p>
    <w:p w:rsidR="00E143B3" w:rsidRPr="006E437B" w:rsidRDefault="00E143B3" w:rsidP="00CE7F75">
      <w:pPr>
        <w:spacing w:after="0" w:line="240" w:lineRule="auto"/>
        <w:jc w:val="both"/>
        <w:rPr>
          <w:rFonts w:ascii="Times New Roman" w:hAnsi="Times New Roman" w:cs="Times New Roman"/>
          <w:sz w:val="24"/>
          <w:szCs w:val="24"/>
        </w:rPr>
      </w:pPr>
    </w:p>
    <w:p w:rsidR="00E143B3" w:rsidRPr="006E437B" w:rsidRDefault="00E143B3" w:rsidP="00DA64DA">
      <w:pPr>
        <w:numPr>
          <w:ilvl w:val="0"/>
          <w:numId w:val="5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b/>
          <w:sz w:val="24"/>
          <w:szCs w:val="24"/>
        </w:rPr>
        <w:t>Clave MG30.0 (Dolor Crónico Primario) y subcategorías asociadas a dolor musculoesquelético crónico conforme a la CIE-11; y</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DA64DA">
      <w:pPr>
        <w:numPr>
          <w:ilvl w:val="0"/>
          <w:numId w:val="59"/>
        </w:numPr>
        <w:spacing w:after="0" w:line="240" w:lineRule="auto"/>
        <w:ind w:left="0"/>
        <w:jc w:val="both"/>
        <w:rPr>
          <w:rFonts w:ascii="Times New Roman" w:hAnsi="Times New Roman" w:cs="Times New Roman"/>
          <w:sz w:val="24"/>
          <w:szCs w:val="24"/>
        </w:rPr>
      </w:pPr>
      <w:r w:rsidRPr="006E437B">
        <w:rPr>
          <w:rFonts w:ascii="Times New Roman" w:hAnsi="Times New Roman" w:cs="Times New Roman"/>
          <w:b/>
          <w:sz w:val="24"/>
          <w:szCs w:val="24"/>
        </w:rPr>
        <w:t>Las claves equivalentes o subsecuentes que la Organización Mundial de la Salud o la Secretaría de Salud Federal emitan para la homologación de síndromes de dolor crónico centralizado.</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111 Quinquies. La Secretaría, en coordinación con las instituciones de educación superior y colegios de profesionales, promoverá la formación continua del personal de salud, priorizando en el primer nivel de atención la capacitación técnica y clínica para la identificación de síntomas de sospecha, diagnóstico diferencial oportuno y derivación adecuada de pacientes con fibromialgia y dolor crónico, reduciendo los tiempos de diagnóstico.</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Artículo 112 Sexties. La Secretaría implementará el uso de identificadores y distintivos visuales universales de voluntaria adopción, tales como el cordón de girasoles o símbolos análogos reconocidos internacionalmente, para la identificación de las personas con discapacidad invisible o condiciones de dolor crónico.</w:t>
      </w:r>
    </w:p>
    <w:p w:rsidR="00E143B3" w:rsidRPr="006E437B" w:rsidRDefault="00E143B3" w:rsidP="00E143B3">
      <w:pPr>
        <w:spacing w:after="0" w:line="240" w:lineRule="auto"/>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Las instituciones que integran el Sistema Estatal de Salud, capacitarán a su personal para reconocer dichos distintivos, garantizando a sus portadores un trato digno, accesible, empático, con tiempos de atención adecuados y ajustes razonables, sin exigir explicaciones sobre la naturaleza visible de su condición.</w:t>
      </w:r>
    </w:p>
    <w:p w:rsidR="00E143B3" w:rsidRPr="006E437B" w:rsidRDefault="00E143B3" w:rsidP="00E143B3">
      <w:pPr>
        <w:spacing w:after="0" w:line="240" w:lineRule="auto"/>
        <w:rPr>
          <w:rFonts w:ascii="Times New Roman" w:hAnsi="Times New Roman" w:cs="Times New Roman"/>
          <w:sz w:val="24"/>
          <w:szCs w:val="24"/>
        </w:rPr>
      </w:pPr>
      <w:r w:rsidRPr="006E437B">
        <w:rPr>
          <w:rFonts w:ascii="Times New Roman" w:hAnsi="Times New Roman" w:cs="Times New Roman"/>
          <w:sz w:val="24"/>
          <w:szCs w:val="24"/>
        </w:rPr>
        <w:t xml:space="preserve"> </w:t>
      </w:r>
    </w:p>
    <w:p w:rsidR="00E143B3" w:rsidRPr="006E437B" w:rsidRDefault="00E143B3" w:rsidP="00E143B3">
      <w:pPr>
        <w:spacing w:after="0" w:line="240" w:lineRule="auto"/>
        <w:jc w:val="center"/>
        <w:rPr>
          <w:rFonts w:ascii="Times New Roman" w:hAnsi="Times New Roman" w:cs="Times New Roman"/>
          <w:sz w:val="24"/>
          <w:szCs w:val="24"/>
        </w:rPr>
      </w:pPr>
      <w:r w:rsidRPr="006E437B">
        <w:rPr>
          <w:rFonts w:ascii="Times New Roman" w:hAnsi="Times New Roman" w:cs="Times New Roman"/>
          <w:b/>
          <w:sz w:val="24"/>
          <w:szCs w:val="24"/>
        </w:rPr>
        <w:t>T R A N S I T O R I O S</w:t>
      </w:r>
    </w:p>
    <w:p w:rsidR="00E143B3" w:rsidRPr="006E437B" w:rsidRDefault="00E143B3" w:rsidP="00E143B3">
      <w:pPr>
        <w:spacing w:after="0" w:line="240" w:lineRule="auto"/>
        <w:jc w:val="center"/>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PRIMERO. </w:t>
      </w:r>
      <w:r w:rsidRPr="006E437B">
        <w:rPr>
          <w:rFonts w:ascii="Times New Roman" w:hAnsi="Times New Roman" w:cs="Times New Roman"/>
          <w:sz w:val="24"/>
          <w:szCs w:val="24"/>
        </w:rPr>
        <w:t>Publíquese el presente decreto en el Periódico Oficial “Gaceta del Gobierno”.</w:t>
      </w:r>
    </w:p>
    <w:p w:rsidR="00E143B3" w:rsidRPr="006E437B" w:rsidRDefault="00E143B3" w:rsidP="00CE7F75">
      <w:pPr>
        <w:spacing w:after="0" w:line="240" w:lineRule="auto"/>
        <w:jc w:val="both"/>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b/>
          <w:sz w:val="24"/>
          <w:szCs w:val="24"/>
        </w:rPr>
      </w:pPr>
      <w:r w:rsidRPr="006E437B">
        <w:rPr>
          <w:rFonts w:ascii="Times New Roman" w:hAnsi="Times New Roman" w:cs="Times New Roman"/>
          <w:b/>
          <w:sz w:val="24"/>
          <w:szCs w:val="24"/>
        </w:rPr>
        <w:t xml:space="preserve">SEGUNDO.- </w:t>
      </w:r>
      <w:r w:rsidRPr="006E437B">
        <w:rPr>
          <w:rFonts w:ascii="Times New Roman" w:hAnsi="Times New Roman" w:cs="Times New Roman"/>
          <w:sz w:val="24"/>
          <w:szCs w:val="24"/>
        </w:rPr>
        <w:t>Las erogaciones que se generen con motivo de la entrada en vigor del presente Decreto se cubrirán con cargo al presupuesto aprobado para las dependencias y entidades del sector salud en el ejercicio fiscal correspondiente.</w:t>
      </w:r>
    </w:p>
    <w:p w:rsidR="00E143B3" w:rsidRPr="006E437B" w:rsidRDefault="00E143B3" w:rsidP="00CE7F75">
      <w:pPr>
        <w:spacing w:after="0" w:line="240" w:lineRule="auto"/>
        <w:jc w:val="both"/>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b/>
          <w:sz w:val="24"/>
          <w:szCs w:val="24"/>
        </w:rPr>
        <w:t xml:space="preserve">TERCERO. </w:t>
      </w:r>
      <w:r w:rsidRPr="006E437B">
        <w:rPr>
          <w:rFonts w:ascii="Times New Roman" w:hAnsi="Times New Roman" w:cs="Times New Roman"/>
          <w:sz w:val="24"/>
          <w:szCs w:val="24"/>
        </w:rPr>
        <w:t>El presente decreto entrará en vigor al día siguiente de su publicación en el Periódico Oficial “Gaceta del Gobierno”.</w:t>
      </w:r>
    </w:p>
    <w:p w:rsidR="00E143B3" w:rsidRPr="006E437B" w:rsidRDefault="00E143B3" w:rsidP="00CE7F75">
      <w:pPr>
        <w:spacing w:after="0" w:line="240" w:lineRule="auto"/>
        <w:jc w:val="both"/>
        <w:rPr>
          <w:rFonts w:ascii="Times New Roman" w:hAnsi="Times New Roman" w:cs="Times New Roman"/>
          <w:sz w:val="24"/>
          <w:szCs w:val="24"/>
        </w:rPr>
      </w:pPr>
    </w:p>
    <w:p w:rsidR="00E143B3" w:rsidRPr="006E437B" w:rsidRDefault="00E143B3" w:rsidP="00CE7F75">
      <w:pPr>
        <w:spacing w:after="0" w:line="240" w:lineRule="auto"/>
        <w:jc w:val="both"/>
        <w:rPr>
          <w:rFonts w:ascii="Times New Roman" w:hAnsi="Times New Roman" w:cs="Times New Roman"/>
          <w:sz w:val="24"/>
          <w:szCs w:val="24"/>
        </w:rPr>
      </w:pPr>
      <w:r w:rsidRPr="006E437B">
        <w:rPr>
          <w:rFonts w:ascii="Times New Roman" w:hAnsi="Times New Roman" w:cs="Times New Roman"/>
          <w:sz w:val="24"/>
          <w:szCs w:val="24"/>
        </w:rPr>
        <w:t>Dado en el Palacio del Poder Legislativo en Toluca de Lerdo, Estado de México a los ___ días del mes de septiembre del año dos mil veintiséis.</w:t>
      </w:r>
    </w:p>
    <w:p w:rsidR="00716A20" w:rsidRPr="006E437B" w:rsidRDefault="00716A20" w:rsidP="00141629">
      <w:pPr>
        <w:pStyle w:val="Sinespaciado"/>
        <w:jc w:val="both"/>
        <w:rPr>
          <w:rFonts w:ascii="Times New Roman" w:hAnsi="Times New Roman" w:cs="Times New Roman"/>
          <w:sz w:val="24"/>
          <w:szCs w:val="24"/>
        </w:rPr>
      </w:pPr>
    </w:p>
    <w:p w:rsidR="00716A20" w:rsidRPr="006E437B" w:rsidRDefault="00716A20"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716A20" w:rsidRPr="006E437B" w:rsidRDefault="00716A20" w:rsidP="00141629">
      <w:pPr>
        <w:pStyle w:val="Sinespaciado"/>
        <w:jc w:val="both"/>
        <w:rPr>
          <w:rFonts w:ascii="Times New Roman" w:hAnsi="Times New Roman" w:cs="Times New Roman"/>
          <w:sz w:val="24"/>
          <w:szCs w:val="24"/>
        </w:rPr>
      </w:pPr>
    </w:p>
    <w:p w:rsidR="00F91B57" w:rsidRPr="006E437B" w:rsidRDefault="0006149D" w:rsidP="00141629">
      <w:pPr>
        <w:pStyle w:val="Sinespaciado"/>
        <w:jc w:val="both"/>
        <w:rPr>
          <w:rFonts w:ascii="Times New Roman" w:hAnsi="Times New Roman" w:cs="Times New Roman"/>
          <w:sz w:val="24"/>
          <w:szCs w:val="24"/>
          <w:lang w:eastAsia="es-MX"/>
        </w:rPr>
      </w:pPr>
      <w:r w:rsidRPr="006E437B">
        <w:rPr>
          <w:rFonts w:ascii="Times New Roman" w:hAnsi="Times New Roman" w:cs="Times New Roman"/>
          <w:sz w:val="24"/>
          <w:szCs w:val="24"/>
          <w:lang w:eastAsia="es-MX"/>
        </w:rPr>
        <w:t xml:space="preserve">PRESIDENTE </w:t>
      </w:r>
      <w:r w:rsidRPr="006E437B">
        <w:rPr>
          <w:rFonts w:ascii="Times New Roman" w:hAnsi="Times New Roman" w:cs="Times New Roman"/>
          <w:kern w:val="2"/>
          <w:sz w:val="24"/>
          <w:szCs w:val="24"/>
        </w:rPr>
        <w:t xml:space="preserve">DIP. VLADIMIR HERNÁNDEZ VILLEGAS. </w:t>
      </w:r>
      <w:r w:rsidRPr="006E437B">
        <w:rPr>
          <w:rFonts w:ascii="Times New Roman" w:hAnsi="Times New Roman" w:cs="Times New Roman"/>
          <w:sz w:val="24"/>
          <w:szCs w:val="24"/>
          <w:lang w:eastAsia="es-MX"/>
        </w:rPr>
        <w:t>Muchas gracias diputado.</w:t>
      </w:r>
    </w:p>
    <w:p w:rsidR="00F91B57" w:rsidRPr="006E437B" w:rsidRDefault="0006149D" w:rsidP="00141629">
      <w:pPr>
        <w:pStyle w:val="Sinespaciado"/>
        <w:jc w:val="both"/>
        <w:rPr>
          <w:rFonts w:ascii="Times New Roman" w:hAnsi="Times New Roman" w:cs="Times New Roman"/>
          <w:sz w:val="24"/>
          <w:szCs w:val="24"/>
          <w:lang w:eastAsia="es-MX"/>
        </w:rPr>
      </w:pPr>
      <w:r w:rsidRPr="006E437B">
        <w:rPr>
          <w:rFonts w:ascii="Times New Roman" w:hAnsi="Times New Roman" w:cs="Times New Roman"/>
          <w:sz w:val="24"/>
          <w:szCs w:val="24"/>
          <w:lang w:eastAsia="es-MX"/>
        </w:rPr>
        <w:t>Se registra la Iniciativa y se remite a la Comisión Legislativa de Salud, Asistencia y Bienestar Social para su estudio y dictamen</w:t>
      </w:r>
    </w:p>
    <w:p w:rsidR="0006149D" w:rsidRPr="006E437B" w:rsidRDefault="00F91B57" w:rsidP="00141629">
      <w:pPr>
        <w:pStyle w:val="Sinespaciado"/>
        <w:ind w:firstLine="708"/>
        <w:jc w:val="both"/>
        <w:rPr>
          <w:rFonts w:ascii="Times New Roman" w:hAnsi="Times New Roman" w:cs="Times New Roman"/>
          <w:sz w:val="24"/>
          <w:szCs w:val="24"/>
          <w:lang w:eastAsia="es-MX"/>
        </w:rPr>
      </w:pPr>
      <w:r w:rsidRPr="006E437B">
        <w:rPr>
          <w:rFonts w:ascii="Times New Roman" w:hAnsi="Times New Roman" w:cs="Times New Roman"/>
          <w:sz w:val="24"/>
          <w:szCs w:val="24"/>
          <w:lang w:eastAsia="es-MX"/>
        </w:rPr>
        <w:t xml:space="preserve">¿Diputado </w:t>
      </w:r>
      <w:r w:rsidR="0006149D" w:rsidRPr="006E437B">
        <w:rPr>
          <w:rFonts w:ascii="Times New Roman" w:hAnsi="Times New Roman" w:cs="Times New Roman"/>
          <w:sz w:val="24"/>
          <w:szCs w:val="24"/>
          <w:lang w:eastAsia="es-MX"/>
        </w:rPr>
        <w:t>Octavio Martínez con qué objeto</w:t>
      </w:r>
      <w:r w:rsidRPr="006E437B">
        <w:rPr>
          <w:rFonts w:ascii="Times New Roman" w:hAnsi="Times New Roman" w:cs="Times New Roman"/>
          <w:sz w:val="24"/>
          <w:szCs w:val="24"/>
          <w:lang w:eastAsia="es-MX"/>
        </w:rPr>
        <w:t>?</w:t>
      </w:r>
    </w:p>
    <w:p w:rsidR="0006149D" w:rsidRPr="006E437B" w:rsidRDefault="0006149D"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DIP</w:t>
      </w:r>
      <w:r w:rsidR="00716A20"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OCTAVIO MARTÍNEZ VARGAS. Muchas gracias </w:t>
      </w:r>
      <w:r w:rsidR="001A3A31" w:rsidRPr="006E437B">
        <w:rPr>
          <w:rFonts w:ascii="Times New Roman" w:hAnsi="Times New Roman" w:cs="Times New Roman"/>
          <w:kern w:val="2"/>
          <w:sz w:val="24"/>
          <w:szCs w:val="24"/>
        </w:rPr>
        <w:t xml:space="preserve">Presidente </w:t>
      </w:r>
      <w:r w:rsidRPr="006E437B">
        <w:rPr>
          <w:rFonts w:ascii="Times New Roman" w:hAnsi="Times New Roman" w:cs="Times New Roman"/>
          <w:kern w:val="2"/>
          <w:sz w:val="24"/>
          <w:szCs w:val="24"/>
        </w:rPr>
        <w:t>para hechos</w:t>
      </w:r>
      <w:r w:rsidR="001A3A31"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si me permite.</w:t>
      </w:r>
    </w:p>
    <w:p w:rsidR="0006149D" w:rsidRPr="006E437B" w:rsidRDefault="0006149D"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PRESIDENTE DIP. VLADIMIR HERNÁNDEZ VILLEGAS. Adelante</w:t>
      </w:r>
      <w:r w:rsidR="0041393E" w:rsidRPr="006E437B">
        <w:rPr>
          <w:rFonts w:ascii="Times New Roman" w:hAnsi="Times New Roman" w:cs="Times New Roman"/>
          <w:kern w:val="2"/>
          <w:sz w:val="24"/>
          <w:szCs w:val="24"/>
        </w:rPr>
        <w:t>.</w:t>
      </w:r>
    </w:p>
    <w:p w:rsidR="000777FA" w:rsidRPr="006E437B" w:rsidRDefault="0006149D" w:rsidP="00141629">
      <w:pPr>
        <w:pStyle w:val="Sinespaciado"/>
        <w:jc w:val="both"/>
        <w:rPr>
          <w:rFonts w:ascii="Times New Roman" w:hAnsi="Times New Roman" w:cs="Times New Roman"/>
          <w:sz w:val="24"/>
          <w:szCs w:val="24"/>
        </w:rPr>
      </w:pPr>
      <w:r w:rsidRPr="006E437B">
        <w:rPr>
          <w:rFonts w:ascii="Times New Roman" w:hAnsi="Times New Roman" w:cs="Times New Roman"/>
          <w:kern w:val="2"/>
          <w:sz w:val="24"/>
          <w:szCs w:val="24"/>
        </w:rPr>
        <w:t>DIP</w:t>
      </w:r>
      <w:r w:rsidR="00716A20" w:rsidRPr="006E437B">
        <w:rPr>
          <w:rFonts w:ascii="Times New Roman" w:hAnsi="Times New Roman" w:cs="Times New Roman"/>
          <w:kern w:val="2"/>
          <w:sz w:val="24"/>
          <w:szCs w:val="24"/>
        </w:rPr>
        <w:t>.</w:t>
      </w:r>
      <w:r w:rsidRPr="006E437B">
        <w:rPr>
          <w:rFonts w:ascii="Times New Roman" w:hAnsi="Times New Roman" w:cs="Times New Roman"/>
          <w:kern w:val="2"/>
          <w:sz w:val="24"/>
          <w:szCs w:val="24"/>
        </w:rPr>
        <w:t xml:space="preserve"> OCTAVIO MARTÍNEZ VARGAS. </w:t>
      </w:r>
      <w:r w:rsidRPr="006E437B">
        <w:rPr>
          <w:rFonts w:ascii="Times New Roman" w:hAnsi="Times New Roman" w:cs="Times New Roman"/>
          <w:sz w:val="24"/>
          <w:szCs w:val="24"/>
        </w:rPr>
        <w:t>Primero quiero hacer referencia del enorme esfuerzo y trabajo que ha hecho la Presidenta Municipal de Ecatepec</w:t>
      </w:r>
      <w:r w:rsidR="001A3A31" w:rsidRPr="006E437B">
        <w:rPr>
          <w:rFonts w:ascii="Times New Roman" w:hAnsi="Times New Roman" w:cs="Times New Roman"/>
          <w:sz w:val="24"/>
          <w:szCs w:val="24"/>
        </w:rPr>
        <w:t>,</w:t>
      </w:r>
      <w:r w:rsidRPr="006E437B">
        <w:rPr>
          <w:rFonts w:ascii="Times New Roman" w:hAnsi="Times New Roman" w:cs="Times New Roman"/>
          <w:sz w:val="24"/>
          <w:szCs w:val="24"/>
        </w:rPr>
        <w:t xml:space="preserve"> Azucena Cisneros, en términos de rehabilitar 22 pozos, como ha reconocido</w:t>
      </w:r>
      <w:r w:rsidR="001A3A31" w:rsidRPr="006E437B">
        <w:rPr>
          <w:rFonts w:ascii="Times New Roman" w:hAnsi="Times New Roman" w:cs="Times New Roman"/>
          <w:sz w:val="24"/>
          <w:szCs w:val="24"/>
        </w:rPr>
        <w:t>;</w:t>
      </w:r>
      <w:r w:rsidRPr="006E437B">
        <w:rPr>
          <w:rFonts w:ascii="Times New Roman" w:hAnsi="Times New Roman" w:cs="Times New Roman"/>
          <w:sz w:val="24"/>
          <w:szCs w:val="24"/>
        </w:rPr>
        <w:t xml:space="preserve"> incluso la Presidenta de la República</w:t>
      </w:r>
      <w:r w:rsidR="001A3A31" w:rsidRPr="006E437B">
        <w:rPr>
          <w:rFonts w:ascii="Times New Roman" w:hAnsi="Times New Roman" w:cs="Times New Roman"/>
          <w:sz w:val="24"/>
          <w:szCs w:val="24"/>
        </w:rPr>
        <w:t>,</w:t>
      </w:r>
      <w:r w:rsidRPr="006E437B">
        <w:rPr>
          <w:rFonts w:ascii="Times New Roman" w:hAnsi="Times New Roman" w:cs="Times New Roman"/>
          <w:sz w:val="24"/>
          <w:szCs w:val="24"/>
        </w:rPr>
        <w:t xml:space="preserve"> 22 pozos que estaban fuera de operación, ha invertido en 1 año </w:t>
      </w:r>
      <w:r w:rsidR="001A3A31" w:rsidRPr="006E437B">
        <w:rPr>
          <w:rFonts w:ascii="Times New Roman" w:hAnsi="Times New Roman" w:cs="Times New Roman"/>
          <w:sz w:val="24"/>
          <w:szCs w:val="24"/>
        </w:rPr>
        <w:t>9</w:t>
      </w:r>
      <w:r w:rsidRPr="006E437B">
        <w:rPr>
          <w:rFonts w:ascii="Times New Roman" w:hAnsi="Times New Roman" w:cs="Times New Roman"/>
          <w:sz w:val="24"/>
          <w:szCs w:val="24"/>
        </w:rPr>
        <w:t xml:space="preserve"> meses en sustitución de red hidráulica en la construcción de un tanque elevado en Ciudad Cuauhtémoc que ha garantizado el suministro en esta región y ya ha recuperado pozos que se ocupaban para la venta de agua en la administración que encabezó Fernando Vilchis; lo que ha hecho Azucena no tiene precedente</w:t>
      </w:r>
      <w:r w:rsidR="001A3A31" w:rsidRPr="006E437B">
        <w:rPr>
          <w:rFonts w:ascii="Times New Roman" w:hAnsi="Times New Roman" w:cs="Times New Roman"/>
          <w:sz w:val="24"/>
          <w:szCs w:val="24"/>
        </w:rPr>
        <w:t>,</w:t>
      </w:r>
      <w:r w:rsidRPr="006E437B">
        <w:rPr>
          <w:rFonts w:ascii="Times New Roman" w:hAnsi="Times New Roman" w:cs="Times New Roman"/>
          <w:sz w:val="24"/>
          <w:szCs w:val="24"/>
        </w:rPr>
        <w:t xml:space="preserve"> en términos de comprometerse con las y los vecinos de Ecatepec.</w:t>
      </w:r>
    </w:p>
    <w:p w:rsidR="005616CD" w:rsidRPr="006E437B" w:rsidRDefault="0006149D"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Por otro lado</w:t>
      </w:r>
      <w:r w:rsidR="000777FA" w:rsidRPr="006E437B">
        <w:rPr>
          <w:rFonts w:ascii="Times New Roman" w:hAnsi="Times New Roman" w:cs="Times New Roman"/>
          <w:sz w:val="24"/>
          <w:szCs w:val="24"/>
        </w:rPr>
        <w:t>,</w:t>
      </w:r>
      <w:r w:rsidRPr="006E437B">
        <w:rPr>
          <w:rFonts w:ascii="Times New Roman" w:hAnsi="Times New Roman" w:cs="Times New Roman"/>
          <w:sz w:val="24"/>
          <w:szCs w:val="24"/>
        </w:rPr>
        <w:t xml:space="preserve"> </w:t>
      </w:r>
      <w:r w:rsidR="000777FA" w:rsidRPr="006E437B">
        <w:rPr>
          <w:rFonts w:ascii="Times New Roman" w:hAnsi="Times New Roman" w:cs="Times New Roman"/>
          <w:sz w:val="24"/>
          <w:szCs w:val="24"/>
        </w:rPr>
        <w:t xml:space="preserve">Presidente </w:t>
      </w:r>
      <w:r w:rsidRPr="006E437B">
        <w:rPr>
          <w:rFonts w:ascii="Times New Roman" w:hAnsi="Times New Roman" w:cs="Times New Roman"/>
          <w:sz w:val="24"/>
          <w:szCs w:val="24"/>
        </w:rPr>
        <w:t xml:space="preserve">si me permite, quiero socializar que desafortunadamente fue encontrada sin vida Jocelyn Sandoval, quien fuera estudiante de la Universidad del Estado de México en el Campus Teotihuacán, al igual que su novio Juan Carlos Ortiz, </w:t>
      </w:r>
      <w:r w:rsidR="000777FA" w:rsidRPr="006E437B">
        <w:rPr>
          <w:rFonts w:ascii="Times New Roman" w:hAnsi="Times New Roman" w:cs="Times New Roman"/>
          <w:sz w:val="24"/>
          <w:szCs w:val="24"/>
        </w:rPr>
        <w:t xml:space="preserve">Licenciado </w:t>
      </w:r>
      <w:r w:rsidRPr="006E437B">
        <w:rPr>
          <w:rFonts w:ascii="Times New Roman" w:hAnsi="Times New Roman" w:cs="Times New Roman"/>
          <w:sz w:val="24"/>
          <w:szCs w:val="24"/>
        </w:rPr>
        <w:t xml:space="preserve">en </w:t>
      </w:r>
      <w:r w:rsidR="000777FA" w:rsidRPr="006E437B">
        <w:rPr>
          <w:rFonts w:ascii="Times New Roman" w:hAnsi="Times New Roman" w:cs="Times New Roman"/>
          <w:sz w:val="24"/>
          <w:szCs w:val="24"/>
        </w:rPr>
        <w:t xml:space="preserve">Derecho, </w:t>
      </w:r>
      <w:r w:rsidRPr="006E437B">
        <w:rPr>
          <w:rFonts w:ascii="Times New Roman" w:hAnsi="Times New Roman" w:cs="Times New Roman"/>
          <w:sz w:val="24"/>
          <w:szCs w:val="24"/>
        </w:rPr>
        <w:t xml:space="preserve">egresado de </w:t>
      </w:r>
      <w:r w:rsidR="000777FA" w:rsidRPr="006E437B">
        <w:rPr>
          <w:rFonts w:ascii="Times New Roman" w:hAnsi="Times New Roman" w:cs="Times New Roman"/>
          <w:sz w:val="24"/>
          <w:szCs w:val="24"/>
        </w:rPr>
        <w:t>é</w:t>
      </w:r>
      <w:r w:rsidRPr="006E437B">
        <w:rPr>
          <w:rFonts w:ascii="Times New Roman" w:hAnsi="Times New Roman" w:cs="Times New Roman"/>
          <w:sz w:val="24"/>
          <w:szCs w:val="24"/>
        </w:rPr>
        <w:t>sta</w:t>
      </w:r>
      <w:r w:rsidR="000777FA" w:rsidRPr="006E437B">
        <w:rPr>
          <w:rFonts w:ascii="Times New Roman" w:hAnsi="Times New Roman" w:cs="Times New Roman"/>
          <w:sz w:val="24"/>
          <w:szCs w:val="24"/>
        </w:rPr>
        <w:t>,</w:t>
      </w:r>
      <w:r w:rsidRPr="006E437B">
        <w:rPr>
          <w:rFonts w:ascii="Times New Roman" w:hAnsi="Times New Roman" w:cs="Times New Roman"/>
          <w:sz w:val="24"/>
          <w:szCs w:val="24"/>
        </w:rPr>
        <w:t xml:space="preserve"> de la máxima </w:t>
      </w:r>
      <w:r w:rsidR="000777FA" w:rsidRPr="006E437B">
        <w:rPr>
          <w:rFonts w:ascii="Times New Roman" w:hAnsi="Times New Roman" w:cs="Times New Roman"/>
          <w:sz w:val="24"/>
          <w:szCs w:val="24"/>
        </w:rPr>
        <w:t xml:space="preserve">Casa </w:t>
      </w:r>
      <w:r w:rsidRPr="006E437B">
        <w:rPr>
          <w:rFonts w:ascii="Times New Roman" w:hAnsi="Times New Roman" w:cs="Times New Roman"/>
          <w:sz w:val="24"/>
          <w:szCs w:val="24"/>
        </w:rPr>
        <w:t xml:space="preserve">de </w:t>
      </w:r>
      <w:r w:rsidR="000777FA" w:rsidRPr="006E437B">
        <w:rPr>
          <w:rFonts w:ascii="Times New Roman" w:hAnsi="Times New Roman" w:cs="Times New Roman"/>
          <w:sz w:val="24"/>
          <w:szCs w:val="24"/>
        </w:rPr>
        <w:t xml:space="preserve">Estudios </w:t>
      </w:r>
      <w:r w:rsidRPr="006E437B">
        <w:rPr>
          <w:rFonts w:ascii="Times New Roman" w:hAnsi="Times New Roman" w:cs="Times New Roman"/>
          <w:sz w:val="24"/>
          <w:szCs w:val="24"/>
        </w:rPr>
        <w:t>del Estado de México, junto con otra persona en el Municipio de Otumba</w:t>
      </w:r>
      <w:r w:rsidR="005616CD" w:rsidRPr="006E437B">
        <w:rPr>
          <w:rFonts w:ascii="Times New Roman" w:hAnsi="Times New Roman" w:cs="Times New Roman"/>
          <w:sz w:val="24"/>
          <w:szCs w:val="24"/>
        </w:rPr>
        <w:t>.</w:t>
      </w:r>
    </w:p>
    <w:p w:rsidR="005616CD" w:rsidRPr="006E437B" w:rsidRDefault="005616CD"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w:t>
      </w:r>
      <w:r w:rsidR="004D56FA" w:rsidRPr="006E437B">
        <w:rPr>
          <w:rFonts w:ascii="Times New Roman" w:hAnsi="Times New Roman" w:cs="Times New Roman"/>
          <w:sz w:val="24"/>
          <w:szCs w:val="24"/>
        </w:rPr>
        <w:t>cierto,</w:t>
      </w:r>
      <w:r w:rsidR="0006149D" w:rsidRPr="006E437B">
        <w:rPr>
          <w:rFonts w:ascii="Times New Roman" w:hAnsi="Times New Roman" w:cs="Times New Roman"/>
          <w:sz w:val="24"/>
          <w:szCs w:val="24"/>
        </w:rPr>
        <w:t xml:space="preserve"> Jocelyn también era de la comunidad de Santiago Tolman, que hoy está convulsionada</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porque es de aquí</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quien hoy está detenido por una fabricación de delitos Alejandro Sánchez Millán</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aquí es donde la Fiscalía tiene que poner atención</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en seguir a los delincuentes, en castigarlos</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ya que </w:t>
      </w:r>
      <w:r w:rsidRPr="006E437B">
        <w:rPr>
          <w:rFonts w:ascii="Times New Roman" w:hAnsi="Times New Roman" w:cs="Times New Roman"/>
          <w:sz w:val="24"/>
          <w:szCs w:val="24"/>
        </w:rPr>
        <w:t>8</w:t>
      </w:r>
      <w:r w:rsidR="0006149D" w:rsidRPr="006E437B">
        <w:rPr>
          <w:rFonts w:ascii="Times New Roman" w:hAnsi="Times New Roman" w:cs="Times New Roman"/>
          <w:sz w:val="24"/>
          <w:szCs w:val="24"/>
        </w:rPr>
        <w:t xml:space="preserve"> de cada </w:t>
      </w:r>
      <w:r w:rsidRPr="006E437B">
        <w:rPr>
          <w:rFonts w:ascii="Times New Roman" w:hAnsi="Times New Roman" w:cs="Times New Roman"/>
          <w:sz w:val="24"/>
          <w:szCs w:val="24"/>
        </w:rPr>
        <w:t>10</w:t>
      </w:r>
      <w:r w:rsidR="0006149D" w:rsidRPr="006E437B">
        <w:rPr>
          <w:rFonts w:ascii="Times New Roman" w:hAnsi="Times New Roman" w:cs="Times New Roman"/>
          <w:sz w:val="24"/>
          <w:szCs w:val="24"/>
        </w:rPr>
        <w:t xml:space="preserve"> actos ilícitos</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quedan impunes por la Fiscalía del Estado de México</w:t>
      </w:r>
      <w:r w:rsidRPr="006E437B">
        <w:rPr>
          <w:rFonts w:ascii="Times New Roman" w:hAnsi="Times New Roman" w:cs="Times New Roman"/>
          <w:sz w:val="24"/>
          <w:szCs w:val="24"/>
        </w:rPr>
        <w:t>.</w:t>
      </w:r>
    </w:p>
    <w:p w:rsidR="00686AAA" w:rsidRPr="006E437B" w:rsidRDefault="000110CC"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Mi </w:t>
      </w:r>
      <w:r w:rsidR="0006149D" w:rsidRPr="006E437B">
        <w:rPr>
          <w:rFonts w:ascii="Times New Roman" w:hAnsi="Times New Roman" w:cs="Times New Roman"/>
          <w:sz w:val="24"/>
          <w:szCs w:val="24"/>
        </w:rPr>
        <w:t>solidaridad al pueblo de Santiago Tolman de Otumba, amigos, familiares y compañeros, y abrazo a toda la comunidad universitaria</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por este esta trágica noticia de una mujer</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una joven encontrada sin vida en la carretera México</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Tulancingo, a la altura de A</w:t>
      </w:r>
      <w:r w:rsidRPr="006E437B">
        <w:rPr>
          <w:rFonts w:ascii="Times New Roman" w:hAnsi="Times New Roman" w:cs="Times New Roman"/>
          <w:sz w:val="24"/>
          <w:szCs w:val="24"/>
        </w:rPr>
        <w:t>x</w:t>
      </w:r>
      <w:r w:rsidR="0006149D" w:rsidRPr="006E437B">
        <w:rPr>
          <w:rFonts w:ascii="Times New Roman" w:hAnsi="Times New Roman" w:cs="Times New Roman"/>
          <w:sz w:val="24"/>
          <w:szCs w:val="24"/>
        </w:rPr>
        <w:t>apu</w:t>
      </w:r>
      <w:r w:rsidRPr="006E437B">
        <w:rPr>
          <w:rFonts w:ascii="Times New Roman" w:hAnsi="Times New Roman" w:cs="Times New Roman"/>
          <w:sz w:val="24"/>
          <w:szCs w:val="24"/>
        </w:rPr>
        <w:t>s</w:t>
      </w:r>
      <w:r w:rsidR="0006149D" w:rsidRPr="006E437B">
        <w:rPr>
          <w:rFonts w:ascii="Times New Roman" w:hAnsi="Times New Roman" w:cs="Times New Roman"/>
          <w:sz w:val="24"/>
          <w:szCs w:val="24"/>
        </w:rPr>
        <w:t>co</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ojalá que haya pronunciamientos de mujeres en solidaridad por el crimen de Jocelyn</w:t>
      </w:r>
      <w:r w:rsidR="00686AAA" w:rsidRPr="006E437B">
        <w:rPr>
          <w:rFonts w:ascii="Times New Roman" w:hAnsi="Times New Roman" w:cs="Times New Roman"/>
          <w:sz w:val="24"/>
          <w:szCs w:val="24"/>
        </w:rPr>
        <w:t>.</w:t>
      </w:r>
    </w:p>
    <w:p w:rsidR="00214DB1" w:rsidRPr="006E437B" w:rsidRDefault="00686AAA"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Por </w:t>
      </w:r>
      <w:r w:rsidR="0006149D" w:rsidRPr="006E437B">
        <w:rPr>
          <w:rFonts w:ascii="Times New Roman" w:hAnsi="Times New Roman" w:cs="Times New Roman"/>
          <w:sz w:val="24"/>
          <w:szCs w:val="24"/>
        </w:rPr>
        <w:t>ello</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quiero solicitar amablemente </w:t>
      </w:r>
      <w:r w:rsidRPr="006E437B">
        <w:rPr>
          <w:rFonts w:ascii="Times New Roman" w:hAnsi="Times New Roman" w:cs="Times New Roman"/>
          <w:sz w:val="24"/>
          <w:szCs w:val="24"/>
        </w:rPr>
        <w:t xml:space="preserve">Presidente, </w:t>
      </w:r>
      <w:r w:rsidR="0006149D" w:rsidRPr="006E437B">
        <w:rPr>
          <w:rFonts w:ascii="Times New Roman" w:hAnsi="Times New Roman" w:cs="Times New Roman"/>
          <w:sz w:val="24"/>
          <w:szCs w:val="24"/>
        </w:rPr>
        <w:t>podamos guardar un minuto de silencio y concluir reconociendo el gran compromiso que tiene nuestra Gobernadora</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la Maestra Delfina con la seguridad de nuestro Estado y con las mujeres</w:t>
      </w:r>
      <w:r w:rsidR="00214DB1" w:rsidRPr="006E437B">
        <w:rPr>
          <w:rFonts w:ascii="Times New Roman" w:hAnsi="Times New Roman" w:cs="Times New Roman"/>
          <w:sz w:val="24"/>
          <w:szCs w:val="24"/>
        </w:rPr>
        <w:t>.</w:t>
      </w:r>
    </w:p>
    <w:p w:rsidR="00431AED" w:rsidRPr="006E437B" w:rsidRDefault="00214DB1"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Hacen </w:t>
      </w:r>
      <w:r w:rsidR="0006149D" w:rsidRPr="006E437B">
        <w:rPr>
          <w:rFonts w:ascii="Times New Roman" w:hAnsi="Times New Roman" w:cs="Times New Roman"/>
          <w:sz w:val="24"/>
          <w:szCs w:val="24"/>
        </w:rPr>
        <w:t xml:space="preserve">falta cambios en el Estado, hace falta reconocer lo que no se </w:t>
      </w:r>
      <w:r w:rsidRPr="006E437B">
        <w:rPr>
          <w:rFonts w:ascii="Times New Roman" w:hAnsi="Times New Roman" w:cs="Times New Roman"/>
          <w:sz w:val="24"/>
          <w:szCs w:val="24"/>
        </w:rPr>
        <w:t>está</w:t>
      </w:r>
      <w:r w:rsidR="0006149D" w:rsidRPr="006E437B">
        <w:rPr>
          <w:rFonts w:ascii="Times New Roman" w:hAnsi="Times New Roman" w:cs="Times New Roman"/>
          <w:sz w:val="24"/>
          <w:szCs w:val="24"/>
        </w:rPr>
        <w:t xml:space="preserve"> haciendo bien</w:t>
      </w:r>
      <w:r w:rsidRPr="006E437B">
        <w:rPr>
          <w:rFonts w:ascii="Times New Roman" w:hAnsi="Times New Roman" w:cs="Times New Roman"/>
          <w:sz w:val="24"/>
          <w:szCs w:val="24"/>
        </w:rPr>
        <w:t>,</w:t>
      </w:r>
      <w:r w:rsidR="0006149D" w:rsidRPr="006E437B">
        <w:rPr>
          <w:rFonts w:ascii="Times New Roman" w:hAnsi="Times New Roman" w:cs="Times New Roman"/>
          <w:sz w:val="24"/>
          <w:szCs w:val="24"/>
        </w:rPr>
        <w:t xml:space="preserve"> para seguir apoyando el gran compromiso que tiene la Presidenta de México y la Maestra Delfina Gómez</w:t>
      </w:r>
      <w:r w:rsidR="00431AED" w:rsidRPr="006E437B">
        <w:rPr>
          <w:rFonts w:ascii="Times New Roman" w:hAnsi="Times New Roman" w:cs="Times New Roman"/>
          <w:sz w:val="24"/>
          <w:szCs w:val="24"/>
        </w:rPr>
        <w:t>.</w:t>
      </w:r>
    </w:p>
    <w:p w:rsidR="0006149D" w:rsidRPr="006E437B" w:rsidRDefault="00431AED" w:rsidP="00141629">
      <w:pPr>
        <w:pStyle w:val="Sinespaciado"/>
        <w:ind w:firstLine="708"/>
        <w:jc w:val="both"/>
        <w:rPr>
          <w:rFonts w:ascii="Times New Roman" w:hAnsi="Times New Roman" w:cs="Times New Roman"/>
          <w:sz w:val="24"/>
          <w:szCs w:val="24"/>
        </w:rPr>
      </w:pPr>
      <w:r w:rsidRPr="006E437B">
        <w:rPr>
          <w:rFonts w:ascii="Times New Roman" w:hAnsi="Times New Roman" w:cs="Times New Roman"/>
          <w:sz w:val="24"/>
          <w:szCs w:val="24"/>
        </w:rPr>
        <w:t xml:space="preserve">Muchas </w:t>
      </w:r>
      <w:r w:rsidR="0006149D" w:rsidRPr="006E437B">
        <w:rPr>
          <w:rFonts w:ascii="Times New Roman" w:hAnsi="Times New Roman" w:cs="Times New Roman"/>
          <w:sz w:val="24"/>
          <w:szCs w:val="24"/>
        </w:rPr>
        <w:t xml:space="preserve">gracias </w:t>
      </w:r>
      <w:r w:rsidR="00214DB1" w:rsidRPr="006E437B">
        <w:rPr>
          <w:rFonts w:ascii="Times New Roman" w:hAnsi="Times New Roman" w:cs="Times New Roman"/>
          <w:sz w:val="24"/>
          <w:szCs w:val="24"/>
        </w:rPr>
        <w:t>Presidente</w:t>
      </w:r>
      <w:r w:rsidR="0006149D" w:rsidRPr="006E437B">
        <w:rPr>
          <w:rFonts w:ascii="Times New Roman" w:hAnsi="Times New Roman" w:cs="Times New Roman"/>
          <w:sz w:val="24"/>
          <w:szCs w:val="24"/>
        </w:rPr>
        <w:t>.</w:t>
      </w:r>
    </w:p>
    <w:p w:rsidR="004757FA" w:rsidRPr="006E437B" w:rsidRDefault="0006149D" w:rsidP="00141629">
      <w:pPr>
        <w:pStyle w:val="Sinespaciado"/>
        <w:jc w:val="both"/>
        <w:rPr>
          <w:rFonts w:ascii="Times New Roman" w:hAnsi="Times New Roman" w:cs="Times New Roman"/>
          <w:kern w:val="2"/>
          <w:sz w:val="24"/>
          <w:szCs w:val="24"/>
        </w:rPr>
      </w:pPr>
      <w:r w:rsidRPr="006E437B">
        <w:rPr>
          <w:rFonts w:ascii="Times New Roman" w:hAnsi="Times New Roman" w:cs="Times New Roman"/>
          <w:kern w:val="2"/>
          <w:sz w:val="24"/>
          <w:szCs w:val="24"/>
        </w:rPr>
        <w:t>PRESIDENTE DIP. VLADIMIR HERNÁNDEZ VILLEGAS. Se registran sus participaciones diputado y pido a la Asamblea nos puedan acompañar con este minuto de silencio.</w:t>
      </w:r>
    </w:p>
    <w:p w:rsidR="00310B68" w:rsidRPr="006E437B" w:rsidRDefault="00310B68" w:rsidP="00141629">
      <w:pPr>
        <w:pStyle w:val="Sinespaciado"/>
        <w:jc w:val="center"/>
        <w:rPr>
          <w:rFonts w:ascii="Times New Roman" w:hAnsi="Times New Roman" w:cs="Times New Roman"/>
          <w:i/>
          <w:sz w:val="24"/>
          <w:szCs w:val="24"/>
        </w:rPr>
      </w:pPr>
      <w:r w:rsidRPr="006E437B">
        <w:rPr>
          <w:rFonts w:ascii="Times New Roman" w:hAnsi="Times New Roman" w:cs="Times New Roman"/>
          <w:i/>
          <w:sz w:val="24"/>
          <w:szCs w:val="24"/>
        </w:rPr>
        <w:t>(</w:t>
      </w:r>
      <w:r w:rsidR="00214DB1" w:rsidRPr="006E437B">
        <w:rPr>
          <w:rFonts w:ascii="Times New Roman" w:hAnsi="Times New Roman" w:cs="Times New Roman"/>
          <w:i/>
          <w:sz w:val="24"/>
          <w:szCs w:val="24"/>
        </w:rPr>
        <w:t xml:space="preserve">Se guarda un minuto </w:t>
      </w:r>
      <w:r w:rsidRPr="006E437B">
        <w:rPr>
          <w:rFonts w:ascii="Times New Roman" w:hAnsi="Times New Roman" w:cs="Times New Roman"/>
          <w:i/>
          <w:sz w:val="24"/>
          <w:szCs w:val="24"/>
        </w:rPr>
        <w:t>de silencio)</w:t>
      </w:r>
    </w:p>
    <w:p w:rsidR="006F2649" w:rsidRPr="006E437B" w:rsidRDefault="007A2E5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PRESIDENTE DIP. VLADIMIR HERNÁNDEZ VILLEGAS. </w:t>
      </w:r>
      <w:r w:rsidR="006F2649" w:rsidRPr="006E437B">
        <w:rPr>
          <w:rFonts w:ascii="Times New Roman" w:hAnsi="Times New Roman" w:cs="Times New Roman"/>
          <w:sz w:val="24"/>
          <w:szCs w:val="24"/>
        </w:rPr>
        <w:t>En el punto 19, me permito destacar que en su oportunidad se recibió aviso de presentación del Tercer Informe de Gobierno del Estado de México; en tal sentido, pido a la diputada Vicepresidenta de la Mesa Directiva, Sara Alicia Ramírez de la O, dar lectura al aviso correspondiente</w:t>
      </w:r>
      <w:r w:rsidR="000A4B14" w:rsidRPr="006E437B">
        <w:rPr>
          <w:rFonts w:ascii="Times New Roman" w:hAnsi="Times New Roman" w:cs="Times New Roman"/>
          <w:sz w:val="24"/>
          <w:szCs w:val="24"/>
        </w:rPr>
        <w:t>, a</w:t>
      </w:r>
      <w:r w:rsidR="006F2649" w:rsidRPr="006E437B">
        <w:rPr>
          <w:rFonts w:ascii="Times New Roman" w:hAnsi="Times New Roman" w:cs="Times New Roman"/>
          <w:sz w:val="24"/>
          <w:szCs w:val="24"/>
        </w:rPr>
        <w:t>delante diputada.</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VICEPRESIDENTA DIP. SARA ALICIA RAMÍREZ DE LA O. Con su permiso Presidente</w:t>
      </w:r>
      <w:r w:rsidR="0041393E" w:rsidRPr="006E437B">
        <w:rPr>
          <w:rFonts w:ascii="Times New Roman" w:hAnsi="Times New Roman" w:cs="Times New Roman"/>
          <w:sz w:val="24"/>
          <w:szCs w:val="24"/>
        </w:rPr>
        <w:t>, c</w:t>
      </w:r>
      <w:r w:rsidRPr="006E437B">
        <w:rPr>
          <w:rFonts w:ascii="Times New Roman" w:hAnsi="Times New Roman" w:cs="Times New Roman"/>
          <w:sz w:val="24"/>
          <w:szCs w:val="24"/>
        </w:rPr>
        <w:t>ompañeros de la Mesa Directiva.</w:t>
      </w:r>
    </w:p>
    <w:p w:rsidR="000A4B14" w:rsidRPr="006E437B" w:rsidRDefault="006F2649" w:rsidP="00141629">
      <w:pPr>
        <w:pStyle w:val="Sinespaciado"/>
        <w:jc w:val="right"/>
        <w:rPr>
          <w:rFonts w:ascii="Times New Roman" w:hAnsi="Times New Roman" w:cs="Times New Roman"/>
          <w:sz w:val="24"/>
          <w:szCs w:val="24"/>
        </w:rPr>
      </w:pPr>
      <w:r w:rsidRPr="006E437B">
        <w:rPr>
          <w:rFonts w:ascii="Times New Roman" w:hAnsi="Times New Roman" w:cs="Times New Roman"/>
          <w:sz w:val="24"/>
          <w:szCs w:val="24"/>
        </w:rPr>
        <w:t xml:space="preserve">Toluca de Lerdo, México, a 21 de septiembre de 2026. </w:t>
      </w:r>
    </w:p>
    <w:p w:rsidR="006F2649" w:rsidRPr="006E437B" w:rsidRDefault="006F2649"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DIPUTADO LICENCIADO VLADIMIR HERNÁNDEZ VILLEGAS</w:t>
      </w:r>
    </w:p>
    <w:p w:rsidR="00BB0B17"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PRESIDENTE DE LA DIRECTIVA DE LA “LXII” LEGISLATURA </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DEL ESTADO DE MÉXICO</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PRESENTE </w:t>
      </w:r>
    </w:p>
    <w:p w:rsidR="00160118"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En cumplimiento a la obligación establecida en el artículo 77 fracción XVII de la Constitución Política del Estado Libre y Soberano de México</w:t>
      </w:r>
      <w:r w:rsidR="00BB0B17" w:rsidRPr="006E437B">
        <w:rPr>
          <w:rFonts w:ascii="Times New Roman" w:hAnsi="Times New Roman" w:cs="Times New Roman"/>
          <w:sz w:val="24"/>
          <w:szCs w:val="24"/>
        </w:rPr>
        <w:t>, m</w:t>
      </w:r>
      <w:r w:rsidRPr="006E437B">
        <w:rPr>
          <w:rFonts w:ascii="Times New Roman" w:hAnsi="Times New Roman" w:cs="Times New Roman"/>
          <w:sz w:val="24"/>
          <w:szCs w:val="24"/>
        </w:rPr>
        <w:t>e permito avisarle respetuosamente que la Gobernadora Constitucional del Estado de México, Delfina Gómez Álvarez, entregará a esa Soberanía el documento titulado Tercer Informe de Gobierno</w:t>
      </w:r>
      <w:r w:rsidR="00BB0B17" w:rsidRPr="006E437B">
        <w:rPr>
          <w:rFonts w:ascii="Times New Roman" w:hAnsi="Times New Roman" w:cs="Times New Roman"/>
          <w:sz w:val="24"/>
          <w:szCs w:val="24"/>
        </w:rPr>
        <w:t>;</w:t>
      </w:r>
      <w:r w:rsidRPr="006E437B">
        <w:rPr>
          <w:rFonts w:ascii="Times New Roman" w:hAnsi="Times New Roman" w:cs="Times New Roman"/>
          <w:sz w:val="24"/>
          <w:szCs w:val="24"/>
        </w:rPr>
        <w:t xml:space="preserve"> así como los anexos correspondientes con los que se da cuenta del Estado que guarda la Administración Pública Estatal, el próximo miércoles 30 de septiembre del año en curso, a </w:t>
      </w:r>
      <w:r w:rsidR="00BB0B17" w:rsidRPr="006E437B">
        <w:rPr>
          <w:rFonts w:ascii="Times New Roman" w:hAnsi="Times New Roman" w:cs="Times New Roman"/>
          <w:sz w:val="24"/>
          <w:szCs w:val="24"/>
        </w:rPr>
        <w:t>las</w:t>
      </w:r>
      <w:r w:rsidR="004A2B55" w:rsidRPr="006E437B">
        <w:rPr>
          <w:rFonts w:ascii="Times New Roman" w:hAnsi="Times New Roman" w:cs="Times New Roman"/>
          <w:sz w:val="24"/>
          <w:szCs w:val="24"/>
        </w:rPr>
        <w:t xml:space="preserve"> </w:t>
      </w:r>
      <w:r w:rsidRPr="006E437B">
        <w:rPr>
          <w:rFonts w:ascii="Times New Roman" w:hAnsi="Times New Roman" w:cs="Times New Roman"/>
          <w:sz w:val="24"/>
          <w:szCs w:val="24"/>
        </w:rPr>
        <w:t>11:00 horas.</w:t>
      </w:r>
    </w:p>
    <w:p w:rsidR="006F2649" w:rsidRPr="006E437B" w:rsidRDefault="006F2649" w:rsidP="00160118">
      <w:pPr>
        <w:pStyle w:val="Sinespaciado"/>
        <w:ind w:firstLine="709"/>
        <w:jc w:val="both"/>
        <w:rPr>
          <w:rFonts w:ascii="Times New Roman" w:hAnsi="Times New Roman" w:cs="Times New Roman"/>
          <w:sz w:val="24"/>
          <w:szCs w:val="24"/>
        </w:rPr>
      </w:pPr>
      <w:r w:rsidRPr="006E437B">
        <w:rPr>
          <w:rFonts w:ascii="Times New Roman" w:hAnsi="Times New Roman" w:cs="Times New Roman"/>
          <w:sz w:val="24"/>
          <w:szCs w:val="24"/>
        </w:rPr>
        <w:t>Su servidor la acompañará en tan honroso acto</w:t>
      </w:r>
      <w:r w:rsidR="00160118" w:rsidRPr="006E437B">
        <w:rPr>
          <w:rFonts w:ascii="Times New Roman" w:hAnsi="Times New Roman" w:cs="Times New Roman"/>
          <w:sz w:val="24"/>
          <w:szCs w:val="24"/>
        </w:rPr>
        <w:t>, p</w:t>
      </w:r>
      <w:r w:rsidRPr="006E437B">
        <w:rPr>
          <w:rFonts w:ascii="Times New Roman" w:hAnsi="Times New Roman" w:cs="Times New Roman"/>
          <w:sz w:val="24"/>
          <w:szCs w:val="24"/>
        </w:rPr>
        <w:t>or lo que quedo a sus órdenes para coordinar las acciones pertinentes.</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Sin otro particular, le reitero mi distinguida consideración.</w:t>
      </w:r>
    </w:p>
    <w:p w:rsidR="006F2649" w:rsidRPr="006E437B" w:rsidRDefault="006F2649"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ATENTAMENTE</w:t>
      </w:r>
    </w:p>
    <w:p w:rsidR="006F2649" w:rsidRPr="006E437B" w:rsidRDefault="006F2649"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HORACIO DUARTE OLIVARES</w:t>
      </w:r>
    </w:p>
    <w:p w:rsidR="006F2649" w:rsidRPr="006E437B" w:rsidRDefault="006F2649" w:rsidP="00141629">
      <w:pPr>
        <w:pStyle w:val="Sinespaciado"/>
        <w:jc w:val="center"/>
        <w:rPr>
          <w:rFonts w:ascii="Times New Roman" w:hAnsi="Times New Roman" w:cs="Times New Roman"/>
          <w:sz w:val="24"/>
          <w:szCs w:val="24"/>
        </w:rPr>
      </w:pPr>
      <w:r w:rsidRPr="006E437B">
        <w:rPr>
          <w:rFonts w:ascii="Times New Roman" w:hAnsi="Times New Roman" w:cs="Times New Roman"/>
          <w:sz w:val="24"/>
          <w:szCs w:val="24"/>
        </w:rPr>
        <w:t>SECRETARIO GENERAL DE GOBIERNO</w:t>
      </w:r>
    </w:p>
    <w:p w:rsidR="006F2649" w:rsidRPr="006E437B" w:rsidRDefault="006F2649" w:rsidP="00141629">
      <w:pPr>
        <w:pStyle w:val="Sinespaciado"/>
        <w:rPr>
          <w:rFonts w:ascii="Times New Roman" w:hAnsi="Times New Roman" w:cs="Times New Roman"/>
          <w:sz w:val="24"/>
          <w:szCs w:val="24"/>
        </w:rPr>
      </w:pPr>
      <w:r w:rsidRPr="006E437B">
        <w:rPr>
          <w:rFonts w:ascii="Times New Roman" w:hAnsi="Times New Roman" w:cs="Times New Roman"/>
          <w:sz w:val="24"/>
          <w:szCs w:val="24"/>
        </w:rPr>
        <w:tab/>
        <w:t>Es cuanto Presidente.</w:t>
      </w:r>
    </w:p>
    <w:p w:rsidR="00431AED" w:rsidRPr="006E437B" w:rsidRDefault="00431AED" w:rsidP="00141629">
      <w:pPr>
        <w:pStyle w:val="Sinespaciado"/>
        <w:rPr>
          <w:rFonts w:ascii="Times New Roman" w:hAnsi="Times New Roman" w:cs="Times New Roman"/>
          <w:sz w:val="24"/>
          <w:szCs w:val="24"/>
        </w:rPr>
      </w:pPr>
    </w:p>
    <w:p w:rsidR="00431AED" w:rsidRPr="006E437B" w:rsidRDefault="00431AED"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(Se inserta documento)</w:t>
      </w:r>
    </w:p>
    <w:p w:rsidR="00431AED" w:rsidRPr="006E437B" w:rsidRDefault="00431AED" w:rsidP="00141629">
      <w:pPr>
        <w:pStyle w:val="Sinespaciado"/>
        <w:jc w:val="both"/>
        <w:rPr>
          <w:rFonts w:ascii="Times New Roman" w:hAnsi="Times New Roman" w:cs="Times New Roman"/>
          <w:sz w:val="24"/>
          <w:szCs w:val="24"/>
        </w:rPr>
      </w:pPr>
    </w:p>
    <w:p w:rsidR="000F2DCB" w:rsidRPr="006E437B" w:rsidRDefault="000F2DCB" w:rsidP="000F2DCB">
      <w:pPr>
        <w:spacing w:after="0" w:line="240" w:lineRule="auto"/>
        <w:ind w:right="120"/>
        <w:jc w:val="right"/>
        <w:rPr>
          <w:rFonts w:ascii="Times New Roman" w:hAnsi="Times New Roman" w:cs="Times New Roman"/>
          <w:b/>
          <w:sz w:val="24"/>
          <w:szCs w:val="24"/>
        </w:rPr>
      </w:pPr>
      <w:r w:rsidRPr="006E437B">
        <w:rPr>
          <w:rFonts w:ascii="Times New Roman" w:hAnsi="Times New Roman" w:cs="Times New Roman"/>
          <w:b/>
          <w:sz w:val="24"/>
          <w:szCs w:val="24"/>
        </w:rPr>
        <w:t>Oficina del C. Secretario</w:t>
      </w:r>
    </w:p>
    <w:p w:rsidR="000F2DCB" w:rsidRPr="006E437B" w:rsidRDefault="000F2DCB" w:rsidP="000F2DCB">
      <w:pPr>
        <w:spacing w:after="0" w:line="240" w:lineRule="auto"/>
        <w:ind w:right="120"/>
        <w:jc w:val="center"/>
        <w:rPr>
          <w:rFonts w:ascii="Times New Roman" w:hAnsi="Times New Roman" w:cs="Times New Roman"/>
          <w:b/>
          <w:sz w:val="24"/>
          <w:szCs w:val="24"/>
        </w:rPr>
      </w:pPr>
    </w:p>
    <w:p w:rsidR="000F2DCB" w:rsidRPr="006E437B" w:rsidRDefault="000F2DCB" w:rsidP="000F2DCB">
      <w:pPr>
        <w:spacing w:after="0" w:line="240" w:lineRule="auto"/>
        <w:ind w:right="120"/>
        <w:jc w:val="center"/>
        <w:rPr>
          <w:rFonts w:ascii="Times New Roman" w:hAnsi="Times New Roman" w:cs="Times New Roman"/>
          <w:b/>
          <w:sz w:val="24"/>
          <w:szCs w:val="24"/>
        </w:rPr>
      </w:pPr>
      <w:r w:rsidRPr="006E437B">
        <w:rPr>
          <w:rFonts w:ascii="Times New Roman" w:hAnsi="Times New Roman" w:cs="Times New Roman"/>
          <w:b/>
          <w:sz w:val="24"/>
          <w:szCs w:val="24"/>
        </w:rPr>
        <w:t>"2026. Año del Humanismo Mexicano en el Estado de México"</w:t>
      </w:r>
    </w:p>
    <w:p w:rsidR="000F2DCB" w:rsidRPr="006E437B" w:rsidRDefault="000F2DCB" w:rsidP="000F2DCB">
      <w:pPr>
        <w:spacing w:after="0" w:line="240" w:lineRule="auto"/>
        <w:ind w:right="120"/>
        <w:jc w:val="center"/>
        <w:rPr>
          <w:rFonts w:ascii="Times New Roman" w:hAnsi="Times New Roman" w:cs="Times New Roman"/>
          <w:sz w:val="24"/>
          <w:szCs w:val="24"/>
        </w:rPr>
      </w:pPr>
    </w:p>
    <w:p w:rsidR="000F2DCB" w:rsidRPr="006E437B" w:rsidRDefault="000F2DCB" w:rsidP="000F2DCB">
      <w:pPr>
        <w:spacing w:after="0" w:line="240" w:lineRule="auto"/>
        <w:jc w:val="right"/>
        <w:rPr>
          <w:rFonts w:ascii="Times New Roman" w:hAnsi="Times New Roman" w:cs="Times New Roman"/>
          <w:sz w:val="24"/>
          <w:szCs w:val="24"/>
        </w:rPr>
      </w:pPr>
      <w:r w:rsidRPr="006E437B">
        <w:rPr>
          <w:rFonts w:ascii="Times New Roman" w:hAnsi="Times New Roman" w:cs="Times New Roman"/>
          <w:sz w:val="24"/>
          <w:szCs w:val="24"/>
        </w:rPr>
        <w:t>Toluca de Lerdo, México, a 21 de septiembre de 2026</w:t>
      </w:r>
    </w:p>
    <w:p w:rsidR="000F2DCB" w:rsidRPr="006E437B" w:rsidRDefault="000F2DCB" w:rsidP="000F2DCB">
      <w:pPr>
        <w:spacing w:after="0" w:line="240" w:lineRule="auto"/>
        <w:ind w:right="5"/>
        <w:jc w:val="right"/>
        <w:rPr>
          <w:rFonts w:ascii="Times New Roman" w:hAnsi="Times New Roman" w:cs="Times New Roman"/>
          <w:sz w:val="24"/>
          <w:szCs w:val="24"/>
        </w:rPr>
      </w:pPr>
      <w:r w:rsidRPr="006E437B">
        <w:rPr>
          <w:rFonts w:ascii="Times New Roman" w:hAnsi="Times New Roman" w:cs="Times New Roman"/>
          <w:sz w:val="24"/>
          <w:szCs w:val="24"/>
        </w:rPr>
        <w:t>Oficio No. SGG/131/2026</w:t>
      </w:r>
    </w:p>
    <w:p w:rsidR="000F2DCB" w:rsidRPr="006E437B" w:rsidRDefault="000F2DCB" w:rsidP="000F2DCB">
      <w:pPr>
        <w:spacing w:after="0" w:line="240" w:lineRule="auto"/>
        <w:ind w:right="5"/>
        <w:jc w:val="right"/>
        <w:rPr>
          <w:rFonts w:ascii="Times New Roman" w:hAnsi="Times New Roman" w:cs="Times New Roman"/>
          <w:sz w:val="24"/>
          <w:szCs w:val="24"/>
        </w:rPr>
      </w:pPr>
    </w:p>
    <w:p w:rsidR="000F2DCB" w:rsidRPr="006E437B" w:rsidRDefault="000F2DCB" w:rsidP="000F2DCB">
      <w:pPr>
        <w:spacing w:after="0" w:line="240" w:lineRule="auto"/>
        <w:ind w:left="38" w:right="-3542" w:hanging="10"/>
        <w:rPr>
          <w:rFonts w:ascii="Times New Roman" w:hAnsi="Times New Roman" w:cs="Times New Roman"/>
          <w:b/>
          <w:sz w:val="24"/>
          <w:szCs w:val="24"/>
        </w:rPr>
      </w:pPr>
      <w:r w:rsidRPr="006E437B">
        <w:rPr>
          <w:rFonts w:ascii="Times New Roman" w:hAnsi="Times New Roman" w:cs="Times New Roman"/>
          <w:b/>
          <w:sz w:val="24"/>
          <w:szCs w:val="24"/>
        </w:rPr>
        <w:t>DIPUTADO LICENCIADO</w:t>
      </w:r>
    </w:p>
    <w:p w:rsidR="000F2DCB" w:rsidRPr="006E437B" w:rsidRDefault="000F2DCB" w:rsidP="000F2DCB">
      <w:pPr>
        <w:spacing w:after="0" w:line="240" w:lineRule="auto"/>
        <w:ind w:left="38" w:right="-3542" w:hanging="10"/>
        <w:rPr>
          <w:rFonts w:ascii="Times New Roman" w:hAnsi="Times New Roman" w:cs="Times New Roman"/>
          <w:b/>
          <w:sz w:val="24"/>
          <w:szCs w:val="24"/>
        </w:rPr>
      </w:pPr>
      <w:r w:rsidRPr="006E437B">
        <w:rPr>
          <w:rFonts w:ascii="Times New Roman" w:hAnsi="Times New Roman" w:cs="Times New Roman"/>
          <w:b/>
          <w:sz w:val="24"/>
          <w:szCs w:val="24"/>
        </w:rPr>
        <w:t>VLADIMIR HERNÁNDEZ VILLEGAS</w:t>
      </w:r>
    </w:p>
    <w:p w:rsidR="000F2DCB" w:rsidRPr="006E437B" w:rsidRDefault="000F2DCB" w:rsidP="000F2DCB">
      <w:pPr>
        <w:spacing w:after="0" w:line="240" w:lineRule="auto"/>
        <w:ind w:left="38" w:right="-3542" w:hanging="10"/>
        <w:rPr>
          <w:rFonts w:ascii="Times New Roman" w:hAnsi="Times New Roman" w:cs="Times New Roman"/>
          <w:b/>
          <w:sz w:val="24"/>
          <w:szCs w:val="24"/>
        </w:rPr>
      </w:pPr>
      <w:r w:rsidRPr="006E437B">
        <w:rPr>
          <w:rFonts w:ascii="Times New Roman" w:hAnsi="Times New Roman" w:cs="Times New Roman"/>
          <w:b/>
          <w:sz w:val="24"/>
          <w:szCs w:val="24"/>
        </w:rPr>
        <w:t>PRESIDENTE DE LA DIRECTIVA DE LA</w:t>
      </w:r>
    </w:p>
    <w:p w:rsidR="000F2DCB" w:rsidRPr="006E437B" w:rsidRDefault="000F2DCB" w:rsidP="000F2DCB">
      <w:pPr>
        <w:spacing w:after="0" w:line="240" w:lineRule="auto"/>
        <w:ind w:left="38" w:right="-3542" w:hanging="10"/>
        <w:rPr>
          <w:rFonts w:ascii="Times New Roman" w:hAnsi="Times New Roman" w:cs="Times New Roman"/>
          <w:b/>
          <w:sz w:val="24"/>
          <w:szCs w:val="24"/>
        </w:rPr>
      </w:pPr>
      <w:r w:rsidRPr="006E437B">
        <w:rPr>
          <w:rFonts w:ascii="Times New Roman" w:hAnsi="Times New Roman" w:cs="Times New Roman"/>
          <w:b/>
          <w:sz w:val="24"/>
          <w:szCs w:val="24"/>
        </w:rPr>
        <w:t>LXII LEGISLATURA DEL ESTADO DE MÉXICO</w:t>
      </w:r>
    </w:p>
    <w:p w:rsidR="000F2DCB" w:rsidRPr="006E437B" w:rsidRDefault="000F2DCB" w:rsidP="000F2DCB">
      <w:pPr>
        <w:pStyle w:val="Ttulo1"/>
        <w:keepNext w:val="0"/>
        <w:keepLines w:val="0"/>
        <w:spacing w:line="240" w:lineRule="auto"/>
        <w:ind w:left="45"/>
        <w:jc w:val="left"/>
        <w:rPr>
          <w:rFonts w:ascii="Times New Roman" w:hAnsi="Times New Roman" w:cs="Times New Roman"/>
          <w:b/>
          <w:color w:val="auto"/>
          <w:szCs w:val="24"/>
        </w:rPr>
      </w:pPr>
      <w:r w:rsidRPr="006E437B">
        <w:rPr>
          <w:rFonts w:ascii="Times New Roman" w:hAnsi="Times New Roman" w:cs="Times New Roman"/>
          <w:b/>
          <w:color w:val="auto"/>
          <w:szCs w:val="24"/>
        </w:rPr>
        <w:t>PRESENTE</w:t>
      </w:r>
    </w:p>
    <w:p w:rsidR="000F2DCB" w:rsidRPr="006E437B" w:rsidRDefault="000F2DCB" w:rsidP="000F2DCB">
      <w:pPr>
        <w:spacing w:after="0" w:line="240" w:lineRule="auto"/>
        <w:rPr>
          <w:rFonts w:ascii="Times New Roman" w:hAnsi="Times New Roman" w:cs="Times New Roman"/>
        </w:rPr>
      </w:pPr>
    </w:p>
    <w:p w:rsidR="000F2DCB" w:rsidRPr="006E437B" w:rsidRDefault="000F2DCB" w:rsidP="000F2DCB">
      <w:pPr>
        <w:spacing w:after="0" w:line="240" w:lineRule="auto"/>
        <w:ind w:left="9" w:firstLine="4"/>
        <w:jc w:val="both"/>
        <w:rPr>
          <w:rFonts w:ascii="Times New Roman" w:hAnsi="Times New Roman" w:cs="Times New Roman"/>
          <w:sz w:val="24"/>
          <w:szCs w:val="24"/>
        </w:rPr>
      </w:pPr>
      <w:r w:rsidRPr="006E437B">
        <w:rPr>
          <w:rFonts w:ascii="Times New Roman" w:hAnsi="Times New Roman" w:cs="Times New Roman"/>
          <w:sz w:val="24"/>
          <w:szCs w:val="24"/>
        </w:rPr>
        <w:t>En cumplimiento a la obligación establecida en el artículo 77, fracción XVIII de la Constitución Política del Estado Libre y Soberano de México, me permito avisarle respetuosamente que la Gobernadora Constitucional del Estado de México, Delfina Gómez Álvarez, entregará a esa Soberanía el documento titulado: "Tercer Informe de Gobierno", así como los anexos correspondientes con los que se da cuenta del estado que guarda la administración pública estatal, el próximo miércoles 30 de septiembre del año en curso, a las 11:00 horas.</w:t>
      </w:r>
    </w:p>
    <w:p w:rsidR="000F2DCB" w:rsidRPr="006E437B" w:rsidRDefault="000F2DCB" w:rsidP="000F2DCB">
      <w:pPr>
        <w:spacing w:after="0" w:line="240" w:lineRule="auto"/>
        <w:ind w:left="9" w:firstLine="4"/>
        <w:jc w:val="both"/>
        <w:rPr>
          <w:rFonts w:ascii="Times New Roman" w:hAnsi="Times New Roman" w:cs="Times New Roman"/>
          <w:sz w:val="24"/>
          <w:szCs w:val="24"/>
        </w:rPr>
      </w:pPr>
    </w:p>
    <w:p w:rsidR="000F2DCB" w:rsidRPr="006E437B" w:rsidRDefault="000F2DCB" w:rsidP="000F2DCB">
      <w:pPr>
        <w:spacing w:after="0" w:line="240" w:lineRule="auto"/>
        <w:ind w:left="9" w:firstLine="4"/>
        <w:jc w:val="both"/>
        <w:rPr>
          <w:rFonts w:ascii="Times New Roman" w:hAnsi="Times New Roman" w:cs="Times New Roman"/>
          <w:sz w:val="24"/>
          <w:szCs w:val="24"/>
        </w:rPr>
      </w:pPr>
      <w:r w:rsidRPr="006E437B">
        <w:rPr>
          <w:rFonts w:ascii="Times New Roman" w:hAnsi="Times New Roman" w:cs="Times New Roman"/>
          <w:sz w:val="24"/>
          <w:szCs w:val="24"/>
        </w:rPr>
        <w:t>Su servidor la acompañará en tan honroso acto, por lo que quedo a sus órdenes para coordinar las acciones pertinentes.</w:t>
      </w:r>
    </w:p>
    <w:p w:rsidR="000F2DCB" w:rsidRPr="006E437B" w:rsidRDefault="000F2DCB" w:rsidP="000F2DCB">
      <w:pPr>
        <w:spacing w:after="0" w:line="240" w:lineRule="auto"/>
        <w:ind w:left="9" w:firstLine="4"/>
        <w:jc w:val="both"/>
        <w:rPr>
          <w:rFonts w:ascii="Times New Roman" w:hAnsi="Times New Roman" w:cs="Times New Roman"/>
          <w:sz w:val="24"/>
          <w:szCs w:val="24"/>
        </w:rPr>
      </w:pPr>
    </w:p>
    <w:p w:rsidR="000F2DCB" w:rsidRPr="006E437B" w:rsidRDefault="000F2DCB" w:rsidP="000F2DCB">
      <w:pPr>
        <w:spacing w:after="0" w:line="240" w:lineRule="auto"/>
        <w:ind w:left="9" w:firstLine="4"/>
        <w:jc w:val="both"/>
        <w:rPr>
          <w:rFonts w:ascii="Times New Roman" w:hAnsi="Times New Roman" w:cs="Times New Roman"/>
          <w:sz w:val="24"/>
          <w:szCs w:val="24"/>
        </w:rPr>
      </w:pPr>
      <w:r w:rsidRPr="006E437B">
        <w:rPr>
          <w:rFonts w:ascii="Times New Roman" w:hAnsi="Times New Roman" w:cs="Times New Roman"/>
          <w:sz w:val="24"/>
          <w:szCs w:val="24"/>
        </w:rPr>
        <w:t>Sin otro particular, le reitero mi distinguida consideración.</w:t>
      </w:r>
    </w:p>
    <w:p w:rsidR="000F2DCB" w:rsidRPr="006E437B" w:rsidRDefault="000F2DCB" w:rsidP="000F2DCB">
      <w:pPr>
        <w:spacing w:after="0" w:line="240" w:lineRule="auto"/>
        <w:ind w:left="9" w:firstLine="4"/>
        <w:jc w:val="both"/>
        <w:rPr>
          <w:rFonts w:ascii="Times New Roman" w:hAnsi="Times New Roman" w:cs="Times New Roman"/>
          <w:sz w:val="24"/>
          <w:szCs w:val="24"/>
        </w:rPr>
      </w:pPr>
    </w:p>
    <w:p w:rsidR="000F2DCB" w:rsidRPr="006E437B" w:rsidRDefault="000F2DCB" w:rsidP="000F2DCB">
      <w:pPr>
        <w:spacing w:after="0" w:line="240" w:lineRule="auto"/>
        <w:ind w:left="9" w:firstLine="4"/>
        <w:jc w:val="both"/>
        <w:rPr>
          <w:rFonts w:ascii="Times New Roman" w:hAnsi="Times New Roman" w:cs="Times New Roman"/>
          <w:b/>
          <w:sz w:val="24"/>
          <w:szCs w:val="24"/>
        </w:rPr>
      </w:pPr>
      <w:r w:rsidRPr="006E437B">
        <w:rPr>
          <w:rFonts w:ascii="Times New Roman" w:hAnsi="Times New Roman" w:cs="Times New Roman"/>
          <w:b/>
          <w:sz w:val="24"/>
          <w:szCs w:val="24"/>
        </w:rPr>
        <w:t xml:space="preserve">ATENTAMENTE </w:t>
      </w:r>
    </w:p>
    <w:p w:rsidR="000F2DCB" w:rsidRPr="006E437B" w:rsidRDefault="000F2DCB" w:rsidP="000F2DCB">
      <w:pPr>
        <w:spacing w:after="0" w:line="240" w:lineRule="auto"/>
        <w:ind w:left="9" w:firstLine="4"/>
        <w:jc w:val="both"/>
        <w:rPr>
          <w:rFonts w:ascii="Times New Roman" w:hAnsi="Times New Roman" w:cs="Times New Roman"/>
          <w:sz w:val="24"/>
          <w:szCs w:val="24"/>
        </w:rPr>
      </w:pPr>
    </w:p>
    <w:p w:rsidR="000F2DCB" w:rsidRPr="006E437B" w:rsidRDefault="000F2DCB" w:rsidP="000F2DCB">
      <w:pPr>
        <w:spacing w:after="0" w:line="240" w:lineRule="auto"/>
        <w:ind w:left="9" w:firstLine="4"/>
        <w:jc w:val="both"/>
        <w:rPr>
          <w:rFonts w:ascii="Times New Roman" w:hAnsi="Times New Roman" w:cs="Times New Roman"/>
          <w:b/>
          <w:sz w:val="24"/>
          <w:szCs w:val="24"/>
        </w:rPr>
      </w:pPr>
      <w:r w:rsidRPr="006E437B">
        <w:rPr>
          <w:rFonts w:ascii="Times New Roman" w:hAnsi="Times New Roman" w:cs="Times New Roman"/>
          <w:b/>
          <w:sz w:val="24"/>
          <w:szCs w:val="24"/>
        </w:rPr>
        <w:t>HORACIO DUARTE OLIVARES</w:t>
      </w:r>
    </w:p>
    <w:p w:rsidR="000F2DCB" w:rsidRPr="006E437B" w:rsidRDefault="000F2DCB" w:rsidP="000F2DCB">
      <w:pPr>
        <w:spacing w:after="0" w:line="240" w:lineRule="auto"/>
        <w:ind w:left="9" w:firstLine="4"/>
        <w:jc w:val="both"/>
        <w:rPr>
          <w:rFonts w:ascii="Times New Roman" w:hAnsi="Times New Roman" w:cs="Times New Roman"/>
          <w:b/>
          <w:sz w:val="24"/>
          <w:szCs w:val="24"/>
        </w:rPr>
      </w:pPr>
      <w:r w:rsidRPr="006E437B">
        <w:rPr>
          <w:rFonts w:ascii="Times New Roman" w:hAnsi="Times New Roman" w:cs="Times New Roman"/>
          <w:b/>
          <w:sz w:val="24"/>
          <w:szCs w:val="24"/>
        </w:rPr>
        <w:t>SECRETARIO GENERAL DE GOBIERNO</w:t>
      </w:r>
    </w:p>
    <w:p w:rsidR="000F2DCB" w:rsidRPr="006E437B" w:rsidRDefault="000F2DCB" w:rsidP="000F2DCB">
      <w:pPr>
        <w:spacing w:after="0" w:line="240" w:lineRule="auto"/>
        <w:ind w:left="9" w:firstLine="4"/>
        <w:rPr>
          <w:rFonts w:ascii="Times New Roman" w:hAnsi="Times New Roman" w:cs="Times New Roman"/>
          <w:b/>
          <w:sz w:val="24"/>
          <w:szCs w:val="24"/>
        </w:rPr>
      </w:pPr>
      <w:r w:rsidRPr="006E437B">
        <w:rPr>
          <w:rFonts w:ascii="Times New Roman" w:hAnsi="Times New Roman" w:cs="Times New Roman"/>
          <w:b/>
          <w:sz w:val="24"/>
          <w:szCs w:val="24"/>
        </w:rPr>
        <w:t>(</w:t>
      </w:r>
      <w:r w:rsidRPr="006E437B">
        <w:rPr>
          <w:rFonts w:ascii="Times New Roman" w:hAnsi="Times New Roman" w:cs="Times New Roman"/>
          <w:sz w:val="24"/>
          <w:szCs w:val="24"/>
        </w:rPr>
        <w:t>Rúbrica</w:t>
      </w:r>
      <w:r w:rsidRPr="006E437B">
        <w:rPr>
          <w:rFonts w:ascii="Times New Roman" w:hAnsi="Times New Roman" w:cs="Times New Roman"/>
          <w:b/>
          <w:sz w:val="24"/>
          <w:szCs w:val="24"/>
        </w:rPr>
        <w:t>)</w:t>
      </w:r>
    </w:p>
    <w:p w:rsidR="00431AED" w:rsidRPr="006E437B" w:rsidRDefault="00431AED" w:rsidP="00141629">
      <w:pPr>
        <w:pStyle w:val="Sinespaciado"/>
        <w:jc w:val="both"/>
        <w:rPr>
          <w:rFonts w:ascii="Times New Roman" w:hAnsi="Times New Roman" w:cs="Times New Roman"/>
          <w:sz w:val="24"/>
          <w:szCs w:val="24"/>
        </w:rPr>
      </w:pPr>
    </w:p>
    <w:p w:rsidR="00431AED" w:rsidRPr="006E437B" w:rsidRDefault="00431AED" w:rsidP="00141629">
      <w:pPr>
        <w:spacing w:after="0" w:line="240" w:lineRule="auto"/>
        <w:jc w:val="center"/>
        <w:rPr>
          <w:rFonts w:ascii="Times New Roman" w:hAnsi="Times New Roman" w:cs="Times New Roman"/>
          <w:i/>
          <w:sz w:val="24"/>
          <w:szCs w:val="24"/>
        </w:rPr>
      </w:pPr>
      <w:r w:rsidRPr="006E437B">
        <w:rPr>
          <w:rFonts w:ascii="Times New Roman" w:hAnsi="Times New Roman" w:cs="Times New Roman"/>
          <w:i/>
          <w:sz w:val="24"/>
          <w:szCs w:val="24"/>
        </w:rPr>
        <w:t>(Fin del documento)</w:t>
      </w:r>
    </w:p>
    <w:p w:rsidR="00431AED" w:rsidRPr="006E437B" w:rsidRDefault="00431AED" w:rsidP="00141629">
      <w:pPr>
        <w:pStyle w:val="Sinespaciado"/>
        <w:rPr>
          <w:rFonts w:ascii="Times New Roman" w:hAnsi="Times New Roman" w:cs="Times New Roman"/>
          <w:sz w:val="24"/>
          <w:szCs w:val="24"/>
        </w:rPr>
      </w:pP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Muchas gracias.</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Se tiene por enterada esta Legislatura del aviso correspondiente y se da por cumplido lo dispuesto en el artículo 77 fracción XVIII, de la Constitución Política del Estado Libre y Soberano de México y la Legislatura estará atenta a la presentación del Tercer Informe de Gobierno</w:t>
      </w:r>
      <w:r w:rsidR="00643FD5" w:rsidRPr="006E437B">
        <w:rPr>
          <w:rFonts w:ascii="Times New Roman" w:hAnsi="Times New Roman" w:cs="Times New Roman"/>
          <w:sz w:val="24"/>
          <w:szCs w:val="24"/>
        </w:rPr>
        <w:t>,</w:t>
      </w:r>
      <w:r w:rsidRPr="006E437B">
        <w:rPr>
          <w:rFonts w:ascii="Times New Roman" w:hAnsi="Times New Roman" w:cs="Times New Roman"/>
          <w:sz w:val="24"/>
          <w:szCs w:val="24"/>
        </w:rPr>
        <w:t xml:space="preserve"> en los términos indicados.</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SECRETARIA </w:t>
      </w:r>
      <w:r w:rsidR="009F4403" w:rsidRPr="006E437B">
        <w:rPr>
          <w:rFonts w:ascii="Times New Roman" w:hAnsi="Times New Roman" w:cs="Times New Roman"/>
          <w:sz w:val="24"/>
          <w:szCs w:val="24"/>
        </w:rPr>
        <w:t>DIP. YESICA YANET ROJAS HERNÁNDEZ</w:t>
      </w:r>
      <w:r w:rsidRPr="006E437B">
        <w:rPr>
          <w:rFonts w:ascii="Times New Roman" w:hAnsi="Times New Roman" w:cs="Times New Roman"/>
          <w:sz w:val="24"/>
          <w:szCs w:val="24"/>
        </w:rPr>
        <w:t>. Han concluido los asuntos del orden del día.</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 VLADIMIR HERNÁNDEZ VILLEGAS. Proceda la diputada Vicepresidenta Vanessa Linares a leer los comunicados.</w:t>
      </w:r>
    </w:p>
    <w:p w:rsidR="006F2649"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VICEPRESIDENTA DIP. GLORIA VANESSA LINARES ZETINA. Presidente</w:t>
      </w:r>
      <w:r w:rsidR="00694C4E" w:rsidRPr="006E437B">
        <w:rPr>
          <w:rFonts w:ascii="Times New Roman" w:hAnsi="Times New Roman" w:cs="Times New Roman"/>
          <w:sz w:val="24"/>
          <w:szCs w:val="24"/>
        </w:rPr>
        <w:t>,</w:t>
      </w:r>
      <w:r w:rsidRPr="006E437B">
        <w:rPr>
          <w:rFonts w:ascii="Times New Roman" w:hAnsi="Times New Roman" w:cs="Times New Roman"/>
          <w:sz w:val="24"/>
          <w:szCs w:val="24"/>
        </w:rPr>
        <w:t xml:space="preserve"> el número </w:t>
      </w:r>
      <w:r w:rsidR="000C46AF" w:rsidRPr="006E437B">
        <w:rPr>
          <w:rFonts w:ascii="Times New Roman" w:hAnsi="Times New Roman" w:cs="Times New Roman"/>
          <w:sz w:val="24"/>
          <w:szCs w:val="24"/>
        </w:rPr>
        <w:t>1</w:t>
      </w:r>
      <w:r w:rsidRPr="006E437B">
        <w:rPr>
          <w:rFonts w:ascii="Times New Roman" w:hAnsi="Times New Roman" w:cs="Times New Roman"/>
          <w:sz w:val="24"/>
          <w:szCs w:val="24"/>
        </w:rPr>
        <w:t xml:space="preserve"> es con la diputada María del Carmen de la Rosa Mendoza, con la Iniciativa con Proyecto de Decreto por el que se adicionan diversas disposiciones del Código Penal del Estado de México, el jueves 24 de septiembre del 2026 a las 11:00 horas, en el Salón “Narciso Bassols” y en modalidad mixta; con la Comisión de Procuración y Administración de Justicia</w:t>
      </w:r>
      <w:r w:rsidR="00694C4E" w:rsidRPr="006E437B">
        <w:rPr>
          <w:rFonts w:ascii="Times New Roman" w:hAnsi="Times New Roman" w:cs="Times New Roman"/>
          <w:sz w:val="24"/>
          <w:szCs w:val="24"/>
        </w:rPr>
        <w:t xml:space="preserve"> y </w:t>
      </w:r>
      <w:r w:rsidRPr="006E437B">
        <w:rPr>
          <w:rFonts w:ascii="Times New Roman" w:hAnsi="Times New Roman" w:cs="Times New Roman"/>
          <w:sz w:val="24"/>
          <w:szCs w:val="24"/>
        </w:rPr>
        <w:t>es una reunión de trabajo, en su caso de dictaminación.</w:t>
      </w:r>
    </w:p>
    <w:p w:rsidR="00377AD5" w:rsidRPr="006E437B" w:rsidRDefault="006F2649"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El punto número 2, es la diputada Itzel Daniela Ballesteros Lule y también el Grupo Parlamentario del Partido Verde Ecologista de México con Iniciativa con Proyecto de Decreto, por el que se reforma el artículo 4</w:t>
      </w:r>
      <w:r w:rsidR="006D1E01" w:rsidRPr="006E437B">
        <w:rPr>
          <w:rFonts w:ascii="Times New Roman" w:hAnsi="Times New Roman" w:cs="Times New Roman"/>
          <w:sz w:val="24"/>
          <w:szCs w:val="24"/>
        </w:rPr>
        <w:t>.</w:t>
      </w:r>
      <w:r w:rsidRPr="006E437B">
        <w:rPr>
          <w:rFonts w:ascii="Times New Roman" w:hAnsi="Times New Roman" w:cs="Times New Roman"/>
          <w:sz w:val="24"/>
          <w:szCs w:val="24"/>
        </w:rPr>
        <w:t>143 del Código Civil del Estado de México con la Iniciativa con Proyecto de Decreto por la que se adiciona un párrafo segundo con las fracciones I y II, así como un tercer y cuarto párrafo al artículo 4</w:t>
      </w:r>
      <w:r w:rsidR="006D1E01" w:rsidRPr="006E437B">
        <w:rPr>
          <w:rFonts w:ascii="Times New Roman" w:hAnsi="Times New Roman" w:cs="Times New Roman"/>
          <w:sz w:val="24"/>
          <w:szCs w:val="24"/>
        </w:rPr>
        <w:t>.</w:t>
      </w:r>
      <w:r w:rsidRPr="006E437B">
        <w:rPr>
          <w:rFonts w:ascii="Times New Roman" w:hAnsi="Times New Roman" w:cs="Times New Roman"/>
          <w:sz w:val="24"/>
          <w:szCs w:val="24"/>
        </w:rPr>
        <w:t>143 del Código Civil del Estado de México, el jueves 24 de septiembre del 2026 a las 11:30 horas, en el Salón “Narciso Bassols” y en modalidad mixta con Procuración y Administración de Justicia y es una reunión de trabajo</w:t>
      </w:r>
      <w:r w:rsidR="003D0617" w:rsidRPr="006E437B">
        <w:rPr>
          <w:rFonts w:ascii="Times New Roman" w:hAnsi="Times New Roman" w:cs="Times New Roman"/>
          <w:sz w:val="24"/>
          <w:szCs w:val="24"/>
        </w:rPr>
        <w:t>,</w:t>
      </w:r>
      <w:r w:rsidR="007A2E59" w:rsidRPr="006E437B">
        <w:rPr>
          <w:rFonts w:ascii="Times New Roman" w:hAnsi="Times New Roman" w:cs="Times New Roman"/>
          <w:sz w:val="24"/>
          <w:szCs w:val="24"/>
        </w:rPr>
        <w:t xml:space="preserve"> en su</w:t>
      </w:r>
      <w:r w:rsidR="00377AD5" w:rsidRPr="006E437B">
        <w:rPr>
          <w:rFonts w:ascii="Times New Roman" w:hAnsi="Times New Roman" w:cs="Times New Roman"/>
          <w:sz w:val="24"/>
          <w:szCs w:val="24"/>
        </w:rPr>
        <w:t xml:space="preserve"> caso de dictaminación.</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En el </w:t>
      </w:r>
      <w:r w:rsidR="006D1E01" w:rsidRPr="006E437B">
        <w:rPr>
          <w:rFonts w:ascii="Times New Roman" w:hAnsi="Times New Roman" w:cs="Times New Roman"/>
          <w:sz w:val="24"/>
          <w:szCs w:val="24"/>
        </w:rPr>
        <w:t>tercer</w:t>
      </w:r>
      <w:r w:rsidRPr="006E437B">
        <w:rPr>
          <w:rFonts w:ascii="Times New Roman" w:hAnsi="Times New Roman" w:cs="Times New Roman"/>
          <w:sz w:val="24"/>
          <w:szCs w:val="24"/>
        </w:rPr>
        <w:t xml:space="preserve"> punto, la diputada </w:t>
      </w:r>
      <w:r w:rsidRPr="006E437B">
        <w:rPr>
          <w:rFonts w:ascii="Times New Roman" w:hAnsi="Times New Roman" w:cs="Times New Roman"/>
          <w:kern w:val="2"/>
          <w:sz w:val="24"/>
          <w:szCs w:val="24"/>
          <w:lang w:eastAsia="es-MX"/>
        </w:rPr>
        <w:t>Joanna Alejandra Felipe Torres</w:t>
      </w:r>
      <w:r w:rsidRPr="006E437B">
        <w:rPr>
          <w:rFonts w:ascii="Times New Roman" w:hAnsi="Times New Roman" w:cs="Times New Roman"/>
          <w:sz w:val="24"/>
          <w:szCs w:val="24"/>
        </w:rPr>
        <w:t xml:space="preserve">, con el diputado </w:t>
      </w:r>
      <w:r w:rsidRPr="006E437B">
        <w:rPr>
          <w:rFonts w:ascii="Times New Roman" w:hAnsi="Times New Roman" w:cs="Times New Roman"/>
          <w:kern w:val="2"/>
          <w:sz w:val="24"/>
          <w:szCs w:val="24"/>
          <w:lang w:eastAsia="es-MX"/>
        </w:rPr>
        <w:t>Pablo Fernández de Cevallos González</w:t>
      </w:r>
      <w:r w:rsidRPr="006E437B">
        <w:rPr>
          <w:rFonts w:ascii="Times New Roman" w:hAnsi="Times New Roman" w:cs="Times New Roman"/>
          <w:sz w:val="24"/>
          <w:szCs w:val="24"/>
        </w:rPr>
        <w:t xml:space="preserve">, con la Iniciativa de Proyecto de Decreto por el que se reforman diversas disposiciones legales, siendo el 24 de septiembre del 2026 a </w:t>
      </w:r>
      <w:r w:rsidR="00D93884" w:rsidRPr="006E437B">
        <w:rPr>
          <w:rFonts w:ascii="Times New Roman" w:hAnsi="Times New Roman" w:cs="Times New Roman"/>
          <w:sz w:val="24"/>
          <w:szCs w:val="24"/>
        </w:rPr>
        <w:t xml:space="preserve">las </w:t>
      </w:r>
      <w:r w:rsidRPr="006E437B">
        <w:rPr>
          <w:rFonts w:ascii="Times New Roman" w:hAnsi="Times New Roman" w:cs="Times New Roman"/>
          <w:sz w:val="24"/>
          <w:szCs w:val="24"/>
        </w:rPr>
        <w:t>12:00 horas, en el Salón Narciso Bassols y en modalidad mixta, con Procuración y Administración de Justicia, Declaratorias de Alerta de Violencia de Género en Contra de las Mujeres por Feminicidio y Desaparición y es una reunión de trabajo.</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En el punto número 4, con la diputada </w:t>
      </w:r>
      <w:r w:rsidRPr="006E437B">
        <w:rPr>
          <w:rFonts w:ascii="Times New Roman" w:hAnsi="Times New Roman" w:cs="Times New Roman"/>
          <w:kern w:val="2"/>
          <w:sz w:val="24"/>
          <w:szCs w:val="24"/>
          <w:lang w:eastAsia="es-MX"/>
        </w:rPr>
        <w:t>Zaira Cedillo Silva</w:t>
      </w:r>
      <w:r w:rsidRPr="006E437B">
        <w:rPr>
          <w:rFonts w:ascii="Times New Roman" w:hAnsi="Times New Roman" w:cs="Times New Roman"/>
          <w:sz w:val="24"/>
          <w:szCs w:val="24"/>
        </w:rPr>
        <w:t xml:space="preserve">, con la diputada </w:t>
      </w:r>
      <w:r w:rsidRPr="006E437B">
        <w:rPr>
          <w:rFonts w:ascii="Times New Roman" w:hAnsi="Times New Roman" w:cs="Times New Roman"/>
          <w:kern w:val="2"/>
          <w:sz w:val="24"/>
          <w:szCs w:val="24"/>
          <w:lang w:eastAsia="es-MX"/>
        </w:rPr>
        <w:t xml:space="preserve">Nelly Brígida Rivera Sánchez </w:t>
      </w:r>
      <w:r w:rsidRPr="006E437B">
        <w:rPr>
          <w:rFonts w:ascii="Times New Roman" w:hAnsi="Times New Roman" w:cs="Times New Roman"/>
          <w:sz w:val="24"/>
          <w:szCs w:val="24"/>
        </w:rPr>
        <w:t xml:space="preserve">y también el Grupo Parlamentario del Partido de la Revolución Democrática con la Fundación Carmen Sánchez Mx. </w:t>
      </w:r>
      <w:r w:rsidR="00D93884" w:rsidRPr="006E437B">
        <w:rPr>
          <w:rFonts w:ascii="Times New Roman" w:hAnsi="Times New Roman" w:cs="Times New Roman"/>
          <w:sz w:val="24"/>
          <w:szCs w:val="24"/>
        </w:rPr>
        <w:t xml:space="preserve">y </w:t>
      </w:r>
      <w:r w:rsidRPr="006E437B">
        <w:rPr>
          <w:rFonts w:ascii="Times New Roman" w:hAnsi="Times New Roman" w:cs="Times New Roman"/>
          <w:sz w:val="24"/>
          <w:szCs w:val="24"/>
        </w:rPr>
        <w:t>mujeres Sobrevivientes de Violencia Química en México con la Iniciativa con Proyecto de Decreto por el que se Reforman y Adicionan Diversas Disposiciones de la Ley de Acceso a las Mujeres a una Vida Libre de Violencia del Estado de México y del Código Penal del Estado de México.</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Iniciativa con Proyecto de Decreto por el que se reforma el inciso II y se añade un inciso VII, reconociéndose las subsecuentes, del artículo 7 , Capítulo de la Ley de Acceso de las Mujeres a una Vida Libre de Violencia del Estado de México; se adiciona un Capítulo I Bis, un artículo 240 </w:t>
      </w:r>
      <w:r w:rsidR="00505252" w:rsidRPr="006E437B">
        <w:rPr>
          <w:rFonts w:ascii="Times New Roman" w:hAnsi="Times New Roman" w:cs="Times New Roman"/>
          <w:sz w:val="24"/>
          <w:szCs w:val="24"/>
        </w:rPr>
        <w:t>Bis,</w:t>
      </w:r>
      <w:r w:rsidRPr="006E437B">
        <w:rPr>
          <w:rFonts w:ascii="Times New Roman" w:hAnsi="Times New Roman" w:cs="Times New Roman"/>
          <w:sz w:val="24"/>
          <w:szCs w:val="24"/>
        </w:rPr>
        <w:t xml:space="preserve"> 240 ter y 240 quinquies,</w:t>
      </w:r>
      <w:r w:rsidR="00C55CAD" w:rsidRPr="006E437B">
        <w:rPr>
          <w:rFonts w:ascii="Times New Roman" w:hAnsi="Times New Roman" w:cs="Times New Roman"/>
          <w:sz w:val="24"/>
          <w:szCs w:val="24"/>
        </w:rPr>
        <w:t xml:space="preserve"> </w:t>
      </w:r>
      <w:r w:rsidRPr="006E437B">
        <w:rPr>
          <w:rFonts w:ascii="Times New Roman" w:hAnsi="Times New Roman" w:cs="Times New Roman"/>
          <w:sz w:val="24"/>
          <w:szCs w:val="24"/>
        </w:rPr>
        <w:t xml:space="preserve">240 </w:t>
      </w:r>
      <w:r w:rsidR="00C55CAD" w:rsidRPr="006E437B">
        <w:rPr>
          <w:rFonts w:ascii="Times New Roman" w:hAnsi="Times New Roman" w:cs="Times New Roman"/>
          <w:sz w:val="24"/>
          <w:szCs w:val="24"/>
        </w:rPr>
        <w:t>Sexties</w:t>
      </w:r>
      <w:r w:rsidRPr="006E437B">
        <w:rPr>
          <w:rFonts w:ascii="Times New Roman" w:hAnsi="Times New Roman" w:cs="Times New Roman"/>
          <w:sz w:val="24"/>
          <w:szCs w:val="24"/>
        </w:rPr>
        <w:t xml:space="preserve">, 240 </w:t>
      </w:r>
      <w:r w:rsidR="00C55CAD" w:rsidRPr="006E437B">
        <w:rPr>
          <w:rFonts w:ascii="Times New Roman" w:hAnsi="Times New Roman" w:cs="Times New Roman"/>
          <w:sz w:val="24"/>
          <w:szCs w:val="24"/>
        </w:rPr>
        <w:t>Septíes</w:t>
      </w:r>
      <w:r w:rsidRPr="006E437B">
        <w:rPr>
          <w:rFonts w:ascii="Times New Roman" w:hAnsi="Times New Roman" w:cs="Times New Roman"/>
          <w:sz w:val="24"/>
          <w:szCs w:val="24"/>
        </w:rPr>
        <w:t xml:space="preserve">  y se deroga la fracción XI del artículo 238 del Código Penal del Estado de México, con la Iniciativa con Proyecto de Decreto por el que se reforman y adicionan diversas disposiciones de la Ley del Acceso de las Mujeres a una Vida Libre de Violencia del Estado de México y del Código Penal del Estado de México.</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Iniciativa c</w:t>
      </w:r>
      <w:r w:rsidR="00CA051A" w:rsidRPr="006E437B">
        <w:rPr>
          <w:rFonts w:ascii="Times New Roman" w:hAnsi="Times New Roman" w:cs="Times New Roman"/>
          <w:sz w:val="24"/>
          <w:szCs w:val="24"/>
        </w:rPr>
        <w:t>iudadana</w:t>
      </w:r>
      <w:r w:rsidRPr="006E437B">
        <w:rPr>
          <w:rFonts w:ascii="Times New Roman" w:hAnsi="Times New Roman" w:cs="Times New Roman"/>
          <w:sz w:val="24"/>
          <w:szCs w:val="24"/>
        </w:rPr>
        <w:t xml:space="preserve"> por medio de la cual se propone reformar y adicionar diversas disposiciones de la Ley de Acceso a las Mujeres a una Vida Libre de Violencia del Estado de México, al Código Penal del Estado de México y a la Ley de Víctimas, esto será la programación el día lunes 28 de septiembre del 2026 a</w:t>
      </w:r>
      <w:r w:rsidR="00340BBA" w:rsidRPr="006E437B">
        <w:rPr>
          <w:rFonts w:ascii="Times New Roman" w:hAnsi="Times New Roman" w:cs="Times New Roman"/>
          <w:sz w:val="24"/>
          <w:szCs w:val="24"/>
        </w:rPr>
        <w:t xml:space="preserve"> las</w:t>
      </w:r>
      <w:r w:rsidRPr="006E437B">
        <w:rPr>
          <w:rFonts w:ascii="Times New Roman" w:hAnsi="Times New Roman" w:cs="Times New Roman"/>
          <w:sz w:val="24"/>
          <w:szCs w:val="24"/>
        </w:rPr>
        <w:t xml:space="preserve"> 10:00 horas, en el Salón Benito Juárez y en modalidad mixta con la Comisión de Procuración y Administración de Justicia y la reunión de trabajo y en su caso, también de dictaminación.</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En el punto 5, la diputada </w:t>
      </w:r>
      <w:r w:rsidRPr="006E437B">
        <w:rPr>
          <w:rFonts w:ascii="Times New Roman" w:hAnsi="Times New Roman" w:cs="Times New Roman"/>
          <w:kern w:val="2"/>
          <w:sz w:val="24"/>
          <w:szCs w:val="24"/>
          <w:lang w:eastAsia="es-MX"/>
        </w:rPr>
        <w:t xml:space="preserve">Yareli Anai Esparza Acevedo, </w:t>
      </w:r>
      <w:r w:rsidRPr="006E437B">
        <w:rPr>
          <w:rFonts w:ascii="Times New Roman" w:hAnsi="Times New Roman" w:cs="Times New Roman"/>
          <w:sz w:val="24"/>
          <w:szCs w:val="24"/>
        </w:rPr>
        <w:t>con la Iniciativa con Proyecto de Decreto mediante la cual</w:t>
      </w:r>
      <w:r w:rsidR="00340BBA" w:rsidRPr="006E437B">
        <w:rPr>
          <w:rFonts w:ascii="Times New Roman" w:hAnsi="Times New Roman" w:cs="Times New Roman"/>
          <w:sz w:val="24"/>
          <w:szCs w:val="24"/>
        </w:rPr>
        <w:t>,</w:t>
      </w:r>
      <w:r w:rsidRPr="006E437B">
        <w:rPr>
          <w:rFonts w:ascii="Times New Roman" w:hAnsi="Times New Roman" w:cs="Times New Roman"/>
          <w:sz w:val="24"/>
          <w:szCs w:val="24"/>
        </w:rPr>
        <w:t xml:space="preserve"> se reforma la fracción XI Artículo 4.200 del Código Civil del Estado de México, que será programada para el lunes 28 de septiembre de 2026 a </w:t>
      </w:r>
      <w:r w:rsidR="00340BBA" w:rsidRPr="006E437B">
        <w:rPr>
          <w:rFonts w:ascii="Times New Roman" w:hAnsi="Times New Roman" w:cs="Times New Roman"/>
          <w:sz w:val="24"/>
          <w:szCs w:val="24"/>
        </w:rPr>
        <w:t xml:space="preserve">las </w:t>
      </w:r>
      <w:r w:rsidRPr="006E437B">
        <w:rPr>
          <w:rFonts w:ascii="Times New Roman" w:hAnsi="Times New Roman" w:cs="Times New Roman"/>
          <w:sz w:val="24"/>
          <w:szCs w:val="24"/>
        </w:rPr>
        <w:t>11:00 horas, en el Salón Benito Juárez y en modalidad mixta con las Comisiones de Procuración y Administración de Justicia y Protección de Derechos de las Niñas, Niños, Adolescentes y la Primera Infancia, esto siendo una reunión de trabajo.</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 xml:space="preserve">En el punto 6, </w:t>
      </w:r>
      <w:r w:rsidR="00E9769D" w:rsidRPr="006E437B">
        <w:rPr>
          <w:rFonts w:ascii="Times New Roman" w:hAnsi="Times New Roman" w:cs="Times New Roman"/>
          <w:sz w:val="24"/>
          <w:szCs w:val="24"/>
        </w:rPr>
        <w:t>l</w:t>
      </w:r>
      <w:r w:rsidRPr="006E437B">
        <w:rPr>
          <w:rFonts w:ascii="Times New Roman" w:hAnsi="Times New Roman" w:cs="Times New Roman"/>
          <w:sz w:val="24"/>
          <w:szCs w:val="24"/>
        </w:rPr>
        <w:t xml:space="preserve">a diputada </w:t>
      </w:r>
      <w:r w:rsidRPr="006E437B">
        <w:rPr>
          <w:rFonts w:ascii="Times New Roman" w:hAnsi="Times New Roman" w:cs="Times New Roman"/>
          <w:kern w:val="2"/>
          <w:sz w:val="24"/>
          <w:szCs w:val="24"/>
        </w:rPr>
        <w:t>Arleth Stephanie Grimaldo Osorio</w:t>
      </w:r>
      <w:r w:rsidRPr="006E437B">
        <w:rPr>
          <w:rFonts w:ascii="Times New Roman" w:hAnsi="Times New Roman" w:cs="Times New Roman"/>
          <w:sz w:val="24"/>
          <w:szCs w:val="24"/>
        </w:rPr>
        <w:t xml:space="preserve">, con la Iniciativa con Proyecto de Decreto por el que se adicionan las fracciones VIII y VIII Bis del artículo 27 de la Ley de Movilidad y Seguridad Vial del Estado de México y sus </w:t>
      </w:r>
      <w:r w:rsidR="00222CCA" w:rsidRPr="006E437B">
        <w:rPr>
          <w:rFonts w:ascii="Times New Roman" w:hAnsi="Times New Roman" w:cs="Times New Roman"/>
          <w:sz w:val="24"/>
          <w:szCs w:val="24"/>
        </w:rPr>
        <w:t>Municipios</w:t>
      </w:r>
      <w:r w:rsidRPr="006E437B">
        <w:rPr>
          <w:rFonts w:ascii="Times New Roman" w:hAnsi="Times New Roman" w:cs="Times New Roman"/>
          <w:sz w:val="24"/>
          <w:szCs w:val="24"/>
        </w:rPr>
        <w:t xml:space="preserve">, y se adicionan las fracciones XVII Bis y XVII Ter, </w:t>
      </w:r>
      <w:r w:rsidR="00532C20" w:rsidRPr="006E437B">
        <w:rPr>
          <w:rFonts w:ascii="Times New Roman" w:hAnsi="Times New Roman" w:cs="Times New Roman"/>
          <w:sz w:val="24"/>
          <w:szCs w:val="24"/>
        </w:rPr>
        <w:t xml:space="preserve">con la </w:t>
      </w:r>
      <w:r w:rsidRPr="006E437B">
        <w:rPr>
          <w:rFonts w:ascii="Times New Roman" w:hAnsi="Times New Roman" w:cs="Times New Roman"/>
          <w:sz w:val="24"/>
          <w:szCs w:val="24"/>
        </w:rPr>
        <w:t>XVII</w:t>
      </w:r>
      <w:r w:rsidR="00532C20" w:rsidRPr="006E437B">
        <w:rPr>
          <w:rFonts w:ascii="Times New Roman" w:hAnsi="Times New Roman" w:cs="Times New Roman"/>
          <w:sz w:val="24"/>
          <w:szCs w:val="24"/>
        </w:rPr>
        <w:t>I</w:t>
      </w:r>
      <w:r w:rsidRPr="006E437B">
        <w:rPr>
          <w:rFonts w:ascii="Times New Roman" w:hAnsi="Times New Roman" w:cs="Times New Roman"/>
          <w:sz w:val="24"/>
          <w:szCs w:val="24"/>
        </w:rPr>
        <w:t xml:space="preserve"> </w:t>
      </w:r>
      <w:r w:rsidR="00532C20" w:rsidRPr="006E437B">
        <w:rPr>
          <w:rFonts w:ascii="Times New Roman" w:hAnsi="Times New Roman" w:cs="Times New Roman"/>
          <w:sz w:val="24"/>
          <w:szCs w:val="24"/>
        </w:rPr>
        <w:t>Quater</w:t>
      </w:r>
      <w:r w:rsidRPr="006E437B">
        <w:rPr>
          <w:rFonts w:ascii="Times New Roman" w:hAnsi="Times New Roman" w:cs="Times New Roman"/>
          <w:sz w:val="24"/>
          <w:szCs w:val="24"/>
        </w:rPr>
        <w:t xml:space="preserve"> del artículo 2.8 del Código para la Biodiversidad del Estado de México, siendo la reunión el jueves 1 de octubre del 2026 a </w:t>
      </w:r>
      <w:r w:rsidR="009D02A3" w:rsidRPr="006E437B">
        <w:rPr>
          <w:rFonts w:ascii="Times New Roman" w:hAnsi="Times New Roman" w:cs="Times New Roman"/>
          <w:sz w:val="24"/>
          <w:szCs w:val="24"/>
        </w:rPr>
        <w:t xml:space="preserve">las </w:t>
      </w:r>
      <w:r w:rsidRPr="006E437B">
        <w:rPr>
          <w:rFonts w:ascii="Times New Roman" w:hAnsi="Times New Roman" w:cs="Times New Roman"/>
          <w:sz w:val="24"/>
          <w:szCs w:val="24"/>
        </w:rPr>
        <w:t>09:00 horas, en el Salón Narciso Bassols y en modalidad mixta con las Comisiones de Comunicaciones y Transportes y Protección Ambiental y Cambio Climático, el tipo de reunión es una reunión de trabajo y en su caso</w:t>
      </w:r>
      <w:r w:rsidR="00637FAC" w:rsidRPr="006E437B">
        <w:rPr>
          <w:rFonts w:ascii="Times New Roman" w:hAnsi="Times New Roman" w:cs="Times New Roman"/>
          <w:sz w:val="24"/>
          <w:szCs w:val="24"/>
        </w:rPr>
        <w:t>,</w:t>
      </w:r>
      <w:r w:rsidRPr="006E437B">
        <w:rPr>
          <w:rFonts w:ascii="Times New Roman" w:hAnsi="Times New Roman" w:cs="Times New Roman"/>
          <w:sz w:val="24"/>
          <w:szCs w:val="24"/>
        </w:rPr>
        <w:t xml:space="preserve"> de dictaminación.</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ab/>
        <w:t>Es cuanto Presidente.</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PRESIDENTE DIP.</w:t>
      </w:r>
      <w:r w:rsidR="00637FAC" w:rsidRPr="006E437B">
        <w:rPr>
          <w:rFonts w:ascii="Times New Roman" w:hAnsi="Times New Roman" w:cs="Times New Roman"/>
          <w:sz w:val="24"/>
          <w:szCs w:val="24"/>
        </w:rPr>
        <w:t xml:space="preserve"> </w:t>
      </w:r>
      <w:r w:rsidRPr="006E437B">
        <w:rPr>
          <w:rFonts w:ascii="Times New Roman" w:hAnsi="Times New Roman" w:cs="Times New Roman"/>
          <w:kern w:val="2"/>
          <w:sz w:val="24"/>
          <w:szCs w:val="24"/>
          <w:lang w:eastAsia="es-MX"/>
        </w:rPr>
        <w:t>VLADIMIR HERNÁNDEZ VILLEGAS.</w:t>
      </w:r>
      <w:r w:rsidRPr="006E437B">
        <w:rPr>
          <w:rFonts w:ascii="Times New Roman" w:hAnsi="Times New Roman" w:cs="Times New Roman"/>
          <w:sz w:val="24"/>
          <w:szCs w:val="24"/>
        </w:rPr>
        <w:t xml:space="preserve"> Registre la Secretaría la asistencia a la sesión.</w:t>
      </w:r>
    </w:p>
    <w:p w:rsidR="00377AD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SECRETARIA DIP. </w:t>
      </w:r>
      <w:r w:rsidRPr="006E437B">
        <w:rPr>
          <w:rFonts w:ascii="Times New Roman" w:hAnsi="Times New Roman" w:cs="Times New Roman"/>
          <w:kern w:val="2"/>
          <w:sz w:val="24"/>
          <w:szCs w:val="24"/>
        </w:rPr>
        <w:t xml:space="preserve">YESICA YANET ROJAS HERNÁNDEZ. </w:t>
      </w:r>
      <w:r w:rsidRPr="006E437B">
        <w:rPr>
          <w:rFonts w:ascii="Times New Roman" w:hAnsi="Times New Roman" w:cs="Times New Roman"/>
          <w:sz w:val="24"/>
          <w:szCs w:val="24"/>
        </w:rPr>
        <w:t>Ha sido registrada la asistencia.</w:t>
      </w:r>
    </w:p>
    <w:p w:rsidR="004858E5" w:rsidRPr="006E437B" w:rsidRDefault="00377AD5" w:rsidP="00141629">
      <w:pPr>
        <w:pStyle w:val="Sinespaciado"/>
        <w:jc w:val="both"/>
        <w:rPr>
          <w:rFonts w:ascii="Times New Roman" w:hAnsi="Times New Roman" w:cs="Times New Roman"/>
          <w:sz w:val="24"/>
          <w:szCs w:val="24"/>
        </w:rPr>
      </w:pPr>
      <w:r w:rsidRPr="006E437B">
        <w:rPr>
          <w:rFonts w:ascii="Times New Roman" w:hAnsi="Times New Roman" w:cs="Times New Roman"/>
          <w:sz w:val="24"/>
          <w:szCs w:val="24"/>
        </w:rPr>
        <w:t xml:space="preserve">PRESIDENTE DIP. </w:t>
      </w:r>
      <w:r w:rsidRPr="006E437B">
        <w:rPr>
          <w:rFonts w:ascii="Times New Roman" w:hAnsi="Times New Roman" w:cs="Times New Roman"/>
          <w:kern w:val="2"/>
          <w:sz w:val="24"/>
          <w:szCs w:val="24"/>
          <w:lang w:eastAsia="es-MX"/>
        </w:rPr>
        <w:t>VLADIMIR HERNÁNDEZ VILLEGAS.</w:t>
      </w:r>
      <w:r w:rsidRPr="006E437B">
        <w:rPr>
          <w:rFonts w:ascii="Times New Roman" w:hAnsi="Times New Roman" w:cs="Times New Roman"/>
          <w:sz w:val="24"/>
          <w:szCs w:val="24"/>
        </w:rPr>
        <w:t xml:space="preserve"> Habiendo agotado</w:t>
      </w:r>
      <w:r w:rsidR="00237A6F" w:rsidRPr="006E437B">
        <w:rPr>
          <w:rFonts w:ascii="Times New Roman" w:hAnsi="Times New Roman" w:cs="Times New Roman"/>
          <w:sz w:val="24"/>
          <w:szCs w:val="24"/>
        </w:rPr>
        <w:t>s</w:t>
      </w:r>
      <w:r w:rsidRPr="006E437B">
        <w:rPr>
          <w:rFonts w:ascii="Times New Roman" w:hAnsi="Times New Roman" w:cs="Times New Roman"/>
          <w:sz w:val="24"/>
          <w:szCs w:val="24"/>
        </w:rPr>
        <w:t xml:space="preserve"> los asuntos en cartera, se levanta la Sesión Deliberante, siendo </w:t>
      </w:r>
      <w:r w:rsidR="00637FAC" w:rsidRPr="006E437B">
        <w:rPr>
          <w:rFonts w:ascii="Times New Roman" w:hAnsi="Times New Roman" w:cs="Times New Roman"/>
          <w:sz w:val="24"/>
          <w:szCs w:val="24"/>
        </w:rPr>
        <w:t xml:space="preserve">las </w:t>
      </w:r>
      <w:r w:rsidRPr="006E437B">
        <w:rPr>
          <w:rFonts w:ascii="Times New Roman" w:hAnsi="Times New Roman" w:cs="Times New Roman"/>
          <w:sz w:val="24"/>
          <w:szCs w:val="24"/>
        </w:rPr>
        <w:t xml:space="preserve">dieciséis horas con treinta minutos del día miércoles veintitrés de septiembre del año en curso, y se pide a las diputadas y a los diputados estar atentos a la convocatoria de la siguiente </w:t>
      </w:r>
      <w:r w:rsidR="00B1376C" w:rsidRPr="006E437B">
        <w:rPr>
          <w:rFonts w:ascii="Times New Roman" w:hAnsi="Times New Roman" w:cs="Times New Roman"/>
          <w:sz w:val="24"/>
          <w:szCs w:val="24"/>
        </w:rPr>
        <w:t>s</w:t>
      </w:r>
      <w:r w:rsidRPr="006E437B">
        <w:rPr>
          <w:rFonts w:ascii="Times New Roman" w:hAnsi="Times New Roman" w:cs="Times New Roman"/>
          <w:sz w:val="24"/>
          <w:szCs w:val="24"/>
        </w:rPr>
        <w:t>esión</w:t>
      </w:r>
      <w:r w:rsidR="00EB0C30" w:rsidRPr="006E437B">
        <w:rPr>
          <w:rFonts w:ascii="Times New Roman" w:hAnsi="Times New Roman" w:cs="Times New Roman"/>
          <w:sz w:val="24"/>
          <w:szCs w:val="24"/>
        </w:rPr>
        <w:t>.</w:t>
      </w:r>
    </w:p>
    <w:sectPr w:rsidR="004858E5" w:rsidRPr="006E437B" w:rsidSect="00816EB3">
      <w:footerReference w:type="default" r:id="rId325"/>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639" w:rsidRDefault="00C53639" w:rsidP="001105DF">
      <w:pPr>
        <w:spacing w:after="0" w:line="240" w:lineRule="auto"/>
      </w:pPr>
      <w:r>
        <w:separator/>
      </w:r>
    </w:p>
  </w:endnote>
  <w:endnote w:type="continuationSeparator" w:id="0">
    <w:p w:rsidR="00C53639" w:rsidRDefault="00C5363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IDFont+F1">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440620"/>
      <w:docPartObj>
        <w:docPartGallery w:val="Page Numbers (Bottom of Page)"/>
        <w:docPartUnique/>
      </w:docPartObj>
    </w:sdtPr>
    <w:sdtEndPr/>
    <w:sdtContent>
      <w:p w:rsidR="00DB605A" w:rsidRDefault="00DB605A" w:rsidP="00816EB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639" w:rsidRDefault="00C53639" w:rsidP="001105DF">
      <w:pPr>
        <w:spacing w:after="0" w:line="240" w:lineRule="auto"/>
      </w:pPr>
      <w:r>
        <w:separator/>
      </w:r>
    </w:p>
  </w:footnote>
  <w:footnote w:type="continuationSeparator" w:id="0">
    <w:p w:rsidR="00C53639" w:rsidRDefault="00C53639"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79EE057"/>
    <w:multiLevelType w:val="hybridMultilevel"/>
    <w:tmpl w:val="4E1B5E3B"/>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15A48"/>
    <w:multiLevelType w:val="hybridMultilevel"/>
    <w:tmpl w:val="7DD6FBDA"/>
    <w:lvl w:ilvl="0" w:tplc="7D627546">
      <w:start w:val="1"/>
      <w:numFmt w:val="upperRoman"/>
      <w:lvlText w:val="%1."/>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AE1FF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C6B63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829A0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46249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38C87A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68638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B2FCD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5E6D2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9A0EE0"/>
    <w:multiLevelType w:val="hybridMultilevel"/>
    <w:tmpl w:val="06344678"/>
    <w:lvl w:ilvl="0" w:tplc="E524321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0D5A58B7"/>
    <w:multiLevelType w:val="hybridMultilevel"/>
    <w:tmpl w:val="5636C504"/>
    <w:lvl w:ilvl="0" w:tplc="B4A485A4">
      <w:start w:val="25"/>
      <w:numFmt w:val="upperRoman"/>
      <w:lvlText w:val="%1."/>
      <w:lvlJc w:val="left"/>
      <w:pPr>
        <w:ind w:left="1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3F2EB4C">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0A2EC92">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EB83BCE">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0F2801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A86C5BC">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AE650E2">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D92251C">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C00219C">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04560D"/>
    <w:multiLevelType w:val="hybridMultilevel"/>
    <w:tmpl w:val="DD105882"/>
    <w:lvl w:ilvl="0" w:tplc="07C6B2FA">
      <w:start w:val="1"/>
      <w:numFmt w:val="upperRoman"/>
      <w:lvlText w:val="%1."/>
      <w:lvlJc w:val="left"/>
      <w:pPr>
        <w:ind w:left="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6EC1C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D4318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FA0AAC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986F3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C8A20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EA23B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2EE7B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3C36B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770E92"/>
    <w:multiLevelType w:val="hybridMultilevel"/>
    <w:tmpl w:val="318ACC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DB1C59"/>
    <w:multiLevelType w:val="hybridMultilevel"/>
    <w:tmpl w:val="563A44C6"/>
    <w:lvl w:ilvl="0" w:tplc="C8260972">
      <w:start w:val="1"/>
      <w:numFmt w:val="upperRoman"/>
      <w:lvlText w:val="%1."/>
      <w:lvlJc w:val="left"/>
      <w:pPr>
        <w:ind w:left="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C03B6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C04D8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72989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7C721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F07AA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6C107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90194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ECAF52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96769E"/>
    <w:multiLevelType w:val="hybridMultilevel"/>
    <w:tmpl w:val="E08E448A"/>
    <w:lvl w:ilvl="0" w:tplc="BDAAA8DA">
      <w:start w:val="1"/>
      <w:numFmt w:val="upperRoman"/>
      <w:lvlText w:val="%1."/>
      <w:lvlJc w:val="left"/>
      <w:pPr>
        <w:ind w:left="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5EDBE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AAEC8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80B1B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CA070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981EF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EEA38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B66AF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BDA767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6D24C1"/>
    <w:multiLevelType w:val="hybridMultilevel"/>
    <w:tmpl w:val="8D6020B2"/>
    <w:lvl w:ilvl="0" w:tplc="C04CDE06">
      <w:start w:val="1"/>
      <w:numFmt w:val="upperRoman"/>
      <w:lvlText w:val="%1."/>
      <w:lvlJc w:val="left"/>
      <w:pPr>
        <w:ind w:left="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4E02B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C807F2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F4203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7A4E6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A602FA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14FF7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D2578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690F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3BD6B4F"/>
    <w:multiLevelType w:val="hybridMultilevel"/>
    <w:tmpl w:val="2BB064B4"/>
    <w:lvl w:ilvl="0" w:tplc="BDDE96FC">
      <w:start w:val="1"/>
      <w:numFmt w:val="bullet"/>
      <w:lvlText w:val="•"/>
      <w:lvlJc w:val="left"/>
      <w:pPr>
        <w:ind w:left="4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5E378A">
      <w:start w:val="1"/>
      <w:numFmt w:val="bullet"/>
      <w:lvlText w:val="o"/>
      <w:lvlJc w:val="left"/>
      <w:pPr>
        <w:ind w:left="11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376B926">
      <w:start w:val="1"/>
      <w:numFmt w:val="bullet"/>
      <w:lvlText w:val="▪"/>
      <w:lvlJc w:val="left"/>
      <w:pPr>
        <w:ind w:left="18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A6ED62">
      <w:start w:val="1"/>
      <w:numFmt w:val="bullet"/>
      <w:lvlText w:val="•"/>
      <w:lvlJc w:val="left"/>
      <w:pPr>
        <w:ind w:left="26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545A4A">
      <w:start w:val="1"/>
      <w:numFmt w:val="bullet"/>
      <w:lvlText w:val="o"/>
      <w:lvlJc w:val="left"/>
      <w:pPr>
        <w:ind w:left="33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6EEA754">
      <w:start w:val="1"/>
      <w:numFmt w:val="bullet"/>
      <w:lvlText w:val="▪"/>
      <w:lvlJc w:val="left"/>
      <w:pPr>
        <w:ind w:left="40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2CD930">
      <w:start w:val="1"/>
      <w:numFmt w:val="bullet"/>
      <w:lvlText w:val="•"/>
      <w:lvlJc w:val="left"/>
      <w:pPr>
        <w:ind w:left="47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348698">
      <w:start w:val="1"/>
      <w:numFmt w:val="bullet"/>
      <w:lvlText w:val="o"/>
      <w:lvlJc w:val="left"/>
      <w:pPr>
        <w:ind w:left="54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42721A">
      <w:start w:val="1"/>
      <w:numFmt w:val="bullet"/>
      <w:lvlText w:val="▪"/>
      <w:lvlJc w:val="left"/>
      <w:pPr>
        <w:ind w:left="62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46E068C"/>
    <w:multiLevelType w:val="hybridMultilevel"/>
    <w:tmpl w:val="AE6E5D2A"/>
    <w:lvl w:ilvl="0" w:tplc="82B85B42">
      <w:start w:val="1"/>
      <w:numFmt w:val="upperRoman"/>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C8C00FE">
      <w:start w:val="1"/>
      <w:numFmt w:val="lowerLetter"/>
      <w:lvlText w:val="%2"/>
      <w:lvlJc w:val="left"/>
      <w:pPr>
        <w:ind w:left="11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76BC9728">
      <w:start w:val="1"/>
      <w:numFmt w:val="lowerRoman"/>
      <w:lvlText w:val="%3"/>
      <w:lvlJc w:val="left"/>
      <w:pPr>
        <w:ind w:left="19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F98FF0E">
      <w:start w:val="1"/>
      <w:numFmt w:val="decimal"/>
      <w:lvlText w:val="%4"/>
      <w:lvlJc w:val="left"/>
      <w:pPr>
        <w:ind w:left="26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68087F5A">
      <w:start w:val="1"/>
      <w:numFmt w:val="lowerLetter"/>
      <w:lvlText w:val="%5"/>
      <w:lvlJc w:val="left"/>
      <w:pPr>
        <w:ind w:left="33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30E2D36E">
      <w:start w:val="1"/>
      <w:numFmt w:val="lowerRoman"/>
      <w:lvlText w:val="%6"/>
      <w:lvlJc w:val="left"/>
      <w:pPr>
        <w:ind w:left="40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98709FC8">
      <w:start w:val="1"/>
      <w:numFmt w:val="decimal"/>
      <w:lvlText w:val="%7"/>
      <w:lvlJc w:val="left"/>
      <w:pPr>
        <w:ind w:left="47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64C1F7E">
      <w:start w:val="1"/>
      <w:numFmt w:val="lowerLetter"/>
      <w:lvlText w:val="%8"/>
      <w:lvlJc w:val="left"/>
      <w:pPr>
        <w:ind w:left="55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A454AFAE">
      <w:start w:val="1"/>
      <w:numFmt w:val="lowerRoman"/>
      <w:lvlText w:val="%9"/>
      <w:lvlJc w:val="left"/>
      <w:pPr>
        <w:ind w:left="62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BB07DC"/>
    <w:multiLevelType w:val="hybridMultilevel"/>
    <w:tmpl w:val="7AE28D64"/>
    <w:lvl w:ilvl="0" w:tplc="A40ABC90">
      <w:start w:val="1"/>
      <w:numFmt w:val="upperRoman"/>
      <w:lvlText w:val="%1."/>
      <w:lvlJc w:val="left"/>
      <w:pPr>
        <w:ind w:left="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0E35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C64EB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5E63DE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B0CCA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74A2A3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A4418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32330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D2B3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74A22DC"/>
    <w:multiLevelType w:val="hybridMultilevel"/>
    <w:tmpl w:val="F036DBB4"/>
    <w:lvl w:ilvl="0" w:tplc="3DFC676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4616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A8ED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3EEF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B2EA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94F4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ACDAE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E25D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E44C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8E539FC"/>
    <w:multiLevelType w:val="hybridMultilevel"/>
    <w:tmpl w:val="878EC674"/>
    <w:lvl w:ilvl="0" w:tplc="06847966">
      <w:start w:val="1"/>
      <w:numFmt w:val="upperRoman"/>
      <w:lvlText w:val="%1."/>
      <w:lvlJc w:val="left"/>
      <w:pPr>
        <w:ind w:left="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4582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8AE98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50013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3071A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46D70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6A964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08607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0E63A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9AD3FFA"/>
    <w:multiLevelType w:val="hybridMultilevel"/>
    <w:tmpl w:val="29AAB09E"/>
    <w:lvl w:ilvl="0" w:tplc="51AC9E60">
      <w:start w:val="19"/>
      <w:numFmt w:val="upperRoman"/>
      <w:lvlText w:val="%1."/>
      <w:lvlJc w:val="left"/>
      <w:pPr>
        <w:ind w:left="36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36E3BD8">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34006030">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4E4E9B2">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09AA0286">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3912D118">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080E4D42">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3C9CA544">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A2AC185E">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B3F6546"/>
    <w:multiLevelType w:val="hybridMultilevel"/>
    <w:tmpl w:val="9FDE855A"/>
    <w:lvl w:ilvl="0" w:tplc="25EE8520">
      <w:start w:val="1"/>
      <w:numFmt w:val="upperRoman"/>
      <w:lvlText w:val="%1."/>
      <w:lvlJc w:val="left"/>
      <w:pPr>
        <w:ind w:left="1080" w:hanging="720"/>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D3D617B"/>
    <w:multiLevelType w:val="hybridMultilevel"/>
    <w:tmpl w:val="E46A3E8E"/>
    <w:lvl w:ilvl="0" w:tplc="5D40F6E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D0029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06814F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7CA8B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1606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16068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D8CF2A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94405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6424A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D767813"/>
    <w:multiLevelType w:val="hybridMultilevel"/>
    <w:tmpl w:val="8BAA9F58"/>
    <w:lvl w:ilvl="0" w:tplc="89BC8BB8">
      <w:start w:val="3"/>
      <w:numFmt w:val="upperRoman"/>
      <w:lvlText w:val="%1."/>
      <w:lvlJc w:val="left"/>
      <w:pPr>
        <w:ind w:left="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F80BF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04058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18BC4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EC84B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376047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94828B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0CC5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604D1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04B0F26"/>
    <w:multiLevelType w:val="hybridMultilevel"/>
    <w:tmpl w:val="C2D26444"/>
    <w:lvl w:ilvl="0" w:tplc="21B0CE20">
      <w:start w:val="1"/>
      <w:numFmt w:val="upperRoman"/>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FFE1D5E">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1B6AF2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18EE08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986CE1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392DAD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B60B0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DF64FB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D2ECD5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14921E1"/>
    <w:multiLevelType w:val="hybridMultilevel"/>
    <w:tmpl w:val="DED4119A"/>
    <w:lvl w:ilvl="0" w:tplc="C78AAF7C">
      <w:start w:val="1"/>
      <w:numFmt w:val="upperRoman"/>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8C9FB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280A0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7ED35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82C7C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34AF1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16D4F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8C8BC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ECE7FD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21D6152"/>
    <w:multiLevelType w:val="hybridMultilevel"/>
    <w:tmpl w:val="9238FA2E"/>
    <w:lvl w:ilvl="0" w:tplc="7CE60A20">
      <w:start w:val="1"/>
      <w:numFmt w:val="upperRoman"/>
      <w:lvlText w:val="%1."/>
      <w:lvlJc w:val="left"/>
      <w:pPr>
        <w:ind w:left="4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48C0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AE65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28870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C8F07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FE05CB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01C934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D0623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6C3CB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42A26F3"/>
    <w:multiLevelType w:val="hybridMultilevel"/>
    <w:tmpl w:val="D73EEFA6"/>
    <w:lvl w:ilvl="0" w:tplc="66AAF4C4">
      <w:start w:val="1"/>
      <w:numFmt w:val="upperRoman"/>
      <w:lvlText w:val="%1."/>
      <w:lvlJc w:val="left"/>
      <w:pPr>
        <w:ind w:left="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A448C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5898D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F86F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9A174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6A3FF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3EC49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1E6F0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74BAF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56965B8"/>
    <w:multiLevelType w:val="hybridMultilevel"/>
    <w:tmpl w:val="139E1606"/>
    <w:lvl w:ilvl="0" w:tplc="4A90CF50">
      <w:start w:val="1"/>
      <w:numFmt w:val="upperRoman"/>
      <w:lvlText w:val="%1."/>
      <w:lvlJc w:val="left"/>
      <w:pPr>
        <w:ind w:left="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9C8AD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CA176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28E1C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BEC60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8C779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8A299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DAC3D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5020BE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5AC6F51"/>
    <w:multiLevelType w:val="hybridMultilevel"/>
    <w:tmpl w:val="D222F208"/>
    <w:lvl w:ilvl="0" w:tplc="D66681CC">
      <w:start w:val="1"/>
      <w:numFmt w:val="upperRoman"/>
      <w:lvlText w:val="%1."/>
      <w:lvlJc w:val="left"/>
      <w:pPr>
        <w:ind w:left="10"/>
      </w:pPr>
      <w:rPr>
        <w:rFonts w:ascii="Calibri" w:eastAsia="Calibri" w:hAnsi="Calibri" w:cs="Calibri"/>
        <w:b/>
        <w:i/>
        <w:iCs/>
        <w:strike w:val="0"/>
        <w:dstrike w:val="0"/>
        <w:color w:val="000000"/>
        <w:sz w:val="24"/>
        <w:szCs w:val="24"/>
        <w:u w:val="none" w:color="000000"/>
        <w:bdr w:val="none" w:sz="0" w:space="0" w:color="auto"/>
        <w:shd w:val="clear" w:color="auto" w:fill="auto"/>
        <w:vertAlign w:val="baseline"/>
      </w:rPr>
    </w:lvl>
    <w:lvl w:ilvl="1" w:tplc="2312DEAE">
      <w:start w:val="1"/>
      <w:numFmt w:val="lowerLetter"/>
      <w:lvlText w:val="%2"/>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53E62E54">
      <w:start w:val="1"/>
      <w:numFmt w:val="lowerRoman"/>
      <w:lvlText w:val="%3"/>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A1C6CD52">
      <w:start w:val="1"/>
      <w:numFmt w:val="decimal"/>
      <w:lvlText w:val="%4"/>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44A6E018">
      <w:start w:val="1"/>
      <w:numFmt w:val="lowerLetter"/>
      <w:lvlText w:val="%5"/>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7D525ABA">
      <w:start w:val="1"/>
      <w:numFmt w:val="lowerRoman"/>
      <w:lvlText w:val="%6"/>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0AEE8BEC">
      <w:start w:val="1"/>
      <w:numFmt w:val="decimal"/>
      <w:lvlText w:val="%7"/>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80D01342">
      <w:start w:val="1"/>
      <w:numFmt w:val="lowerLetter"/>
      <w:lvlText w:val="%8"/>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2A349508">
      <w:start w:val="1"/>
      <w:numFmt w:val="lowerRoman"/>
      <w:lvlText w:val="%9"/>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978109A"/>
    <w:multiLevelType w:val="hybridMultilevel"/>
    <w:tmpl w:val="543E1E26"/>
    <w:lvl w:ilvl="0" w:tplc="0B4E2146">
      <w:start w:val="5"/>
      <w:numFmt w:val="upperRoman"/>
      <w:lvlText w:val="%1."/>
      <w:lvlJc w:val="left"/>
      <w:pPr>
        <w:ind w:left="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8ADD8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8686D5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AC09A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F6BBA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7E51D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50EA5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36EF6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FEADE9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B382DBB"/>
    <w:multiLevelType w:val="hybridMultilevel"/>
    <w:tmpl w:val="DCE4DB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2BA80D70"/>
    <w:multiLevelType w:val="hybridMultilevel"/>
    <w:tmpl w:val="ADAC1A60"/>
    <w:lvl w:ilvl="0" w:tplc="4C722AB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ED27462"/>
    <w:multiLevelType w:val="hybridMultilevel"/>
    <w:tmpl w:val="474816EE"/>
    <w:lvl w:ilvl="0" w:tplc="2458CACE">
      <w:start w:val="1"/>
      <w:numFmt w:val="upperRoman"/>
      <w:lvlText w:val="%1."/>
      <w:lvlJc w:val="left"/>
      <w:pPr>
        <w:ind w:left="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B8597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70575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30FBF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1C2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98894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0EC9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E0EA5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690D58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1B64D63"/>
    <w:multiLevelType w:val="hybridMultilevel"/>
    <w:tmpl w:val="274AAE7A"/>
    <w:lvl w:ilvl="0" w:tplc="EA7E896C">
      <w:start w:val="1"/>
      <w:numFmt w:val="upperRoman"/>
      <w:lvlText w:val="%1."/>
      <w:lvlJc w:val="left"/>
      <w:pPr>
        <w:ind w:left="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A26E7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9EC692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E0DE4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56AAC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409D8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603A6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4A663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6248C9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42C4705"/>
    <w:multiLevelType w:val="hybridMultilevel"/>
    <w:tmpl w:val="901CF76C"/>
    <w:lvl w:ilvl="0" w:tplc="82A0A81A">
      <w:start w:val="1"/>
      <w:numFmt w:val="upperRoman"/>
      <w:lvlText w:val="%1."/>
      <w:lvlJc w:val="left"/>
      <w:pPr>
        <w:ind w:left="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74B7C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ECAD9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DC394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DE3A5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88F18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CAEB1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167AA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32B2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4B948CC"/>
    <w:multiLevelType w:val="hybridMultilevel"/>
    <w:tmpl w:val="DD7C7B88"/>
    <w:lvl w:ilvl="0" w:tplc="9C5618AE">
      <w:start w:val="1"/>
      <w:numFmt w:val="upperRoman"/>
      <w:lvlText w:val="%1."/>
      <w:lvlJc w:val="left"/>
      <w:pPr>
        <w:ind w:left="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78326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1E133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D2C292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6E613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D22B0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D4E2F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A4ABB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A2900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53450DA"/>
    <w:multiLevelType w:val="hybridMultilevel"/>
    <w:tmpl w:val="9FC4CDAC"/>
    <w:lvl w:ilvl="0" w:tplc="080A0013">
      <w:start w:val="1"/>
      <w:numFmt w:val="upperRoman"/>
      <w:lvlText w:val="%1."/>
      <w:lvlJc w:val="righ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15:restartNumberingAfterBreak="0">
    <w:nsid w:val="36E53B74"/>
    <w:multiLevelType w:val="hybridMultilevel"/>
    <w:tmpl w:val="C09498E6"/>
    <w:lvl w:ilvl="0" w:tplc="E524321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3" w15:restartNumberingAfterBreak="0">
    <w:nsid w:val="381E218A"/>
    <w:multiLevelType w:val="hybridMultilevel"/>
    <w:tmpl w:val="B920B79A"/>
    <w:lvl w:ilvl="0" w:tplc="3716AF3E">
      <w:start w:val="1"/>
      <w:numFmt w:val="bullet"/>
      <w:lvlText w:val="●"/>
      <w:lvlJc w:val="left"/>
      <w:pPr>
        <w:ind w:left="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364CB6">
      <w:start w:val="1"/>
      <w:numFmt w:val="bullet"/>
      <w:lvlText w:val="o"/>
      <w:lvlJc w:val="left"/>
      <w:pPr>
        <w:ind w:left="2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4293D6">
      <w:start w:val="1"/>
      <w:numFmt w:val="bullet"/>
      <w:lvlText w:val="▪"/>
      <w:lvlJc w:val="left"/>
      <w:pPr>
        <w:ind w:left="2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54D084">
      <w:start w:val="1"/>
      <w:numFmt w:val="bullet"/>
      <w:lvlText w:val="•"/>
      <w:lvlJc w:val="left"/>
      <w:pPr>
        <w:ind w:left="3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C60F48">
      <w:start w:val="1"/>
      <w:numFmt w:val="bullet"/>
      <w:lvlText w:val="o"/>
      <w:lvlJc w:val="left"/>
      <w:pPr>
        <w:ind w:left="4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5848D6">
      <w:start w:val="1"/>
      <w:numFmt w:val="bullet"/>
      <w:lvlText w:val="▪"/>
      <w:lvlJc w:val="left"/>
      <w:pPr>
        <w:ind w:left="4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9EC2CC">
      <w:start w:val="1"/>
      <w:numFmt w:val="bullet"/>
      <w:lvlText w:val="•"/>
      <w:lvlJc w:val="left"/>
      <w:pPr>
        <w:ind w:left="5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D4901C">
      <w:start w:val="1"/>
      <w:numFmt w:val="bullet"/>
      <w:lvlText w:val="o"/>
      <w:lvlJc w:val="left"/>
      <w:pPr>
        <w:ind w:left="6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F80F62">
      <w:start w:val="1"/>
      <w:numFmt w:val="bullet"/>
      <w:lvlText w:val="▪"/>
      <w:lvlJc w:val="left"/>
      <w:pPr>
        <w:ind w:left="7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BCF42EC"/>
    <w:multiLevelType w:val="hybridMultilevel"/>
    <w:tmpl w:val="A8042D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3EFB756D"/>
    <w:multiLevelType w:val="hybridMultilevel"/>
    <w:tmpl w:val="5F70E0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459E7509"/>
    <w:multiLevelType w:val="hybridMultilevel"/>
    <w:tmpl w:val="F5C07E0E"/>
    <w:lvl w:ilvl="0" w:tplc="5F92E96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B0B25A7"/>
    <w:multiLevelType w:val="hybridMultilevel"/>
    <w:tmpl w:val="50FA07D6"/>
    <w:lvl w:ilvl="0" w:tplc="D9089692">
      <w:start w:val="1"/>
      <w:numFmt w:val="upperRoman"/>
      <w:lvlText w:val="%1."/>
      <w:lvlJc w:val="left"/>
      <w:pPr>
        <w:ind w:left="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C6D3E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8D0C22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8A043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6A173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DC397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C0F03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8C2DC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668AE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D0A3901"/>
    <w:multiLevelType w:val="hybridMultilevel"/>
    <w:tmpl w:val="3F76125C"/>
    <w:lvl w:ilvl="0" w:tplc="B68C8C26">
      <w:start w:val="1"/>
      <w:numFmt w:val="upperRoman"/>
      <w:lvlText w:val="%1."/>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0A58C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0E083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78B23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10BD4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0EF0A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B2AAF5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06798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B26D3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D7433AB"/>
    <w:multiLevelType w:val="hybridMultilevel"/>
    <w:tmpl w:val="DC264118"/>
    <w:lvl w:ilvl="0" w:tplc="AABEB902">
      <w:start w:val="1"/>
      <w:numFmt w:val="upperRoman"/>
      <w:lvlText w:val="%1."/>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0020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58AFE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F6339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58470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90447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747C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70FA9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A4163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E6379CD"/>
    <w:multiLevelType w:val="hybridMultilevel"/>
    <w:tmpl w:val="A2F03996"/>
    <w:lvl w:ilvl="0" w:tplc="080A0001">
      <w:start w:val="1"/>
      <w:numFmt w:val="bullet"/>
      <w:lvlText w:val=""/>
      <w:lvlJc w:val="left"/>
      <w:pPr>
        <w:ind w:left="1434" w:hanging="360"/>
      </w:pPr>
      <w:rPr>
        <w:rFonts w:ascii="Symbol" w:hAnsi="Symbol" w:hint="default"/>
      </w:rPr>
    </w:lvl>
    <w:lvl w:ilvl="1" w:tplc="080A0003" w:tentative="1">
      <w:start w:val="1"/>
      <w:numFmt w:val="bullet"/>
      <w:lvlText w:val="o"/>
      <w:lvlJc w:val="left"/>
      <w:pPr>
        <w:ind w:left="2154" w:hanging="360"/>
      </w:pPr>
      <w:rPr>
        <w:rFonts w:ascii="Courier New" w:hAnsi="Courier New" w:cs="Courier New" w:hint="default"/>
      </w:rPr>
    </w:lvl>
    <w:lvl w:ilvl="2" w:tplc="080A0005" w:tentative="1">
      <w:start w:val="1"/>
      <w:numFmt w:val="bullet"/>
      <w:lvlText w:val=""/>
      <w:lvlJc w:val="left"/>
      <w:pPr>
        <w:ind w:left="2874" w:hanging="360"/>
      </w:pPr>
      <w:rPr>
        <w:rFonts w:ascii="Wingdings" w:hAnsi="Wingdings" w:hint="default"/>
      </w:rPr>
    </w:lvl>
    <w:lvl w:ilvl="3" w:tplc="080A0001" w:tentative="1">
      <w:start w:val="1"/>
      <w:numFmt w:val="bullet"/>
      <w:lvlText w:val=""/>
      <w:lvlJc w:val="left"/>
      <w:pPr>
        <w:ind w:left="3594" w:hanging="360"/>
      </w:pPr>
      <w:rPr>
        <w:rFonts w:ascii="Symbol" w:hAnsi="Symbol" w:hint="default"/>
      </w:rPr>
    </w:lvl>
    <w:lvl w:ilvl="4" w:tplc="080A0003" w:tentative="1">
      <w:start w:val="1"/>
      <w:numFmt w:val="bullet"/>
      <w:lvlText w:val="o"/>
      <w:lvlJc w:val="left"/>
      <w:pPr>
        <w:ind w:left="4314" w:hanging="360"/>
      </w:pPr>
      <w:rPr>
        <w:rFonts w:ascii="Courier New" w:hAnsi="Courier New" w:cs="Courier New" w:hint="default"/>
      </w:rPr>
    </w:lvl>
    <w:lvl w:ilvl="5" w:tplc="080A0005" w:tentative="1">
      <w:start w:val="1"/>
      <w:numFmt w:val="bullet"/>
      <w:lvlText w:val=""/>
      <w:lvlJc w:val="left"/>
      <w:pPr>
        <w:ind w:left="5034" w:hanging="360"/>
      </w:pPr>
      <w:rPr>
        <w:rFonts w:ascii="Wingdings" w:hAnsi="Wingdings" w:hint="default"/>
      </w:rPr>
    </w:lvl>
    <w:lvl w:ilvl="6" w:tplc="080A0001" w:tentative="1">
      <w:start w:val="1"/>
      <w:numFmt w:val="bullet"/>
      <w:lvlText w:val=""/>
      <w:lvlJc w:val="left"/>
      <w:pPr>
        <w:ind w:left="5754" w:hanging="360"/>
      </w:pPr>
      <w:rPr>
        <w:rFonts w:ascii="Symbol" w:hAnsi="Symbol" w:hint="default"/>
      </w:rPr>
    </w:lvl>
    <w:lvl w:ilvl="7" w:tplc="080A0003" w:tentative="1">
      <w:start w:val="1"/>
      <w:numFmt w:val="bullet"/>
      <w:lvlText w:val="o"/>
      <w:lvlJc w:val="left"/>
      <w:pPr>
        <w:ind w:left="6474" w:hanging="360"/>
      </w:pPr>
      <w:rPr>
        <w:rFonts w:ascii="Courier New" w:hAnsi="Courier New" w:cs="Courier New" w:hint="default"/>
      </w:rPr>
    </w:lvl>
    <w:lvl w:ilvl="8" w:tplc="080A0005" w:tentative="1">
      <w:start w:val="1"/>
      <w:numFmt w:val="bullet"/>
      <w:lvlText w:val=""/>
      <w:lvlJc w:val="left"/>
      <w:pPr>
        <w:ind w:left="7194" w:hanging="360"/>
      </w:pPr>
      <w:rPr>
        <w:rFonts w:ascii="Wingdings" w:hAnsi="Wingdings" w:hint="default"/>
      </w:rPr>
    </w:lvl>
  </w:abstractNum>
  <w:abstractNum w:abstractNumId="41" w15:restartNumberingAfterBreak="0">
    <w:nsid w:val="4EE03F3F"/>
    <w:multiLevelType w:val="hybridMultilevel"/>
    <w:tmpl w:val="5D667B36"/>
    <w:lvl w:ilvl="0" w:tplc="0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2" w15:restartNumberingAfterBreak="0">
    <w:nsid w:val="4FDA1E3F"/>
    <w:multiLevelType w:val="hybridMultilevel"/>
    <w:tmpl w:val="09789492"/>
    <w:lvl w:ilvl="0" w:tplc="40E2A9F8">
      <w:start w:val="1"/>
      <w:numFmt w:val="upperRoman"/>
      <w:lvlText w:val="%1."/>
      <w:lvlJc w:val="left"/>
      <w:pPr>
        <w:ind w:left="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B4A5A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2E850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B2716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22DF7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A6AA7C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64C773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5E409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22D96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0EE012D"/>
    <w:multiLevelType w:val="hybridMultilevel"/>
    <w:tmpl w:val="B400E3C6"/>
    <w:lvl w:ilvl="0" w:tplc="CAE40306">
      <w:start w:val="27"/>
      <w:numFmt w:val="upperRoman"/>
      <w:lvlText w:val="%1."/>
      <w:lvlJc w:val="left"/>
      <w:pPr>
        <w:ind w:left="1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384A7A">
      <w:start w:val="1"/>
      <w:numFmt w:val="lowerLetter"/>
      <w:lvlText w:val="%2"/>
      <w:lvlJc w:val="left"/>
      <w:pPr>
        <w:ind w:left="1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64B3C">
      <w:start w:val="1"/>
      <w:numFmt w:val="lowerRoman"/>
      <w:lvlText w:val="%3"/>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9B3E">
      <w:start w:val="1"/>
      <w:numFmt w:val="decimal"/>
      <w:lvlText w:val="%4"/>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38E060">
      <w:start w:val="1"/>
      <w:numFmt w:val="lowerLetter"/>
      <w:lvlText w:val="%5"/>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E0CE2C">
      <w:start w:val="1"/>
      <w:numFmt w:val="lowerRoman"/>
      <w:lvlText w:val="%6"/>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42A8CE">
      <w:start w:val="1"/>
      <w:numFmt w:val="decimal"/>
      <w:lvlText w:val="%7"/>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68F5BE">
      <w:start w:val="1"/>
      <w:numFmt w:val="lowerLetter"/>
      <w:lvlText w:val="%8"/>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EC64A6">
      <w:start w:val="1"/>
      <w:numFmt w:val="lowerRoman"/>
      <w:lvlText w:val="%9"/>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12E18EE"/>
    <w:multiLevelType w:val="hybridMultilevel"/>
    <w:tmpl w:val="7A347D82"/>
    <w:lvl w:ilvl="0" w:tplc="11928912">
      <w:start w:val="1"/>
      <w:numFmt w:val="upperRoman"/>
      <w:lvlText w:val="%1."/>
      <w:lvlJc w:val="left"/>
      <w:pPr>
        <w:ind w:left="720" w:hanging="360"/>
      </w:pPr>
      <w:rPr>
        <w:rFonts w:ascii="Arial" w:eastAsia="Arial" w:hAnsi="Arial" w:cs="Arial" w:hint="default"/>
        <w:b/>
        <w:i/>
        <w:iCs/>
        <w:strike w:val="0"/>
        <w:dstrike w:val="0"/>
        <w:color w:val="000000"/>
        <w:sz w:val="24"/>
        <w:szCs w:val="24"/>
        <w:u w:val="none" w:color="000000"/>
        <w:bdr w:val="none" w:sz="0" w:space="0" w:color="auto"/>
        <w:shd w:val="clear" w:color="auto" w:fill="auto"/>
        <w:vertAlign w:val="baseline"/>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5" w15:restartNumberingAfterBreak="0">
    <w:nsid w:val="523C114B"/>
    <w:multiLevelType w:val="hybridMultilevel"/>
    <w:tmpl w:val="578AA93E"/>
    <w:lvl w:ilvl="0" w:tplc="1C7AB9EC">
      <w:start w:val="1"/>
      <w:numFmt w:val="upperRoman"/>
      <w:lvlText w:val="%1."/>
      <w:lvlJc w:val="left"/>
      <w:pPr>
        <w:ind w:left="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0E295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67CEE1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FA91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C4A17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923B1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8B2967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40F12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5E0925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2677E98"/>
    <w:multiLevelType w:val="hybridMultilevel"/>
    <w:tmpl w:val="D7D8141C"/>
    <w:lvl w:ilvl="0" w:tplc="EC9845E6">
      <w:start w:val="5"/>
      <w:numFmt w:val="upperRoman"/>
      <w:lvlText w:val="%1."/>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0CCF6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5216C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16426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C4966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80CEFC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3C778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808E2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BA933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4160D3C"/>
    <w:multiLevelType w:val="hybridMultilevel"/>
    <w:tmpl w:val="F516F7B0"/>
    <w:lvl w:ilvl="0" w:tplc="A32EA8FE">
      <w:start w:val="28"/>
      <w:numFmt w:val="upperRoman"/>
      <w:lvlText w:val="%1."/>
      <w:lvlJc w:val="left"/>
      <w:pPr>
        <w:ind w:left="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4C207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C29FC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1E76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965F4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254145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00FD7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0884E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2647B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B423323"/>
    <w:multiLevelType w:val="hybridMultilevel"/>
    <w:tmpl w:val="0B1A5DDA"/>
    <w:lvl w:ilvl="0" w:tplc="C90C5B92">
      <w:start w:val="1"/>
      <w:numFmt w:val="upperRoman"/>
      <w:lvlText w:val="%1."/>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42CF1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C4795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E2C9BD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98918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0CE65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B2222C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4E22F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A641B7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E9A13D7"/>
    <w:multiLevelType w:val="hybridMultilevel"/>
    <w:tmpl w:val="A0FA26B6"/>
    <w:lvl w:ilvl="0" w:tplc="768A057C">
      <w:start w:val="31"/>
      <w:numFmt w:val="upperRoman"/>
      <w:lvlText w:val="%1."/>
      <w:lvlJc w:val="left"/>
      <w:pPr>
        <w:ind w:left="1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7DE1E0C">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822E576">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BD84924">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3C41F0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D34C334">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84818D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45AA67A">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3D36B618">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1E26B57"/>
    <w:multiLevelType w:val="hybridMultilevel"/>
    <w:tmpl w:val="80D84714"/>
    <w:lvl w:ilvl="0" w:tplc="5AA01D82">
      <w:start w:val="1"/>
      <w:numFmt w:val="upperRoman"/>
      <w:lvlText w:val="%1."/>
      <w:lvlJc w:val="left"/>
      <w:pPr>
        <w:ind w:left="10"/>
      </w:pPr>
      <w:rPr>
        <w:rFonts w:ascii="Times New Roman" w:eastAsia="Calibri" w:hAnsi="Times New Roman" w:cs="Times New Roman" w:hint="default"/>
        <w:b w:val="0"/>
        <w:i/>
        <w:iCs/>
        <w:strike w:val="0"/>
        <w:dstrike w:val="0"/>
        <w:color w:val="000000"/>
        <w:sz w:val="24"/>
        <w:szCs w:val="24"/>
        <w:u w:val="none" w:color="000000"/>
        <w:bdr w:val="none" w:sz="0" w:space="0" w:color="auto"/>
        <w:shd w:val="clear" w:color="auto" w:fill="auto"/>
        <w:vertAlign w:val="baseline"/>
      </w:rPr>
    </w:lvl>
    <w:lvl w:ilvl="1" w:tplc="3EC68B32">
      <w:start w:val="1"/>
      <w:numFmt w:val="lowerLetter"/>
      <w:lvlText w:val="%2"/>
      <w:lvlJc w:val="left"/>
      <w:pPr>
        <w:ind w:left="10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2" w:tplc="68A054DC">
      <w:start w:val="1"/>
      <w:numFmt w:val="lowerRoman"/>
      <w:lvlText w:val="%3"/>
      <w:lvlJc w:val="left"/>
      <w:pPr>
        <w:ind w:left="18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3" w:tplc="06DEE83E">
      <w:start w:val="1"/>
      <w:numFmt w:val="decimal"/>
      <w:lvlText w:val="%4"/>
      <w:lvlJc w:val="left"/>
      <w:pPr>
        <w:ind w:left="25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4" w:tplc="4EE8713A">
      <w:start w:val="1"/>
      <w:numFmt w:val="lowerLetter"/>
      <w:lvlText w:val="%5"/>
      <w:lvlJc w:val="left"/>
      <w:pPr>
        <w:ind w:left="324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5" w:tplc="47F29CC6">
      <w:start w:val="1"/>
      <w:numFmt w:val="lowerRoman"/>
      <w:lvlText w:val="%6"/>
      <w:lvlJc w:val="left"/>
      <w:pPr>
        <w:ind w:left="396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6" w:tplc="D44AAB44">
      <w:start w:val="1"/>
      <w:numFmt w:val="decimal"/>
      <w:lvlText w:val="%7"/>
      <w:lvlJc w:val="left"/>
      <w:pPr>
        <w:ind w:left="468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7" w:tplc="FF16877E">
      <w:start w:val="1"/>
      <w:numFmt w:val="lowerLetter"/>
      <w:lvlText w:val="%8"/>
      <w:lvlJc w:val="left"/>
      <w:pPr>
        <w:ind w:left="540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lvl w:ilvl="8" w:tplc="568005A0">
      <w:start w:val="1"/>
      <w:numFmt w:val="lowerRoman"/>
      <w:lvlText w:val="%9"/>
      <w:lvlJc w:val="left"/>
      <w:pPr>
        <w:ind w:left="6120"/>
      </w:pPr>
      <w:rPr>
        <w:rFonts w:ascii="Calibri" w:eastAsia="Calibri" w:hAnsi="Calibri" w:cs="Calibri"/>
        <w:b w:val="0"/>
        <w:i/>
        <w:iCs/>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3493292"/>
    <w:multiLevelType w:val="hybridMultilevel"/>
    <w:tmpl w:val="922ABBEC"/>
    <w:lvl w:ilvl="0" w:tplc="C08AE296">
      <w:start w:val="1"/>
      <w:numFmt w:val="upperRoman"/>
      <w:lvlText w:val="%1."/>
      <w:lvlJc w:val="left"/>
      <w:pPr>
        <w:ind w:left="18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49E8B1E">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793EC1C4">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E06EFCC">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F1947798">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7DE9DC6">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3034BB12">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97A19A0">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892A7A96">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DBF184D"/>
    <w:multiLevelType w:val="hybridMultilevel"/>
    <w:tmpl w:val="F9140094"/>
    <w:lvl w:ilvl="0" w:tplc="7E32DD0E">
      <w:start w:val="1"/>
      <w:numFmt w:val="upperRoman"/>
      <w:lvlText w:val="%1."/>
      <w:lvlJc w:val="left"/>
      <w:pPr>
        <w:ind w:left="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DC68A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7408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048667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E87C3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66D78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6AD74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DE46C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4E77C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20A39C2"/>
    <w:multiLevelType w:val="hybridMultilevel"/>
    <w:tmpl w:val="00726740"/>
    <w:lvl w:ilvl="0" w:tplc="080A0001">
      <w:start w:val="1"/>
      <w:numFmt w:val="bullet"/>
      <w:lvlText w:val=""/>
      <w:lvlJc w:val="left"/>
      <w:pPr>
        <w:ind w:left="1431" w:hanging="360"/>
      </w:pPr>
      <w:rPr>
        <w:rFonts w:ascii="Symbol" w:hAnsi="Symbol" w:hint="default"/>
      </w:rPr>
    </w:lvl>
    <w:lvl w:ilvl="1" w:tplc="080A0003" w:tentative="1">
      <w:start w:val="1"/>
      <w:numFmt w:val="bullet"/>
      <w:lvlText w:val="o"/>
      <w:lvlJc w:val="left"/>
      <w:pPr>
        <w:ind w:left="2151" w:hanging="360"/>
      </w:pPr>
      <w:rPr>
        <w:rFonts w:ascii="Courier New" w:hAnsi="Courier New" w:cs="Courier New" w:hint="default"/>
      </w:rPr>
    </w:lvl>
    <w:lvl w:ilvl="2" w:tplc="080A0005" w:tentative="1">
      <w:start w:val="1"/>
      <w:numFmt w:val="bullet"/>
      <w:lvlText w:val=""/>
      <w:lvlJc w:val="left"/>
      <w:pPr>
        <w:ind w:left="2871" w:hanging="360"/>
      </w:pPr>
      <w:rPr>
        <w:rFonts w:ascii="Wingdings" w:hAnsi="Wingdings" w:hint="default"/>
      </w:rPr>
    </w:lvl>
    <w:lvl w:ilvl="3" w:tplc="080A0001" w:tentative="1">
      <w:start w:val="1"/>
      <w:numFmt w:val="bullet"/>
      <w:lvlText w:val=""/>
      <w:lvlJc w:val="left"/>
      <w:pPr>
        <w:ind w:left="3591" w:hanging="360"/>
      </w:pPr>
      <w:rPr>
        <w:rFonts w:ascii="Symbol" w:hAnsi="Symbol" w:hint="default"/>
      </w:rPr>
    </w:lvl>
    <w:lvl w:ilvl="4" w:tplc="080A0003" w:tentative="1">
      <w:start w:val="1"/>
      <w:numFmt w:val="bullet"/>
      <w:lvlText w:val="o"/>
      <w:lvlJc w:val="left"/>
      <w:pPr>
        <w:ind w:left="4311" w:hanging="360"/>
      </w:pPr>
      <w:rPr>
        <w:rFonts w:ascii="Courier New" w:hAnsi="Courier New" w:cs="Courier New" w:hint="default"/>
      </w:rPr>
    </w:lvl>
    <w:lvl w:ilvl="5" w:tplc="080A0005" w:tentative="1">
      <w:start w:val="1"/>
      <w:numFmt w:val="bullet"/>
      <w:lvlText w:val=""/>
      <w:lvlJc w:val="left"/>
      <w:pPr>
        <w:ind w:left="5031" w:hanging="360"/>
      </w:pPr>
      <w:rPr>
        <w:rFonts w:ascii="Wingdings" w:hAnsi="Wingdings" w:hint="default"/>
      </w:rPr>
    </w:lvl>
    <w:lvl w:ilvl="6" w:tplc="080A0001" w:tentative="1">
      <w:start w:val="1"/>
      <w:numFmt w:val="bullet"/>
      <w:lvlText w:val=""/>
      <w:lvlJc w:val="left"/>
      <w:pPr>
        <w:ind w:left="5751" w:hanging="360"/>
      </w:pPr>
      <w:rPr>
        <w:rFonts w:ascii="Symbol" w:hAnsi="Symbol" w:hint="default"/>
      </w:rPr>
    </w:lvl>
    <w:lvl w:ilvl="7" w:tplc="080A0003" w:tentative="1">
      <w:start w:val="1"/>
      <w:numFmt w:val="bullet"/>
      <w:lvlText w:val="o"/>
      <w:lvlJc w:val="left"/>
      <w:pPr>
        <w:ind w:left="6471" w:hanging="360"/>
      </w:pPr>
      <w:rPr>
        <w:rFonts w:ascii="Courier New" w:hAnsi="Courier New" w:cs="Courier New" w:hint="default"/>
      </w:rPr>
    </w:lvl>
    <w:lvl w:ilvl="8" w:tplc="080A0005" w:tentative="1">
      <w:start w:val="1"/>
      <w:numFmt w:val="bullet"/>
      <w:lvlText w:val=""/>
      <w:lvlJc w:val="left"/>
      <w:pPr>
        <w:ind w:left="7191" w:hanging="360"/>
      </w:pPr>
      <w:rPr>
        <w:rFonts w:ascii="Wingdings" w:hAnsi="Wingdings" w:hint="default"/>
      </w:rPr>
    </w:lvl>
  </w:abstractNum>
  <w:abstractNum w:abstractNumId="54" w15:restartNumberingAfterBreak="0">
    <w:nsid w:val="754A6DAB"/>
    <w:multiLevelType w:val="hybridMultilevel"/>
    <w:tmpl w:val="FFA4E62C"/>
    <w:lvl w:ilvl="0" w:tplc="B11E3B50">
      <w:start w:val="1"/>
      <w:numFmt w:val="upperRoman"/>
      <w:lvlText w:val="%1."/>
      <w:lvlJc w:val="left"/>
      <w:pPr>
        <w:ind w:left="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D6D52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705BA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2761B0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74356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304B4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6ACE4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26C28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94E70F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84542CB"/>
    <w:multiLevelType w:val="hybridMultilevel"/>
    <w:tmpl w:val="4A88C6B4"/>
    <w:lvl w:ilvl="0" w:tplc="68FAC01A">
      <w:start w:val="1"/>
      <w:numFmt w:val="upperRoman"/>
      <w:lvlText w:val="%1."/>
      <w:lvlJc w:val="left"/>
      <w:pPr>
        <w:ind w:left="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4E95F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8E9D2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50E24A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C63A6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C4CB4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00AAE4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F4E49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EC0AC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8CA2F20"/>
    <w:multiLevelType w:val="hybridMultilevel"/>
    <w:tmpl w:val="33B646B2"/>
    <w:lvl w:ilvl="0" w:tplc="91A01EFE">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70EE80">
      <w:start w:val="1"/>
      <w:numFmt w:val="bullet"/>
      <w:lvlText w:val="o"/>
      <w:lvlJc w:val="left"/>
      <w:pPr>
        <w:ind w:left="14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82409AC">
      <w:start w:val="1"/>
      <w:numFmt w:val="bullet"/>
      <w:lvlText w:val="▪"/>
      <w:lvlJc w:val="left"/>
      <w:pPr>
        <w:ind w:left="21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6292FC">
      <w:start w:val="1"/>
      <w:numFmt w:val="bullet"/>
      <w:lvlText w:val="•"/>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3A236E">
      <w:start w:val="1"/>
      <w:numFmt w:val="bullet"/>
      <w:lvlText w:val="o"/>
      <w:lvlJc w:val="left"/>
      <w:pPr>
        <w:ind w:left="35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2807E6A">
      <w:start w:val="1"/>
      <w:numFmt w:val="bullet"/>
      <w:lvlText w:val="▪"/>
      <w:lvlJc w:val="left"/>
      <w:pPr>
        <w:ind w:left="43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FEBDDA">
      <w:start w:val="1"/>
      <w:numFmt w:val="bullet"/>
      <w:lvlText w:val="•"/>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683644">
      <w:start w:val="1"/>
      <w:numFmt w:val="bullet"/>
      <w:lvlText w:val="o"/>
      <w:lvlJc w:val="left"/>
      <w:pPr>
        <w:ind w:left="57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A213CE">
      <w:start w:val="1"/>
      <w:numFmt w:val="bullet"/>
      <w:lvlText w:val="▪"/>
      <w:lvlJc w:val="left"/>
      <w:pPr>
        <w:ind w:left="64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7BAD5E48"/>
    <w:multiLevelType w:val="hybridMultilevel"/>
    <w:tmpl w:val="63981C04"/>
    <w:lvl w:ilvl="0" w:tplc="2A845EAE">
      <w:start w:val="1"/>
      <w:numFmt w:val="upperRoman"/>
      <w:lvlText w:val="%1."/>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3E0FE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AAC21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8A7F6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08924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6E530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E2008E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0C1A0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0455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D4F23B5"/>
    <w:multiLevelType w:val="hybridMultilevel"/>
    <w:tmpl w:val="3F0C29DE"/>
    <w:lvl w:ilvl="0" w:tplc="74D47B12">
      <w:start w:val="6"/>
      <w:numFmt w:val="upperRoman"/>
      <w:lvlText w:val="%1."/>
      <w:lvlJc w:val="left"/>
      <w:pPr>
        <w:ind w:left="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B2870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210094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DACDF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9A44D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26D0F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B6186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02DB1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2229D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10"/>
  </w:num>
  <w:num w:numId="3">
    <w:abstractNumId w:val="23"/>
  </w:num>
  <w:num w:numId="4">
    <w:abstractNumId w:val="50"/>
  </w:num>
  <w:num w:numId="5">
    <w:abstractNumId w:val="40"/>
  </w:num>
  <w:num w:numId="6">
    <w:abstractNumId w:val="5"/>
  </w:num>
  <w:num w:numId="7">
    <w:abstractNumId w:val="25"/>
  </w:num>
  <w:num w:numId="8">
    <w:abstractNumId w:val="34"/>
  </w:num>
  <w:num w:numId="9">
    <w:abstractNumId w:val="53"/>
  </w:num>
  <w:num w:numId="10">
    <w:abstractNumId w:val="35"/>
  </w:num>
  <w:num w:numId="11">
    <w:abstractNumId w:val="12"/>
  </w:num>
  <w:num w:numId="12">
    <w:abstractNumId w:val="32"/>
  </w:num>
  <w:num w:numId="13">
    <w:abstractNumId w:val="31"/>
  </w:num>
  <w:num w:numId="14">
    <w:abstractNumId w:val="44"/>
  </w:num>
  <w:num w:numId="15">
    <w:abstractNumId w:val="41"/>
  </w:num>
  <w:num w:numId="16">
    <w:abstractNumId w:val="2"/>
  </w:num>
  <w:num w:numId="17">
    <w:abstractNumId w:val="15"/>
  </w:num>
  <w:num w:numId="18">
    <w:abstractNumId w:val="9"/>
  </w:num>
  <w:num w:numId="19">
    <w:abstractNumId w:val="56"/>
  </w:num>
  <w:num w:numId="20">
    <w:abstractNumId w:val="16"/>
  </w:num>
  <w:num w:numId="21">
    <w:abstractNumId w:val="3"/>
  </w:num>
  <w:num w:numId="22">
    <w:abstractNumId w:val="49"/>
  </w:num>
  <w:num w:numId="23">
    <w:abstractNumId w:val="19"/>
  </w:num>
  <w:num w:numId="24">
    <w:abstractNumId w:val="0"/>
  </w:num>
  <w:num w:numId="25">
    <w:abstractNumId w:val="26"/>
  </w:num>
  <w:num w:numId="26">
    <w:abstractNumId w:val="38"/>
  </w:num>
  <w:num w:numId="27">
    <w:abstractNumId w:val="13"/>
  </w:num>
  <w:num w:numId="28">
    <w:abstractNumId w:val="28"/>
  </w:num>
  <w:num w:numId="29">
    <w:abstractNumId w:val="47"/>
  </w:num>
  <w:num w:numId="30">
    <w:abstractNumId w:val="11"/>
  </w:num>
  <w:num w:numId="31">
    <w:abstractNumId w:val="24"/>
  </w:num>
  <w:num w:numId="32">
    <w:abstractNumId w:val="55"/>
  </w:num>
  <w:num w:numId="33">
    <w:abstractNumId w:val="7"/>
  </w:num>
  <w:num w:numId="34">
    <w:abstractNumId w:val="27"/>
  </w:num>
  <w:num w:numId="35">
    <w:abstractNumId w:val="52"/>
  </w:num>
  <w:num w:numId="36">
    <w:abstractNumId w:val="48"/>
  </w:num>
  <w:num w:numId="37">
    <w:abstractNumId w:val="54"/>
  </w:num>
  <w:num w:numId="38">
    <w:abstractNumId w:val="57"/>
  </w:num>
  <w:num w:numId="39">
    <w:abstractNumId w:val="17"/>
  </w:num>
  <w:num w:numId="40">
    <w:abstractNumId w:val="37"/>
  </w:num>
  <w:num w:numId="41">
    <w:abstractNumId w:val="20"/>
  </w:num>
  <w:num w:numId="42">
    <w:abstractNumId w:val="8"/>
  </w:num>
  <w:num w:numId="43">
    <w:abstractNumId w:val="39"/>
  </w:num>
  <w:num w:numId="44">
    <w:abstractNumId w:val="30"/>
  </w:num>
  <w:num w:numId="45">
    <w:abstractNumId w:val="1"/>
  </w:num>
  <w:num w:numId="46">
    <w:abstractNumId w:val="45"/>
  </w:num>
  <w:num w:numId="47">
    <w:abstractNumId w:val="6"/>
  </w:num>
  <w:num w:numId="48">
    <w:abstractNumId w:val="21"/>
  </w:num>
  <w:num w:numId="49">
    <w:abstractNumId w:val="29"/>
  </w:num>
  <w:num w:numId="50">
    <w:abstractNumId w:val="46"/>
  </w:num>
  <w:num w:numId="51">
    <w:abstractNumId w:val="4"/>
  </w:num>
  <w:num w:numId="52">
    <w:abstractNumId w:val="58"/>
  </w:num>
  <w:num w:numId="53">
    <w:abstractNumId w:val="42"/>
  </w:num>
  <w:num w:numId="54">
    <w:abstractNumId w:val="36"/>
  </w:num>
  <w:num w:numId="55">
    <w:abstractNumId w:val="33"/>
  </w:num>
  <w:num w:numId="56">
    <w:abstractNumId w:val="43"/>
  </w:num>
  <w:num w:numId="57">
    <w:abstractNumId w:val="14"/>
  </w:num>
  <w:num w:numId="58">
    <w:abstractNumId w:val="22"/>
  </w:num>
  <w:num w:numId="59">
    <w:abstractNumId w:val="5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2D69"/>
    <w:rsid w:val="00006B91"/>
    <w:rsid w:val="000110CC"/>
    <w:rsid w:val="000165AF"/>
    <w:rsid w:val="00016878"/>
    <w:rsid w:val="00017527"/>
    <w:rsid w:val="0002076A"/>
    <w:rsid w:val="0002244A"/>
    <w:rsid w:val="000227AE"/>
    <w:rsid w:val="000239C3"/>
    <w:rsid w:val="00024208"/>
    <w:rsid w:val="0003117F"/>
    <w:rsid w:val="00035645"/>
    <w:rsid w:val="00035D0F"/>
    <w:rsid w:val="000373BD"/>
    <w:rsid w:val="00037BC6"/>
    <w:rsid w:val="000400FB"/>
    <w:rsid w:val="000416CD"/>
    <w:rsid w:val="00045443"/>
    <w:rsid w:val="00052EBB"/>
    <w:rsid w:val="00053BA2"/>
    <w:rsid w:val="00056D18"/>
    <w:rsid w:val="00056EBD"/>
    <w:rsid w:val="00061138"/>
    <w:rsid w:val="0006149D"/>
    <w:rsid w:val="00061EDB"/>
    <w:rsid w:val="000674C2"/>
    <w:rsid w:val="00071D3D"/>
    <w:rsid w:val="00072032"/>
    <w:rsid w:val="00077262"/>
    <w:rsid w:val="000777FA"/>
    <w:rsid w:val="00084A97"/>
    <w:rsid w:val="0008504B"/>
    <w:rsid w:val="0009031A"/>
    <w:rsid w:val="00091B9C"/>
    <w:rsid w:val="000926FE"/>
    <w:rsid w:val="000A09CA"/>
    <w:rsid w:val="000A3339"/>
    <w:rsid w:val="000A4B14"/>
    <w:rsid w:val="000B01FC"/>
    <w:rsid w:val="000B1292"/>
    <w:rsid w:val="000B448D"/>
    <w:rsid w:val="000B575E"/>
    <w:rsid w:val="000C1051"/>
    <w:rsid w:val="000C14F5"/>
    <w:rsid w:val="000C19A7"/>
    <w:rsid w:val="000C2740"/>
    <w:rsid w:val="000C3D5C"/>
    <w:rsid w:val="000C46AF"/>
    <w:rsid w:val="000C56A6"/>
    <w:rsid w:val="000D1BE2"/>
    <w:rsid w:val="000D6722"/>
    <w:rsid w:val="000E2EC3"/>
    <w:rsid w:val="000E437A"/>
    <w:rsid w:val="000F1E2E"/>
    <w:rsid w:val="000F2DCB"/>
    <w:rsid w:val="000F6770"/>
    <w:rsid w:val="000F6ED1"/>
    <w:rsid w:val="0010031A"/>
    <w:rsid w:val="00101ABE"/>
    <w:rsid w:val="001035CD"/>
    <w:rsid w:val="001036EC"/>
    <w:rsid w:val="0010462A"/>
    <w:rsid w:val="001052C7"/>
    <w:rsid w:val="00107A6B"/>
    <w:rsid w:val="00107D16"/>
    <w:rsid w:val="001105DF"/>
    <w:rsid w:val="001112FA"/>
    <w:rsid w:val="0012055D"/>
    <w:rsid w:val="00122034"/>
    <w:rsid w:val="001246F2"/>
    <w:rsid w:val="00124F20"/>
    <w:rsid w:val="001338AA"/>
    <w:rsid w:val="001411A3"/>
    <w:rsid w:val="00141629"/>
    <w:rsid w:val="00143717"/>
    <w:rsid w:val="001441DE"/>
    <w:rsid w:val="00144EC2"/>
    <w:rsid w:val="00145DAE"/>
    <w:rsid w:val="00146861"/>
    <w:rsid w:val="001529D3"/>
    <w:rsid w:val="001548A9"/>
    <w:rsid w:val="001565D2"/>
    <w:rsid w:val="00156676"/>
    <w:rsid w:val="00156E8D"/>
    <w:rsid w:val="00160118"/>
    <w:rsid w:val="00160907"/>
    <w:rsid w:val="0016359D"/>
    <w:rsid w:val="00167B0F"/>
    <w:rsid w:val="001714CB"/>
    <w:rsid w:val="0017454A"/>
    <w:rsid w:val="00174AB2"/>
    <w:rsid w:val="001760DB"/>
    <w:rsid w:val="0017659D"/>
    <w:rsid w:val="00180982"/>
    <w:rsid w:val="00180B92"/>
    <w:rsid w:val="001837C1"/>
    <w:rsid w:val="001850B4"/>
    <w:rsid w:val="00186C01"/>
    <w:rsid w:val="00187C26"/>
    <w:rsid w:val="00187E4C"/>
    <w:rsid w:val="001929B1"/>
    <w:rsid w:val="0019704A"/>
    <w:rsid w:val="00197B45"/>
    <w:rsid w:val="001A3A31"/>
    <w:rsid w:val="001A613B"/>
    <w:rsid w:val="001B017B"/>
    <w:rsid w:val="001B259C"/>
    <w:rsid w:val="001B2980"/>
    <w:rsid w:val="001B2D39"/>
    <w:rsid w:val="001D28EB"/>
    <w:rsid w:val="001D35F7"/>
    <w:rsid w:val="001D6ED5"/>
    <w:rsid w:val="001E03D3"/>
    <w:rsid w:val="001E15DB"/>
    <w:rsid w:val="001E28BA"/>
    <w:rsid w:val="001E4616"/>
    <w:rsid w:val="001E6325"/>
    <w:rsid w:val="001E6F7F"/>
    <w:rsid w:val="001F1E3F"/>
    <w:rsid w:val="001F2588"/>
    <w:rsid w:val="001F53A5"/>
    <w:rsid w:val="001F6BC2"/>
    <w:rsid w:val="00201DFB"/>
    <w:rsid w:val="00202174"/>
    <w:rsid w:val="002035F6"/>
    <w:rsid w:val="0020431B"/>
    <w:rsid w:val="00204E84"/>
    <w:rsid w:val="002052D8"/>
    <w:rsid w:val="002060F7"/>
    <w:rsid w:val="00210AA1"/>
    <w:rsid w:val="00214DB1"/>
    <w:rsid w:val="00217035"/>
    <w:rsid w:val="00222CCA"/>
    <w:rsid w:val="00226A80"/>
    <w:rsid w:val="0022714C"/>
    <w:rsid w:val="0023298B"/>
    <w:rsid w:val="0023436F"/>
    <w:rsid w:val="00237A6F"/>
    <w:rsid w:val="002404C4"/>
    <w:rsid w:val="002407BC"/>
    <w:rsid w:val="002434ED"/>
    <w:rsid w:val="0024509B"/>
    <w:rsid w:val="002569D8"/>
    <w:rsid w:val="00261D7B"/>
    <w:rsid w:val="002636E5"/>
    <w:rsid w:val="002641F1"/>
    <w:rsid w:val="00266830"/>
    <w:rsid w:val="00266C47"/>
    <w:rsid w:val="00270FF4"/>
    <w:rsid w:val="00272D33"/>
    <w:rsid w:val="002746E9"/>
    <w:rsid w:val="002751B9"/>
    <w:rsid w:val="00277828"/>
    <w:rsid w:val="00283E69"/>
    <w:rsid w:val="002862C1"/>
    <w:rsid w:val="00290856"/>
    <w:rsid w:val="00291386"/>
    <w:rsid w:val="00292C66"/>
    <w:rsid w:val="00293315"/>
    <w:rsid w:val="00297459"/>
    <w:rsid w:val="002A5492"/>
    <w:rsid w:val="002B18C5"/>
    <w:rsid w:val="002B4AF7"/>
    <w:rsid w:val="002B6357"/>
    <w:rsid w:val="002B7190"/>
    <w:rsid w:val="002C2C36"/>
    <w:rsid w:val="002C67E5"/>
    <w:rsid w:val="002D27C3"/>
    <w:rsid w:val="002E4234"/>
    <w:rsid w:val="002E664D"/>
    <w:rsid w:val="002E77C3"/>
    <w:rsid w:val="002E7B2A"/>
    <w:rsid w:val="002F4CFD"/>
    <w:rsid w:val="002F6020"/>
    <w:rsid w:val="00304BF8"/>
    <w:rsid w:val="003076F4"/>
    <w:rsid w:val="003107E1"/>
    <w:rsid w:val="00310B68"/>
    <w:rsid w:val="003134A0"/>
    <w:rsid w:val="003134D8"/>
    <w:rsid w:val="0031581A"/>
    <w:rsid w:val="00324E0A"/>
    <w:rsid w:val="003343AF"/>
    <w:rsid w:val="00336E72"/>
    <w:rsid w:val="00340BBA"/>
    <w:rsid w:val="00341AD5"/>
    <w:rsid w:val="00342476"/>
    <w:rsid w:val="00342EE0"/>
    <w:rsid w:val="0034357B"/>
    <w:rsid w:val="0034395F"/>
    <w:rsid w:val="00343EDD"/>
    <w:rsid w:val="00344BDE"/>
    <w:rsid w:val="00350F45"/>
    <w:rsid w:val="00354DBB"/>
    <w:rsid w:val="00357818"/>
    <w:rsid w:val="00360A5E"/>
    <w:rsid w:val="00361235"/>
    <w:rsid w:val="003618EB"/>
    <w:rsid w:val="0037377F"/>
    <w:rsid w:val="003769BC"/>
    <w:rsid w:val="00377653"/>
    <w:rsid w:val="00377AD5"/>
    <w:rsid w:val="00386959"/>
    <w:rsid w:val="0039303B"/>
    <w:rsid w:val="00395375"/>
    <w:rsid w:val="003A1C23"/>
    <w:rsid w:val="003A61C1"/>
    <w:rsid w:val="003B00BA"/>
    <w:rsid w:val="003B28C6"/>
    <w:rsid w:val="003C40F2"/>
    <w:rsid w:val="003C46FD"/>
    <w:rsid w:val="003C4FA3"/>
    <w:rsid w:val="003C50E2"/>
    <w:rsid w:val="003D0617"/>
    <w:rsid w:val="003D06C3"/>
    <w:rsid w:val="003D0DDC"/>
    <w:rsid w:val="003D1071"/>
    <w:rsid w:val="003D3173"/>
    <w:rsid w:val="003E37E4"/>
    <w:rsid w:val="003E6F1B"/>
    <w:rsid w:val="003E7762"/>
    <w:rsid w:val="00402560"/>
    <w:rsid w:val="00407EE4"/>
    <w:rsid w:val="00412A72"/>
    <w:rsid w:val="0041393E"/>
    <w:rsid w:val="00416637"/>
    <w:rsid w:val="00417764"/>
    <w:rsid w:val="00421139"/>
    <w:rsid w:val="00422B80"/>
    <w:rsid w:val="00423D4A"/>
    <w:rsid w:val="004260D3"/>
    <w:rsid w:val="004261A7"/>
    <w:rsid w:val="00426F1A"/>
    <w:rsid w:val="00431AED"/>
    <w:rsid w:val="00433091"/>
    <w:rsid w:val="00440C37"/>
    <w:rsid w:val="00443F45"/>
    <w:rsid w:val="0045082B"/>
    <w:rsid w:val="004543B3"/>
    <w:rsid w:val="00460227"/>
    <w:rsid w:val="00463FA7"/>
    <w:rsid w:val="00470AD7"/>
    <w:rsid w:val="00471316"/>
    <w:rsid w:val="004757FA"/>
    <w:rsid w:val="00475911"/>
    <w:rsid w:val="00476F35"/>
    <w:rsid w:val="00477FDB"/>
    <w:rsid w:val="004858E5"/>
    <w:rsid w:val="00485ABB"/>
    <w:rsid w:val="00487131"/>
    <w:rsid w:val="00494BBA"/>
    <w:rsid w:val="00496AC5"/>
    <w:rsid w:val="00497903"/>
    <w:rsid w:val="004A2B55"/>
    <w:rsid w:val="004A3772"/>
    <w:rsid w:val="004A5D3B"/>
    <w:rsid w:val="004A7ECA"/>
    <w:rsid w:val="004B2924"/>
    <w:rsid w:val="004C4707"/>
    <w:rsid w:val="004C50DA"/>
    <w:rsid w:val="004C657B"/>
    <w:rsid w:val="004C6F5E"/>
    <w:rsid w:val="004D11CA"/>
    <w:rsid w:val="004D2E0D"/>
    <w:rsid w:val="004D56FA"/>
    <w:rsid w:val="004E6532"/>
    <w:rsid w:val="004E658D"/>
    <w:rsid w:val="004E6A4D"/>
    <w:rsid w:val="004E7A9E"/>
    <w:rsid w:val="004E7F8E"/>
    <w:rsid w:val="004F27D5"/>
    <w:rsid w:val="004F4883"/>
    <w:rsid w:val="004F7B34"/>
    <w:rsid w:val="004F7BC7"/>
    <w:rsid w:val="00501330"/>
    <w:rsid w:val="00503479"/>
    <w:rsid w:val="00505252"/>
    <w:rsid w:val="005054CD"/>
    <w:rsid w:val="005063F1"/>
    <w:rsid w:val="005130C4"/>
    <w:rsid w:val="00516391"/>
    <w:rsid w:val="005247AA"/>
    <w:rsid w:val="005265CE"/>
    <w:rsid w:val="00532918"/>
    <w:rsid w:val="00532C20"/>
    <w:rsid w:val="00535F6F"/>
    <w:rsid w:val="005373E4"/>
    <w:rsid w:val="0054642D"/>
    <w:rsid w:val="005511FD"/>
    <w:rsid w:val="00551D15"/>
    <w:rsid w:val="00554527"/>
    <w:rsid w:val="005561D2"/>
    <w:rsid w:val="005573C2"/>
    <w:rsid w:val="005616CD"/>
    <w:rsid w:val="00563500"/>
    <w:rsid w:val="00563B0C"/>
    <w:rsid w:val="00565730"/>
    <w:rsid w:val="0057451D"/>
    <w:rsid w:val="00574FDE"/>
    <w:rsid w:val="005754B6"/>
    <w:rsid w:val="00585CDF"/>
    <w:rsid w:val="00590764"/>
    <w:rsid w:val="00590795"/>
    <w:rsid w:val="00594B71"/>
    <w:rsid w:val="005A12A2"/>
    <w:rsid w:val="005A216E"/>
    <w:rsid w:val="005A4913"/>
    <w:rsid w:val="005A5753"/>
    <w:rsid w:val="005A7BA0"/>
    <w:rsid w:val="005B03DC"/>
    <w:rsid w:val="005B10D1"/>
    <w:rsid w:val="005B18AC"/>
    <w:rsid w:val="005B1F25"/>
    <w:rsid w:val="005B39D9"/>
    <w:rsid w:val="005B4087"/>
    <w:rsid w:val="005B5A84"/>
    <w:rsid w:val="005B5F68"/>
    <w:rsid w:val="005B721D"/>
    <w:rsid w:val="005C37D9"/>
    <w:rsid w:val="005C61FE"/>
    <w:rsid w:val="005C7D59"/>
    <w:rsid w:val="005C7F34"/>
    <w:rsid w:val="005D0E89"/>
    <w:rsid w:val="005D7518"/>
    <w:rsid w:val="005E0806"/>
    <w:rsid w:val="005F4AC3"/>
    <w:rsid w:val="005F5E9C"/>
    <w:rsid w:val="00601128"/>
    <w:rsid w:val="006036C7"/>
    <w:rsid w:val="006039D3"/>
    <w:rsid w:val="00603D93"/>
    <w:rsid w:val="00610376"/>
    <w:rsid w:val="006171D1"/>
    <w:rsid w:val="006239BC"/>
    <w:rsid w:val="00623B33"/>
    <w:rsid w:val="006257F7"/>
    <w:rsid w:val="0062769A"/>
    <w:rsid w:val="006303F3"/>
    <w:rsid w:val="00636701"/>
    <w:rsid w:val="00636FEA"/>
    <w:rsid w:val="00637FAC"/>
    <w:rsid w:val="00640711"/>
    <w:rsid w:val="00641A35"/>
    <w:rsid w:val="00641B48"/>
    <w:rsid w:val="00641DCC"/>
    <w:rsid w:val="00642447"/>
    <w:rsid w:val="006426CF"/>
    <w:rsid w:val="00643FD5"/>
    <w:rsid w:val="0064471B"/>
    <w:rsid w:val="00656E24"/>
    <w:rsid w:val="006605BC"/>
    <w:rsid w:val="0066180D"/>
    <w:rsid w:val="00662910"/>
    <w:rsid w:val="006630FA"/>
    <w:rsid w:val="00665271"/>
    <w:rsid w:val="00666440"/>
    <w:rsid w:val="00666540"/>
    <w:rsid w:val="006677CC"/>
    <w:rsid w:val="006709B5"/>
    <w:rsid w:val="00674089"/>
    <w:rsid w:val="00680F07"/>
    <w:rsid w:val="0068504C"/>
    <w:rsid w:val="00686AAA"/>
    <w:rsid w:val="00692E5D"/>
    <w:rsid w:val="00693692"/>
    <w:rsid w:val="00694C4E"/>
    <w:rsid w:val="00695D2A"/>
    <w:rsid w:val="0069641A"/>
    <w:rsid w:val="00696B3F"/>
    <w:rsid w:val="006A6F37"/>
    <w:rsid w:val="006A725B"/>
    <w:rsid w:val="006B387F"/>
    <w:rsid w:val="006B507C"/>
    <w:rsid w:val="006B63CB"/>
    <w:rsid w:val="006C06C1"/>
    <w:rsid w:val="006C7F0C"/>
    <w:rsid w:val="006D1E01"/>
    <w:rsid w:val="006D3DC9"/>
    <w:rsid w:val="006D3F86"/>
    <w:rsid w:val="006D4C31"/>
    <w:rsid w:val="006D5A58"/>
    <w:rsid w:val="006D5A98"/>
    <w:rsid w:val="006D7474"/>
    <w:rsid w:val="006D7B88"/>
    <w:rsid w:val="006E1282"/>
    <w:rsid w:val="006E1765"/>
    <w:rsid w:val="006E2035"/>
    <w:rsid w:val="006E3036"/>
    <w:rsid w:val="006E437B"/>
    <w:rsid w:val="006E4EAD"/>
    <w:rsid w:val="006E7C08"/>
    <w:rsid w:val="006E7D47"/>
    <w:rsid w:val="006F2649"/>
    <w:rsid w:val="006F2A9D"/>
    <w:rsid w:val="006F43A0"/>
    <w:rsid w:val="006F6CB2"/>
    <w:rsid w:val="00700142"/>
    <w:rsid w:val="00703315"/>
    <w:rsid w:val="00704C69"/>
    <w:rsid w:val="007100BD"/>
    <w:rsid w:val="00710A99"/>
    <w:rsid w:val="007117C3"/>
    <w:rsid w:val="00711DFC"/>
    <w:rsid w:val="00712015"/>
    <w:rsid w:val="0071221C"/>
    <w:rsid w:val="00712962"/>
    <w:rsid w:val="00712C59"/>
    <w:rsid w:val="007135E2"/>
    <w:rsid w:val="00716A20"/>
    <w:rsid w:val="00717184"/>
    <w:rsid w:val="00722E1A"/>
    <w:rsid w:val="00723FF5"/>
    <w:rsid w:val="00726579"/>
    <w:rsid w:val="0073005A"/>
    <w:rsid w:val="0073136C"/>
    <w:rsid w:val="00734A93"/>
    <w:rsid w:val="00736DE7"/>
    <w:rsid w:val="007408DE"/>
    <w:rsid w:val="0074123F"/>
    <w:rsid w:val="00742C86"/>
    <w:rsid w:val="00745DE1"/>
    <w:rsid w:val="00745ECA"/>
    <w:rsid w:val="007519D4"/>
    <w:rsid w:val="00752766"/>
    <w:rsid w:val="00760DC2"/>
    <w:rsid w:val="00764DFA"/>
    <w:rsid w:val="0076645B"/>
    <w:rsid w:val="00766465"/>
    <w:rsid w:val="007670FA"/>
    <w:rsid w:val="00772068"/>
    <w:rsid w:val="0077403D"/>
    <w:rsid w:val="00774D4D"/>
    <w:rsid w:val="007774B3"/>
    <w:rsid w:val="007806E1"/>
    <w:rsid w:val="00784D29"/>
    <w:rsid w:val="00787E05"/>
    <w:rsid w:val="00792650"/>
    <w:rsid w:val="00794902"/>
    <w:rsid w:val="0079697D"/>
    <w:rsid w:val="007A0303"/>
    <w:rsid w:val="007A2E59"/>
    <w:rsid w:val="007A34C0"/>
    <w:rsid w:val="007B1D6F"/>
    <w:rsid w:val="007B32AC"/>
    <w:rsid w:val="007B33CA"/>
    <w:rsid w:val="007B3D5E"/>
    <w:rsid w:val="007B76E9"/>
    <w:rsid w:val="007C623C"/>
    <w:rsid w:val="007C6242"/>
    <w:rsid w:val="007C6F19"/>
    <w:rsid w:val="007D0AD5"/>
    <w:rsid w:val="007D3C4D"/>
    <w:rsid w:val="007E6649"/>
    <w:rsid w:val="007F2877"/>
    <w:rsid w:val="00800A2D"/>
    <w:rsid w:val="00800CFC"/>
    <w:rsid w:val="008038E0"/>
    <w:rsid w:val="0080771A"/>
    <w:rsid w:val="00812DAA"/>
    <w:rsid w:val="00812DF7"/>
    <w:rsid w:val="00812F93"/>
    <w:rsid w:val="00816EB3"/>
    <w:rsid w:val="00817FAD"/>
    <w:rsid w:val="00824937"/>
    <w:rsid w:val="00824B34"/>
    <w:rsid w:val="00825836"/>
    <w:rsid w:val="00826510"/>
    <w:rsid w:val="00830D11"/>
    <w:rsid w:val="00840289"/>
    <w:rsid w:val="00854F67"/>
    <w:rsid w:val="00857219"/>
    <w:rsid w:val="00860392"/>
    <w:rsid w:val="00860950"/>
    <w:rsid w:val="0086349B"/>
    <w:rsid w:val="00864575"/>
    <w:rsid w:val="008654D8"/>
    <w:rsid w:val="00865AE0"/>
    <w:rsid w:val="00866193"/>
    <w:rsid w:val="008664C3"/>
    <w:rsid w:val="00876CED"/>
    <w:rsid w:val="008813E1"/>
    <w:rsid w:val="0088465E"/>
    <w:rsid w:val="00884FD1"/>
    <w:rsid w:val="00890892"/>
    <w:rsid w:val="008925B2"/>
    <w:rsid w:val="00894D92"/>
    <w:rsid w:val="008974B9"/>
    <w:rsid w:val="008A2771"/>
    <w:rsid w:val="008A5757"/>
    <w:rsid w:val="008A6C69"/>
    <w:rsid w:val="008A7B15"/>
    <w:rsid w:val="008B1FBE"/>
    <w:rsid w:val="008C13AF"/>
    <w:rsid w:val="008C1708"/>
    <w:rsid w:val="008D03C7"/>
    <w:rsid w:val="008D0769"/>
    <w:rsid w:val="008D6A1A"/>
    <w:rsid w:val="008E0678"/>
    <w:rsid w:val="008E15FB"/>
    <w:rsid w:val="008E4A45"/>
    <w:rsid w:val="008E5393"/>
    <w:rsid w:val="008E5BC0"/>
    <w:rsid w:val="008E5F0E"/>
    <w:rsid w:val="008E7F4D"/>
    <w:rsid w:val="008F09C8"/>
    <w:rsid w:val="008F275B"/>
    <w:rsid w:val="009017C6"/>
    <w:rsid w:val="00903F5D"/>
    <w:rsid w:val="00906F46"/>
    <w:rsid w:val="00907F50"/>
    <w:rsid w:val="0091006B"/>
    <w:rsid w:val="009119A1"/>
    <w:rsid w:val="00911EA0"/>
    <w:rsid w:val="009133F3"/>
    <w:rsid w:val="00913CB7"/>
    <w:rsid w:val="009210CC"/>
    <w:rsid w:val="00925A9F"/>
    <w:rsid w:val="00931582"/>
    <w:rsid w:val="00933037"/>
    <w:rsid w:val="009344D5"/>
    <w:rsid w:val="00946782"/>
    <w:rsid w:val="00950B44"/>
    <w:rsid w:val="009579B0"/>
    <w:rsid w:val="0096696E"/>
    <w:rsid w:val="00966F08"/>
    <w:rsid w:val="00974291"/>
    <w:rsid w:val="009803AA"/>
    <w:rsid w:val="00994C44"/>
    <w:rsid w:val="00996C4E"/>
    <w:rsid w:val="00997AE5"/>
    <w:rsid w:val="009A5CBA"/>
    <w:rsid w:val="009B2886"/>
    <w:rsid w:val="009B4804"/>
    <w:rsid w:val="009B4F11"/>
    <w:rsid w:val="009B7765"/>
    <w:rsid w:val="009B7C66"/>
    <w:rsid w:val="009C689C"/>
    <w:rsid w:val="009D02A3"/>
    <w:rsid w:val="009D1AB6"/>
    <w:rsid w:val="009D2196"/>
    <w:rsid w:val="009D3154"/>
    <w:rsid w:val="009D33E7"/>
    <w:rsid w:val="009D3E68"/>
    <w:rsid w:val="009D47F2"/>
    <w:rsid w:val="009E190B"/>
    <w:rsid w:val="009E26CB"/>
    <w:rsid w:val="009E3B96"/>
    <w:rsid w:val="009E634D"/>
    <w:rsid w:val="009E7D58"/>
    <w:rsid w:val="009F214C"/>
    <w:rsid w:val="009F4403"/>
    <w:rsid w:val="009F635E"/>
    <w:rsid w:val="009F7C46"/>
    <w:rsid w:val="00A007E9"/>
    <w:rsid w:val="00A04D76"/>
    <w:rsid w:val="00A0614B"/>
    <w:rsid w:val="00A06788"/>
    <w:rsid w:val="00A11B83"/>
    <w:rsid w:val="00A14E73"/>
    <w:rsid w:val="00A31120"/>
    <w:rsid w:val="00A32085"/>
    <w:rsid w:val="00A355A9"/>
    <w:rsid w:val="00A35A63"/>
    <w:rsid w:val="00A401E0"/>
    <w:rsid w:val="00A41E48"/>
    <w:rsid w:val="00A43597"/>
    <w:rsid w:val="00A45291"/>
    <w:rsid w:val="00A526C7"/>
    <w:rsid w:val="00A55742"/>
    <w:rsid w:val="00A55F77"/>
    <w:rsid w:val="00A62CD2"/>
    <w:rsid w:val="00A66289"/>
    <w:rsid w:val="00A67514"/>
    <w:rsid w:val="00A80E08"/>
    <w:rsid w:val="00A81240"/>
    <w:rsid w:val="00A83710"/>
    <w:rsid w:val="00A84C13"/>
    <w:rsid w:val="00A8749B"/>
    <w:rsid w:val="00A8798C"/>
    <w:rsid w:val="00A87B13"/>
    <w:rsid w:val="00A903DD"/>
    <w:rsid w:val="00A94CB4"/>
    <w:rsid w:val="00A9538B"/>
    <w:rsid w:val="00A9592A"/>
    <w:rsid w:val="00A96065"/>
    <w:rsid w:val="00AA0A53"/>
    <w:rsid w:val="00AA11EA"/>
    <w:rsid w:val="00AA4216"/>
    <w:rsid w:val="00AA75AA"/>
    <w:rsid w:val="00AB0966"/>
    <w:rsid w:val="00AB0E1B"/>
    <w:rsid w:val="00AB1EB2"/>
    <w:rsid w:val="00AB21EB"/>
    <w:rsid w:val="00AB2C07"/>
    <w:rsid w:val="00AC03F6"/>
    <w:rsid w:val="00AC11A8"/>
    <w:rsid w:val="00AC6F3C"/>
    <w:rsid w:val="00AD0F1F"/>
    <w:rsid w:val="00AD250D"/>
    <w:rsid w:val="00AD5BC2"/>
    <w:rsid w:val="00AD5D58"/>
    <w:rsid w:val="00AD6F8B"/>
    <w:rsid w:val="00AD7C81"/>
    <w:rsid w:val="00AE4665"/>
    <w:rsid w:val="00AF5E6E"/>
    <w:rsid w:val="00B00EBF"/>
    <w:rsid w:val="00B01BA7"/>
    <w:rsid w:val="00B02442"/>
    <w:rsid w:val="00B033B0"/>
    <w:rsid w:val="00B0432C"/>
    <w:rsid w:val="00B1376C"/>
    <w:rsid w:val="00B13CCF"/>
    <w:rsid w:val="00B14E79"/>
    <w:rsid w:val="00B15D8F"/>
    <w:rsid w:val="00B15E32"/>
    <w:rsid w:val="00B20CC7"/>
    <w:rsid w:val="00B214B9"/>
    <w:rsid w:val="00B25C68"/>
    <w:rsid w:val="00B27999"/>
    <w:rsid w:val="00B337AA"/>
    <w:rsid w:val="00B41F83"/>
    <w:rsid w:val="00B43620"/>
    <w:rsid w:val="00B43B77"/>
    <w:rsid w:val="00B50A3A"/>
    <w:rsid w:val="00B52560"/>
    <w:rsid w:val="00B60A1E"/>
    <w:rsid w:val="00B6105C"/>
    <w:rsid w:val="00B639AE"/>
    <w:rsid w:val="00B63C9E"/>
    <w:rsid w:val="00B66283"/>
    <w:rsid w:val="00B76A94"/>
    <w:rsid w:val="00B76AFA"/>
    <w:rsid w:val="00B77421"/>
    <w:rsid w:val="00B85F0B"/>
    <w:rsid w:val="00B86D9A"/>
    <w:rsid w:val="00BA232C"/>
    <w:rsid w:val="00BA261E"/>
    <w:rsid w:val="00BA616B"/>
    <w:rsid w:val="00BA65BA"/>
    <w:rsid w:val="00BB0B17"/>
    <w:rsid w:val="00BB3EFF"/>
    <w:rsid w:val="00BC695E"/>
    <w:rsid w:val="00BC7A08"/>
    <w:rsid w:val="00BD119C"/>
    <w:rsid w:val="00BD13BE"/>
    <w:rsid w:val="00BD6023"/>
    <w:rsid w:val="00BE0058"/>
    <w:rsid w:val="00BE3070"/>
    <w:rsid w:val="00BE6359"/>
    <w:rsid w:val="00BF1531"/>
    <w:rsid w:val="00BF65FD"/>
    <w:rsid w:val="00BF72E1"/>
    <w:rsid w:val="00BF7584"/>
    <w:rsid w:val="00C01751"/>
    <w:rsid w:val="00C032B0"/>
    <w:rsid w:val="00C035DA"/>
    <w:rsid w:val="00C05281"/>
    <w:rsid w:val="00C06C0F"/>
    <w:rsid w:val="00C06CEC"/>
    <w:rsid w:val="00C139A2"/>
    <w:rsid w:val="00C172EB"/>
    <w:rsid w:val="00C23054"/>
    <w:rsid w:val="00C237ED"/>
    <w:rsid w:val="00C23D4C"/>
    <w:rsid w:val="00C34A97"/>
    <w:rsid w:val="00C43B6F"/>
    <w:rsid w:val="00C501DF"/>
    <w:rsid w:val="00C50A4C"/>
    <w:rsid w:val="00C53639"/>
    <w:rsid w:val="00C54143"/>
    <w:rsid w:val="00C55CAD"/>
    <w:rsid w:val="00C603B4"/>
    <w:rsid w:val="00C628E2"/>
    <w:rsid w:val="00C62D6E"/>
    <w:rsid w:val="00C63A2C"/>
    <w:rsid w:val="00C7174F"/>
    <w:rsid w:val="00C72540"/>
    <w:rsid w:val="00C7299F"/>
    <w:rsid w:val="00C75EF0"/>
    <w:rsid w:val="00C83807"/>
    <w:rsid w:val="00C84B82"/>
    <w:rsid w:val="00C86A78"/>
    <w:rsid w:val="00C87232"/>
    <w:rsid w:val="00C90B86"/>
    <w:rsid w:val="00C91C6A"/>
    <w:rsid w:val="00C920E1"/>
    <w:rsid w:val="00C96D73"/>
    <w:rsid w:val="00CA051A"/>
    <w:rsid w:val="00CA1E34"/>
    <w:rsid w:val="00CA6A2A"/>
    <w:rsid w:val="00CB0A7A"/>
    <w:rsid w:val="00CB0EE3"/>
    <w:rsid w:val="00CB206A"/>
    <w:rsid w:val="00CB2520"/>
    <w:rsid w:val="00CB5EE1"/>
    <w:rsid w:val="00CC23EB"/>
    <w:rsid w:val="00CC254C"/>
    <w:rsid w:val="00CD1FA1"/>
    <w:rsid w:val="00CD2889"/>
    <w:rsid w:val="00CD444D"/>
    <w:rsid w:val="00CD6272"/>
    <w:rsid w:val="00CD744B"/>
    <w:rsid w:val="00CD7CC7"/>
    <w:rsid w:val="00CE18A7"/>
    <w:rsid w:val="00CE615B"/>
    <w:rsid w:val="00CE6B49"/>
    <w:rsid w:val="00CE7F75"/>
    <w:rsid w:val="00CF091B"/>
    <w:rsid w:val="00CF1BB1"/>
    <w:rsid w:val="00CF1EC0"/>
    <w:rsid w:val="00CF2679"/>
    <w:rsid w:val="00D01CEB"/>
    <w:rsid w:val="00D066D5"/>
    <w:rsid w:val="00D11764"/>
    <w:rsid w:val="00D117AC"/>
    <w:rsid w:val="00D14CD0"/>
    <w:rsid w:val="00D17015"/>
    <w:rsid w:val="00D1788B"/>
    <w:rsid w:val="00D20343"/>
    <w:rsid w:val="00D2342E"/>
    <w:rsid w:val="00D23641"/>
    <w:rsid w:val="00D25159"/>
    <w:rsid w:val="00D26031"/>
    <w:rsid w:val="00D269CE"/>
    <w:rsid w:val="00D30B3D"/>
    <w:rsid w:val="00D3200E"/>
    <w:rsid w:val="00D322F2"/>
    <w:rsid w:val="00D377B5"/>
    <w:rsid w:val="00D4285E"/>
    <w:rsid w:val="00D42BE1"/>
    <w:rsid w:val="00D462F5"/>
    <w:rsid w:val="00D5644C"/>
    <w:rsid w:val="00D61EAC"/>
    <w:rsid w:val="00D63153"/>
    <w:rsid w:val="00D64FAD"/>
    <w:rsid w:val="00D716B4"/>
    <w:rsid w:val="00D72DDA"/>
    <w:rsid w:val="00D8008E"/>
    <w:rsid w:val="00D86B49"/>
    <w:rsid w:val="00D87086"/>
    <w:rsid w:val="00D90528"/>
    <w:rsid w:val="00D909C1"/>
    <w:rsid w:val="00D91B71"/>
    <w:rsid w:val="00D929A1"/>
    <w:rsid w:val="00D93884"/>
    <w:rsid w:val="00D94C47"/>
    <w:rsid w:val="00D95058"/>
    <w:rsid w:val="00D9515B"/>
    <w:rsid w:val="00D95BA9"/>
    <w:rsid w:val="00D976B2"/>
    <w:rsid w:val="00DA112A"/>
    <w:rsid w:val="00DA281A"/>
    <w:rsid w:val="00DA2EBB"/>
    <w:rsid w:val="00DA326E"/>
    <w:rsid w:val="00DA547A"/>
    <w:rsid w:val="00DA6155"/>
    <w:rsid w:val="00DA64DA"/>
    <w:rsid w:val="00DB2928"/>
    <w:rsid w:val="00DB54E9"/>
    <w:rsid w:val="00DB5768"/>
    <w:rsid w:val="00DB605A"/>
    <w:rsid w:val="00DC4190"/>
    <w:rsid w:val="00DD4D17"/>
    <w:rsid w:val="00DE00DB"/>
    <w:rsid w:val="00DE0263"/>
    <w:rsid w:val="00DE1E1B"/>
    <w:rsid w:val="00DE46F7"/>
    <w:rsid w:val="00DF3668"/>
    <w:rsid w:val="00DF5AD2"/>
    <w:rsid w:val="00DF6A18"/>
    <w:rsid w:val="00DF77AC"/>
    <w:rsid w:val="00DF7CA7"/>
    <w:rsid w:val="00E01B8F"/>
    <w:rsid w:val="00E07359"/>
    <w:rsid w:val="00E10BD2"/>
    <w:rsid w:val="00E129A7"/>
    <w:rsid w:val="00E12A02"/>
    <w:rsid w:val="00E143B3"/>
    <w:rsid w:val="00E16607"/>
    <w:rsid w:val="00E17E9F"/>
    <w:rsid w:val="00E202EB"/>
    <w:rsid w:val="00E21729"/>
    <w:rsid w:val="00E239E6"/>
    <w:rsid w:val="00E23FC8"/>
    <w:rsid w:val="00E24666"/>
    <w:rsid w:val="00E24CB2"/>
    <w:rsid w:val="00E24DC6"/>
    <w:rsid w:val="00E33432"/>
    <w:rsid w:val="00E3516D"/>
    <w:rsid w:val="00E356BC"/>
    <w:rsid w:val="00E412DC"/>
    <w:rsid w:val="00E42C76"/>
    <w:rsid w:val="00E44DCB"/>
    <w:rsid w:val="00E50D50"/>
    <w:rsid w:val="00E54920"/>
    <w:rsid w:val="00E54BE7"/>
    <w:rsid w:val="00E57039"/>
    <w:rsid w:val="00E6057F"/>
    <w:rsid w:val="00E62F75"/>
    <w:rsid w:val="00E749EB"/>
    <w:rsid w:val="00E755C9"/>
    <w:rsid w:val="00E75FBC"/>
    <w:rsid w:val="00E850BD"/>
    <w:rsid w:val="00E91665"/>
    <w:rsid w:val="00E9166B"/>
    <w:rsid w:val="00E93D5F"/>
    <w:rsid w:val="00E96126"/>
    <w:rsid w:val="00E9769D"/>
    <w:rsid w:val="00EA11D5"/>
    <w:rsid w:val="00EA2FFE"/>
    <w:rsid w:val="00EA3C98"/>
    <w:rsid w:val="00EB0C30"/>
    <w:rsid w:val="00EB40CA"/>
    <w:rsid w:val="00EB7097"/>
    <w:rsid w:val="00EC41F8"/>
    <w:rsid w:val="00EC6238"/>
    <w:rsid w:val="00EC7004"/>
    <w:rsid w:val="00ED2D97"/>
    <w:rsid w:val="00ED3753"/>
    <w:rsid w:val="00EE0F33"/>
    <w:rsid w:val="00EE31B8"/>
    <w:rsid w:val="00EE4F15"/>
    <w:rsid w:val="00EF2B04"/>
    <w:rsid w:val="00EF384F"/>
    <w:rsid w:val="00EF7A61"/>
    <w:rsid w:val="00F1244B"/>
    <w:rsid w:val="00F134AE"/>
    <w:rsid w:val="00F21950"/>
    <w:rsid w:val="00F2349B"/>
    <w:rsid w:val="00F2488D"/>
    <w:rsid w:val="00F259E0"/>
    <w:rsid w:val="00F26FE1"/>
    <w:rsid w:val="00F34E51"/>
    <w:rsid w:val="00F3515B"/>
    <w:rsid w:val="00F36D0C"/>
    <w:rsid w:val="00F4056A"/>
    <w:rsid w:val="00F405F5"/>
    <w:rsid w:val="00F430B3"/>
    <w:rsid w:val="00F4410C"/>
    <w:rsid w:val="00F44908"/>
    <w:rsid w:val="00F51231"/>
    <w:rsid w:val="00F537A2"/>
    <w:rsid w:val="00F559E6"/>
    <w:rsid w:val="00F56D5C"/>
    <w:rsid w:val="00F60271"/>
    <w:rsid w:val="00F603A8"/>
    <w:rsid w:val="00F61BDF"/>
    <w:rsid w:val="00F70147"/>
    <w:rsid w:val="00F72471"/>
    <w:rsid w:val="00F750D5"/>
    <w:rsid w:val="00F7523B"/>
    <w:rsid w:val="00F8114E"/>
    <w:rsid w:val="00F81793"/>
    <w:rsid w:val="00F817D2"/>
    <w:rsid w:val="00F818D5"/>
    <w:rsid w:val="00F827AB"/>
    <w:rsid w:val="00F844D9"/>
    <w:rsid w:val="00F86E7F"/>
    <w:rsid w:val="00F901AC"/>
    <w:rsid w:val="00F919F9"/>
    <w:rsid w:val="00F91B57"/>
    <w:rsid w:val="00F96258"/>
    <w:rsid w:val="00FA0B58"/>
    <w:rsid w:val="00FA12ED"/>
    <w:rsid w:val="00FA15BB"/>
    <w:rsid w:val="00FA241C"/>
    <w:rsid w:val="00FA2D9D"/>
    <w:rsid w:val="00FA65B6"/>
    <w:rsid w:val="00FB0AC6"/>
    <w:rsid w:val="00FB400F"/>
    <w:rsid w:val="00FB468E"/>
    <w:rsid w:val="00FB585F"/>
    <w:rsid w:val="00FB5DCA"/>
    <w:rsid w:val="00FC3E24"/>
    <w:rsid w:val="00FD44F9"/>
    <w:rsid w:val="00FD5FF1"/>
    <w:rsid w:val="00FD740D"/>
    <w:rsid w:val="00FE2698"/>
    <w:rsid w:val="00FE54D1"/>
    <w:rsid w:val="00FE58AA"/>
    <w:rsid w:val="00FE6D14"/>
    <w:rsid w:val="00FE79F4"/>
    <w:rsid w:val="00FF0B04"/>
    <w:rsid w:val="00FF3CA6"/>
    <w:rsid w:val="00FF5E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next w:val="Normal"/>
    <w:link w:val="Ttulo1Car"/>
    <w:uiPriority w:val="9"/>
    <w:qFormat/>
    <w:rsid w:val="006D3DC9"/>
    <w:pPr>
      <w:keepNext/>
      <w:keepLines/>
      <w:spacing w:after="0"/>
      <w:ind w:left="10" w:right="4" w:hanging="10"/>
      <w:jc w:val="center"/>
      <w:outlineLvl w:val="0"/>
    </w:pPr>
    <w:rPr>
      <w:rFonts w:ascii="Calibri" w:eastAsia="Calibri" w:hAnsi="Calibri" w:cs="Calibri"/>
      <w:color w:val="000000"/>
      <w:sz w:val="24"/>
      <w:lang w:eastAsia="es-MX"/>
    </w:rPr>
  </w:style>
  <w:style w:type="paragraph" w:styleId="Ttulo2">
    <w:name w:val="heading 2"/>
    <w:basedOn w:val="Normal"/>
    <w:next w:val="Normal"/>
    <w:link w:val="Ttulo2Car"/>
    <w:uiPriority w:val="9"/>
    <w:unhideWhenUsed/>
    <w:qFormat/>
    <w:rsid w:val="00470AD7"/>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470AD7"/>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470AD7"/>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470AD7"/>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tulo6">
    <w:name w:val="heading 6"/>
    <w:basedOn w:val="Normal"/>
    <w:next w:val="Normal"/>
    <w:link w:val="Ttulo6Car"/>
    <w:qFormat/>
    <w:rsid w:val="00470AD7"/>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470AD7"/>
    <w:pPr>
      <w:tabs>
        <w:tab w:val="num" w:pos="5040"/>
      </w:tabs>
      <w:spacing w:before="240" w:after="60" w:line="240" w:lineRule="auto"/>
      <w:ind w:left="5040" w:hanging="720"/>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470AD7"/>
    <w:pPr>
      <w:tabs>
        <w:tab w:val="num" w:pos="5760"/>
      </w:tabs>
      <w:spacing w:before="240" w:after="60" w:line="240" w:lineRule="auto"/>
      <w:ind w:left="5760" w:hanging="720"/>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470AD7"/>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3DC9"/>
    <w:rPr>
      <w:rFonts w:ascii="Calibri" w:eastAsia="Calibri" w:hAnsi="Calibri" w:cs="Calibri"/>
      <w:color w:val="000000"/>
      <w:sz w:val="24"/>
      <w:lang w:eastAsia="es-MX"/>
    </w:rPr>
  </w:style>
  <w:style w:type="character" w:customStyle="1" w:styleId="Ttulo2Car">
    <w:name w:val="Título 2 Car"/>
    <w:basedOn w:val="Fuentedeprrafopredeter"/>
    <w:link w:val="Ttulo2"/>
    <w:rsid w:val="00470AD7"/>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470AD7"/>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470AD7"/>
    <w:rPr>
      <w:rFonts w:eastAsiaTheme="minorEastAsia"/>
      <w:b/>
      <w:bCs/>
      <w:sz w:val="28"/>
      <w:szCs w:val="28"/>
      <w:lang w:val="en-US"/>
    </w:rPr>
  </w:style>
  <w:style w:type="character" w:customStyle="1" w:styleId="Ttulo5Car">
    <w:name w:val="Título 5 Car"/>
    <w:basedOn w:val="Fuentedeprrafopredeter"/>
    <w:link w:val="Ttulo5"/>
    <w:uiPriority w:val="9"/>
    <w:semiHidden/>
    <w:rsid w:val="00470AD7"/>
    <w:rPr>
      <w:rFonts w:eastAsiaTheme="minorEastAsia"/>
      <w:b/>
      <w:bCs/>
      <w:i/>
      <w:iCs/>
      <w:sz w:val="26"/>
      <w:szCs w:val="26"/>
      <w:lang w:val="en-US"/>
    </w:rPr>
  </w:style>
  <w:style w:type="character" w:customStyle="1" w:styleId="Ttulo6Car">
    <w:name w:val="Título 6 Car"/>
    <w:basedOn w:val="Fuentedeprrafopredeter"/>
    <w:link w:val="Ttulo6"/>
    <w:rsid w:val="00470AD7"/>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470AD7"/>
    <w:rPr>
      <w:rFonts w:eastAsiaTheme="minorEastAsia"/>
      <w:sz w:val="24"/>
      <w:szCs w:val="24"/>
      <w:lang w:val="en-US"/>
    </w:rPr>
  </w:style>
  <w:style w:type="character" w:customStyle="1" w:styleId="Ttulo8Car">
    <w:name w:val="Título 8 Car"/>
    <w:basedOn w:val="Fuentedeprrafopredeter"/>
    <w:link w:val="Ttulo8"/>
    <w:uiPriority w:val="9"/>
    <w:semiHidden/>
    <w:rsid w:val="00470AD7"/>
    <w:rPr>
      <w:rFonts w:eastAsiaTheme="minorEastAsia"/>
      <w:i/>
      <w:iCs/>
      <w:sz w:val="24"/>
      <w:szCs w:val="24"/>
      <w:lang w:val="en-US"/>
    </w:rPr>
  </w:style>
  <w:style w:type="character" w:customStyle="1" w:styleId="Ttulo9Car">
    <w:name w:val="Título 9 Car"/>
    <w:basedOn w:val="Fuentedeprrafopredeter"/>
    <w:link w:val="Ttulo9"/>
    <w:uiPriority w:val="9"/>
    <w:semiHidden/>
    <w:rsid w:val="00470AD7"/>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E54920"/>
    <w:pPr>
      <w:spacing w:after="0" w:line="240" w:lineRule="auto"/>
    </w:pPr>
  </w:style>
  <w:style w:type="character" w:customStyle="1" w:styleId="SinespaciadoCar">
    <w:name w:val="Sin espaciado Car"/>
    <w:link w:val="Sinespaciado"/>
    <w:uiPriority w:val="1"/>
    <w:locked/>
    <w:rsid w:val="007D0AD5"/>
  </w:style>
  <w:style w:type="character" w:customStyle="1" w:styleId="normaltextrun">
    <w:name w:val="normaltextrun"/>
    <w:basedOn w:val="Fuentedeprrafopredeter"/>
    <w:rsid w:val="00745ECA"/>
  </w:style>
  <w:style w:type="paragraph" w:customStyle="1" w:styleId="Default">
    <w:name w:val="Default"/>
    <w:rsid w:val="00745ECA"/>
    <w:pPr>
      <w:autoSpaceDE w:val="0"/>
      <w:autoSpaceDN w:val="0"/>
      <w:adjustRightInd w:val="0"/>
      <w:spacing w:after="0" w:line="240" w:lineRule="auto"/>
    </w:pPr>
    <w:rPr>
      <w:rFonts w:ascii="Arial" w:hAnsi="Arial" w:cs="Arial"/>
      <w:color w:val="000000"/>
      <w:sz w:val="24"/>
      <w:szCs w:val="24"/>
    </w:rPr>
  </w:style>
  <w:style w:type="table" w:customStyle="1" w:styleId="TableGrid">
    <w:name w:val="TableGrid"/>
    <w:rsid w:val="00641DC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641DCC"/>
    <w:pPr>
      <w:spacing w:line="259" w:lineRule="auto"/>
      <w:ind w:left="720"/>
      <w:contextualSpacing/>
    </w:pPr>
    <w:rPr>
      <w:rFonts w:ascii="Calibri" w:eastAsia="Calibri" w:hAnsi="Calibri" w:cs="Calibri"/>
      <w:color w:val="000000"/>
      <w:lang w:eastAsia="es-MX"/>
    </w:rPr>
  </w:style>
  <w:style w:type="table" w:styleId="Tablaconcuadrcula">
    <w:name w:val="Table Grid"/>
    <w:basedOn w:val="Tablanormal"/>
    <w:uiPriority w:val="39"/>
    <w:rsid w:val="00641DCC"/>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6D3DC9"/>
    <w:pPr>
      <w:spacing w:after="0" w:line="266" w:lineRule="auto"/>
      <w:ind w:right="3"/>
      <w:jc w:val="both"/>
    </w:pPr>
    <w:rPr>
      <w:rFonts w:ascii="Calibri" w:eastAsia="Calibri" w:hAnsi="Calibri" w:cs="Calibri"/>
      <w:color w:val="000000"/>
      <w:sz w:val="18"/>
      <w:lang w:eastAsia="es-MX"/>
    </w:rPr>
  </w:style>
  <w:style w:type="character" w:customStyle="1" w:styleId="footnotedescriptionChar">
    <w:name w:val="footnote description Char"/>
    <w:link w:val="footnotedescription"/>
    <w:rsid w:val="006D3DC9"/>
    <w:rPr>
      <w:rFonts w:ascii="Calibri" w:eastAsia="Calibri" w:hAnsi="Calibri" w:cs="Calibri"/>
      <w:color w:val="000000"/>
      <w:sz w:val="18"/>
      <w:lang w:eastAsia="es-MX"/>
    </w:rPr>
  </w:style>
  <w:style w:type="character" w:customStyle="1" w:styleId="footnotemark">
    <w:name w:val="footnote mark"/>
    <w:hidden/>
    <w:rsid w:val="006D3DC9"/>
    <w:rPr>
      <w:rFonts w:ascii="Calibri" w:eastAsia="Calibri" w:hAnsi="Calibri" w:cs="Calibri"/>
      <w:color w:val="000000"/>
      <w:sz w:val="18"/>
      <w:vertAlign w:val="superscript"/>
    </w:rPr>
  </w:style>
  <w:style w:type="character" w:styleId="Hipervnculo">
    <w:name w:val="Hyperlink"/>
    <w:basedOn w:val="Fuentedeprrafopredeter"/>
    <w:uiPriority w:val="99"/>
    <w:unhideWhenUsed/>
    <w:rsid w:val="00470AD7"/>
    <w:rPr>
      <w:color w:val="0563C1" w:themeColor="hyperlink"/>
      <w:u w:val="single"/>
    </w:rPr>
  </w:style>
  <w:style w:type="paragraph" w:styleId="Textodeglobo">
    <w:name w:val="Balloon Text"/>
    <w:basedOn w:val="Normal"/>
    <w:link w:val="TextodegloboCar"/>
    <w:uiPriority w:val="99"/>
    <w:semiHidden/>
    <w:unhideWhenUsed/>
    <w:rsid w:val="0053291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2918"/>
    <w:rPr>
      <w:rFonts w:ascii="Segoe UI" w:hAnsi="Segoe UI" w:cs="Segoe UI"/>
      <w:sz w:val="18"/>
      <w:szCs w:val="18"/>
    </w:rPr>
  </w:style>
  <w:style w:type="paragraph" w:styleId="NormalWeb">
    <w:name w:val="Normal (Web)"/>
    <w:basedOn w:val="Normal"/>
    <w:uiPriority w:val="99"/>
    <w:unhideWhenUsed/>
    <w:rsid w:val="004A7EC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Mencinsinresolver">
    <w:name w:val="Unresolved Mention"/>
    <w:basedOn w:val="Fuentedeprrafopredeter"/>
    <w:uiPriority w:val="99"/>
    <w:semiHidden/>
    <w:unhideWhenUsed/>
    <w:rsid w:val="00FE7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0702">
      <w:bodyDiv w:val="1"/>
      <w:marLeft w:val="0"/>
      <w:marRight w:val="0"/>
      <w:marTop w:val="0"/>
      <w:marBottom w:val="0"/>
      <w:divBdr>
        <w:top w:val="none" w:sz="0" w:space="0" w:color="auto"/>
        <w:left w:val="none" w:sz="0" w:space="0" w:color="auto"/>
        <w:bottom w:val="none" w:sz="0" w:space="0" w:color="auto"/>
        <w:right w:val="none" w:sz="0" w:space="0" w:color="auto"/>
      </w:divBdr>
    </w:div>
    <w:div w:id="35475116">
      <w:bodyDiv w:val="1"/>
      <w:marLeft w:val="0"/>
      <w:marRight w:val="0"/>
      <w:marTop w:val="0"/>
      <w:marBottom w:val="0"/>
      <w:divBdr>
        <w:top w:val="none" w:sz="0" w:space="0" w:color="auto"/>
        <w:left w:val="none" w:sz="0" w:space="0" w:color="auto"/>
        <w:bottom w:val="none" w:sz="0" w:space="0" w:color="auto"/>
        <w:right w:val="none" w:sz="0" w:space="0" w:color="auto"/>
      </w:divBdr>
    </w:div>
    <w:div w:id="44985750">
      <w:bodyDiv w:val="1"/>
      <w:marLeft w:val="0"/>
      <w:marRight w:val="0"/>
      <w:marTop w:val="0"/>
      <w:marBottom w:val="0"/>
      <w:divBdr>
        <w:top w:val="none" w:sz="0" w:space="0" w:color="auto"/>
        <w:left w:val="none" w:sz="0" w:space="0" w:color="auto"/>
        <w:bottom w:val="none" w:sz="0" w:space="0" w:color="auto"/>
        <w:right w:val="none" w:sz="0" w:space="0" w:color="auto"/>
      </w:divBdr>
    </w:div>
    <w:div w:id="75135560">
      <w:bodyDiv w:val="1"/>
      <w:marLeft w:val="0"/>
      <w:marRight w:val="0"/>
      <w:marTop w:val="0"/>
      <w:marBottom w:val="0"/>
      <w:divBdr>
        <w:top w:val="none" w:sz="0" w:space="0" w:color="auto"/>
        <w:left w:val="none" w:sz="0" w:space="0" w:color="auto"/>
        <w:bottom w:val="none" w:sz="0" w:space="0" w:color="auto"/>
        <w:right w:val="none" w:sz="0" w:space="0" w:color="auto"/>
      </w:divBdr>
    </w:div>
    <w:div w:id="21990003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17869460">
      <w:bodyDiv w:val="1"/>
      <w:marLeft w:val="0"/>
      <w:marRight w:val="0"/>
      <w:marTop w:val="0"/>
      <w:marBottom w:val="0"/>
      <w:divBdr>
        <w:top w:val="none" w:sz="0" w:space="0" w:color="auto"/>
        <w:left w:val="none" w:sz="0" w:space="0" w:color="auto"/>
        <w:bottom w:val="none" w:sz="0" w:space="0" w:color="auto"/>
        <w:right w:val="none" w:sz="0" w:space="0" w:color="auto"/>
      </w:divBdr>
    </w:div>
    <w:div w:id="456946642">
      <w:bodyDiv w:val="1"/>
      <w:marLeft w:val="0"/>
      <w:marRight w:val="0"/>
      <w:marTop w:val="0"/>
      <w:marBottom w:val="0"/>
      <w:divBdr>
        <w:top w:val="none" w:sz="0" w:space="0" w:color="auto"/>
        <w:left w:val="none" w:sz="0" w:space="0" w:color="auto"/>
        <w:bottom w:val="none" w:sz="0" w:space="0" w:color="auto"/>
        <w:right w:val="none" w:sz="0" w:space="0" w:color="auto"/>
      </w:divBdr>
    </w:div>
    <w:div w:id="524515410">
      <w:bodyDiv w:val="1"/>
      <w:marLeft w:val="0"/>
      <w:marRight w:val="0"/>
      <w:marTop w:val="0"/>
      <w:marBottom w:val="0"/>
      <w:divBdr>
        <w:top w:val="none" w:sz="0" w:space="0" w:color="auto"/>
        <w:left w:val="none" w:sz="0" w:space="0" w:color="auto"/>
        <w:bottom w:val="none" w:sz="0" w:space="0" w:color="auto"/>
        <w:right w:val="none" w:sz="0" w:space="0" w:color="auto"/>
      </w:divBdr>
    </w:div>
    <w:div w:id="568734969">
      <w:bodyDiv w:val="1"/>
      <w:marLeft w:val="0"/>
      <w:marRight w:val="0"/>
      <w:marTop w:val="0"/>
      <w:marBottom w:val="0"/>
      <w:divBdr>
        <w:top w:val="none" w:sz="0" w:space="0" w:color="auto"/>
        <w:left w:val="none" w:sz="0" w:space="0" w:color="auto"/>
        <w:bottom w:val="none" w:sz="0" w:space="0" w:color="auto"/>
        <w:right w:val="none" w:sz="0" w:space="0" w:color="auto"/>
      </w:divBdr>
    </w:div>
    <w:div w:id="582295365">
      <w:bodyDiv w:val="1"/>
      <w:marLeft w:val="0"/>
      <w:marRight w:val="0"/>
      <w:marTop w:val="0"/>
      <w:marBottom w:val="0"/>
      <w:divBdr>
        <w:top w:val="none" w:sz="0" w:space="0" w:color="auto"/>
        <w:left w:val="none" w:sz="0" w:space="0" w:color="auto"/>
        <w:bottom w:val="none" w:sz="0" w:space="0" w:color="auto"/>
        <w:right w:val="none" w:sz="0" w:space="0" w:color="auto"/>
      </w:divBdr>
    </w:div>
    <w:div w:id="594871465">
      <w:bodyDiv w:val="1"/>
      <w:marLeft w:val="0"/>
      <w:marRight w:val="0"/>
      <w:marTop w:val="0"/>
      <w:marBottom w:val="0"/>
      <w:divBdr>
        <w:top w:val="none" w:sz="0" w:space="0" w:color="auto"/>
        <w:left w:val="none" w:sz="0" w:space="0" w:color="auto"/>
        <w:bottom w:val="none" w:sz="0" w:space="0" w:color="auto"/>
        <w:right w:val="none" w:sz="0" w:space="0" w:color="auto"/>
      </w:divBdr>
    </w:div>
    <w:div w:id="594901493">
      <w:bodyDiv w:val="1"/>
      <w:marLeft w:val="0"/>
      <w:marRight w:val="0"/>
      <w:marTop w:val="0"/>
      <w:marBottom w:val="0"/>
      <w:divBdr>
        <w:top w:val="none" w:sz="0" w:space="0" w:color="auto"/>
        <w:left w:val="none" w:sz="0" w:space="0" w:color="auto"/>
        <w:bottom w:val="none" w:sz="0" w:space="0" w:color="auto"/>
        <w:right w:val="none" w:sz="0" w:space="0" w:color="auto"/>
      </w:divBdr>
    </w:div>
    <w:div w:id="813452394">
      <w:bodyDiv w:val="1"/>
      <w:marLeft w:val="0"/>
      <w:marRight w:val="0"/>
      <w:marTop w:val="0"/>
      <w:marBottom w:val="0"/>
      <w:divBdr>
        <w:top w:val="none" w:sz="0" w:space="0" w:color="auto"/>
        <w:left w:val="none" w:sz="0" w:space="0" w:color="auto"/>
        <w:bottom w:val="none" w:sz="0" w:space="0" w:color="auto"/>
        <w:right w:val="none" w:sz="0" w:space="0" w:color="auto"/>
      </w:divBdr>
    </w:div>
    <w:div w:id="825976482">
      <w:bodyDiv w:val="1"/>
      <w:marLeft w:val="0"/>
      <w:marRight w:val="0"/>
      <w:marTop w:val="0"/>
      <w:marBottom w:val="0"/>
      <w:divBdr>
        <w:top w:val="none" w:sz="0" w:space="0" w:color="auto"/>
        <w:left w:val="none" w:sz="0" w:space="0" w:color="auto"/>
        <w:bottom w:val="none" w:sz="0" w:space="0" w:color="auto"/>
        <w:right w:val="none" w:sz="0" w:space="0" w:color="auto"/>
      </w:divBdr>
    </w:div>
    <w:div w:id="851919431">
      <w:bodyDiv w:val="1"/>
      <w:marLeft w:val="0"/>
      <w:marRight w:val="0"/>
      <w:marTop w:val="0"/>
      <w:marBottom w:val="0"/>
      <w:divBdr>
        <w:top w:val="none" w:sz="0" w:space="0" w:color="auto"/>
        <w:left w:val="none" w:sz="0" w:space="0" w:color="auto"/>
        <w:bottom w:val="none" w:sz="0" w:space="0" w:color="auto"/>
        <w:right w:val="none" w:sz="0" w:space="0" w:color="auto"/>
      </w:divBdr>
    </w:div>
    <w:div w:id="858616607">
      <w:bodyDiv w:val="1"/>
      <w:marLeft w:val="0"/>
      <w:marRight w:val="0"/>
      <w:marTop w:val="0"/>
      <w:marBottom w:val="0"/>
      <w:divBdr>
        <w:top w:val="none" w:sz="0" w:space="0" w:color="auto"/>
        <w:left w:val="none" w:sz="0" w:space="0" w:color="auto"/>
        <w:bottom w:val="none" w:sz="0" w:space="0" w:color="auto"/>
        <w:right w:val="none" w:sz="0" w:space="0" w:color="auto"/>
      </w:divBdr>
    </w:div>
    <w:div w:id="862596638">
      <w:bodyDiv w:val="1"/>
      <w:marLeft w:val="0"/>
      <w:marRight w:val="0"/>
      <w:marTop w:val="0"/>
      <w:marBottom w:val="0"/>
      <w:divBdr>
        <w:top w:val="none" w:sz="0" w:space="0" w:color="auto"/>
        <w:left w:val="none" w:sz="0" w:space="0" w:color="auto"/>
        <w:bottom w:val="none" w:sz="0" w:space="0" w:color="auto"/>
        <w:right w:val="none" w:sz="0" w:space="0" w:color="auto"/>
      </w:divBdr>
    </w:div>
    <w:div w:id="887716427">
      <w:bodyDiv w:val="1"/>
      <w:marLeft w:val="0"/>
      <w:marRight w:val="0"/>
      <w:marTop w:val="0"/>
      <w:marBottom w:val="0"/>
      <w:divBdr>
        <w:top w:val="none" w:sz="0" w:space="0" w:color="auto"/>
        <w:left w:val="none" w:sz="0" w:space="0" w:color="auto"/>
        <w:bottom w:val="none" w:sz="0" w:space="0" w:color="auto"/>
        <w:right w:val="none" w:sz="0" w:space="0" w:color="auto"/>
      </w:divBdr>
    </w:div>
    <w:div w:id="898051001">
      <w:bodyDiv w:val="1"/>
      <w:marLeft w:val="0"/>
      <w:marRight w:val="0"/>
      <w:marTop w:val="0"/>
      <w:marBottom w:val="0"/>
      <w:divBdr>
        <w:top w:val="none" w:sz="0" w:space="0" w:color="auto"/>
        <w:left w:val="none" w:sz="0" w:space="0" w:color="auto"/>
        <w:bottom w:val="none" w:sz="0" w:space="0" w:color="auto"/>
        <w:right w:val="none" w:sz="0" w:space="0" w:color="auto"/>
      </w:divBdr>
    </w:div>
    <w:div w:id="936447563">
      <w:bodyDiv w:val="1"/>
      <w:marLeft w:val="0"/>
      <w:marRight w:val="0"/>
      <w:marTop w:val="0"/>
      <w:marBottom w:val="0"/>
      <w:divBdr>
        <w:top w:val="none" w:sz="0" w:space="0" w:color="auto"/>
        <w:left w:val="none" w:sz="0" w:space="0" w:color="auto"/>
        <w:bottom w:val="none" w:sz="0" w:space="0" w:color="auto"/>
        <w:right w:val="none" w:sz="0" w:space="0" w:color="auto"/>
      </w:divBdr>
    </w:div>
    <w:div w:id="1099063201">
      <w:bodyDiv w:val="1"/>
      <w:marLeft w:val="0"/>
      <w:marRight w:val="0"/>
      <w:marTop w:val="0"/>
      <w:marBottom w:val="0"/>
      <w:divBdr>
        <w:top w:val="none" w:sz="0" w:space="0" w:color="auto"/>
        <w:left w:val="none" w:sz="0" w:space="0" w:color="auto"/>
        <w:bottom w:val="none" w:sz="0" w:space="0" w:color="auto"/>
        <w:right w:val="none" w:sz="0" w:space="0" w:color="auto"/>
      </w:divBdr>
    </w:div>
    <w:div w:id="1189640905">
      <w:bodyDiv w:val="1"/>
      <w:marLeft w:val="0"/>
      <w:marRight w:val="0"/>
      <w:marTop w:val="0"/>
      <w:marBottom w:val="0"/>
      <w:divBdr>
        <w:top w:val="none" w:sz="0" w:space="0" w:color="auto"/>
        <w:left w:val="none" w:sz="0" w:space="0" w:color="auto"/>
        <w:bottom w:val="none" w:sz="0" w:space="0" w:color="auto"/>
        <w:right w:val="none" w:sz="0" w:space="0" w:color="auto"/>
      </w:divBdr>
    </w:div>
    <w:div w:id="1201163200">
      <w:bodyDiv w:val="1"/>
      <w:marLeft w:val="0"/>
      <w:marRight w:val="0"/>
      <w:marTop w:val="0"/>
      <w:marBottom w:val="0"/>
      <w:divBdr>
        <w:top w:val="none" w:sz="0" w:space="0" w:color="auto"/>
        <w:left w:val="none" w:sz="0" w:space="0" w:color="auto"/>
        <w:bottom w:val="none" w:sz="0" w:space="0" w:color="auto"/>
        <w:right w:val="none" w:sz="0" w:space="0" w:color="auto"/>
      </w:divBdr>
    </w:div>
    <w:div w:id="1262296761">
      <w:bodyDiv w:val="1"/>
      <w:marLeft w:val="0"/>
      <w:marRight w:val="0"/>
      <w:marTop w:val="0"/>
      <w:marBottom w:val="0"/>
      <w:divBdr>
        <w:top w:val="none" w:sz="0" w:space="0" w:color="auto"/>
        <w:left w:val="none" w:sz="0" w:space="0" w:color="auto"/>
        <w:bottom w:val="none" w:sz="0" w:space="0" w:color="auto"/>
        <w:right w:val="none" w:sz="0" w:space="0" w:color="auto"/>
      </w:divBdr>
    </w:div>
    <w:div w:id="1286280096">
      <w:bodyDiv w:val="1"/>
      <w:marLeft w:val="0"/>
      <w:marRight w:val="0"/>
      <w:marTop w:val="0"/>
      <w:marBottom w:val="0"/>
      <w:divBdr>
        <w:top w:val="none" w:sz="0" w:space="0" w:color="auto"/>
        <w:left w:val="none" w:sz="0" w:space="0" w:color="auto"/>
        <w:bottom w:val="none" w:sz="0" w:space="0" w:color="auto"/>
        <w:right w:val="none" w:sz="0" w:space="0" w:color="auto"/>
      </w:divBdr>
    </w:div>
    <w:div w:id="1385909116">
      <w:bodyDiv w:val="1"/>
      <w:marLeft w:val="0"/>
      <w:marRight w:val="0"/>
      <w:marTop w:val="0"/>
      <w:marBottom w:val="0"/>
      <w:divBdr>
        <w:top w:val="none" w:sz="0" w:space="0" w:color="auto"/>
        <w:left w:val="none" w:sz="0" w:space="0" w:color="auto"/>
        <w:bottom w:val="none" w:sz="0" w:space="0" w:color="auto"/>
        <w:right w:val="none" w:sz="0" w:space="0" w:color="auto"/>
      </w:divBdr>
    </w:div>
    <w:div w:id="1514102680">
      <w:bodyDiv w:val="1"/>
      <w:marLeft w:val="0"/>
      <w:marRight w:val="0"/>
      <w:marTop w:val="0"/>
      <w:marBottom w:val="0"/>
      <w:divBdr>
        <w:top w:val="none" w:sz="0" w:space="0" w:color="auto"/>
        <w:left w:val="none" w:sz="0" w:space="0" w:color="auto"/>
        <w:bottom w:val="none" w:sz="0" w:space="0" w:color="auto"/>
        <w:right w:val="none" w:sz="0" w:space="0" w:color="auto"/>
      </w:divBdr>
    </w:div>
    <w:div w:id="1518275250">
      <w:bodyDiv w:val="1"/>
      <w:marLeft w:val="0"/>
      <w:marRight w:val="0"/>
      <w:marTop w:val="0"/>
      <w:marBottom w:val="0"/>
      <w:divBdr>
        <w:top w:val="none" w:sz="0" w:space="0" w:color="auto"/>
        <w:left w:val="none" w:sz="0" w:space="0" w:color="auto"/>
        <w:bottom w:val="none" w:sz="0" w:space="0" w:color="auto"/>
        <w:right w:val="none" w:sz="0" w:space="0" w:color="auto"/>
      </w:divBdr>
    </w:div>
    <w:div w:id="1525749995">
      <w:bodyDiv w:val="1"/>
      <w:marLeft w:val="0"/>
      <w:marRight w:val="0"/>
      <w:marTop w:val="0"/>
      <w:marBottom w:val="0"/>
      <w:divBdr>
        <w:top w:val="none" w:sz="0" w:space="0" w:color="auto"/>
        <w:left w:val="none" w:sz="0" w:space="0" w:color="auto"/>
        <w:bottom w:val="none" w:sz="0" w:space="0" w:color="auto"/>
        <w:right w:val="none" w:sz="0" w:space="0" w:color="auto"/>
      </w:divBdr>
    </w:div>
    <w:div w:id="1534073485">
      <w:bodyDiv w:val="1"/>
      <w:marLeft w:val="0"/>
      <w:marRight w:val="0"/>
      <w:marTop w:val="0"/>
      <w:marBottom w:val="0"/>
      <w:divBdr>
        <w:top w:val="none" w:sz="0" w:space="0" w:color="auto"/>
        <w:left w:val="none" w:sz="0" w:space="0" w:color="auto"/>
        <w:bottom w:val="none" w:sz="0" w:space="0" w:color="auto"/>
        <w:right w:val="none" w:sz="0" w:space="0" w:color="auto"/>
      </w:divBdr>
    </w:div>
    <w:div w:id="1607346482">
      <w:bodyDiv w:val="1"/>
      <w:marLeft w:val="0"/>
      <w:marRight w:val="0"/>
      <w:marTop w:val="0"/>
      <w:marBottom w:val="0"/>
      <w:divBdr>
        <w:top w:val="none" w:sz="0" w:space="0" w:color="auto"/>
        <w:left w:val="none" w:sz="0" w:space="0" w:color="auto"/>
        <w:bottom w:val="none" w:sz="0" w:space="0" w:color="auto"/>
        <w:right w:val="none" w:sz="0" w:space="0" w:color="auto"/>
      </w:divBdr>
    </w:div>
    <w:div w:id="1655571928">
      <w:bodyDiv w:val="1"/>
      <w:marLeft w:val="0"/>
      <w:marRight w:val="0"/>
      <w:marTop w:val="0"/>
      <w:marBottom w:val="0"/>
      <w:divBdr>
        <w:top w:val="none" w:sz="0" w:space="0" w:color="auto"/>
        <w:left w:val="none" w:sz="0" w:space="0" w:color="auto"/>
        <w:bottom w:val="none" w:sz="0" w:space="0" w:color="auto"/>
        <w:right w:val="none" w:sz="0" w:space="0" w:color="auto"/>
      </w:divBdr>
    </w:div>
    <w:div w:id="1666205401">
      <w:bodyDiv w:val="1"/>
      <w:marLeft w:val="0"/>
      <w:marRight w:val="0"/>
      <w:marTop w:val="0"/>
      <w:marBottom w:val="0"/>
      <w:divBdr>
        <w:top w:val="none" w:sz="0" w:space="0" w:color="auto"/>
        <w:left w:val="none" w:sz="0" w:space="0" w:color="auto"/>
        <w:bottom w:val="none" w:sz="0" w:space="0" w:color="auto"/>
        <w:right w:val="none" w:sz="0" w:space="0" w:color="auto"/>
      </w:divBdr>
    </w:div>
    <w:div w:id="1675302362">
      <w:bodyDiv w:val="1"/>
      <w:marLeft w:val="0"/>
      <w:marRight w:val="0"/>
      <w:marTop w:val="0"/>
      <w:marBottom w:val="0"/>
      <w:divBdr>
        <w:top w:val="none" w:sz="0" w:space="0" w:color="auto"/>
        <w:left w:val="none" w:sz="0" w:space="0" w:color="auto"/>
        <w:bottom w:val="none" w:sz="0" w:space="0" w:color="auto"/>
        <w:right w:val="none" w:sz="0" w:space="0" w:color="auto"/>
      </w:divBdr>
    </w:div>
    <w:div w:id="1849558035">
      <w:bodyDiv w:val="1"/>
      <w:marLeft w:val="0"/>
      <w:marRight w:val="0"/>
      <w:marTop w:val="0"/>
      <w:marBottom w:val="0"/>
      <w:divBdr>
        <w:top w:val="none" w:sz="0" w:space="0" w:color="auto"/>
        <w:left w:val="none" w:sz="0" w:space="0" w:color="auto"/>
        <w:bottom w:val="none" w:sz="0" w:space="0" w:color="auto"/>
        <w:right w:val="none" w:sz="0" w:space="0" w:color="auto"/>
      </w:divBdr>
    </w:div>
    <w:div w:id="1857886194">
      <w:bodyDiv w:val="1"/>
      <w:marLeft w:val="0"/>
      <w:marRight w:val="0"/>
      <w:marTop w:val="0"/>
      <w:marBottom w:val="0"/>
      <w:divBdr>
        <w:top w:val="none" w:sz="0" w:space="0" w:color="auto"/>
        <w:left w:val="none" w:sz="0" w:space="0" w:color="auto"/>
        <w:bottom w:val="none" w:sz="0" w:space="0" w:color="auto"/>
        <w:right w:val="none" w:sz="0" w:space="0" w:color="auto"/>
      </w:divBdr>
    </w:div>
    <w:div w:id="1864123045">
      <w:bodyDiv w:val="1"/>
      <w:marLeft w:val="0"/>
      <w:marRight w:val="0"/>
      <w:marTop w:val="0"/>
      <w:marBottom w:val="0"/>
      <w:divBdr>
        <w:top w:val="none" w:sz="0" w:space="0" w:color="auto"/>
        <w:left w:val="none" w:sz="0" w:space="0" w:color="auto"/>
        <w:bottom w:val="none" w:sz="0" w:space="0" w:color="auto"/>
        <w:right w:val="none" w:sz="0" w:space="0" w:color="auto"/>
      </w:divBdr>
    </w:div>
    <w:div w:id="1993481043">
      <w:bodyDiv w:val="1"/>
      <w:marLeft w:val="0"/>
      <w:marRight w:val="0"/>
      <w:marTop w:val="0"/>
      <w:marBottom w:val="0"/>
      <w:divBdr>
        <w:top w:val="none" w:sz="0" w:space="0" w:color="auto"/>
        <w:left w:val="none" w:sz="0" w:space="0" w:color="auto"/>
        <w:bottom w:val="none" w:sz="0" w:space="0" w:color="auto"/>
        <w:right w:val="none" w:sz="0" w:space="0" w:color="auto"/>
      </w:divBdr>
    </w:div>
    <w:div w:id="2038848067">
      <w:bodyDiv w:val="1"/>
      <w:marLeft w:val="0"/>
      <w:marRight w:val="0"/>
      <w:marTop w:val="0"/>
      <w:marBottom w:val="0"/>
      <w:divBdr>
        <w:top w:val="none" w:sz="0" w:space="0" w:color="auto"/>
        <w:left w:val="none" w:sz="0" w:space="0" w:color="auto"/>
        <w:bottom w:val="none" w:sz="0" w:space="0" w:color="auto"/>
        <w:right w:val="none" w:sz="0" w:space="0" w:color="auto"/>
      </w:divBdr>
    </w:div>
    <w:div w:id="2054888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ayoclinic.org/es/diseases-conditions/lupus/diagnosis-treatment/drc-20365790" TargetMode="External"/><Relationship Id="rId299" Type="http://schemas.openxmlformats.org/officeDocument/2006/relationships/hyperlink" Target="https://www.lupus.org/es/resources/common-diseases-that-overlap-with-lupus" TargetMode="External"/><Relationship Id="rId303" Type="http://schemas.openxmlformats.org/officeDocument/2006/relationships/hyperlink" Target="https://www.lupus.org/es/resources/common-diseases-that-overlap-with-lupus" TargetMode="External"/><Relationship Id="rId21" Type="http://schemas.openxmlformats.org/officeDocument/2006/relationships/hyperlink" Target="https://aguaysaneamiento.cndh.org.mx/Content/doc/Normatividad/Observacion15_DESC.pdf" TargetMode="External"/><Relationship Id="rId42" Type="http://schemas.openxmlformats.org/officeDocument/2006/relationships/hyperlink" Target="https://www.lupus.org/es/resources/como-afecta-el-lupus-al-corazon-y-la-circulacion" TargetMode="External"/><Relationship Id="rId63" Type="http://schemas.openxmlformats.org/officeDocument/2006/relationships/hyperlink" Target="https://www.lupus.org/" TargetMode="External"/><Relationship Id="rId84" Type="http://schemas.openxmlformats.org/officeDocument/2006/relationships/hyperlink" Target="https://www.lupus.org/es/resources/las-causas-de-muerte-mas-comunes-en-personas-con-lupus" TargetMode="External"/><Relationship Id="rId138" Type="http://schemas.openxmlformats.org/officeDocument/2006/relationships/hyperlink" Target="https://repositorioinstitucional.buap.mx/items/41a1c9a0-f16e-4565-b8d5-4d7ec1fecae7" TargetMode="External"/><Relationship Id="rId159" Type="http://schemas.openxmlformats.org/officeDocument/2006/relationships/hyperlink" Target="https://reumatologia.org.mx/encuentra-reumatologo/" TargetMode="External"/><Relationship Id="rId324" Type="http://schemas.openxmlformats.org/officeDocument/2006/relationships/hyperlink" Target="https://legislacion.edomex.gob.mx/sites/legislacion.edomex.gob.mx/files/files/pdf/gct/2022/junio/jun281/jun281a.pdf" TargetMode="External"/><Relationship Id="rId170" Type="http://schemas.openxmlformats.org/officeDocument/2006/relationships/hyperlink" Target="https://www.gob.mx/conapo/documentos/proyecciones-de-la-poblacion-de-mexico-y-de-las-entidades-federativas-2020-2070" TargetMode="External"/><Relationship Id="rId191" Type="http://schemas.openxmlformats.org/officeDocument/2006/relationships/hyperlink" Target="https://www.gob.mx/conapo/documentos/proyecciones-de-la-poblacion-de-mexico-y-de-las-entidades-federativas-2020-2070" TargetMode="External"/><Relationship Id="rId205" Type="http://schemas.openxmlformats.org/officeDocument/2006/relationships/hyperlink" Target="https://www.gob.mx/salud/es/articulos/de-cada-10-personas-con-lupus-entre-siete-y-nueve-son-mujeres" TargetMode="External"/><Relationship Id="rId226" Type="http://schemas.openxmlformats.org/officeDocument/2006/relationships/hyperlink" Target="https://www.lupus.org/es/resources/datos-y-estadisticas-sobre-el-lupus" TargetMode="External"/><Relationship Id="rId247" Type="http://schemas.openxmlformats.org/officeDocument/2006/relationships/hyperlink" Target="https://www.niaid.nih.gov/diseases-conditions/autoimmune-diseases?utm_source=chatgpt.com" TargetMode="External"/><Relationship Id="rId107"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268" Type="http://schemas.openxmlformats.org/officeDocument/2006/relationships/hyperlink" Target="https://www.lupusresearch.org/en-espanol/acerca-del-lupus/sintomas-comunes-del-lupus/" TargetMode="External"/><Relationship Id="rId289" Type="http://schemas.openxmlformats.org/officeDocument/2006/relationships/hyperlink" Target="https://autoimmune.org/es/disease-information/" TargetMode="External"/><Relationship Id="rId11" Type="http://schemas.openxmlformats.org/officeDocument/2006/relationships/image" Target="media/image4.jpeg"/><Relationship Id="rId32" Type="http://schemas.openxmlformats.org/officeDocument/2006/relationships/image" Target="media/image7.jpg"/><Relationship Id="rId53" Type="http://schemas.openxmlformats.org/officeDocument/2006/relationships/hyperlink" Target="https://lupusrgmx.liigh.unam.mx/" TargetMode="External"/><Relationship Id="rId74" Type="http://schemas.openxmlformats.org/officeDocument/2006/relationships/hyperlink" Target="https://www.lupus.org/es/resources/las-causas-de-muerte-mas-comunes-en-personas-con-lupus" TargetMode="External"/><Relationship Id="rId128" Type="http://schemas.openxmlformats.org/officeDocument/2006/relationships/hyperlink" Target="https://www.acleg.org/origenes-del-dia-mundial-del-lupus/" TargetMode="External"/><Relationship Id="rId149" Type="http://schemas.openxmlformats.org/officeDocument/2006/relationships/hyperlink" Target="https://repositorioinstitucional.buap.mx/items/41a1c9a0-f16e-4565-b8d5-4d7ec1fecae7" TargetMode="External"/><Relationship Id="rId314" Type="http://schemas.openxmlformats.org/officeDocument/2006/relationships/hyperlink" Target="https://repositorioinstitucional.buap.mx/items/41a1c9a0-f16e-4565-b8d5-4d7ec1fecae7" TargetMode="External"/><Relationship Id="rId5" Type="http://schemas.openxmlformats.org/officeDocument/2006/relationships/webSettings" Target="webSettings.xml"/><Relationship Id="rId95"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60" Type="http://schemas.openxmlformats.org/officeDocument/2006/relationships/hyperlink" Target="https://reumatologia.org.mx/directorio/" TargetMode="External"/><Relationship Id="rId181" Type="http://schemas.openxmlformats.org/officeDocument/2006/relationships/hyperlink" Target="https://www.gob.mx/conapo/documentos/proyecciones-de-la-poblacion-de-mexico-y-de-las-entidades-federativas-2020-2070" TargetMode="External"/><Relationship Id="rId216" Type="http://schemas.openxmlformats.org/officeDocument/2006/relationships/hyperlink" Target="https://www.gob.mx/salud/es/articulos/de-cada-10-personas-con-lupus-entre-siete-y-nueve-son-mujeres" TargetMode="External"/><Relationship Id="rId237" Type="http://schemas.openxmlformats.org/officeDocument/2006/relationships/hyperlink" Target="https://www.mayoclinic.org/es/departments-centers/lupus-clinic/overview/ovc-20477808" TargetMode="External"/><Relationship Id="rId258" Type="http://schemas.openxmlformats.org/officeDocument/2006/relationships/hyperlink" Target="https://www.lupusresearch.org/en-espanol/acerca-del-lupus/sintomas-comunes-del-lupus/" TargetMode="External"/><Relationship Id="rId279" Type="http://schemas.openxmlformats.org/officeDocument/2006/relationships/hyperlink" Target="https://espanol.arthritis.org/diseases/more-about/fibromyalgia%2C-lupus%2C-or-both" TargetMode="External"/><Relationship Id="rId22" Type="http://schemas.openxmlformats.org/officeDocument/2006/relationships/hyperlink" Target="https://imco.org.mx/situacion-del-agua-enmexico/" TargetMode="External"/><Relationship Id="rId43" Type="http://schemas.openxmlformats.org/officeDocument/2006/relationships/hyperlink" Target="https://www.lupus.org/es/resources/como-afecta-el-lupus-al-corazon-y-la-circulacion" TargetMode="External"/><Relationship Id="rId64" Type="http://schemas.openxmlformats.org/officeDocument/2006/relationships/hyperlink" Target="https://www.mayoclinic.org/es/diseases-conditions/lupus/symptoms-causes%20/syc-20365789" TargetMode="External"/><Relationship Id="rId118" Type="http://schemas.openxmlformats.org/officeDocument/2006/relationships/hyperlink" Target="https://www.mayoclinic.org/es/diseases-conditions/lupus/diagnosis-treatment/drc-20365790" TargetMode="External"/><Relationship Id="rId139" Type="http://schemas.openxmlformats.org/officeDocument/2006/relationships/hyperlink" Target="https://repositorioinstitucional.buap.mx/items/41a1c9a0-f16e-4565-b8d5-4d7ec1fecae7" TargetMode="External"/><Relationship Id="rId290" Type="http://schemas.openxmlformats.org/officeDocument/2006/relationships/hyperlink" Target="https://autoimmune.org/es/disease-information/" TargetMode="External"/><Relationship Id="rId304" Type="http://schemas.openxmlformats.org/officeDocument/2006/relationships/hyperlink" Target="https://www.lupus.org/es/resources/common-diseases-that-overlap-with-lupus" TargetMode="External"/><Relationship Id="rId325" Type="http://schemas.openxmlformats.org/officeDocument/2006/relationships/footer" Target="footer1.xml"/><Relationship Id="rId85"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50" Type="http://schemas.openxmlformats.org/officeDocument/2006/relationships/hyperlink" Target="https://repositorioinstitucional.buap.mx/items/41a1c9a0-f16e-4565-b8d5-4d7ec1fecae7" TargetMode="External"/><Relationship Id="rId171" Type="http://schemas.openxmlformats.org/officeDocument/2006/relationships/hyperlink" Target="https://www.gob.mx/conapo/documentos/proyecciones-de-la-poblacion-de-mexico-y-de-las-entidades-federativas-2020-2070" TargetMode="External"/><Relationship Id="rId192" Type="http://schemas.openxmlformats.org/officeDocument/2006/relationships/hyperlink" Target="https://www.gob.mx/conapo/documentos/proyecciones-de-la-poblacion-de-mexico-y-de-las-entidades-federativas-2020-2070" TargetMode="External"/><Relationship Id="rId206" Type="http://schemas.openxmlformats.org/officeDocument/2006/relationships/hyperlink" Target="https://www.gob.mx/salud/es/articulos/de-cada-10-personas-con-lupus-entre-siete-y-nueve-son-mujeres" TargetMode="External"/><Relationship Id="rId227" Type="http://schemas.openxmlformats.org/officeDocument/2006/relationships/hyperlink" Target="https://www.lupus.org/es/resources/datos-y-estadisticas-sobre-el-lupus" TargetMode="External"/><Relationship Id="rId248" Type="http://schemas.openxmlformats.org/officeDocument/2006/relationships/hyperlink" Target="https://www.niaid.nih.gov/diseases-conditions/autoimmune-diseases?utm_source=chatgpt.com" TargetMode="External"/><Relationship Id="rId269" Type="http://schemas.openxmlformats.org/officeDocument/2006/relationships/hyperlink" Target="https://www.mayoclinic.org/es/diseases-conditions/fibromyalgia/symptoms-causes/syc-20354780" TargetMode="External"/><Relationship Id="rId12" Type="http://schemas.openxmlformats.org/officeDocument/2006/relationships/image" Target="media/image5.jpeg"/><Relationship Id="rId33" Type="http://schemas.openxmlformats.org/officeDocument/2006/relationships/image" Target="media/image8.jpg"/><Relationship Id="rId108"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9" Type="http://schemas.openxmlformats.org/officeDocument/2006/relationships/hyperlink" Target="https://www.acleg.org/origenes-del-dia-mundial-del-lupus/" TargetMode="External"/><Relationship Id="rId280" Type="http://schemas.openxmlformats.org/officeDocument/2006/relationships/hyperlink" Target="https://espanol.arthritis.org/diseases/more-about/fibromyalgia%2C-lupus%2C-or-both" TargetMode="External"/><Relationship Id="rId315" Type="http://schemas.openxmlformats.org/officeDocument/2006/relationships/image" Target="media/image15.jpg"/><Relationship Id="rId54" Type="http://schemas.openxmlformats.org/officeDocument/2006/relationships/hyperlink" Target="https://cetlu.com.mx/articulos/08-entrevista/" TargetMode="External"/><Relationship Id="rId75" Type="http://schemas.openxmlformats.org/officeDocument/2006/relationships/hyperlink" Target="https://www.lupus.org/es/resources/las-causas-de-muerte-mas-comunes-en-personas-con-lupus" TargetMode="External"/><Relationship Id="rId96"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40" Type="http://schemas.openxmlformats.org/officeDocument/2006/relationships/hyperlink" Target="https://repositorioinstitucional.buap.mx/items/41a1c9a0-f16e-4565-b8d5-4d7ec1fecae7" TargetMode="External"/><Relationship Id="rId161" Type="http://schemas.openxmlformats.org/officeDocument/2006/relationships/hyperlink" Target="https://reumatologia.org.mx/directorio/" TargetMode="External"/><Relationship Id="rId182" Type="http://schemas.openxmlformats.org/officeDocument/2006/relationships/hyperlink" Target="https://www.gob.mx/conapo/documentos/proyecciones-de-la-poblacion-de-mexico-y-de-las-entidades-federativas-2020-2070" TargetMode="External"/><Relationship Id="rId217" Type="http://schemas.openxmlformats.org/officeDocument/2006/relationships/hyperlink" Target="https://www.gob.mx/salud/es/articulos/de-cada-10-personas-con-lupus-entre-siete-y-nueve-son-mujeres" TargetMode="External"/><Relationship Id="rId6" Type="http://schemas.openxmlformats.org/officeDocument/2006/relationships/footnotes" Target="footnotes.xml"/><Relationship Id="rId238" Type="http://schemas.openxmlformats.org/officeDocument/2006/relationships/hyperlink" Target="https://www.mayoclinic.org/es/departments-centers/lupus-clinic/overview/ovc-20477808" TargetMode="External"/><Relationship Id="rId259" Type="http://schemas.openxmlformats.org/officeDocument/2006/relationships/hyperlink" Target="https://www.lupusresearch.org/en-espanol/acerca-del-lupus/sintomas-comunes-del-lupus/" TargetMode="External"/><Relationship Id="rId23" Type="http://schemas.openxmlformats.org/officeDocument/2006/relationships/hyperlink" Target="https://caem.edomex.gob.mx/sites/caem.edomex.gob.mx/files/Documentacion/PH/PHIEM20242029.pdf" TargetMode="External"/><Relationship Id="rId119" Type="http://schemas.openxmlformats.org/officeDocument/2006/relationships/hyperlink" Target="https://apps.who.int/iris/bitstream/handle/10665/39682/9243208160_spa.pdf" TargetMode="External"/><Relationship Id="rId270" Type="http://schemas.openxmlformats.org/officeDocument/2006/relationships/hyperlink" Target="https://www.mayoclinic.org/es/diseases-conditions/fibromyalgia/symptoms-causes/syc-20354780" TargetMode="External"/><Relationship Id="rId291" Type="http://schemas.openxmlformats.org/officeDocument/2006/relationships/hyperlink" Target="https://autoimmune.org/es/disease-information/" TargetMode="External"/><Relationship Id="rId305" Type="http://schemas.openxmlformats.org/officeDocument/2006/relationships/hyperlink" Target="https://repositorioinstitucional.buap.mx/items/41a1c9a0-f16e-4565-b8d5-4d7ec1fecae7" TargetMode="External"/><Relationship Id="rId326" Type="http://schemas.openxmlformats.org/officeDocument/2006/relationships/fontTable" Target="fontTable.xml"/><Relationship Id="rId44" Type="http://schemas.openxmlformats.org/officeDocument/2006/relationships/hyperlink" Target="https://www.lupus.org/es/resources/como-afecta-el-lupus-al-sistema-renal-los-rinones" TargetMode="External"/><Relationship Id="rId65" Type="http://schemas.openxmlformats.org/officeDocument/2006/relationships/hyperlink" Target="https://www.lupus.org/es/resources/las-causas-de-muerte-mas-comunes-en-personas-con-lupus" TargetMode="External"/><Relationship Id="rId86"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30" Type="http://schemas.openxmlformats.org/officeDocument/2006/relationships/hyperlink" Target="https://www.acleg.org/origenes-del-dia-mundial-del-lupus/" TargetMode="External"/><Relationship Id="rId151" Type="http://schemas.openxmlformats.org/officeDocument/2006/relationships/hyperlink" Target="https://repositorioinstitucional.buap.mx/items/41a1c9a0-f16e-4565-b8d5-4d7ec1fecae7" TargetMode="External"/><Relationship Id="rId172" Type="http://schemas.openxmlformats.org/officeDocument/2006/relationships/hyperlink" Target="https://www.gob.mx/conapo/documentos/proyecciones-de-la-poblacion-de-mexico-y-de-las-entidades-federativas-2020-2070" TargetMode="External"/><Relationship Id="rId193" Type="http://schemas.openxmlformats.org/officeDocument/2006/relationships/hyperlink" Target="https://www.gob.mx/conapo/documentos/proyecciones-de-la-poblacion-de-mexico-y-de-las-entidades-federativas-2020-2070" TargetMode="External"/><Relationship Id="rId207" Type="http://schemas.openxmlformats.org/officeDocument/2006/relationships/hyperlink" Target="https://www.gob.mx/salud/es/articulos/de-cada-10-personas-con-lupus-entre-siete-y-nueve-son-mujeres" TargetMode="External"/><Relationship Id="rId228" Type="http://schemas.openxmlformats.org/officeDocument/2006/relationships/hyperlink" Target="https://www.lupus.org/es/resources/datos-y-estadisticas-sobre-el-lupus" TargetMode="External"/><Relationship Id="rId249" Type="http://schemas.openxmlformats.org/officeDocument/2006/relationships/hyperlink" Target="https://doi.org/10.3389/fimmu.2023.1267091" TargetMode="External"/><Relationship Id="rId13" Type="http://schemas.openxmlformats.org/officeDocument/2006/relationships/hyperlink" Target="https://www.scjn.gob.mx/tusderechos-tufortaleza/pdf/personas_adultas/protocolo-para-juzgar-con-perspectiva-de-infancia.pdf" TargetMode="External"/><Relationship Id="rId109"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260" Type="http://schemas.openxmlformats.org/officeDocument/2006/relationships/hyperlink" Target="https://www.lupusresearch.org/en-espanol/acerca-del-lupus/sintomas-comunes-del-lupus/" TargetMode="External"/><Relationship Id="rId281" Type="http://schemas.openxmlformats.org/officeDocument/2006/relationships/hyperlink" Target="https://espanol.arthritis.org/diseases/more-about/fibromyalgia%2C-lupus%2C-or-both" TargetMode="External"/><Relationship Id="rId316" Type="http://schemas.openxmlformats.org/officeDocument/2006/relationships/hyperlink" Target="https://www.undp.org/es/publicaciones/sinopsis-seguridad-ciudadana" TargetMode="External"/><Relationship Id="rId34" Type="http://schemas.openxmlformats.org/officeDocument/2006/relationships/image" Target="media/image9.jpg"/><Relationship Id="rId55" Type="http://schemas.openxmlformats.org/officeDocument/2006/relationships/hyperlink" Target="https://cetlu.com.mx/articulos/08-entrevista/" TargetMode="External"/><Relationship Id="rId76" Type="http://schemas.openxmlformats.org/officeDocument/2006/relationships/hyperlink" Target="https://www.lupus.org/es/resources/las-causas-de-muerte-mas-comunes-en-personas-con-lupus" TargetMode="External"/><Relationship Id="rId97"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0" Type="http://schemas.openxmlformats.org/officeDocument/2006/relationships/hyperlink" Target="https://apps.who.int/iris/bitstream/handle/10665/39682/9243208160_spa.pdf" TargetMode="External"/><Relationship Id="rId141" Type="http://schemas.openxmlformats.org/officeDocument/2006/relationships/hyperlink" Target="https://repositorioinstitucional.buap.mx/items/41a1c9a0-f16e-4565-b8d5-4d7ec1fecae7" TargetMode="External"/><Relationship Id="rId7" Type="http://schemas.openxmlformats.org/officeDocument/2006/relationships/endnotes" Target="endnotes.xml"/><Relationship Id="rId162" Type="http://schemas.openxmlformats.org/officeDocument/2006/relationships/hyperlink" Target="https://doi.org/10.5281/zenodo.10278103" TargetMode="External"/><Relationship Id="rId183" Type="http://schemas.openxmlformats.org/officeDocument/2006/relationships/hyperlink" Target="https://www.gob.mx/conapo/documentos/proyecciones-de-la-poblacion-de-mexico-y-de-las-entidades-federativas-2020-2070" TargetMode="External"/><Relationship Id="rId218" Type="http://schemas.openxmlformats.org/officeDocument/2006/relationships/hyperlink" Target="https://www.gob.mx/salud/es/articulos/de-cada-10-personas-con-lupus-entre-siete-y-nueve-son-mujeres" TargetMode="External"/><Relationship Id="rId239" Type="http://schemas.openxmlformats.org/officeDocument/2006/relationships/hyperlink" Target="https://www.mayoclinic.org/es/departments-centers/lupus-clinic/overview/ovc-20477808" TargetMode="External"/><Relationship Id="rId250" Type="http://schemas.openxmlformats.org/officeDocument/2006/relationships/hyperlink" Target="https://doi.org/10.3389/fimmu.2023.1267091" TargetMode="External"/><Relationship Id="rId271" Type="http://schemas.openxmlformats.org/officeDocument/2006/relationships/hyperlink" Target="https://www.mayoclinic.org/es/diseases-conditions/fibromyalgia/symptoms-causes/syc-20354780" TargetMode="External"/><Relationship Id="rId292" Type="http://schemas.openxmlformats.org/officeDocument/2006/relationships/hyperlink" Target="https://autoimmune.org/es/disease-information/" TargetMode="External"/><Relationship Id="rId306" Type="http://schemas.openxmlformats.org/officeDocument/2006/relationships/hyperlink" Target="https://repositorioinstitucional.buap.mx/items/41a1c9a0-f16e-4565-b8d5-4d7ec1fecae7" TargetMode="External"/><Relationship Id="rId24" Type="http://schemas.openxmlformats.org/officeDocument/2006/relationships/hyperlink" Target="https://cieps.edomex.gob.mx/" TargetMode="External"/><Relationship Id="rId45" Type="http://schemas.openxmlformats.org/officeDocument/2006/relationships/hyperlink" Target="https://www.lupus.org/es/resources/como-afecta-el-lupus-al-sistema-renal-los-rinones" TargetMode="External"/><Relationship Id="rId66" Type="http://schemas.openxmlformats.org/officeDocument/2006/relationships/hyperlink" Target="https://www.lupus.org/es/resources/las-causas-de-muerte-mas-comunes-en-personas-con-lupus" TargetMode="External"/><Relationship Id="rId87"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10"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31" Type="http://schemas.openxmlformats.org/officeDocument/2006/relationships/hyperlink" Target="https://www.acleg.org/origenes-del-dia-mundial-del-lupus/" TargetMode="External"/><Relationship Id="rId327" Type="http://schemas.openxmlformats.org/officeDocument/2006/relationships/theme" Target="theme/theme1.xml"/><Relationship Id="rId152" Type="http://schemas.openxmlformats.org/officeDocument/2006/relationships/hyperlink" Target="https://repositorioinstitucional.buap.mx/items/41a1c9a0-f16e-4565-b8d5-4d7ec1fecae7" TargetMode="External"/><Relationship Id="rId173" Type="http://schemas.openxmlformats.org/officeDocument/2006/relationships/hyperlink" Target="https://www.gob.mx/conapo/documentos/proyecciones-de-la-poblacion-de-mexico-y-de-las-entidades-federativas-2020-2070" TargetMode="External"/><Relationship Id="rId194" Type="http://schemas.openxmlformats.org/officeDocument/2006/relationships/hyperlink" Target="https://doi.org/10.5281/zenodo.10278103" TargetMode="External"/><Relationship Id="rId208" Type="http://schemas.openxmlformats.org/officeDocument/2006/relationships/hyperlink" Target="https://www.gob.mx/salud/es/articulos/de-cada-10-personas-con-lupus-entre-siete-y-nueve-son-mujeres" TargetMode="External"/><Relationship Id="rId229" Type="http://schemas.openxmlformats.org/officeDocument/2006/relationships/hyperlink" Target="https://www.lupus.org/es/resources/datos-y-estadisticas-sobre-el-lupus" TargetMode="External"/><Relationship Id="rId240" Type="http://schemas.openxmlformats.org/officeDocument/2006/relationships/hyperlink" Target="https://www.mayoclinic.org/es/departments-centers/lupus-clinic/overview/ovc-20477808" TargetMode="External"/><Relationship Id="rId261" Type="http://schemas.openxmlformats.org/officeDocument/2006/relationships/hyperlink" Target="https://www.lupusresearch.org/en-espanol/acerca-del-lupus/sintomas-comunes-del-lupus/" TargetMode="External"/><Relationship Id="rId14" Type="http://schemas.openxmlformats.org/officeDocument/2006/relationships/hyperlink" Target="https://congresoags.gob.mx/agenda_legislativa/leyes/descargarPdf/474" TargetMode="External"/><Relationship Id="rId30" Type="http://schemas.openxmlformats.org/officeDocument/2006/relationships/hyperlink" Target="https://transparenciafiscal.edomex.gob.mx/plan-desarrollo-2023-2029" TargetMode="External"/><Relationship Id="rId35" Type="http://schemas.openxmlformats.org/officeDocument/2006/relationships/image" Target="media/image10.jpg"/><Relationship Id="rId56" Type="http://schemas.openxmlformats.org/officeDocument/2006/relationships/hyperlink" Target="https://cetlu.com.mx/articulos/08-entrevista/" TargetMode="External"/><Relationship Id="rId77" Type="http://schemas.openxmlformats.org/officeDocument/2006/relationships/hyperlink" Target="https://www.lupus.org/es/resources/las-causas-de-muerte-mas-comunes-en-personas-con-lupus" TargetMode="External"/><Relationship Id="rId100"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05"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6" Type="http://schemas.openxmlformats.org/officeDocument/2006/relationships/hyperlink" Target="https://www.acleg.org/origenes-del-dia-mundial-del-lupus/" TargetMode="External"/><Relationship Id="rId147" Type="http://schemas.openxmlformats.org/officeDocument/2006/relationships/hyperlink" Target="https://repositorioinstitucional.buap.mx/items/41a1c9a0-f16e-4565-b8d5-4d7ec1fecae7" TargetMode="External"/><Relationship Id="rId168" Type="http://schemas.openxmlformats.org/officeDocument/2006/relationships/hyperlink" Target="https://www.gob.mx/conapo/documentos/proyecciones-de-la-poblacion-de-mexico-y-de-las-entidades-federativas-2020-2070" TargetMode="External"/><Relationship Id="rId282" Type="http://schemas.openxmlformats.org/officeDocument/2006/relationships/hyperlink" Target="https://espanol.arthritis.org/diseases/more-about/fibromyalgia%2C-lupus%2C-or-both" TargetMode="External"/><Relationship Id="rId312" Type="http://schemas.openxmlformats.org/officeDocument/2006/relationships/hyperlink" Target="https://repositorioinstitucional.buap.mx/items/41a1c9a0-f16e-4565-b8d5-4d7ec1fecae7" TargetMode="External"/><Relationship Id="rId317" Type="http://schemas.openxmlformats.org/officeDocument/2006/relationships/hyperlink" Target="https://www.inegi.org.mx/contenidos/programas/ensu/doc/ensu2026_junio_presentacion_ejecutiva.pdf" TargetMode="External"/><Relationship Id="rId8" Type="http://schemas.openxmlformats.org/officeDocument/2006/relationships/image" Target="media/image1.jpg"/><Relationship Id="rId51" Type="http://schemas.openxmlformats.org/officeDocument/2006/relationships/image" Target="media/image14.jpg"/><Relationship Id="rId72" Type="http://schemas.openxmlformats.org/officeDocument/2006/relationships/hyperlink" Target="https://www.lupus.org/es/resources/las-causas-de-muerte-mas-comunes-en-personas-con-lupus" TargetMode="External"/><Relationship Id="rId93"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98"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1" Type="http://schemas.openxmlformats.org/officeDocument/2006/relationships/hyperlink" Target="https://www.acleg.org/origenes-del-dia-mundial-del-lupus/" TargetMode="External"/><Relationship Id="rId142" Type="http://schemas.openxmlformats.org/officeDocument/2006/relationships/hyperlink" Target="https://repositorioinstitucional.buap.mx/items/41a1c9a0-f16e-4565-b8d5-4d7ec1fecae7" TargetMode="External"/><Relationship Id="rId163" Type="http://schemas.openxmlformats.org/officeDocument/2006/relationships/hyperlink" Target="https://doi.org/10.5281/zenodo.10278103" TargetMode="External"/><Relationship Id="rId184" Type="http://schemas.openxmlformats.org/officeDocument/2006/relationships/hyperlink" Target="https://www.gob.mx/conapo/documentos/proyecciones-de-la-poblacion-de-mexico-y-de-las-entidades-federativas-2020-2070" TargetMode="External"/><Relationship Id="rId189" Type="http://schemas.openxmlformats.org/officeDocument/2006/relationships/hyperlink" Target="https://www.gob.mx/conapo/documentos/proyecciones-de-la-poblacion-de-mexico-y-de-las-entidades-federativas-2020-2070" TargetMode="External"/><Relationship Id="rId219" Type="http://schemas.openxmlformats.org/officeDocument/2006/relationships/hyperlink" Target="https://www.gob.mx/salud/es/articulos/de-cada-10-personas-con-lupus-entre-siete-y-nueve-son-mujeres" TargetMode="External"/><Relationship Id="rId3" Type="http://schemas.openxmlformats.org/officeDocument/2006/relationships/styles" Target="styles.xml"/><Relationship Id="rId214" Type="http://schemas.openxmlformats.org/officeDocument/2006/relationships/hyperlink" Target="https://www.gob.mx/salud/es/articulos/de-cada-10-personas-con-lupus-entre-siete-y-nueve-son-mujeres" TargetMode="External"/><Relationship Id="rId230" Type="http://schemas.openxmlformats.org/officeDocument/2006/relationships/hyperlink" Target="https://www.lupus.org/es/resources/datos-y-estadisticas-sobre-el-lupus" TargetMode="External"/><Relationship Id="rId235" Type="http://schemas.openxmlformats.org/officeDocument/2006/relationships/hyperlink" Target="https://www.mayoclinic.org/es/departments-centers/lupus-clinic/overview/ovc-20477808" TargetMode="External"/><Relationship Id="rId251" Type="http://schemas.openxmlformats.org/officeDocument/2006/relationships/hyperlink" Target="https://doi.org/10.1097/BOR.0000000000000854" TargetMode="External"/><Relationship Id="rId256" Type="http://schemas.openxmlformats.org/officeDocument/2006/relationships/hyperlink" Target="https://www.lupusresearch.org/en-espanol/acerca-del-lupus/sintomas-comunes-del-lupus/" TargetMode="External"/><Relationship Id="rId277" Type="http://schemas.openxmlformats.org/officeDocument/2006/relationships/hyperlink" Target="https://espanol.arthritis.org/diseases/more-about/fibromyalgia%2C-lupus%2C-or-both" TargetMode="External"/><Relationship Id="rId298" Type="http://schemas.openxmlformats.org/officeDocument/2006/relationships/hyperlink" Target="https://www.lupus.org/es/resources/common-diseases-that-overlap-with-lupus" TargetMode="External"/><Relationship Id="rId25" Type="http://schemas.openxmlformats.org/officeDocument/2006/relationships/hyperlink" Target="https://news.un.org/es/story/2025/10/1540606" TargetMode="External"/><Relationship Id="rId46" Type="http://schemas.openxmlformats.org/officeDocument/2006/relationships/hyperlink" Target="https://www.lupus.org/es/resources/como-afecta-el-lupus-al-sistema-renal-los-rinones" TargetMode="External"/><Relationship Id="rId67" Type="http://schemas.openxmlformats.org/officeDocument/2006/relationships/hyperlink" Target="https://www.lupus.org/es/resources/las-causas-de-muerte-mas-comunes-en-personas-con-lupus" TargetMode="External"/><Relationship Id="rId116" Type="http://schemas.openxmlformats.org/officeDocument/2006/relationships/hyperlink" Target="https://www.mayoclinic.org/es/diseases-conditions/lupus/diagnosis-treatment/drc-20365790" TargetMode="External"/><Relationship Id="rId137" Type="http://schemas.openxmlformats.org/officeDocument/2006/relationships/hyperlink" Target="https://repositorioinstitucional.buap.mx/items/41a1c9a0-f16e-4565-b8d5-4d7ec1fecae7" TargetMode="External"/><Relationship Id="rId158" Type="http://schemas.openxmlformats.org/officeDocument/2006/relationships/hyperlink" Target="https://www.senado.gob.mx/66/gaceta_del_senado/documento/145730" TargetMode="External"/><Relationship Id="rId272" Type="http://schemas.openxmlformats.org/officeDocument/2006/relationships/hyperlink" Target="https://www.mayoclinic.org/es/diseases-conditions/fibromyalgia/symptoms-causes/syc-20354780" TargetMode="External"/><Relationship Id="rId293" Type="http://schemas.openxmlformats.org/officeDocument/2006/relationships/hyperlink" Target="https://www.lupus.org/es/resources/common-diseases-that-overlap-with-lupus" TargetMode="External"/><Relationship Id="rId302" Type="http://schemas.openxmlformats.org/officeDocument/2006/relationships/hyperlink" Target="https://www.lupus.org/es/resources/common-diseases-that-overlap-with-lupus" TargetMode="External"/><Relationship Id="rId307" Type="http://schemas.openxmlformats.org/officeDocument/2006/relationships/hyperlink" Target="https://repositorioinstitucional.buap.mx/items/41a1c9a0-f16e-4565-b8d5-4d7ec1fecae7" TargetMode="External"/><Relationship Id="rId323" Type="http://schemas.openxmlformats.org/officeDocument/2006/relationships/hyperlink" Target="https://www.tijuana.gob.mx/" TargetMode="External"/><Relationship Id="rId20" Type="http://schemas.openxmlformats.org/officeDocument/2006/relationships/hyperlink" Target="https://aguaysaneamiento.cndh.org.mx/Content/doc/Normatividad/Observacion15_DESC.pdf" TargetMode="External"/><Relationship Id="rId41" Type="http://schemas.openxmlformats.org/officeDocument/2006/relationships/hyperlink" Target="https://www.lupus.org/es/resources/como-afecta-el-lupus-al-corazon-y-la-circulacion" TargetMode="External"/><Relationship Id="rId62" Type="http://schemas.openxmlformats.org/officeDocument/2006/relationships/hyperlink" Target="https://www.lupus.org/" TargetMode="External"/><Relationship Id="rId83" Type="http://schemas.openxmlformats.org/officeDocument/2006/relationships/hyperlink" Target="https://www.lupus.org/es/resources/las-causas-de-muerte-mas-comunes-en-personas-con-lupus" TargetMode="External"/><Relationship Id="rId88"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11" Type="http://schemas.openxmlformats.org/officeDocument/2006/relationships/hyperlink" Target="https://www.mayoclinic.org/es/diseases-conditions/lupus/diagnosis-treatment/drc-20365790" TargetMode="External"/><Relationship Id="rId132" Type="http://schemas.openxmlformats.org/officeDocument/2006/relationships/hyperlink" Target="https://www.acleg.org/origenes-del-dia-mundial-del-lupus/" TargetMode="External"/><Relationship Id="rId153" Type="http://schemas.openxmlformats.org/officeDocument/2006/relationships/hyperlink" Target="https://repositorioinstitucional.buap.mx/items/41a1c9a0-f16e-4565-b8d5-4d7ec1fecae7" TargetMode="External"/><Relationship Id="rId174" Type="http://schemas.openxmlformats.org/officeDocument/2006/relationships/hyperlink" Target="https://www.gob.mx/conapo/documentos/proyecciones-de-la-poblacion-de-mexico-y-de-las-entidades-federativas-2020-2070" TargetMode="External"/><Relationship Id="rId179" Type="http://schemas.openxmlformats.org/officeDocument/2006/relationships/hyperlink" Target="https://www.gob.mx/conapo/documentos/proyecciones-de-la-poblacion-de-mexico-y-de-las-entidades-federativas-2020-2070" TargetMode="External"/><Relationship Id="rId195" Type="http://schemas.openxmlformats.org/officeDocument/2006/relationships/hyperlink" Target="https://doi.org/10.5281/zenodo.10278103" TargetMode="External"/><Relationship Id="rId209" Type="http://schemas.openxmlformats.org/officeDocument/2006/relationships/hyperlink" Target="https://www.gob.mx/salud/es/articulos/de-cada-10-personas-con-lupus-entre-siete-y-nueve-son-mujeres" TargetMode="External"/><Relationship Id="rId190" Type="http://schemas.openxmlformats.org/officeDocument/2006/relationships/hyperlink" Target="https://www.gob.mx/conapo/documentos/proyecciones-de-la-poblacion-de-mexico-y-de-las-entidades-federativas-2020-2070" TargetMode="External"/><Relationship Id="rId204" Type="http://schemas.openxmlformats.org/officeDocument/2006/relationships/hyperlink" Target="https://www.gob.mx/salud/es/articulos/de-cada-10-personas-con-lupus-entre-siete-y-nueve-son-mujeres" TargetMode="External"/><Relationship Id="rId220" Type="http://schemas.openxmlformats.org/officeDocument/2006/relationships/hyperlink" Target="https://www.gob.mx/salud/es/articulos/de-cada-10-personas-con-lupus-entre-siete-y-nueve-son-mujeres" TargetMode="External"/><Relationship Id="rId225" Type="http://schemas.openxmlformats.org/officeDocument/2006/relationships/hyperlink" Target="https://www.lupus.org/es/resources/datos-y-estadisticas-sobre-el-lupus" TargetMode="External"/><Relationship Id="rId241" Type="http://schemas.openxmlformats.org/officeDocument/2006/relationships/hyperlink" Target="https://www.mayoclinic.org/es/departments-centers/lupus-clinic/overview/ovc-20477808" TargetMode="External"/><Relationship Id="rId246" Type="http://schemas.openxmlformats.org/officeDocument/2006/relationships/hyperlink" Target="https://www.niaid.nih.gov/diseases-conditions/autoimmune-diseases?utm_source=chatgpt.com" TargetMode="External"/><Relationship Id="rId267" Type="http://schemas.openxmlformats.org/officeDocument/2006/relationships/hyperlink" Target="https://www.lupusresearch.org/en-espanol/acerca-del-lupus/sintomas-comunes-del-lupus/" TargetMode="External"/><Relationship Id="rId288" Type="http://schemas.openxmlformats.org/officeDocument/2006/relationships/hyperlink" Target="https://www.imss.gob.mx/prensa/archivo/201905/115" TargetMode="External"/><Relationship Id="rId15" Type="http://schemas.openxmlformats.org/officeDocument/2006/relationships/hyperlink" Target="https://congresocol.gob.mx/web/www/leyes/index.php" TargetMode="External"/><Relationship Id="rId36" Type="http://schemas.openxmlformats.org/officeDocument/2006/relationships/image" Target="media/image11.jpg"/><Relationship Id="rId57" Type="http://schemas.openxmlformats.org/officeDocument/2006/relationships/hyperlink" Target="https://cetlu.com.mx/articulos/08-entrevista/" TargetMode="External"/><Relationship Id="rId106"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7" Type="http://schemas.openxmlformats.org/officeDocument/2006/relationships/hyperlink" Target="https://www.acleg.org/origenes-del-dia-mundial-del-lupus/" TargetMode="External"/><Relationship Id="rId262" Type="http://schemas.openxmlformats.org/officeDocument/2006/relationships/hyperlink" Target="https://www.lupusresearch.org/en-espanol/acerca-del-lupus/sintomas-comunes-del-lupus/" TargetMode="External"/><Relationship Id="rId283" Type="http://schemas.openxmlformats.org/officeDocument/2006/relationships/hyperlink" Target="https://espanol.arthritis.org/diseases/more-about/fibromyalgia%2C-lupus%2C-or-both" TargetMode="External"/><Relationship Id="rId313" Type="http://schemas.openxmlformats.org/officeDocument/2006/relationships/hyperlink" Target="https://repositorioinstitucional.buap.mx/items/41a1c9a0-f16e-4565-b8d5-4d7ec1fecae7" TargetMode="External"/><Relationship Id="rId318" Type="http://schemas.openxmlformats.org/officeDocument/2006/relationships/hyperlink" Target="https://www.inegi.org.mx/programas/encig/2025/" TargetMode="External"/><Relationship Id="rId10" Type="http://schemas.openxmlformats.org/officeDocument/2006/relationships/image" Target="media/image3.jpg"/><Relationship Id="rId31" Type="http://schemas.openxmlformats.org/officeDocument/2006/relationships/hyperlink" Target="https://www2.scjn.gob.mx/juridica/engroses/3/2024/19/3_334416_7137_firmado.pdf" TargetMode="External"/><Relationship Id="rId52" Type="http://schemas.openxmlformats.org/officeDocument/2006/relationships/hyperlink" Target="https://lupusrgmx.liigh.unam.mx/" TargetMode="External"/><Relationship Id="rId73" Type="http://schemas.openxmlformats.org/officeDocument/2006/relationships/hyperlink" Target="https://www.lupus.org/es/resources/las-causas-de-muerte-mas-comunes-en-personas-con-lupus" TargetMode="External"/><Relationship Id="rId78" Type="http://schemas.openxmlformats.org/officeDocument/2006/relationships/hyperlink" Target="https://www.lupus.org/es/resources/las-causas-de-muerte-mas-comunes-en-personas-con-lupus" TargetMode="External"/><Relationship Id="rId94"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99"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01"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2" Type="http://schemas.openxmlformats.org/officeDocument/2006/relationships/hyperlink" Target="https://www.acleg.org/origenes-del-dia-mundial-del-lupus/" TargetMode="External"/><Relationship Id="rId143" Type="http://schemas.openxmlformats.org/officeDocument/2006/relationships/hyperlink" Target="https://lupusrgmx.liigh.unam.mx/" TargetMode="External"/><Relationship Id="rId148" Type="http://schemas.openxmlformats.org/officeDocument/2006/relationships/hyperlink" Target="https://repositorioinstitucional.buap.mx/items/41a1c9a0-f16e-4565-b8d5-4d7ec1fecae7" TargetMode="External"/><Relationship Id="rId164" Type="http://schemas.openxmlformats.org/officeDocument/2006/relationships/hyperlink" Target="https://doi.org/10.5281/zenodo.10278103" TargetMode="External"/><Relationship Id="rId169" Type="http://schemas.openxmlformats.org/officeDocument/2006/relationships/hyperlink" Target="https://www.gob.mx/conapo/documentos/proyecciones-de-la-poblacion-de-mexico-y-de-las-entidades-federativas-2020-2070" TargetMode="External"/><Relationship Id="rId185" Type="http://schemas.openxmlformats.org/officeDocument/2006/relationships/hyperlink" Target="https://www.gob.mx/conapo/documentos/proyecciones-de-la-poblacion-de-mexico-y-de-las-entidades-federativas-2020-2070" TargetMode="External"/><Relationship Id="rId4" Type="http://schemas.openxmlformats.org/officeDocument/2006/relationships/settings" Target="settings.xml"/><Relationship Id="rId9" Type="http://schemas.openxmlformats.org/officeDocument/2006/relationships/image" Target="media/image2.jpg"/><Relationship Id="rId180" Type="http://schemas.openxmlformats.org/officeDocument/2006/relationships/hyperlink" Target="https://www.gob.mx/conapo/documentos/proyecciones-de-la-poblacion-de-mexico-y-de-las-entidades-federativas-2020-2070" TargetMode="External"/><Relationship Id="rId210" Type="http://schemas.openxmlformats.org/officeDocument/2006/relationships/hyperlink" Target="https://www.gob.mx/salud/es/articulos/de-cada-10-personas-con-lupus-entre-siete-y-nueve-son-mujeres" TargetMode="External"/><Relationship Id="rId215" Type="http://schemas.openxmlformats.org/officeDocument/2006/relationships/hyperlink" Target="https://www.gob.mx/salud/es/articulos/de-cada-10-personas-con-lupus-entre-siete-y-nueve-son-mujeres" TargetMode="External"/><Relationship Id="rId236" Type="http://schemas.openxmlformats.org/officeDocument/2006/relationships/hyperlink" Target="https://www.mayoclinic.org/es/departments-centers/lupus-clinic/overview/ovc-20477808" TargetMode="External"/><Relationship Id="rId257" Type="http://schemas.openxmlformats.org/officeDocument/2006/relationships/hyperlink" Target="https://www.lupusresearch.org/en-espanol/acerca-del-lupus/sintomas-comunes-del-lupus/" TargetMode="External"/><Relationship Id="rId278" Type="http://schemas.openxmlformats.org/officeDocument/2006/relationships/hyperlink" Target="https://espanol.arthritis.org/diseases/more-about/fibromyalgia%2C-lupus%2C-or-both" TargetMode="External"/><Relationship Id="rId26" Type="http://schemas.openxmlformats.org/officeDocument/2006/relationships/hyperlink" Target="https://openknowledge.fao.org/server/api/core/bitstreams/dee6e93-1988-4659-aa89-30dd20b43b15/content/FRA-2025/key-findings.html" TargetMode="External"/><Relationship Id="rId231" Type="http://schemas.openxmlformats.org/officeDocument/2006/relationships/hyperlink" Target="https://www.lupus.org/es/resources/datos-y-estadisticas-sobre-el-lupus" TargetMode="External"/><Relationship Id="rId252" Type="http://schemas.openxmlformats.org/officeDocument/2006/relationships/hyperlink" Target="https://doi.org/10.1097/BOR.0000000000000854" TargetMode="External"/><Relationship Id="rId273" Type="http://schemas.openxmlformats.org/officeDocument/2006/relationships/hyperlink" Target="https://www.mayoclinic.org/es/diseases-conditions/fibromyalgia/symptoms-causes/syc-20354780" TargetMode="External"/><Relationship Id="rId294" Type="http://schemas.openxmlformats.org/officeDocument/2006/relationships/hyperlink" Target="https://www.lupus.org/es/resources/common-diseases-that-overlap-with-lupus" TargetMode="External"/><Relationship Id="rId308" Type="http://schemas.openxmlformats.org/officeDocument/2006/relationships/hyperlink" Target="https://repositorioinstitucional.buap.mx/items/41a1c9a0-f16e-4565-b8d5-4d7ec1fecae7" TargetMode="External"/><Relationship Id="rId47" Type="http://schemas.openxmlformats.org/officeDocument/2006/relationships/hyperlink" Target="https://www.lupus.org/es/resources/como-afecta-el-lupus-al-sistema-nervioso" TargetMode="External"/><Relationship Id="rId68" Type="http://schemas.openxmlformats.org/officeDocument/2006/relationships/hyperlink" Target="https://www.lupus.org/es/resources/las-causas-de-muerte-mas-comunes-en-personas-con-lupus" TargetMode="External"/><Relationship Id="rId89"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12" Type="http://schemas.openxmlformats.org/officeDocument/2006/relationships/hyperlink" Target="https://www.mayoclinic.org/es/diseases-conditions/lupus/diagnosis-treatment/drc-20365790" TargetMode="External"/><Relationship Id="rId133" Type="http://schemas.openxmlformats.org/officeDocument/2006/relationships/hyperlink" Target="https://repositorioinstitucional.buap.mx/items/41a1c9a0-f16e-4565-b8d5-4d7ec1fecae7" TargetMode="External"/><Relationship Id="rId154" Type="http://schemas.openxmlformats.org/officeDocument/2006/relationships/hyperlink" Target="https://repositorioinstitucional.buap.mx/items/41a1c9a0-f16e-4565-b8d5-4d7ec1fecae7" TargetMode="External"/><Relationship Id="rId175" Type="http://schemas.openxmlformats.org/officeDocument/2006/relationships/hyperlink" Target="https://www.gob.mx/conapo/documentos/proyecciones-de-la-poblacion-de-mexico-y-de-las-entidades-federativas-2020-2070" TargetMode="External"/><Relationship Id="rId196" Type="http://schemas.openxmlformats.org/officeDocument/2006/relationships/hyperlink" Target="https://doi.org/10.5281/zenodo.10278103" TargetMode="External"/><Relationship Id="rId200" Type="http://schemas.openxmlformats.org/officeDocument/2006/relationships/hyperlink" Target="https://www.gob.mx/salud/es/articulos/de-cada-10-personas-con-lupus-entre-siete-y-nueve-son-mujeres" TargetMode="External"/><Relationship Id="rId16" Type="http://schemas.openxmlformats.org/officeDocument/2006/relationships/image" Target="media/image6.emf"/><Relationship Id="rId221" Type="http://schemas.openxmlformats.org/officeDocument/2006/relationships/hyperlink" Target="https://www.gob.mx/salud/es/articulos/de-cada-10-personas-con-lupus-entre-siete-y-nueve-son-mujeres" TargetMode="External"/><Relationship Id="rId242" Type="http://schemas.openxmlformats.org/officeDocument/2006/relationships/hyperlink" Target="https://www.mayoclinic.org/es/departments-centers/lupus-clinic/overview/ovc-20477808" TargetMode="External"/><Relationship Id="rId263" Type="http://schemas.openxmlformats.org/officeDocument/2006/relationships/hyperlink" Target="https://www.lupusresearch.org/en-espanol/acerca-del-lupus/sintomas-comunes-del-lupus/" TargetMode="External"/><Relationship Id="rId284" Type="http://schemas.openxmlformats.org/officeDocument/2006/relationships/hyperlink" Target="https://espanol.arthritis.org/diseases/more-about/fibromyalgia%2C-lupus%2C-or-both" TargetMode="External"/><Relationship Id="rId319" Type="http://schemas.openxmlformats.org/officeDocument/2006/relationships/hyperlink" Target="https://www.gov.uk/government/publications/surveillance-camera-code-of-practice-guidance-for-local-authorities/surveillance-camera-code-of-practice-a-guide-for-local-authorities-accessible" TargetMode="External"/><Relationship Id="rId37" Type="http://schemas.openxmlformats.org/officeDocument/2006/relationships/image" Target="media/image12.jpg"/><Relationship Id="rId58" Type="http://schemas.openxmlformats.org/officeDocument/2006/relationships/hyperlink" Target="https://cetlu.com.mx/articulos/18-entrevista/" TargetMode="External"/><Relationship Id="rId79" Type="http://schemas.openxmlformats.org/officeDocument/2006/relationships/hyperlink" Target="https://www.lupus.org/es/resources/las-causas-de-muerte-mas-comunes-en-personas-con-lupus" TargetMode="External"/><Relationship Id="rId102"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3" Type="http://schemas.openxmlformats.org/officeDocument/2006/relationships/hyperlink" Target="https://www.acleg.org/origenes-del-dia-mundial-del-lupus/" TargetMode="External"/><Relationship Id="rId144" Type="http://schemas.openxmlformats.org/officeDocument/2006/relationships/hyperlink" Target="https://lupusrgmx.liigh.unam.mx/" TargetMode="External"/><Relationship Id="rId90"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65" Type="http://schemas.openxmlformats.org/officeDocument/2006/relationships/hyperlink" Target="https://doi.org/10.5281/zenodo.10278103" TargetMode="External"/><Relationship Id="rId186" Type="http://schemas.openxmlformats.org/officeDocument/2006/relationships/hyperlink" Target="https://www.gob.mx/conapo/documentos/proyecciones-de-la-poblacion-de-mexico-y-de-las-entidades-federativas-2020-2070" TargetMode="External"/><Relationship Id="rId211" Type="http://schemas.openxmlformats.org/officeDocument/2006/relationships/hyperlink" Target="https://www.gob.mx/salud/es/articulos/de-cada-10-personas-con-lupus-entre-siete-y-nueve-son-mujeres" TargetMode="External"/><Relationship Id="rId232" Type="http://schemas.openxmlformats.org/officeDocument/2006/relationships/hyperlink" Target="https://www.lupus.org/es/resources/datos-y-estadisticas-sobre-el-lupus" TargetMode="External"/><Relationship Id="rId253" Type="http://schemas.openxmlformats.org/officeDocument/2006/relationships/hyperlink" Target="https://doi.org/10.1038/nrdp.2016.39" TargetMode="External"/><Relationship Id="rId274" Type="http://schemas.openxmlformats.org/officeDocument/2006/relationships/hyperlink" Target="https://www.mayoclinic.org/es/diseases-conditions/fibromyalgia/symptoms-causes/syc-20354780" TargetMode="External"/><Relationship Id="rId295" Type="http://schemas.openxmlformats.org/officeDocument/2006/relationships/hyperlink" Target="https://www.lupus.org/es/resources/common-diseases-that-overlap-with-lupus" TargetMode="External"/><Relationship Id="rId309" Type="http://schemas.openxmlformats.org/officeDocument/2006/relationships/hyperlink" Target="https://repositorioinstitucional.buap.mx/items/41a1c9a0-f16e-4565-b8d5-4d7ec1fecae7" TargetMode="External"/><Relationship Id="rId27" Type="http://schemas.openxmlformats.org/officeDocument/2006/relationships/hyperlink" Target="https://oem.com.mx/la-prensa/metropoli/cerro-de-chiquihuite-estudian-con-inteligencia-artificial-las-zonas-de-mayor-riesgo-de-deslaves-31918012" TargetMode="External"/><Relationship Id="rId48" Type="http://schemas.openxmlformats.org/officeDocument/2006/relationships/hyperlink" Target="https://www.lupus.org/es/resources/como-afecta-el-lupus-al-sistema-nervioso" TargetMode="External"/><Relationship Id="rId69" Type="http://schemas.openxmlformats.org/officeDocument/2006/relationships/hyperlink" Target="https://www.lupus.org/es/resources/las-causas-de-muerte-mas-comunes-en-personas-con-lupus" TargetMode="External"/><Relationship Id="rId113" Type="http://schemas.openxmlformats.org/officeDocument/2006/relationships/hyperlink" Target="https://www.mayoclinic.org/es/diseases-conditions/lupus/diagnosis-treatment/drc-20365790" TargetMode="External"/><Relationship Id="rId134" Type="http://schemas.openxmlformats.org/officeDocument/2006/relationships/hyperlink" Target="https://repositorioinstitucional.buap.mx/items/41a1c9a0-f16e-4565-b8d5-4d7ec1fecae7" TargetMode="External"/><Relationship Id="rId320" Type="http://schemas.openxmlformats.org/officeDocument/2006/relationships/hyperlink" Target="https://www.copfs.gov.uk/publications/lord-advocate-s-guidelines-bocy-worn-video-bwv/html/" TargetMode="External"/><Relationship Id="rId80" Type="http://schemas.openxmlformats.org/officeDocument/2006/relationships/hyperlink" Target="https://www.lupus.org/es/resources/las-causas-de-muerte-mas-comunes-en-personas-con-lupus" TargetMode="External"/><Relationship Id="rId155" Type="http://schemas.openxmlformats.org/officeDocument/2006/relationships/hyperlink" Target="https://repositorioinstitucional.buap.mx/items/41a1c9a0-f16e-4565-b8d5-4d7ec1fecae7" TargetMode="External"/><Relationship Id="rId176" Type="http://schemas.openxmlformats.org/officeDocument/2006/relationships/hyperlink" Target="https://www.gob.mx/conapo/documentos/proyecciones-de-la-poblacion-de-mexico-y-de-las-entidades-federativas-2020-2070" TargetMode="External"/><Relationship Id="rId197" Type="http://schemas.openxmlformats.org/officeDocument/2006/relationships/hyperlink" Target="https://doi.org/10.1016/j.reuma.2021.05.005%20/" TargetMode="External"/><Relationship Id="rId201" Type="http://schemas.openxmlformats.org/officeDocument/2006/relationships/hyperlink" Target="https://www.gob.mx/salud/es/articulos/de-cada-10-personas-con-lupus-entre-siete-y-nueve-son-mujeres" TargetMode="External"/><Relationship Id="rId222" Type="http://schemas.openxmlformats.org/officeDocument/2006/relationships/hyperlink" Target="https://www.gob.mx/salud/es/articulos/de-cada-10-personas-con-lupus-entre-siete-y-nueve-son-mujeres" TargetMode="External"/><Relationship Id="rId243" Type="http://schemas.openxmlformats.org/officeDocument/2006/relationships/hyperlink" Target="https://www.niaid.nih.gov/diseases-conditions/autoimmune-diseases?utm_source=chatgpt.com" TargetMode="External"/><Relationship Id="rId264" Type="http://schemas.openxmlformats.org/officeDocument/2006/relationships/hyperlink" Target="https://www.lupusresearch.org/en-espanol/acerca-del-lupus/sintomas-comunes-del-lupus/" TargetMode="External"/><Relationship Id="rId285" Type="http://schemas.openxmlformats.org/officeDocument/2006/relationships/hyperlink" Target="https://espanol.arthritis.org/diseases/more-about/fibromyalgia%2C-lupus%2C-or-both" TargetMode="External"/><Relationship Id="rId17" Type="http://schemas.openxmlformats.org/officeDocument/2006/relationships/hyperlink" Target="https://aguaysaneamiento.cndh.org.mx/Content/doc/Normatividad/Observacion15_DESC.pdf" TargetMode="External"/><Relationship Id="rId38" Type="http://schemas.openxmlformats.org/officeDocument/2006/relationships/hyperlink" Target="https://www.lupus.org/es/resources/como-afecta-el-lupus-al-corazon-y-la-circulacion" TargetMode="External"/><Relationship Id="rId59" Type="http://schemas.openxmlformats.org/officeDocument/2006/relationships/hyperlink" Target="https://cetlu.com.mx/articulos/18-entrevista/" TargetMode="External"/><Relationship Id="rId103"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4" Type="http://schemas.openxmlformats.org/officeDocument/2006/relationships/hyperlink" Target="https://www.acleg.org/origenes-del-dia-mundial-del-lupus/" TargetMode="External"/><Relationship Id="rId310" Type="http://schemas.openxmlformats.org/officeDocument/2006/relationships/hyperlink" Target="https://repositorioinstitucional.buap.mx/items/41a1c9a0-f16e-4565-b8d5-4d7ec1fecae7" TargetMode="External"/><Relationship Id="rId70" Type="http://schemas.openxmlformats.org/officeDocument/2006/relationships/hyperlink" Target="https://www.lupus.org/es/resources/las-causas-de-muerte-mas-comunes-en-personas-con-lupus" TargetMode="External"/><Relationship Id="rId91"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45" Type="http://schemas.openxmlformats.org/officeDocument/2006/relationships/hyperlink" Target="https://www.congresopuebla.gob.mx/index.php?id=56805&amp;option=com_k2&amp;task=download&amp;view=item&amp;utm_source=chatgpt.com" TargetMode="External"/><Relationship Id="rId166" Type="http://schemas.openxmlformats.org/officeDocument/2006/relationships/hyperlink" Target="https://www.inegi.org.mx/contenidos/saladeprensa/boletines/2021/EstSociodemo/ResultCenso2020_Jal.pdf?utm_source=chatgpt.com" TargetMode="External"/><Relationship Id="rId187" Type="http://schemas.openxmlformats.org/officeDocument/2006/relationships/hyperlink" Target="https://www.gob.mx/conapo/documentos/proyecciones-de-la-poblacion-de-mexico-y-de-las-entidades-federativas-2020-2070" TargetMode="External"/><Relationship Id="rId1" Type="http://schemas.openxmlformats.org/officeDocument/2006/relationships/customXml" Target="../customXml/item1.xml"/><Relationship Id="rId212" Type="http://schemas.openxmlformats.org/officeDocument/2006/relationships/hyperlink" Target="https://www.gob.mx/salud/es/articulos/de-cada-10-personas-con-lupus-entre-siete-y-nueve-son-mujeres" TargetMode="External"/><Relationship Id="rId233" Type="http://schemas.openxmlformats.org/officeDocument/2006/relationships/hyperlink" Target="https://www.lupus.org/es/resources/datos-y-estadisticas-sobre-el-lupus" TargetMode="External"/><Relationship Id="rId254" Type="http://schemas.openxmlformats.org/officeDocument/2006/relationships/hyperlink" Target="https://doi.org/10.1038/nrdp.2016.39" TargetMode="External"/><Relationship Id="rId28" Type="http://schemas.openxmlformats.org/officeDocument/2006/relationships/hyperlink" Target="https://www.un.org/es/global-issues/water" TargetMode="External"/><Relationship Id="rId49" Type="http://schemas.openxmlformats.org/officeDocument/2006/relationships/hyperlink" Target="https://www.lupus.org/es/resources/como-afecta-el-lupus-al-sistema-nervioso" TargetMode="External"/><Relationship Id="rId114" Type="http://schemas.openxmlformats.org/officeDocument/2006/relationships/hyperlink" Target="https://www.mayoclinic.org/es/diseases-conditions/lupus/diagnosis-treatment/drc-20365790" TargetMode="External"/><Relationship Id="rId275" Type="http://schemas.openxmlformats.org/officeDocument/2006/relationships/hyperlink" Target="https://www.mayoclinic.org/es/diseases-conditions/fibromyalgia/symptoms-causes/syc-20354780" TargetMode="External"/><Relationship Id="rId296" Type="http://schemas.openxmlformats.org/officeDocument/2006/relationships/hyperlink" Target="https://www.lupus.org/es/resources/common-diseases-that-overlap-with-lupus" TargetMode="External"/><Relationship Id="rId300" Type="http://schemas.openxmlformats.org/officeDocument/2006/relationships/hyperlink" Target="https://www.lupus.org/es/resources/common-diseases-that-overlap-with-lupus" TargetMode="External"/><Relationship Id="rId60" Type="http://schemas.openxmlformats.org/officeDocument/2006/relationships/hyperlink" Target="https://cetlu.com.mx/articulos/18-entrevista/" TargetMode="External"/><Relationship Id="rId81" Type="http://schemas.openxmlformats.org/officeDocument/2006/relationships/hyperlink" Target="https://www.lupus.org/es/resources/las-causas-de-muerte-mas-comunes-en-personas-con-lupus" TargetMode="External"/><Relationship Id="rId135" Type="http://schemas.openxmlformats.org/officeDocument/2006/relationships/hyperlink" Target="https://repositorioinstitucional.buap.mx/items/41a1c9a0-f16e-4565-b8d5-4d7ec1fecae7" TargetMode="External"/><Relationship Id="rId156" Type="http://schemas.openxmlformats.org/officeDocument/2006/relationships/hyperlink" Target="https://repositorioinstitucional.buap.mx/items/41a1c9a0-f16e-4565-b8d5-4d7ec1fecae7" TargetMode="External"/><Relationship Id="rId177" Type="http://schemas.openxmlformats.org/officeDocument/2006/relationships/hyperlink" Target="https://www.gob.mx/conapo/documentos/proyecciones-de-la-poblacion-de-mexico-y-de-las-entidades-federativas-2020-2070" TargetMode="External"/><Relationship Id="rId198" Type="http://schemas.openxmlformats.org/officeDocument/2006/relationships/hyperlink" Target="https://doi.org/10.1016/j.reuma.2021.05.005%20/" TargetMode="External"/><Relationship Id="rId321" Type="http://schemas.openxmlformats.org/officeDocument/2006/relationships/hyperlink" Target="https://www.hcnl.gob.mx/trabajo_legislativo/leyes/pdf/DECRETO%20191.pdf" TargetMode="External"/><Relationship Id="rId202" Type="http://schemas.openxmlformats.org/officeDocument/2006/relationships/hyperlink" Target="https://www.gob.mx/salud/es/articulos/de-cada-10-personas-con-lupus-entre-siete-y-nueve-son-mujeres" TargetMode="External"/><Relationship Id="rId223" Type="http://schemas.openxmlformats.org/officeDocument/2006/relationships/hyperlink" Target="https://www.lupus.org/es/resources/datos-y-estadisticas-sobre-el-lupus" TargetMode="External"/><Relationship Id="rId244" Type="http://schemas.openxmlformats.org/officeDocument/2006/relationships/hyperlink" Target="https://www.niaid.nih.gov/diseases-conditions/autoimmune-diseases?utm_source=chatgpt.com" TargetMode="External"/><Relationship Id="rId18" Type="http://schemas.openxmlformats.org/officeDocument/2006/relationships/hyperlink" Target="https://aguaysaneamiento.cndh.org.mx/Content/doc/Normatividad/Observacion15_DESC.pdf" TargetMode="External"/><Relationship Id="rId39" Type="http://schemas.openxmlformats.org/officeDocument/2006/relationships/hyperlink" Target="https://www.lupus.org/es/resources/como-afecta-el-lupus-al-corazon-y-la-circulacion" TargetMode="External"/><Relationship Id="rId265" Type="http://schemas.openxmlformats.org/officeDocument/2006/relationships/hyperlink" Target="https://www.lupusresearch.org/en-espanol/acerca-del-lupus/sintomas-comunes-del-lupus/" TargetMode="External"/><Relationship Id="rId286" Type="http://schemas.openxmlformats.org/officeDocument/2006/relationships/hyperlink" Target="https://espanol.arthritis.org/diseases/more-about/fibromyalgia%2C-lupus%2C-or-both" TargetMode="External"/><Relationship Id="rId50" Type="http://schemas.openxmlformats.org/officeDocument/2006/relationships/image" Target="media/image13.jpg"/><Relationship Id="rId104"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125" Type="http://schemas.openxmlformats.org/officeDocument/2006/relationships/hyperlink" Target="https://www.acleg.org/origenes-del-dia-mundial-del-lupus/" TargetMode="External"/><Relationship Id="rId146" Type="http://schemas.openxmlformats.org/officeDocument/2006/relationships/hyperlink" Target="https://www.congresopuebla.gob.mx/index.php?id=56805&amp;option=com_k2&amp;task=download&amp;view=item&amp;utm_source=chatgpt.com" TargetMode="External"/><Relationship Id="rId167" Type="http://schemas.openxmlformats.org/officeDocument/2006/relationships/hyperlink" Target="https://www.inegi.org.mx/contenidos/saladeprensa/boletines/2021/EstSociodemo/ResultCenso2020_Jal.pdf?utm_source=chatgpt.com" TargetMode="External"/><Relationship Id="rId188" Type="http://schemas.openxmlformats.org/officeDocument/2006/relationships/hyperlink" Target="https://www.gob.mx/conapo/documentos/proyecciones-de-la-poblacion-de-mexico-y-de-las-entidades-federativas-2020-2070" TargetMode="External"/><Relationship Id="rId311" Type="http://schemas.openxmlformats.org/officeDocument/2006/relationships/hyperlink" Target="https://repositorioinstitucional.buap.mx/items/41a1c9a0-f16e-4565-b8d5-4d7ec1fecae7" TargetMode="External"/><Relationship Id="rId71" Type="http://schemas.openxmlformats.org/officeDocument/2006/relationships/hyperlink" Target="https://www.lupus.org/es/resources/las-causas-de-muerte-mas-comunes-en-personas-con-lupus" TargetMode="External"/><Relationship Id="rId92" Type="http://schemas.openxmlformats.org/officeDocument/2006/relationships/hyperlink" Target="https://www.msdmanuals.com/es-mx/professional/trastornos-de-los-tejidos-musculoesquel%C3%A9tico-y-conectivo/enfermedades-reum%C3%A1ticas-autoinmumunitarias/lupus-eritematoso-sist%C3%A9mico-les" TargetMode="External"/><Relationship Id="rId213" Type="http://schemas.openxmlformats.org/officeDocument/2006/relationships/hyperlink" Target="https://www.gob.mx/salud/es/articulos/de-cada-10-personas-con-lupus-entre-siete-y-nueve-son-mujeres" TargetMode="External"/><Relationship Id="rId234" Type="http://schemas.openxmlformats.org/officeDocument/2006/relationships/hyperlink" Target="https://www.lupus.org/es/resources/datos-y-estadisticas-sobre-el-lupus" TargetMode="External"/><Relationship Id="rId2" Type="http://schemas.openxmlformats.org/officeDocument/2006/relationships/numbering" Target="numbering.xml"/><Relationship Id="rId29" Type="http://schemas.openxmlformats.org/officeDocument/2006/relationships/hyperlink" Target="https://imco.org.mx/situacion-del-agua-en-mexico/" TargetMode="External"/><Relationship Id="rId255" Type="http://schemas.openxmlformats.org/officeDocument/2006/relationships/hyperlink" Target="https://www.lupusresearch.org/en-espanol/acerca-del-lupus/sintomas-comunes-del-lupus/" TargetMode="External"/><Relationship Id="rId276" Type="http://schemas.openxmlformats.org/officeDocument/2006/relationships/hyperlink" Target="https://www.mayoclinic.org/es/diseases-conditions/fibromyalgia/symptoms-causes/syc-20354780" TargetMode="External"/><Relationship Id="rId297" Type="http://schemas.openxmlformats.org/officeDocument/2006/relationships/hyperlink" Target="https://www.lupus.org/es/resources/common-diseases-that-overlap-with-lupus" TargetMode="External"/><Relationship Id="rId40" Type="http://schemas.openxmlformats.org/officeDocument/2006/relationships/hyperlink" Target="https://www.lupus.org/es/resources/como-afecta-el-lupus-al-corazon-y-la-circulacion" TargetMode="External"/><Relationship Id="rId115" Type="http://schemas.openxmlformats.org/officeDocument/2006/relationships/hyperlink" Target="https://www.mayoclinic.org/es/diseases-conditions/lupus/diagnosis-treatment/drc-20365790" TargetMode="External"/><Relationship Id="rId136" Type="http://schemas.openxmlformats.org/officeDocument/2006/relationships/hyperlink" Target="https://repositorioinstitucional.buap.mx/items/41a1c9a0-f16e-4565-b8d5-4d7ec1fecae7" TargetMode="External"/><Relationship Id="rId157" Type="http://schemas.openxmlformats.org/officeDocument/2006/relationships/hyperlink" Target="https://www.senado.gob.mx/66/gaceta_del_senado/documento/145730" TargetMode="External"/><Relationship Id="rId178" Type="http://schemas.openxmlformats.org/officeDocument/2006/relationships/hyperlink" Target="https://www.gob.mx/conapo/documentos/proyecciones-de-la-poblacion-de-mexico-y-de-las-entidades-federativas-2020-2070" TargetMode="External"/><Relationship Id="rId301" Type="http://schemas.openxmlformats.org/officeDocument/2006/relationships/hyperlink" Target="https://www.lupus.org/es/resources/common-diseases-that-overlap-with-lupus" TargetMode="External"/><Relationship Id="rId322" Type="http://schemas.openxmlformats.org/officeDocument/2006/relationships/hyperlink" Target="https://www.nl.gob.mx/es/publicaciones/aviso-privacidad-integral-camara-solapa-o-corporal-body-cam-secretaria-seguridad" TargetMode="External"/><Relationship Id="rId61" Type="http://schemas.openxmlformats.org/officeDocument/2006/relationships/hyperlink" Target="https://cetlu.com.mx/articulos/18-entrevista/" TargetMode="External"/><Relationship Id="rId82" Type="http://schemas.openxmlformats.org/officeDocument/2006/relationships/hyperlink" Target="https://www.lupus.org/es/resources/las-causas-de-muerte-mas-comunes-en-personas-con-lupus" TargetMode="External"/><Relationship Id="rId199" Type="http://schemas.openxmlformats.org/officeDocument/2006/relationships/hyperlink" Target="https://www.gob.mx/salud/es/articulos/de-cada-10-personas-con-lupus-entre-siete-y-nueve-son-mujeres" TargetMode="External"/><Relationship Id="rId203" Type="http://schemas.openxmlformats.org/officeDocument/2006/relationships/hyperlink" Target="https://www.gob.mx/salud/es/articulos/de-cada-10-personas-con-lupus-entre-siete-y-nueve-son-mujeres" TargetMode="External"/><Relationship Id="rId19" Type="http://schemas.openxmlformats.org/officeDocument/2006/relationships/hyperlink" Target="https://aguaysaneamiento.cndh.org.mx/Content/doc/Normatividad/Observacion15_DESC.pdf" TargetMode="External"/><Relationship Id="rId224" Type="http://schemas.openxmlformats.org/officeDocument/2006/relationships/hyperlink" Target="https://www.lupus.org/es/resources/datos-y-estadisticas-sobre-el-lupus" TargetMode="External"/><Relationship Id="rId245" Type="http://schemas.openxmlformats.org/officeDocument/2006/relationships/hyperlink" Target="https://www.niaid.nih.gov/diseases-conditions/autoimmune-diseases?utm_source=chatgpt.com" TargetMode="External"/><Relationship Id="rId266" Type="http://schemas.openxmlformats.org/officeDocument/2006/relationships/hyperlink" Target="https://www.lupusresearch.org/en-espanol/acerca-del-lupus/sintomas-comunes-del-lupus/" TargetMode="External"/><Relationship Id="rId287" Type="http://schemas.openxmlformats.org/officeDocument/2006/relationships/hyperlink" Target="https://www.imss.gob.mx/prensa/archivo/201905/1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678C7-0DC5-4F58-9FD9-7093A0209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137228</Words>
  <Characters>754754</Characters>
  <Application>Microsoft Office Word</Application>
  <DocSecurity>0</DocSecurity>
  <Lines>6289</Lines>
  <Paragraphs>1780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890202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2026-10-22T01:06:00Z</dcterms:created>
  <dcterms:modified xsi:type="dcterms:W3CDTF">2026-10-22T01:06:00Z</dcterms:modified>
</cp:coreProperties>
</file>